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5B061">
      <w:pPr>
        <w:spacing w:line="600" w:lineRule="exact"/>
        <w:jc w:val="center"/>
        <w:outlineLvl w:val="0"/>
        <w:rPr>
          <w:rFonts w:hint="default" w:ascii="Times New Roman" w:hAnsi="Times New Roman" w:eastAsia="方正小标宋简体" w:cs="Times New Roman"/>
          <w:color w:val="auto"/>
          <w:sz w:val="72"/>
          <w:szCs w:val="72"/>
          <w:highlight w:val="none"/>
        </w:rPr>
      </w:pPr>
      <w:bookmarkStart w:id="0" w:name="_Toc15378441"/>
      <w:bookmarkStart w:id="1" w:name="_Toc15396475"/>
      <w:bookmarkStart w:id="2" w:name="_Toc15396597"/>
      <w:bookmarkStart w:id="3" w:name="_Toc15377425"/>
      <w:bookmarkStart w:id="4" w:name="_Toc15377193"/>
      <w:bookmarkStart w:id="5" w:name="_Toc15306267"/>
    </w:p>
    <w:p w14:paraId="2265195A">
      <w:pPr>
        <w:spacing w:line="600" w:lineRule="exact"/>
        <w:jc w:val="center"/>
        <w:outlineLvl w:val="0"/>
        <w:rPr>
          <w:rFonts w:hint="default" w:ascii="Times New Roman" w:hAnsi="Times New Roman" w:eastAsia="方正小标宋简体" w:cs="Times New Roman"/>
          <w:color w:val="auto"/>
          <w:sz w:val="72"/>
          <w:szCs w:val="72"/>
          <w:highlight w:val="none"/>
        </w:rPr>
      </w:pPr>
    </w:p>
    <w:p w14:paraId="0962C0C8">
      <w:pPr>
        <w:spacing w:line="600" w:lineRule="exact"/>
        <w:jc w:val="center"/>
        <w:outlineLvl w:val="0"/>
        <w:rPr>
          <w:rFonts w:hint="default" w:ascii="Times New Roman" w:hAnsi="Times New Roman" w:eastAsia="方正小标宋简体" w:cs="Times New Roman"/>
          <w:color w:val="auto"/>
          <w:sz w:val="72"/>
          <w:szCs w:val="72"/>
          <w:highlight w:val="none"/>
        </w:rPr>
      </w:pPr>
    </w:p>
    <w:p w14:paraId="7522E60C">
      <w:pPr>
        <w:adjustRightInd w:val="0"/>
        <w:snapToGrid w:val="0"/>
        <w:spacing w:line="360" w:lineRule="auto"/>
        <w:jc w:val="center"/>
        <w:outlineLvl w:val="0"/>
        <w:rPr>
          <w:rFonts w:hint="default" w:ascii="Times New Roman" w:hAnsi="Times New Roman" w:eastAsia="方正小标宋简体" w:cs="Times New Roman"/>
          <w:color w:val="auto"/>
          <w:sz w:val="72"/>
          <w:szCs w:val="72"/>
          <w:highlight w:val="none"/>
        </w:rPr>
      </w:pPr>
      <w:r>
        <w:rPr>
          <w:rFonts w:hint="default" w:ascii="Times New Roman" w:hAnsi="Times New Roman" w:eastAsia="方正小标宋简体" w:cs="Times New Roman"/>
          <w:color w:val="auto"/>
          <w:sz w:val="72"/>
          <w:szCs w:val="72"/>
          <w:highlight w:val="none"/>
        </w:rPr>
        <w:t>20</w:t>
      </w:r>
      <w:r>
        <w:rPr>
          <w:rFonts w:hint="default" w:ascii="Times New Roman" w:hAnsi="Times New Roman" w:eastAsia="方正小标宋简体" w:cs="Times New Roman"/>
          <w:color w:val="auto"/>
          <w:sz w:val="72"/>
          <w:szCs w:val="72"/>
          <w:highlight w:val="none"/>
          <w:lang w:val="en-US" w:eastAsia="zh-CN"/>
        </w:rPr>
        <w:t>24</w:t>
      </w:r>
      <w:r>
        <w:rPr>
          <w:rFonts w:hint="default" w:ascii="Times New Roman" w:hAnsi="Times New Roman" w:eastAsia="方正小标宋简体" w:cs="Times New Roman"/>
          <w:color w:val="auto"/>
          <w:sz w:val="72"/>
          <w:szCs w:val="72"/>
          <w:highlight w:val="none"/>
        </w:rPr>
        <w:t>年度</w:t>
      </w:r>
      <w:bookmarkEnd w:id="0"/>
      <w:bookmarkEnd w:id="1"/>
      <w:bookmarkEnd w:id="2"/>
      <w:bookmarkEnd w:id="3"/>
      <w:bookmarkEnd w:id="4"/>
    </w:p>
    <w:p w14:paraId="67F4221E">
      <w:pPr>
        <w:adjustRightInd w:val="0"/>
        <w:snapToGrid w:val="0"/>
        <w:spacing w:line="360" w:lineRule="auto"/>
        <w:jc w:val="center"/>
        <w:outlineLvl w:val="0"/>
        <w:rPr>
          <w:rFonts w:hint="default" w:ascii="Times New Roman" w:hAnsi="Times New Roman" w:eastAsia="方正小标宋简体" w:cs="Times New Roman"/>
          <w:color w:val="auto"/>
          <w:sz w:val="72"/>
          <w:szCs w:val="72"/>
          <w:highlight w:val="none"/>
          <w:lang w:val="en-US" w:eastAsia="zh-CN"/>
        </w:rPr>
      </w:pPr>
      <w:bookmarkStart w:id="6" w:name="_Toc15377194"/>
      <w:bookmarkStart w:id="7" w:name="_Toc15378442"/>
      <w:bookmarkStart w:id="8" w:name="_Toc15377426"/>
      <w:bookmarkStart w:id="9" w:name="_Toc15396476"/>
      <w:bookmarkStart w:id="10" w:name="_Toc15396598"/>
      <w:r>
        <w:rPr>
          <w:rFonts w:hint="default" w:ascii="Times New Roman" w:hAnsi="Times New Roman" w:eastAsia="方正小标宋简体" w:cs="Times New Roman"/>
          <w:color w:val="auto"/>
          <w:sz w:val="72"/>
          <w:szCs w:val="72"/>
          <w:highlight w:val="none"/>
        </w:rPr>
        <w:t>四川省</w:t>
      </w:r>
      <w:bookmarkEnd w:id="5"/>
      <w:bookmarkStart w:id="11" w:name="_Toc15306268"/>
      <w:r>
        <w:rPr>
          <w:rFonts w:hint="default" w:ascii="Times New Roman" w:hAnsi="Times New Roman" w:eastAsia="方正小标宋简体" w:cs="Times New Roman"/>
          <w:color w:val="auto"/>
          <w:sz w:val="72"/>
          <w:szCs w:val="72"/>
          <w:highlight w:val="none"/>
          <w:lang w:val="en-US" w:eastAsia="zh-CN"/>
        </w:rPr>
        <w:t>遂宁市安居区市场</w:t>
      </w:r>
    </w:p>
    <w:p w14:paraId="73B2152E">
      <w:pPr>
        <w:adjustRightInd w:val="0"/>
        <w:snapToGrid w:val="0"/>
        <w:spacing w:line="360" w:lineRule="auto"/>
        <w:jc w:val="center"/>
        <w:outlineLvl w:val="0"/>
        <w:rPr>
          <w:rFonts w:hint="default" w:ascii="Times New Roman" w:hAnsi="Times New Roman" w:eastAsia="方正小标宋简体" w:cs="Times New Roman"/>
          <w:color w:val="auto"/>
          <w:sz w:val="72"/>
          <w:szCs w:val="72"/>
          <w:highlight w:val="none"/>
        </w:rPr>
      </w:pPr>
      <w:r>
        <w:rPr>
          <w:rFonts w:hint="default" w:ascii="Times New Roman" w:hAnsi="Times New Roman" w:eastAsia="方正小标宋简体" w:cs="Times New Roman"/>
          <w:color w:val="auto"/>
          <w:sz w:val="72"/>
          <w:szCs w:val="72"/>
          <w:highlight w:val="none"/>
          <w:lang w:val="en-US" w:eastAsia="zh-CN"/>
        </w:rPr>
        <w:t>监督管理局部门</w:t>
      </w:r>
      <w:r>
        <w:rPr>
          <w:rFonts w:hint="default" w:ascii="Times New Roman" w:hAnsi="Times New Roman" w:eastAsia="方正小标宋简体" w:cs="Times New Roman"/>
          <w:color w:val="auto"/>
          <w:sz w:val="72"/>
          <w:szCs w:val="72"/>
          <w:highlight w:val="none"/>
        </w:rPr>
        <w:t>决算</w:t>
      </w:r>
      <w:bookmarkEnd w:id="6"/>
      <w:bookmarkEnd w:id="7"/>
      <w:bookmarkEnd w:id="8"/>
      <w:bookmarkEnd w:id="9"/>
      <w:bookmarkEnd w:id="10"/>
      <w:bookmarkEnd w:id="11"/>
    </w:p>
    <w:p w14:paraId="71E242E7">
      <w:pPr>
        <w:widowControl/>
        <w:jc w:val="center"/>
        <w:rPr>
          <w:rFonts w:hint="default" w:ascii="Times New Roman" w:hAnsi="Times New Roman" w:eastAsia="黑体" w:cs="Times New Roman"/>
          <w:color w:val="auto"/>
          <w:sz w:val="48"/>
          <w:szCs w:val="48"/>
          <w:highlight w:val="none"/>
        </w:rPr>
        <w:sectPr>
          <w:headerReference r:id="rId4" w:type="first"/>
          <w:footerReference r:id="rId5" w:type="first"/>
          <w:headerReference r:id="rId3" w:type="default"/>
          <w:pgSz w:w="11906" w:h="16838"/>
          <w:pgMar w:top="1157" w:right="1463" w:bottom="1157" w:left="1463" w:header="851" w:footer="992" w:gutter="0"/>
          <w:pgNumType w:fmt="decimal" w:start="1"/>
          <w:cols w:space="425" w:num="1"/>
          <w:docGrid w:type="lines" w:linePitch="312" w:charSpace="0"/>
        </w:sectPr>
      </w:pPr>
    </w:p>
    <w:p w14:paraId="21BEC95B">
      <w:pPr>
        <w:widowControl/>
        <w:jc w:val="center"/>
        <w:rPr>
          <w:rFonts w:hint="default" w:ascii="Times New Roman" w:hAnsi="Times New Roman" w:eastAsia="黑体" w:cs="Times New Roman"/>
          <w:color w:val="auto"/>
          <w:sz w:val="48"/>
          <w:szCs w:val="48"/>
          <w:highlight w:val="none"/>
        </w:rPr>
      </w:pPr>
      <w:r>
        <w:rPr>
          <w:rFonts w:hint="default" w:ascii="Times New Roman" w:hAnsi="Times New Roman" w:eastAsia="黑体" w:cs="Times New Roman"/>
          <w:color w:val="auto"/>
          <w:sz w:val="48"/>
          <w:szCs w:val="48"/>
          <w:highlight w:val="none"/>
        </w:rPr>
        <w:t>目录</w:t>
      </w:r>
    </w:p>
    <w:p w14:paraId="77E245FD">
      <w:pPr>
        <w:widowControl/>
        <w:jc w:val="center"/>
        <w:rPr>
          <w:rFonts w:hint="default" w:ascii="Times New Roman" w:hAnsi="Times New Roman" w:eastAsia="黑体" w:cs="Times New Roman"/>
          <w:color w:val="auto"/>
          <w:sz w:val="32"/>
          <w:szCs w:val="32"/>
          <w:highlight w:val="none"/>
        </w:rPr>
      </w:pPr>
    </w:p>
    <w:p w14:paraId="6C6628FE">
      <w:pPr>
        <w:pStyle w:val="16"/>
        <w:rPr>
          <w:rFonts w:hint="default" w:ascii="Times New Roman" w:hAnsi="Times New Roman" w:cs="Times New Roman"/>
          <w:color w:val="auto"/>
          <w:sz w:val="21"/>
          <w:szCs w:val="21"/>
          <w:highlight w:val="none"/>
        </w:rPr>
      </w:pPr>
      <w:r>
        <w:rPr>
          <w:rFonts w:hint="default" w:ascii="Times New Roman" w:hAnsi="Times New Roman" w:cs="Times New Roman"/>
          <w:color w:val="auto"/>
          <w:sz w:val="32"/>
          <w:szCs w:val="32"/>
          <w:highlight w:val="none"/>
        </w:rPr>
        <w:t>公开时间：20</w:t>
      </w:r>
      <w:r>
        <w:rPr>
          <w:rFonts w:hint="default" w:ascii="Times New Roman" w:hAnsi="Times New Roman" w:cs="Times New Roman"/>
          <w:color w:val="auto"/>
          <w:sz w:val="32"/>
          <w:szCs w:val="32"/>
          <w:highlight w:val="none"/>
          <w:lang w:val="en-US" w:eastAsia="zh-CN"/>
        </w:rPr>
        <w:t>25</w:t>
      </w:r>
      <w:r>
        <w:rPr>
          <w:rFonts w:hint="default" w:ascii="Times New Roman" w:hAnsi="Times New Roman" w:cs="Times New Roman"/>
          <w:color w:val="auto"/>
          <w:sz w:val="32"/>
          <w:szCs w:val="32"/>
          <w:highlight w:val="none"/>
        </w:rPr>
        <w:t>年</w:t>
      </w:r>
      <w:r>
        <w:rPr>
          <w:rFonts w:hint="default" w:ascii="Times New Roman" w:hAnsi="Times New Roman" w:cs="Times New Roman"/>
          <w:color w:val="auto"/>
          <w:sz w:val="32"/>
          <w:szCs w:val="32"/>
          <w:highlight w:val="none"/>
          <w:lang w:val="en-US" w:eastAsia="zh-CN"/>
        </w:rPr>
        <w:t>8</w:t>
      </w:r>
      <w:r>
        <w:rPr>
          <w:rFonts w:hint="default" w:ascii="Times New Roman" w:hAnsi="Times New Roman" w:cs="Times New Roman"/>
          <w:color w:val="auto"/>
          <w:sz w:val="32"/>
          <w:szCs w:val="32"/>
          <w:highlight w:val="none"/>
        </w:rPr>
        <w:t>月</w:t>
      </w:r>
      <w:r>
        <w:rPr>
          <w:rFonts w:hint="default" w:ascii="Times New Roman" w:hAnsi="Times New Roman" w:cs="Times New Roman"/>
          <w:color w:val="auto"/>
          <w:sz w:val="32"/>
          <w:szCs w:val="32"/>
          <w:highlight w:val="none"/>
          <w:lang w:val="en-US" w:eastAsia="zh-CN"/>
        </w:rPr>
        <w:t>2</w:t>
      </w:r>
      <w:r>
        <w:rPr>
          <w:rFonts w:hint="eastAsia" w:ascii="Times New Roman" w:hAnsi="Times New Roman" w:cs="Times New Roman"/>
          <w:color w:val="auto"/>
          <w:sz w:val="32"/>
          <w:szCs w:val="32"/>
          <w:highlight w:val="none"/>
          <w:lang w:val="en-US" w:eastAsia="zh-CN"/>
        </w:rPr>
        <w:t>5</w:t>
      </w:r>
      <w:r>
        <w:rPr>
          <w:rFonts w:hint="default" w:ascii="Times New Roman" w:hAnsi="Times New Roman" w:cs="Times New Roman"/>
          <w:color w:val="auto"/>
          <w:sz w:val="32"/>
          <w:szCs w:val="32"/>
          <w:highlight w:val="none"/>
        </w:rPr>
        <w:t>日</w:t>
      </w:r>
    </w:p>
    <w:p w14:paraId="1F59D12F">
      <w:pPr>
        <w:rPr>
          <w:rFonts w:hint="default" w:ascii="Times New Roman" w:hAnsi="Times New Roman" w:cs="Times New Roman"/>
          <w:color w:val="auto"/>
          <w:highlight w:val="none"/>
        </w:rPr>
      </w:pPr>
    </w:p>
    <w:p w14:paraId="407118E0">
      <w:pPr>
        <w:pStyle w:val="16"/>
        <w:keepNext w:val="0"/>
        <w:keepLines w:val="0"/>
        <w:pageBreakBefore w:val="0"/>
        <w:widowControl w:val="0"/>
        <w:tabs>
          <w:tab w:val="right" w:leader="dot" w:pos="9040"/>
          <w:tab w:val="clear" w:pos="8296"/>
        </w:tabs>
        <w:kinsoku/>
        <w:wordWrap/>
        <w:overflowPunct/>
        <w:topLinePunct w:val="0"/>
        <w:autoSpaceDE/>
        <w:autoSpaceDN/>
        <w:bidi w:val="0"/>
        <w:adjustRightInd w:val="0"/>
        <w:snapToGrid w:val="0"/>
        <w:spacing w:before="0" w:line="600" w:lineRule="exact"/>
        <w:ind w:right="0" w:rightChars="0"/>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第一部分 部门概况</w:t>
      </w:r>
      <w:r>
        <w:rPr>
          <w:rFonts w:hint="eastAsia" w:ascii="Times New Roman" w:hAnsi="Times New Roman" w:eastAsia="黑体"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1</w:t>
      </w:r>
    </w:p>
    <w:p w14:paraId="4FBCAD1E">
      <w:pPr>
        <w:pStyle w:val="17"/>
        <w:keepNext w:val="0"/>
        <w:keepLines w:val="0"/>
        <w:pageBreakBefore w:val="0"/>
        <w:widowControl w:val="0"/>
        <w:tabs>
          <w:tab w:val="right" w:leader="dot" w:pos="9040"/>
          <w:tab w:val="clear" w:pos="8296"/>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一、</w:t>
      </w:r>
      <w:r>
        <w:rPr>
          <w:rFonts w:hint="default" w:ascii="Times New Roman" w:hAnsi="Times New Roman" w:eastAsia="仿宋" w:cs="Times New Roman"/>
          <w:color w:val="auto"/>
          <w:sz w:val="32"/>
          <w:szCs w:val="32"/>
          <w:highlight w:val="none"/>
          <w:lang w:eastAsia="zh-CN"/>
        </w:rPr>
        <w:t>部门职责</w:t>
      </w:r>
      <w:r>
        <w:rPr>
          <w:rFonts w:hint="eastAsia" w:eastAsia="仿宋" w:cs="Times New Roman"/>
          <w:color w:val="auto"/>
          <w:sz w:val="32"/>
          <w:szCs w:val="32"/>
          <w:highlight w:val="none"/>
          <w:lang w:val="en-US" w:eastAsia="zh-CN"/>
        </w:rPr>
        <w:tab/>
      </w:r>
      <w:r>
        <w:rPr>
          <w:rFonts w:hint="eastAsia" w:eastAsia="仿宋" w:cs="Times New Roman"/>
          <w:color w:val="auto"/>
          <w:sz w:val="32"/>
          <w:szCs w:val="32"/>
          <w:highlight w:val="none"/>
          <w:lang w:val="en-US" w:eastAsia="zh-CN"/>
        </w:rPr>
        <w:t>1</w:t>
      </w:r>
    </w:p>
    <w:p w14:paraId="4DB51153">
      <w:pPr>
        <w:pStyle w:val="17"/>
        <w:keepNext w:val="0"/>
        <w:keepLines w:val="0"/>
        <w:pageBreakBefore w:val="0"/>
        <w:widowControl w:val="0"/>
        <w:tabs>
          <w:tab w:val="right" w:leader="dot" w:pos="9040"/>
          <w:tab w:val="clear" w:pos="8296"/>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二、机构设置</w:t>
      </w:r>
      <w:r>
        <w:rPr>
          <w:rFonts w:hint="eastAsia" w:eastAsia="仿宋" w:cs="Times New Roman"/>
          <w:color w:val="auto"/>
          <w:sz w:val="32"/>
          <w:szCs w:val="32"/>
          <w:highlight w:val="none"/>
          <w:lang w:val="en-US" w:eastAsia="zh-CN"/>
        </w:rPr>
        <w:tab/>
      </w:r>
      <w:r>
        <w:rPr>
          <w:rFonts w:hint="eastAsia" w:eastAsia="仿宋" w:cs="Times New Roman"/>
          <w:color w:val="auto"/>
          <w:sz w:val="32"/>
          <w:szCs w:val="32"/>
          <w:highlight w:val="none"/>
          <w:lang w:val="en-US" w:eastAsia="zh-CN"/>
        </w:rPr>
        <w:t>4</w:t>
      </w:r>
    </w:p>
    <w:p w14:paraId="74B13107">
      <w:pPr>
        <w:pStyle w:val="17"/>
        <w:keepNext w:val="0"/>
        <w:keepLines w:val="0"/>
        <w:pageBreakBefore w:val="0"/>
        <w:widowControl w:val="0"/>
        <w:tabs>
          <w:tab w:val="right" w:leader="dot" w:pos="9040"/>
          <w:tab w:val="clear" w:pos="8296"/>
        </w:tabs>
        <w:kinsoku/>
        <w:wordWrap/>
        <w:overflowPunct/>
        <w:topLinePunct w:val="0"/>
        <w:autoSpaceDE/>
        <w:autoSpaceDN/>
        <w:bidi w:val="0"/>
        <w:adjustRightInd w:val="0"/>
        <w:snapToGrid w:val="0"/>
        <w:spacing w:line="600" w:lineRule="exact"/>
        <w:ind w:left="0" w:leftChars="0" w:firstLine="0" w:firstLineChars="0"/>
        <w:jc w:val="left"/>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黑体" w:cs="Times New Roman"/>
          <w:b w:val="0"/>
          <w:bCs w:val="0"/>
          <w:color w:val="auto"/>
          <w:sz w:val="32"/>
          <w:szCs w:val="32"/>
          <w:highlight w:val="none"/>
        </w:rPr>
        <w:t>第二部分</w:t>
      </w:r>
      <w:r>
        <w:rPr>
          <w:rFonts w:hint="default" w:ascii="Times New Roman" w:hAnsi="Times New Roman" w:eastAsia="黑体" w:cs="Times New Roman"/>
          <w:b w:val="0"/>
          <w:bCs w:val="0"/>
          <w:color w:val="auto"/>
          <w:sz w:val="32"/>
          <w:szCs w:val="32"/>
          <w:highlight w:val="none"/>
          <w:lang w:val="en-US" w:eastAsia="zh-CN"/>
        </w:rPr>
        <w:t xml:space="preserve"> 2024年度</w:t>
      </w:r>
      <w:r>
        <w:rPr>
          <w:rFonts w:hint="default" w:ascii="Times New Roman" w:hAnsi="Times New Roman" w:eastAsia="黑体" w:cs="Times New Roman"/>
          <w:b w:val="0"/>
          <w:bCs w:val="0"/>
          <w:color w:val="auto"/>
          <w:sz w:val="32"/>
          <w:szCs w:val="32"/>
          <w:highlight w:val="none"/>
        </w:rPr>
        <w:t>部门决算情况说明</w:t>
      </w:r>
      <w:r>
        <w:rPr>
          <w:rFonts w:hint="eastAsia" w:eastAsia="黑体" w:cs="Times New Roman"/>
          <w:b w:val="0"/>
          <w:bCs w:val="0"/>
          <w:color w:val="auto"/>
          <w:sz w:val="32"/>
          <w:szCs w:val="32"/>
          <w:highlight w:val="none"/>
          <w:lang w:val="en-US" w:eastAsia="zh-CN"/>
        </w:rPr>
        <w:tab/>
      </w:r>
      <w:r>
        <w:rPr>
          <w:rFonts w:hint="eastAsia" w:eastAsia="黑体" w:cs="Times New Roman"/>
          <w:color w:val="auto"/>
          <w:sz w:val="32"/>
          <w:szCs w:val="32"/>
          <w:highlight w:val="none"/>
          <w:lang w:val="en-US" w:eastAsia="zh-CN"/>
        </w:rPr>
        <w:t>5</w:t>
      </w:r>
    </w:p>
    <w:p w14:paraId="5CC46B1B">
      <w:pPr>
        <w:pStyle w:val="17"/>
        <w:keepNext w:val="0"/>
        <w:keepLines w:val="0"/>
        <w:pageBreakBefore w:val="0"/>
        <w:widowControl w:val="0"/>
        <w:tabs>
          <w:tab w:val="right" w:leader="dot" w:pos="9040"/>
          <w:tab w:val="clear" w:pos="8296"/>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rPr>
        <w:t>一、收入支出决算总体情况说明</w:t>
      </w:r>
      <w:r>
        <w:rPr>
          <w:rFonts w:hint="eastAsia" w:eastAsia="仿宋" w:cs="Times New Roman"/>
          <w:color w:val="auto"/>
          <w:sz w:val="32"/>
          <w:szCs w:val="32"/>
          <w:highlight w:val="none"/>
          <w:lang w:val="en-US" w:eastAsia="zh-CN"/>
        </w:rPr>
        <w:tab/>
      </w:r>
      <w:r>
        <w:rPr>
          <w:rFonts w:hint="eastAsia" w:eastAsia="仿宋" w:cs="Times New Roman"/>
          <w:color w:val="auto"/>
          <w:sz w:val="32"/>
          <w:szCs w:val="32"/>
          <w:highlight w:val="none"/>
          <w:lang w:val="en-US" w:eastAsia="zh-CN"/>
        </w:rPr>
        <w:t>5</w:t>
      </w:r>
    </w:p>
    <w:p w14:paraId="4D173B4E">
      <w:pPr>
        <w:pStyle w:val="17"/>
        <w:keepNext w:val="0"/>
        <w:keepLines w:val="0"/>
        <w:pageBreakBefore w:val="0"/>
        <w:widowControl w:val="0"/>
        <w:tabs>
          <w:tab w:val="right" w:leader="dot" w:pos="9040"/>
          <w:tab w:val="clear" w:pos="8296"/>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rPr>
        <w:t>二、收入决算情况说明</w:t>
      </w:r>
      <w:r>
        <w:rPr>
          <w:rFonts w:hint="eastAsia" w:eastAsia="仿宋" w:cs="Times New Roman"/>
          <w:color w:val="auto"/>
          <w:sz w:val="32"/>
          <w:szCs w:val="32"/>
          <w:highlight w:val="none"/>
          <w:lang w:val="en-US" w:eastAsia="zh-CN"/>
        </w:rPr>
        <w:tab/>
      </w:r>
      <w:r>
        <w:rPr>
          <w:rFonts w:hint="eastAsia" w:eastAsia="仿宋" w:cs="Times New Roman"/>
          <w:color w:val="auto"/>
          <w:sz w:val="32"/>
          <w:szCs w:val="32"/>
          <w:highlight w:val="none"/>
          <w:lang w:val="en-US" w:eastAsia="zh-CN"/>
        </w:rPr>
        <w:t>5</w:t>
      </w:r>
    </w:p>
    <w:p w14:paraId="0EEA6669">
      <w:pPr>
        <w:pStyle w:val="17"/>
        <w:keepNext w:val="0"/>
        <w:keepLines w:val="0"/>
        <w:pageBreakBefore w:val="0"/>
        <w:widowControl w:val="0"/>
        <w:tabs>
          <w:tab w:val="right" w:leader="dot" w:pos="9040"/>
          <w:tab w:val="clear" w:pos="8296"/>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rPr>
        <w:t>三、支出决算情况说明</w:t>
      </w:r>
      <w:r>
        <w:rPr>
          <w:rFonts w:hint="eastAsia" w:eastAsia="仿宋" w:cs="Times New Roman"/>
          <w:color w:val="auto"/>
          <w:sz w:val="32"/>
          <w:szCs w:val="32"/>
          <w:highlight w:val="none"/>
          <w:lang w:val="en-US" w:eastAsia="zh-CN"/>
        </w:rPr>
        <w:tab/>
      </w:r>
      <w:r>
        <w:rPr>
          <w:rFonts w:hint="eastAsia" w:eastAsia="仿宋" w:cs="Times New Roman"/>
          <w:color w:val="auto"/>
          <w:sz w:val="32"/>
          <w:szCs w:val="32"/>
          <w:highlight w:val="none"/>
          <w:lang w:val="en-US" w:eastAsia="zh-CN"/>
        </w:rPr>
        <w:t>6</w:t>
      </w:r>
    </w:p>
    <w:p w14:paraId="6D56DB7F">
      <w:pPr>
        <w:pStyle w:val="17"/>
        <w:keepNext w:val="0"/>
        <w:keepLines w:val="0"/>
        <w:pageBreakBefore w:val="0"/>
        <w:widowControl w:val="0"/>
        <w:tabs>
          <w:tab w:val="right" w:leader="dot" w:pos="9040"/>
          <w:tab w:val="clear" w:pos="8296"/>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rPr>
        <w:t>四、财政拨款收入支出决算总体情况说明</w:t>
      </w:r>
      <w:r>
        <w:rPr>
          <w:rFonts w:hint="eastAsia" w:eastAsia="仿宋" w:cs="Times New Roman"/>
          <w:color w:val="auto"/>
          <w:sz w:val="32"/>
          <w:szCs w:val="32"/>
          <w:highlight w:val="none"/>
          <w:lang w:val="en-US" w:eastAsia="zh-CN"/>
        </w:rPr>
        <w:tab/>
      </w:r>
      <w:r>
        <w:rPr>
          <w:rFonts w:hint="eastAsia" w:eastAsia="仿宋" w:cs="Times New Roman"/>
          <w:color w:val="auto"/>
          <w:sz w:val="32"/>
          <w:szCs w:val="32"/>
          <w:highlight w:val="none"/>
          <w:lang w:val="en-US" w:eastAsia="zh-CN"/>
        </w:rPr>
        <w:t>6</w:t>
      </w:r>
    </w:p>
    <w:p w14:paraId="560451D1">
      <w:pPr>
        <w:pStyle w:val="17"/>
        <w:keepNext w:val="0"/>
        <w:keepLines w:val="0"/>
        <w:pageBreakBefore w:val="0"/>
        <w:widowControl w:val="0"/>
        <w:tabs>
          <w:tab w:val="right" w:leader="dot" w:pos="9040"/>
          <w:tab w:val="clear" w:pos="8296"/>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rPr>
        <w:t>五、一般公共预算财政拨款支出决算情况说明</w:t>
      </w:r>
      <w:r>
        <w:rPr>
          <w:rFonts w:hint="eastAsia" w:eastAsia="仿宋" w:cs="Times New Roman"/>
          <w:color w:val="auto"/>
          <w:sz w:val="32"/>
          <w:szCs w:val="32"/>
          <w:highlight w:val="none"/>
          <w:lang w:val="en-US" w:eastAsia="zh-CN"/>
        </w:rPr>
        <w:tab/>
      </w:r>
      <w:r>
        <w:rPr>
          <w:rFonts w:hint="eastAsia" w:eastAsia="仿宋" w:cs="Times New Roman"/>
          <w:color w:val="auto"/>
          <w:sz w:val="32"/>
          <w:szCs w:val="32"/>
          <w:highlight w:val="none"/>
          <w:lang w:val="en-US" w:eastAsia="zh-CN"/>
        </w:rPr>
        <w:t>7</w:t>
      </w:r>
    </w:p>
    <w:p w14:paraId="1218A42B">
      <w:pPr>
        <w:pStyle w:val="17"/>
        <w:keepNext w:val="0"/>
        <w:keepLines w:val="0"/>
        <w:pageBreakBefore w:val="0"/>
        <w:widowControl w:val="0"/>
        <w:tabs>
          <w:tab w:val="right" w:leader="dot" w:pos="9040"/>
          <w:tab w:val="clear" w:pos="8296"/>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rPr>
        <w:t>六、一般公共预算财政拨款基本支出决算情况说明</w:t>
      </w:r>
      <w:r>
        <w:rPr>
          <w:rFonts w:hint="eastAsia" w:eastAsia="仿宋" w:cs="Times New Roman"/>
          <w:color w:val="auto"/>
          <w:sz w:val="32"/>
          <w:szCs w:val="32"/>
          <w:highlight w:val="none"/>
          <w:lang w:val="en-US" w:eastAsia="zh-CN"/>
        </w:rPr>
        <w:tab/>
      </w:r>
      <w:r>
        <w:rPr>
          <w:rFonts w:hint="eastAsia" w:eastAsia="仿宋" w:cs="Times New Roman"/>
          <w:color w:val="auto"/>
          <w:sz w:val="32"/>
          <w:szCs w:val="32"/>
          <w:highlight w:val="none"/>
          <w:lang w:val="en-US" w:eastAsia="zh-CN"/>
        </w:rPr>
        <w:t>10</w:t>
      </w:r>
    </w:p>
    <w:p w14:paraId="612FF7F2">
      <w:pPr>
        <w:pStyle w:val="17"/>
        <w:keepNext w:val="0"/>
        <w:keepLines w:val="0"/>
        <w:pageBreakBefore w:val="0"/>
        <w:widowControl w:val="0"/>
        <w:tabs>
          <w:tab w:val="right" w:leader="dot" w:pos="9040"/>
          <w:tab w:val="clear" w:pos="8296"/>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rPr>
        <w:t>七、财政拨款</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三公”经费支出决算情况说明</w:t>
      </w:r>
      <w:r>
        <w:rPr>
          <w:rFonts w:hint="eastAsia" w:eastAsia="仿宋" w:cs="Times New Roman"/>
          <w:color w:val="auto"/>
          <w:sz w:val="32"/>
          <w:szCs w:val="32"/>
          <w:highlight w:val="none"/>
          <w:lang w:val="en-US" w:eastAsia="zh-CN"/>
        </w:rPr>
        <w:tab/>
      </w:r>
      <w:r>
        <w:rPr>
          <w:rFonts w:hint="eastAsia" w:eastAsia="仿宋" w:cs="Times New Roman"/>
          <w:color w:val="auto"/>
          <w:sz w:val="32"/>
          <w:szCs w:val="32"/>
          <w:highlight w:val="none"/>
          <w:lang w:val="en-US" w:eastAsia="zh-CN"/>
        </w:rPr>
        <w:t>11</w:t>
      </w:r>
    </w:p>
    <w:p w14:paraId="0B359A45">
      <w:pPr>
        <w:pStyle w:val="17"/>
        <w:keepNext w:val="0"/>
        <w:keepLines w:val="0"/>
        <w:pageBreakBefore w:val="0"/>
        <w:widowControl w:val="0"/>
        <w:tabs>
          <w:tab w:val="right" w:leader="dot" w:pos="9040"/>
          <w:tab w:val="clear" w:pos="8296"/>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rPr>
        <w:t>八、政府性基金预算支出决算情况说明</w:t>
      </w:r>
      <w:r>
        <w:rPr>
          <w:rFonts w:hint="eastAsia" w:eastAsia="仿宋" w:cs="Times New Roman"/>
          <w:color w:val="auto"/>
          <w:sz w:val="32"/>
          <w:szCs w:val="32"/>
          <w:highlight w:val="none"/>
          <w:lang w:val="en-US" w:eastAsia="zh-CN"/>
        </w:rPr>
        <w:tab/>
      </w:r>
      <w:r>
        <w:rPr>
          <w:rFonts w:hint="eastAsia" w:eastAsia="仿宋" w:cs="Times New Roman"/>
          <w:color w:val="auto"/>
          <w:sz w:val="32"/>
          <w:szCs w:val="32"/>
          <w:highlight w:val="none"/>
          <w:lang w:val="en-US" w:eastAsia="zh-CN"/>
        </w:rPr>
        <w:t>12</w:t>
      </w:r>
    </w:p>
    <w:p w14:paraId="6C7BB8E6">
      <w:pPr>
        <w:pStyle w:val="17"/>
        <w:keepNext w:val="0"/>
        <w:keepLines w:val="0"/>
        <w:pageBreakBefore w:val="0"/>
        <w:widowControl w:val="0"/>
        <w:tabs>
          <w:tab w:val="right" w:leader="dot" w:pos="9040"/>
          <w:tab w:val="clear" w:pos="8296"/>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rPr>
        <w:t>九、</w:t>
      </w:r>
      <w:r>
        <w:rPr>
          <w:rFonts w:hint="default" w:ascii="Times New Roman" w:hAnsi="Times New Roman" w:eastAsia="仿宋" w:cs="Times New Roman"/>
          <w:color w:val="auto"/>
          <w:sz w:val="32"/>
          <w:szCs w:val="32"/>
          <w:highlight w:val="none"/>
          <w:lang w:eastAsia="zh-CN"/>
        </w:rPr>
        <w:t>国</w:t>
      </w:r>
      <w:r>
        <w:rPr>
          <w:rFonts w:hint="default" w:ascii="Times New Roman" w:hAnsi="Times New Roman" w:eastAsia="仿宋" w:cs="Times New Roman"/>
          <w:color w:val="auto"/>
          <w:sz w:val="32"/>
          <w:szCs w:val="32"/>
          <w:highlight w:val="none"/>
        </w:rPr>
        <w:t>有资本经营预算支出决算情况说明</w:t>
      </w:r>
      <w:r>
        <w:rPr>
          <w:rFonts w:hint="eastAsia" w:eastAsia="仿宋" w:cs="Times New Roman"/>
          <w:color w:val="auto"/>
          <w:sz w:val="32"/>
          <w:szCs w:val="32"/>
          <w:highlight w:val="none"/>
          <w:lang w:val="en-US" w:eastAsia="zh-CN"/>
        </w:rPr>
        <w:tab/>
      </w:r>
      <w:r>
        <w:rPr>
          <w:rFonts w:hint="eastAsia" w:eastAsia="仿宋" w:cs="Times New Roman"/>
          <w:color w:val="auto"/>
          <w:sz w:val="32"/>
          <w:szCs w:val="32"/>
          <w:highlight w:val="none"/>
          <w:lang w:val="en-US" w:eastAsia="zh-CN"/>
        </w:rPr>
        <w:t>12</w:t>
      </w:r>
    </w:p>
    <w:p w14:paraId="5D3237CB">
      <w:pPr>
        <w:keepNext w:val="0"/>
        <w:keepLines w:val="0"/>
        <w:pageBreakBefore w:val="0"/>
        <w:widowControl w:val="0"/>
        <w:tabs>
          <w:tab w:val="right" w:leader="dot" w:pos="9040"/>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Times New Roman"/>
          <w:color w:val="auto"/>
          <w:kern w:val="2"/>
          <w:sz w:val="32"/>
          <w:szCs w:val="32"/>
          <w:highlight w:val="none"/>
          <w:lang w:val="en-US" w:eastAsia="zh-CN" w:bidi="ar-SA"/>
        </w:rPr>
      </w:pPr>
      <w:r>
        <w:rPr>
          <w:rStyle w:val="25"/>
          <w:rFonts w:hint="default" w:ascii="Times New Roman" w:hAnsi="Times New Roman" w:eastAsia="仿宋" w:cs="Times New Roman"/>
          <w:color w:val="auto"/>
          <w:sz w:val="32"/>
          <w:szCs w:val="32"/>
          <w:highlight w:val="none"/>
          <w:u w:val="none"/>
          <w:lang w:eastAsia="zh-CN"/>
        </w:rPr>
        <w:t>十</w:t>
      </w:r>
      <w:r>
        <w:rPr>
          <w:rStyle w:val="25"/>
          <w:rFonts w:hint="default" w:ascii="Times New Roman" w:hAnsi="Times New Roman" w:eastAsia="仿宋" w:cs="Times New Roman"/>
          <w:color w:val="auto"/>
          <w:sz w:val="32"/>
          <w:szCs w:val="32"/>
          <w:highlight w:val="none"/>
          <w:u w:val="none"/>
        </w:rPr>
        <w:t>、</w:t>
      </w:r>
      <w:r>
        <w:rPr>
          <w:rFonts w:hint="default" w:ascii="Times New Roman" w:hAnsi="Times New Roman" w:eastAsia="仿宋" w:cs="Times New Roman"/>
          <w:color w:val="auto"/>
          <w:sz w:val="32"/>
          <w:szCs w:val="32"/>
          <w:highlight w:val="none"/>
        </w:rPr>
        <w:t>其他重要事项的情况说明</w:t>
      </w:r>
      <w:r>
        <w:rPr>
          <w:rFonts w:hint="eastAsia" w:eastAsia="仿宋" w:cs="Times New Roman"/>
          <w:color w:val="auto"/>
          <w:sz w:val="32"/>
          <w:szCs w:val="32"/>
          <w:highlight w:val="none"/>
          <w:lang w:val="en-US" w:eastAsia="zh-CN"/>
        </w:rPr>
        <w:tab/>
      </w:r>
      <w:r>
        <w:rPr>
          <w:rFonts w:hint="eastAsia" w:eastAsia="仿宋" w:cs="Times New Roman"/>
          <w:color w:val="auto"/>
          <w:sz w:val="32"/>
          <w:szCs w:val="32"/>
          <w:highlight w:val="none"/>
          <w:lang w:val="en-US" w:eastAsia="zh-CN"/>
        </w:rPr>
        <w:t>12</w:t>
      </w:r>
    </w:p>
    <w:p w14:paraId="34CE143F">
      <w:pPr>
        <w:keepNext w:val="0"/>
        <w:keepLines w:val="0"/>
        <w:pageBreakBefore w:val="0"/>
        <w:widowControl w:val="0"/>
        <w:tabs>
          <w:tab w:val="right" w:leader="dot" w:pos="9040"/>
        </w:tabs>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第三部分 名词解释</w:t>
      </w:r>
      <w:r>
        <w:rPr>
          <w:rFonts w:hint="eastAsia" w:eastAsia="黑体" w:cs="Times New Roman"/>
          <w:color w:val="auto"/>
          <w:sz w:val="32"/>
          <w:szCs w:val="32"/>
          <w:highlight w:val="none"/>
          <w:lang w:val="en-US" w:eastAsia="zh-CN"/>
        </w:rPr>
        <w:tab/>
      </w:r>
      <w:r>
        <w:rPr>
          <w:rFonts w:hint="eastAsia" w:eastAsia="黑体" w:cs="Times New Roman"/>
          <w:color w:val="auto"/>
          <w:sz w:val="32"/>
          <w:szCs w:val="32"/>
          <w:highlight w:val="none"/>
          <w:lang w:val="en-US" w:eastAsia="zh-CN"/>
        </w:rPr>
        <w:t>16</w:t>
      </w:r>
    </w:p>
    <w:p w14:paraId="564A92F2">
      <w:pPr>
        <w:pStyle w:val="16"/>
        <w:keepNext w:val="0"/>
        <w:keepLines w:val="0"/>
        <w:pageBreakBefore w:val="0"/>
        <w:widowControl w:val="0"/>
        <w:tabs>
          <w:tab w:val="right" w:leader="dot" w:pos="9040"/>
          <w:tab w:val="clear" w:pos="8296"/>
        </w:tabs>
        <w:kinsoku/>
        <w:wordWrap/>
        <w:overflowPunct/>
        <w:topLinePunct w:val="0"/>
        <w:autoSpaceDE/>
        <w:autoSpaceDN/>
        <w:bidi w:val="0"/>
        <w:adjustRightInd w:val="0"/>
        <w:snapToGrid w:val="0"/>
        <w:spacing w:before="0" w:line="600" w:lineRule="exact"/>
        <w:jc w:val="both"/>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黑体" w:cs="Times New Roman"/>
          <w:color w:val="auto"/>
          <w:sz w:val="32"/>
          <w:szCs w:val="32"/>
          <w:highlight w:val="none"/>
        </w:rPr>
        <w:t>第四部分 附件</w:t>
      </w:r>
      <w:r>
        <w:rPr>
          <w:rFonts w:hint="eastAsia" w:ascii="Times New Roman" w:hAnsi="Times New Roman" w:eastAsia="黑体"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19</w:t>
      </w:r>
    </w:p>
    <w:p w14:paraId="089C7BCD">
      <w:pPr>
        <w:pStyle w:val="16"/>
        <w:keepNext w:val="0"/>
        <w:keepLines w:val="0"/>
        <w:pageBreakBefore w:val="0"/>
        <w:widowControl w:val="0"/>
        <w:tabs>
          <w:tab w:val="right" w:leader="dot" w:pos="9040"/>
          <w:tab w:val="clear" w:pos="8296"/>
        </w:tabs>
        <w:kinsoku/>
        <w:wordWrap/>
        <w:overflowPunct/>
        <w:topLinePunct w:val="0"/>
        <w:autoSpaceDE/>
        <w:autoSpaceDN/>
        <w:bidi w:val="0"/>
        <w:adjustRightInd w:val="0"/>
        <w:snapToGrid w:val="0"/>
        <w:spacing w:before="0" w:line="600" w:lineRule="exact"/>
        <w:jc w:val="both"/>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黑体" w:cs="Times New Roman"/>
          <w:color w:val="auto"/>
          <w:sz w:val="32"/>
          <w:szCs w:val="32"/>
          <w:highlight w:val="none"/>
        </w:rPr>
        <w:t>第五部分 附表</w:t>
      </w:r>
      <w:r>
        <w:rPr>
          <w:rFonts w:hint="eastAsia" w:ascii="Times New Roman" w:hAnsi="Times New Roman" w:eastAsia="黑体"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108</w:t>
      </w:r>
    </w:p>
    <w:p w14:paraId="5DEFE3E6">
      <w:pPr>
        <w:pStyle w:val="17"/>
        <w:keepNext w:val="0"/>
        <w:keepLines w:val="0"/>
        <w:pageBreakBefore w:val="0"/>
        <w:widowControl w:val="0"/>
        <w:tabs>
          <w:tab w:val="right" w:leader="dot" w:pos="9040"/>
          <w:tab w:val="clear" w:pos="8296"/>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rPr>
        <w:t>一、收入支出决算总表</w:t>
      </w:r>
      <w:r>
        <w:rPr>
          <w:rFonts w:hint="eastAsia" w:eastAsia="仿宋"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10</w:t>
      </w:r>
      <w:r>
        <w:rPr>
          <w:rFonts w:hint="eastAsia" w:eastAsia="黑体" w:cs="Times New Roman"/>
          <w:color w:val="auto"/>
          <w:sz w:val="32"/>
          <w:szCs w:val="32"/>
          <w:highlight w:val="none"/>
          <w:lang w:val="en-US" w:eastAsia="zh-CN"/>
        </w:rPr>
        <w:t>8</w:t>
      </w:r>
    </w:p>
    <w:p w14:paraId="4A76132D">
      <w:pPr>
        <w:pStyle w:val="17"/>
        <w:keepNext w:val="0"/>
        <w:keepLines w:val="0"/>
        <w:pageBreakBefore w:val="0"/>
        <w:widowControl w:val="0"/>
        <w:tabs>
          <w:tab w:val="right" w:leader="dot" w:pos="9040"/>
          <w:tab w:val="clear" w:pos="8296"/>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二、收入决算表</w:t>
      </w:r>
      <w:r>
        <w:rPr>
          <w:rFonts w:hint="eastAsia" w:eastAsia="仿宋"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10</w:t>
      </w:r>
      <w:r>
        <w:rPr>
          <w:rFonts w:hint="eastAsia" w:eastAsia="黑体" w:cs="Times New Roman"/>
          <w:color w:val="auto"/>
          <w:sz w:val="32"/>
          <w:szCs w:val="32"/>
          <w:highlight w:val="none"/>
          <w:lang w:val="en-US" w:eastAsia="zh-CN"/>
        </w:rPr>
        <w:t>8</w:t>
      </w:r>
    </w:p>
    <w:p w14:paraId="64945215">
      <w:pPr>
        <w:pStyle w:val="17"/>
        <w:keepNext w:val="0"/>
        <w:keepLines w:val="0"/>
        <w:pageBreakBefore w:val="0"/>
        <w:widowControl w:val="0"/>
        <w:tabs>
          <w:tab w:val="right" w:leader="dot" w:pos="9040"/>
          <w:tab w:val="clear" w:pos="8296"/>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rPr>
        <w:t>三、支出决算表</w:t>
      </w:r>
      <w:r>
        <w:rPr>
          <w:rFonts w:hint="eastAsia" w:eastAsia="仿宋"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10</w:t>
      </w:r>
      <w:r>
        <w:rPr>
          <w:rFonts w:hint="eastAsia" w:eastAsia="黑体" w:cs="Times New Roman"/>
          <w:color w:val="auto"/>
          <w:sz w:val="32"/>
          <w:szCs w:val="32"/>
          <w:highlight w:val="none"/>
          <w:lang w:val="en-US" w:eastAsia="zh-CN"/>
        </w:rPr>
        <w:t>8</w:t>
      </w:r>
    </w:p>
    <w:p w14:paraId="72D84D4F">
      <w:pPr>
        <w:pStyle w:val="17"/>
        <w:keepNext w:val="0"/>
        <w:keepLines w:val="0"/>
        <w:pageBreakBefore w:val="0"/>
        <w:widowControl w:val="0"/>
        <w:tabs>
          <w:tab w:val="right" w:leader="dot" w:pos="9040"/>
          <w:tab w:val="clear" w:pos="8296"/>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rPr>
        <w:t>四、财政拨款收入支出决算总表</w:t>
      </w:r>
      <w:r>
        <w:rPr>
          <w:rFonts w:hint="eastAsia" w:eastAsia="仿宋"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10</w:t>
      </w:r>
      <w:r>
        <w:rPr>
          <w:rFonts w:hint="eastAsia" w:eastAsia="黑体" w:cs="Times New Roman"/>
          <w:color w:val="auto"/>
          <w:sz w:val="32"/>
          <w:szCs w:val="32"/>
          <w:highlight w:val="none"/>
          <w:lang w:val="en-US" w:eastAsia="zh-CN"/>
        </w:rPr>
        <w:t>8</w:t>
      </w:r>
    </w:p>
    <w:p w14:paraId="5200F0B1">
      <w:pPr>
        <w:pStyle w:val="17"/>
        <w:keepNext w:val="0"/>
        <w:keepLines w:val="0"/>
        <w:pageBreakBefore w:val="0"/>
        <w:widowControl w:val="0"/>
        <w:tabs>
          <w:tab w:val="right" w:leader="dot" w:pos="9040"/>
          <w:tab w:val="clear" w:pos="8296"/>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rPr>
        <w:t>五、财政拨款支出决算明细表</w:t>
      </w:r>
      <w:r>
        <w:rPr>
          <w:rFonts w:hint="eastAsia" w:eastAsia="仿宋"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10</w:t>
      </w:r>
      <w:r>
        <w:rPr>
          <w:rFonts w:hint="eastAsia" w:eastAsia="黑体" w:cs="Times New Roman"/>
          <w:color w:val="auto"/>
          <w:sz w:val="32"/>
          <w:szCs w:val="32"/>
          <w:highlight w:val="none"/>
          <w:lang w:val="en-US" w:eastAsia="zh-CN"/>
        </w:rPr>
        <w:t>8</w:t>
      </w:r>
    </w:p>
    <w:p w14:paraId="0ECAE97D">
      <w:pPr>
        <w:pStyle w:val="17"/>
        <w:keepNext w:val="0"/>
        <w:keepLines w:val="0"/>
        <w:pageBreakBefore w:val="0"/>
        <w:widowControl w:val="0"/>
        <w:tabs>
          <w:tab w:val="right" w:leader="dot" w:pos="9040"/>
          <w:tab w:val="clear" w:pos="8296"/>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rPr>
        <w:t>六、一般公共预算财政拨款支出决算表</w:t>
      </w:r>
      <w:r>
        <w:rPr>
          <w:rFonts w:hint="eastAsia" w:eastAsia="仿宋"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10</w:t>
      </w:r>
      <w:r>
        <w:rPr>
          <w:rFonts w:hint="eastAsia" w:eastAsia="黑体" w:cs="Times New Roman"/>
          <w:color w:val="auto"/>
          <w:sz w:val="32"/>
          <w:szCs w:val="32"/>
          <w:highlight w:val="none"/>
          <w:lang w:val="en-US" w:eastAsia="zh-CN"/>
        </w:rPr>
        <w:t>8</w:t>
      </w:r>
    </w:p>
    <w:p w14:paraId="415634C7">
      <w:pPr>
        <w:pStyle w:val="17"/>
        <w:keepNext w:val="0"/>
        <w:keepLines w:val="0"/>
        <w:pageBreakBefore w:val="0"/>
        <w:widowControl w:val="0"/>
        <w:tabs>
          <w:tab w:val="right" w:leader="dot" w:pos="9040"/>
          <w:tab w:val="clear" w:pos="8296"/>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rPr>
        <w:t>七、一般公共预算财政拨款支出决算明细表</w:t>
      </w:r>
      <w:r>
        <w:rPr>
          <w:rFonts w:hint="eastAsia" w:eastAsia="仿宋"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10</w:t>
      </w:r>
      <w:r>
        <w:rPr>
          <w:rFonts w:hint="eastAsia" w:eastAsia="黑体" w:cs="Times New Roman"/>
          <w:color w:val="auto"/>
          <w:sz w:val="32"/>
          <w:szCs w:val="32"/>
          <w:highlight w:val="none"/>
          <w:lang w:val="en-US" w:eastAsia="zh-CN"/>
        </w:rPr>
        <w:t>8</w:t>
      </w:r>
    </w:p>
    <w:p w14:paraId="1996B4E3">
      <w:pPr>
        <w:pStyle w:val="17"/>
        <w:keepNext w:val="0"/>
        <w:keepLines w:val="0"/>
        <w:pageBreakBefore w:val="0"/>
        <w:widowControl w:val="0"/>
        <w:tabs>
          <w:tab w:val="right" w:leader="dot" w:pos="9040"/>
          <w:tab w:val="clear" w:pos="8296"/>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rPr>
        <w:t>八、一般公共预算财政拨款基本支出决算</w:t>
      </w:r>
      <w:r>
        <w:rPr>
          <w:rFonts w:hint="default" w:ascii="Times New Roman" w:hAnsi="Times New Roman" w:eastAsia="仿宋" w:cs="Times New Roman"/>
          <w:color w:val="auto"/>
          <w:sz w:val="32"/>
          <w:szCs w:val="32"/>
          <w:highlight w:val="none"/>
          <w:lang w:eastAsia="zh-CN"/>
        </w:rPr>
        <w:t>明细</w:t>
      </w:r>
      <w:r>
        <w:rPr>
          <w:rFonts w:hint="default" w:ascii="Times New Roman" w:hAnsi="Times New Roman" w:eastAsia="仿宋" w:cs="Times New Roman"/>
          <w:color w:val="auto"/>
          <w:sz w:val="32"/>
          <w:szCs w:val="32"/>
          <w:highlight w:val="none"/>
        </w:rPr>
        <w:t>表</w:t>
      </w:r>
      <w:r>
        <w:rPr>
          <w:rFonts w:hint="eastAsia" w:eastAsia="仿宋"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10</w:t>
      </w:r>
      <w:r>
        <w:rPr>
          <w:rFonts w:hint="eastAsia" w:eastAsia="黑体" w:cs="Times New Roman"/>
          <w:color w:val="auto"/>
          <w:sz w:val="32"/>
          <w:szCs w:val="32"/>
          <w:highlight w:val="none"/>
          <w:lang w:val="en-US" w:eastAsia="zh-CN"/>
        </w:rPr>
        <w:t>8</w:t>
      </w:r>
    </w:p>
    <w:p w14:paraId="04FED0C4">
      <w:pPr>
        <w:pStyle w:val="17"/>
        <w:keepNext w:val="0"/>
        <w:keepLines w:val="0"/>
        <w:pageBreakBefore w:val="0"/>
        <w:widowControl w:val="0"/>
        <w:tabs>
          <w:tab w:val="right" w:leader="dot" w:pos="9040"/>
          <w:tab w:val="clear" w:pos="8296"/>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rPr>
        <w:t>九、一般公共预算财政拨款项目支出决算表</w:t>
      </w:r>
      <w:r>
        <w:rPr>
          <w:rFonts w:hint="eastAsia" w:eastAsia="仿宋"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10</w:t>
      </w:r>
      <w:r>
        <w:rPr>
          <w:rFonts w:hint="eastAsia" w:eastAsia="黑体" w:cs="Times New Roman"/>
          <w:color w:val="auto"/>
          <w:sz w:val="32"/>
          <w:szCs w:val="32"/>
          <w:highlight w:val="none"/>
          <w:lang w:val="en-US" w:eastAsia="zh-CN"/>
        </w:rPr>
        <w:t>8</w:t>
      </w:r>
    </w:p>
    <w:p w14:paraId="101E4AD2">
      <w:pPr>
        <w:pStyle w:val="17"/>
        <w:keepNext w:val="0"/>
        <w:keepLines w:val="0"/>
        <w:pageBreakBefore w:val="0"/>
        <w:widowControl w:val="0"/>
        <w:tabs>
          <w:tab w:val="right" w:leader="dot" w:pos="9040"/>
          <w:tab w:val="clear" w:pos="8296"/>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rPr>
        <w:t>十、政府性基金预算财政拨款收入支出决算表</w:t>
      </w:r>
      <w:r>
        <w:rPr>
          <w:rFonts w:hint="eastAsia" w:eastAsia="仿宋"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10</w:t>
      </w:r>
      <w:r>
        <w:rPr>
          <w:rFonts w:hint="eastAsia" w:eastAsia="黑体" w:cs="Times New Roman"/>
          <w:color w:val="auto"/>
          <w:sz w:val="32"/>
          <w:szCs w:val="32"/>
          <w:highlight w:val="none"/>
          <w:lang w:val="en-US" w:eastAsia="zh-CN"/>
        </w:rPr>
        <w:t>8</w:t>
      </w:r>
    </w:p>
    <w:p w14:paraId="73A33915">
      <w:pPr>
        <w:pStyle w:val="17"/>
        <w:keepNext w:val="0"/>
        <w:keepLines w:val="0"/>
        <w:pageBreakBefore w:val="0"/>
        <w:widowControl w:val="0"/>
        <w:tabs>
          <w:tab w:val="right" w:leader="dot" w:pos="9040"/>
          <w:tab w:val="clear" w:pos="8296"/>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rPr>
        <w:t>十一、国有资本经营预算财政拨款收入支出决算表</w:t>
      </w:r>
      <w:r>
        <w:rPr>
          <w:rFonts w:hint="eastAsia" w:eastAsia="仿宋"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10</w:t>
      </w:r>
      <w:r>
        <w:rPr>
          <w:rFonts w:hint="eastAsia" w:eastAsia="黑体" w:cs="Times New Roman"/>
          <w:color w:val="auto"/>
          <w:sz w:val="32"/>
          <w:szCs w:val="32"/>
          <w:highlight w:val="none"/>
          <w:lang w:val="en-US" w:eastAsia="zh-CN"/>
        </w:rPr>
        <w:t>8</w:t>
      </w:r>
    </w:p>
    <w:p w14:paraId="0AE7E630">
      <w:pPr>
        <w:pStyle w:val="17"/>
        <w:keepNext w:val="0"/>
        <w:keepLines w:val="0"/>
        <w:pageBreakBefore w:val="0"/>
        <w:widowControl w:val="0"/>
        <w:tabs>
          <w:tab w:val="right" w:leader="dot" w:pos="9040"/>
          <w:tab w:val="clear" w:pos="8296"/>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Times New Roman"/>
          <w:color w:val="auto"/>
          <w:sz w:val="32"/>
          <w:szCs w:val="32"/>
          <w:highlight w:val="none"/>
          <w:lang w:val="en-US"/>
        </w:rPr>
      </w:pPr>
      <w:r>
        <w:rPr>
          <w:rFonts w:hint="default" w:ascii="Times New Roman" w:hAnsi="Times New Roman" w:eastAsia="仿宋" w:cs="Times New Roman"/>
          <w:color w:val="auto"/>
          <w:sz w:val="32"/>
          <w:szCs w:val="32"/>
          <w:highlight w:val="none"/>
        </w:rPr>
        <w:t>十二、</w:t>
      </w:r>
      <w:r>
        <w:rPr>
          <w:rFonts w:hint="default" w:ascii="Times New Roman" w:hAnsi="Times New Roman" w:eastAsia="仿宋" w:cs="Times New Roman"/>
          <w:color w:val="auto"/>
          <w:sz w:val="32"/>
          <w:szCs w:val="32"/>
          <w:highlight w:val="none"/>
          <w:lang w:val="en-US" w:eastAsia="zh-CN"/>
        </w:rPr>
        <w:t>国有资本经营预算财政拨款支出决算表</w:t>
      </w:r>
      <w:r>
        <w:rPr>
          <w:rFonts w:hint="eastAsia" w:eastAsia="仿宋"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10</w:t>
      </w:r>
      <w:r>
        <w:rPr>
          <w:rFonts w:hint="eastAsia" w:eastAsia="黑体" w:cs="Times New Roman"/>
          <w:color w:val="auto"/>
          <w:sz w:val="32"/>
          <w:szCs w:val="32"/>
          <w:highlight w:val="none"/>
          <w:lang w:val="en-US" w:eastAsia="zh-CN"/>
        </w:rPr>
        <w:t>8</w:t>
      </w:r>
    </w:p>
    <w:p w14:paraId="0E1C77E6">
      <w:pPr>
        <w:pStyle w:val="17"/>
        <w:keepNext w:val="0"/>
        <w:keepLines w:val="0"/>
        <w:pageBreakBefore w:val="0"/>
        <w:widowControl w:val="0"/>
        <w:tabs>
          <w:tab w:val="right" w:leader="dot" w:pos="9040"/>
          <w:tab w:val="clear" w:pos="8296"/>
        </w:tabs>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十三、财政拨款“三公”经费支出决算表</w:t>
      </w:r>
      <w:r>
        <w:rPr>
          <w:rFonts w:hint="eastAsia" w:eastAsia="仿宋" w:cs="Times New Roman"/>
          <w:color w:val="auto"/>
          <w:sz w:val="32"/>
          <w:szCs w:val="32"/>
          <w:highlight w:val="none"/>
          <w:lang w:val="en-US" w:eastAsia="zh-CN"/>
        </w:rPr>
        <w:tab/>
      </w:r>
      <w:r>
        <w:rPr>
          <w:rFonts w:hint="eastAsia" w:ascii="Times New Roman" w:hAnsi="Times New Roman" w:eastAsia="黑体" w:cs="Times New Roman"/>
          <w:color w:val="auto"/>
          <w:sz w:val="32"/>
          <w:szCs w:val="32"/>
          <w:highlight w:val="none"/>
          <w:lang w:val="en-US" w:eastAsia="zh-CN"/>
        </w:rPr>
        <w:t>10</w:t>
      </w:r>
      <w:r>
        <w:rPr>
          <w:rFonts w:hint="eastAsia" w:eastAsia="黑体" w:cs="Times New Roman"/>
          <w:color w:val="auto"/>
          <w:sz w:val="32"/>
          <w:szCs w:val="32"/>
          <w:highlight w:val="none"/>
          <w:lang w:val="en-US" w:eastAsia="zh-CN"/>
        </w:rPr>
        <w:t>8</w:t>
      </w:r>
    </w:p>
    <w:p w14:paraId="4E2F3ABE">
      <w:pPr>
        <w:pStyle w:val="2"/>
        <w:jc w:val="center"/>
        <w:rPr>
          <w:rFonts w:hint="default" w:ascii="Times New Roman" w:hAnsi="Times New Roman" w:eastAsia="黑体" w:cs="Times New Roman"/>
          <w:b w:val="0"/>
          <w:color w:val="auto"/>
          <w:highlight w:val="none"/>
        </w:rPr>
        <w:sectPr>
          <w:footerReference r:id="rId8" w:type="first"/>
          <w:headerReference r:id="rId6" w:type="default"/>
          <w:footerReference r:id="rId7" w:type="default"/>
          <w:pgSz w:w="11906" w:h="16838"/>
          <w:pgMar w:top="1157" w:right="1463" w:bottom="1157" w:left="1463" w:header="851" w:footer="992" w:gutter="0"/>
          <w:pgNumType w:fmt="decimal" w:start="1"/>
          <w:cols w:space="425" w:num="1"/>
          <w:docGrid w:type="lines" w:linePitch="312" w:charSpace="0"/>
        </w:sectPr>
      </w:pPr>
      <w:bookmarkStart w:id="12" w:name="_Toc15396599"/>
      <w:bookmarkStart w:id="13" w:name="_Toc15377196"/>
    </w:p>
    <w:p w14:paraId="234D4B41">
      <w:pPr>
        <w:pStyle w:val="2"/>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b w:val="0"/>
          <w:color w:val="auto"/>
          <w:highlight w:val="none"/>
        </w:rPr>
        <w:t xml:space="preserve">第一部分 </w:t>
      </w:r>
      <w:r>
        <w:rPr>
          <w:rStyle w:val="36"/>
          <w:rFonts w:hint="default" w:ascii="Times New Roman" w:hAnsi="Times New Roman" w:eastAsia="黑体" w:cs="Times New Roman"/>
          <w:b w:val="0"/>
          <w:bCs w:val="0"/>
          <w:color w:val="auto"/>
          <w:highlight w:val="none"/>
        </w:rPr>
        <w:t>部门概况</w:t>
      </w:r>
      <w:bookmarkEnd w:id="12"/>
      <w:bookmarkEnd w:id="13"/>
    </w:p>
    <w:p w14:paraId="42802B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部门职责</w:t>
      </w:r>
    </w:p>
    <w:p w14:paraId="6555855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负责全区市场综合监督管理工作。</w:t>
      </w:r>
      <w:r>
        <w:rPr>
          <w:rFonts w:hint="default" w:ascii="Times New Roman" w:hAnsi="Times New Roman" w:eastAsia="仿宋" w:cs="Times New Roman"/>
          <w:sz w:val="32"/>
          <w:szCs w:val="32"/>
        </w:rPr>
        <w:t>贯彻执行国家、省、市、区有关市场监督管理等方面的法律、法规、规章和方针、政策、规划；对市场监督管理有关地方性法规（草案）、规范性文件和政策、措施提出建议并组织实施。组织实施质量强区、食品（含保健食品、特殊医学用途配方食品和婴幼儿配方乳粉等特殊食品，下同）药品质量安全、特种设备安全、标准化和知识产权战略，拟订并组织实施全区食品安全等规划，规范和维护市场秩序，营造诚实守信、公平竞争的市场环境。</w:t>
      </w:r>
    </w:p>
    <w:p w14:paraId="62AA1369">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 w:cs="Times New Roman"/>
          <w:sz w:val="32"/>
          <w:szCs w:val="32"/>
        </w:rPr>
      </w:pPr>
      <w:r>
        <w:rPr>
          <w:rFonts w:hint="eastAsia" w:ascii="楷体_GB2312" w:hAnsi="楷体_GB2312" w:eastAsia="楷体_GB2312" w:cs="楷体_GB2312"/>
          <w:b/>
          <w:bCs/>
          <w:sz w:val="32"/>
          <w:szCs w:val="32"/>
          <w:lang w:eastAsia="zh-CN"/>
        </w:rPr>
        <w:t>（二）</w:t>
      </w:r>
      <w:r>
        <w:rPr>
          <w:rFonts w:hint="default" w:ascii="楷体_GB2312" w:hAnsi="楷体_GB2312" w:eastAsia="楷体_GB2312" w:cs="楷体_GB2312"/>
          <w:b/>
          <w:bCs/>
          <w:sz w:val="32"/>
          <w:szCs w:val="32"/>
          <w:lang w:eastAsia="zh-CN"/>
        </w:rPr>
        <w:t>负责全区市场主体登记注册。</w:t>
      </w:r>
      <w:r>
        <w:rPr>
          <w:rFonts w:hint="default" w:ascii="Times New Roman" w:hAnsi="Times New Roman" w:eastAsia="仿宋" w:cs="Times New Roman"/>
          <w:sz w:val="32"/>
          <w:szCs w:val="32"/>
        </w:rPr>
        <w:t xml:space="preserve">负责全区各类企业、农民专业合作社和从事经营活动的单位、个体工商户以及外国（地区）企业等市场主体的登记注册和监督管理工作。建立市场主体信息公示和共享机制，依法公示和共享有关信息，加强信用监管，推动市场主体信用体系建设。 </w:t>
      </w:r>
    </w:p>
    <w:p w14:paraId="6206340D">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eastAsia" w:ascii="楷体_GB2312" w:hAnsi="楷体_GB2312" w:eastAsia="楷体_GB2312" w:cs="楷体_GB2312"/>
          <w:b/>
          <w:bCs/>
          <w:sz w:val="32"/>
          <w:szCs w:val="32"/>
          <w:lang w:eastAsia="zh-CN"/>
        </w:rPr>
        <w:t>（三）</w:t>
      </w:r>
      <w:r>
        <w:rPr>
          <w:rFonts w:hint="default" w:ascii="楷体_GB2312" w:hAnsi="楷体_GB2312" w:eastAsia="楷体_GB2312" w:cs="楷体_GB2312"/>
          <w:b/>
          <w:bCs/>
          <w:sz w:val="32"/>
          <w:szCs w:val="32"/>
          <w:lang w:eastAsia="zh-CN"/>
        </w:rPr>
        <w:t>负责组织和指导全区市场监督管理综合执法工作。</w:t>
      </w:r>
      <w:r>
        <w:rPr>
          <w:rFonts w:hint="default" w:ascii="Times New Roman" w:hAnsi="Times New Roman" w:eastAsia="仿宋" w:cs="Times New Roman"/>
          <w:sz w:val="32"/>
          <w:szCs w:val="32"/>
        </w:rPr>
        <w:t>指导全区市场监管综合执法队伍整合和建设，推动实行统一的市场监管。组织指导查处违反市场监管方面相关法律、法规、规章的行为，规范全区市场监督管理行政执法行为。</w:t>
      </w:r>
    </w:p>
    <w:p w14:paraId="09CA1412">
      <w:pPr>
        <w:pStyle w:val="5"/>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eastAsia" w:ascii="楷体_GB2312" w:hAnsi="楷体_GB2312" w:eastAsia="楷体_GB2312" w:cs="楷体_GB2312"/>
          <w:b/>
          <w:bCs/>
          <w:kern w:val="2"/>
          <w:sz w:val="32"/>
          <w:szCs w:val="32"/>
          <w:lang w:val="en-US" w:eastAsia="zh-CN" w:bidi="ar-SA"/>
        </w:rPr>
        <w:t>（四）</w:t>
      </w:r>
      <w:r>
        <w:rPr>
          <w:rFonts w:hint="default" w:ascii="楷体_GB2312" w:hAnsi="楷体_GB2312" w:eastAsia="楷体_GB2312" w:cs="楷体_GB2312"/>
          <w:b/>
          <w:bCs/>
          <w:kern w:val="2"/>
          <w:sz w:val="32"/>
          <w:szCs w:val="32"/>
          <w:lang w:val="en-US" w:eastAsia="zh-CN" w:bidi="ar-SA"/>
        </w:rPr>
        <w:t>负责监督管理全区市场秩序。</w:t>
      </w:r>
      <w:r>
        <w:rPr>
          <w:rFonts w:hint="default" w:ascii="Times New Roman" w:hAnsi="Times New Roman" w:eastAsia="仿宋" w:cs="Times New Roman"/>
          <w:kern w:val="2"/>
          <w:sz w:val="32"/>
          <w:szCs w:val="32"/>
          <w:lang w:val="en-US" w:eastAsia="zh-CN" w:bidi="ar-SA"/>
        </w:rPr>
        <w:t>统筹推进竞争政策实施，指导实施公平竞争审查制度。依法授权对经营者集中行为进行反垄断审查，负责垄断协议、滥用市场支配地位和滥用行政权力排除、限制竞争等反垄断执法工作。依法监督管理市场交易、网络商品交易及有关服务的行为。组织、指导查处价格收费违法违规、不正当竞争、违法直销、传销、侵犯商标专利知识产权和制售假冒伪劣行为。指导广告业发展，监督管理广告活动。组织、指导查处虚假注册、无照生产经营和相关无证生产经营行为。指导区保护消费者权益委员会开展消费维权</w:t>
      </w:r>
      <w:r>
        <w:rPr>
          <w:rFonts w:hint="default" w:ascii="Times New Roman" w:hAnsi="Times New Roman" w:eastAsia="仿宋" w:cs="Times New Roman"/>
          <w:sz w:val="32"/>
          <w:szCs w:val="32"/>
        </w:rPr>
        <w:t>工作。</w:t>
      </w:r>
    </w:p>
    <w:p w14:paraId="1BDCB5DB">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eastAsia" w:ascii="楷体_GB2312" w:hAnsi="楷体_GB2312" w:eastAsia="楷体_GB2312" w:cs="楷体_GB2312"/>
          <w:b/>
          <w:bCs/>
          <w:sz w:val="32"/>
          <w:szCs w:val="32"/>
          <w:lang w:eastAsia="zh-CN"/>
        </w:rPr>
        <w:t>（五）</w:t>
      </w:r>
      <w:r>
        <w:rPr>
          <w:rFonts w:hint="default" w:ascii="楷体_GB2312" w:hAnsi="楷体_GB2312" w:eastAsia="楷体_GB2312" w:cs="楷体_GB2312"/>
          <w:b/>
          <w:bCs/>
          <w:sz w:val="32"/>
          <w:szCs w:val="32"/>
          <w:lang w:eastAsia="zh-CN"/>
        </w:rPr>
        <w:t>负责全区宏观质量管理。</w:t>
      </w:r>
      <w:r>
        <w:rPr>
          <w:rFonts w:hint="default" w:ascii="Times New Roman" w:hAnsi="Times New Roman" w:eastAsia="仿宋" w:cs="Times New Roman"/>
          <w:sz w:val="32"/>
          <w:szCs w:val="32"/>
        </w:rPr>
        <w:t>拟订并组织实施质量发展的制度措施。统筹全区质量基础设施建设与应用。会同有关部门组织实施重大工程设备质量监理制度，组织重大产品质量事故调查，贯彻实施缺陷产品召回制度，监督管理产品防伪工作。</w:t>
      </w:r>
    </w:p>
    <w:p w14:paraId="314CF881">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eastAsia" w:ascii="楷体_GB2312" w:hAnsi="楷体_GB2312" w:eastAsia="楷体_GB2312" w:cs="楷体_GB2312"/>
          <w:b/>
          <w:bCs/>
          <w:sz w:val="32"/>
          <w:szCs w:val="32"/>
          <w:lang w:eastAsia="zh-CN"/>
        </w:rPr>
        <w:t>（六）</w:t>
      </w:r>
      <w:r>
        <w:rPr>
          <w:rFonts w:hint="default" w:ascii="楷体_GB2312" w:hAnsi="楷体_GB2312" w:eastAsia="楷体_GB2312" w:cs="楷体_GB2312"/>
          <w:b/>
          <w:bCs/>
          <w:sz w:val="32"/>
          <w:szCs w:val="32"/>
          <w:lang w:eastAsia="zh-CN"/>
        </w:rPr>
        <w:t>负责全区产品质量安全监督管理。</w:t>
      </w:r>
      <w:r>
        <w:rPr>
          <w:rFonts w:hint="default" w:ascii="Times New Roman" w:hAnsi="Times New Roman" w:eastAsia="仿宋" w:cs="Times New Roman"/>
          <w:sz w:val="32"/>
          <w:szCs w:val="32"/>
        </w:rPr>
        <w:t>负责产品质量监督抽查和风险监控工作，组织实施质量分级制度、质量安全追溯制度。负责工业产品生产管理。负责纤维质量监督工作。</w:t>
      </w:r>
    </w:p>
    <w:p w14:paraId="0635D97C">
      <w:pPr>
        <w:pStyle w:val="5"/>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eastAsia" w:ascii="楷体_GB2312" w:hAnsi="楷体_GB2312" w:eastAsia="楷体_GB2312" w:cs="楷体_GB2312"/>
          <w:b/>
          <w:bCs/>
          <w:kern w:val="2"/>
          <w:sz w:val="32"/>
          <w:szCs w:val="32"/>
          <w:lang w:val="en-US" w:eastAsia="zh-CN" w:bidi="ar-SA"/>
        </w:rPr>
        <w:t>（七）</w:t>
      </w:r>
      <w:r>
        <w:rPr>
          <w:rFonts w:hint="default" w:ascii="楷体_GB2312" w:hAnsi="楷体_GB2312" w:eastAsia="楷体_GB2312" w:cs="楷体_GB2312"/>
          <w:b/>
          <w:bCs/>
          <w:kern w:val="2"/>
          <w:sz w:val="32"/>
          <w:szCs w:val="32"/>
          <w:lang w:val="en-US" w:eastAsia="zh-CN" w:bidi="ar-SA"/>
        </w:rPr>
        <w:t>负责全区特种设备安全监督管理。</w:t>
      </w:r>
      <w:r>
        <w:rPr>
          <w:rFonts w:hint="default" w:ascii="Times New Roman" w:hAnsi="Times New Roman" w:eastAsia="仿宋" w:cs="Times New Roman"/>
          <w:sz w:val="32"/>
          <w:szCs w:val="32"/>
        </w:rPr>
        <w:t>综合管理特种设备安全监察、监督工作，监督检查高耗能特种设备节能标准和锅炉产品环境保护标准的执行情况。</w:t>
      </w:r>
    </w:p>
    <w:p w14:paraId="2950C525">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eastAsia" w:ascii="楷体_GB2312" w:hAnsi="楷体_GB2312" w:eastAsia="楷体_GB2312" w:cs="楷体_GB2312"/>
          <w:b/>
          <w:bCs/>
          <w:sz w:val="32"/>
          <w:szCs w:val="32"/>
          <w:lang w:eastAsia="zh-CN"/>
        </w:rPr>
        <w:t>（八）</w:t>
      </w:r>
      <w:r>
        <w:rPr>
          <w:rFonts w:hint="default" w:ascii="楷体_GB2312" w:hAnsi="楷体_GB2312" w:eastAsia="楷体_GB2312" w:cs="楷体_GB2312"/>
          <w:b/>
          <w:bCs/>
          <w:sz w:val="32"/>
          <w:szCs w:val="32"/>
          <w:lang w:eastAsia="zh-CN"/>
        </w:rPr>
        <w:t>负责全区食品安全监督管理综合协调。</w:t>
      </w:r>
      <w:r>
        <w:rPr>
          <w:rFonts w:hint="default" w:ascii="Times New Roman" w:hAnsi="Times New Roman" w:eastAsia="仿宋" w:cs="Times New Roman"/>
          <w:sz w:val="32"/>
          <w:szCs w:val="32"/>
        </w:rPr>
        <w:t>统筹指导全区食品安全工作。负责食品安全应急体系建设，组织指导一般食品安全事件应急处置和调查处理工作。建立健全食品安全重要信息直报制度。承担区食品安全委员会日常工作。</w:t>
      </w:r>
    </w:p>
    <w:p w14:paraId="2DF9504D">
      <w:pPr>
        <w:pStyle w:val="5"/>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eastAsia" w:ascii="楷体_GB2312" w:hAnsi="楷体_GB2312" w:eastAsia="楷体_GB2312" w:cs="楷体_GB2312"/>
          <w:b/>
          <w:bCs/>
          <w:kern w:val="2"/>
          <w:sz w:val="32"/>
          <w:szCs w:val="32"/>
          <w:lang w:val="en-US" w:eastAsia="zh-CN" w:bidi="ar-SA"/>
        </w:rPr>
        <w:t>（九）</w:t>
      </w:r>
      <w:r>
        <w:rPr>
          <w:rFonts w:hint="default" w:ascii="楷体_GB2312" w:hAnsi="楷体_GB2312" w:eastAsia="楷体_GB2312" w:cs="楷体_GB2312"/>
          <w:b/>
          <w:bCs/>
          <w:kern w:val="2"/>
          <w:sz w:val="32"/>
          <w:szCs w:val="32"/>
          <w:lang w:val="en-US" w:eastAsia="zh-CN" w:bidi="ar-SA"/>
        </w:rPr>
        <w:t>负责全区食品安全监督管理。</w:t>
      </w:r>
      <w:r>
        <w:rPr>
          <w:rFonts w:hint="default" w:ascii="Times New Roman" w:hAnsi="Times New Roman" w:eastAsia="仿宋" w:cs="Times New Roman"/>
          <w:sz w:val="32"/>
          <w:szCs w:val="32"/>
        </w:rPr>
        <w:t>建立覆盖食品生产、流通、消费全过程的监督检查制度和隐患排查治理机制并组织实施，防范区域性、系统性食品安全风险。推动建立食品生产经营者落实主体责任的机制，健全食品安全追溯体系。指导督促食品生产经营企业的安全生产工作，组织开展食品安全监督抽检、风险监测、核查处置和风险预警、风险交流工作。组织实施特殊食品监督管理。</w:t>
      </w:r>
    </w:p>
    <w:p w14:paraId="38CC7387">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eastAsia" w:ascii="楷体_GB2312" w:hAnsi="楷体_GB2312" w:eastAsia="楷体_GB2312" w:cs="楷体_GB2312"/>
          <w:b/>
          <w:bCs/>
          <w:sz w:val="32"/>
          <w:szCs w:val="32"/>
          <w:lang w:eastAsia="zh-CN"/>
        </w:rPr>
        <w:t>（十）</w:t>
      </w:r>
      <w:r>
        <w:rPr>
          <w:rFonts w:hint="default" w:ascii="楷体_GB2312" w:hAnsi="楷体_GB2312" w:eastAsia="楷体_GB2312" w:cs="楷体_GB2312"/>
          <w:b/>
          <w:bCs/>
          <w:sz w:val="32"/>
          <w:szCs w:val="32"/>
          <w:lang w:eastAsia="zh-CN"/>
        </w:rPr>
        <w:t>负责贯彻落实执行国家、省有关药品（含中药、民族药，下同）、医疗器械和化妆品监督管理的方针政策和法律法规。</w:t>
      </w:r>
      <w:r>
        <w:rPr>
          <w:rFonts w:hint="default" w:ascii="Times New Roman" w:hAnsi="Times New Roman" w:eastAsia="仿宋" w:cs="Times New Roman"/>
          <w:sz w:val="32"/>
          <w:szCs w:val="32"/>
        </w:rPr>
        <w:t>监督实施药品、医疗器械、化妆品经营、使用质量管理规范，负责全区药品、医疗器械、化妆品上市后风险管理。依职责组织实施药品、医疗器械和化妆品监督检查，负责药品零售、医疗器械使用环节质量的安全监测、检查和处罚。</w:t>
      </w:r>
    </w:p>
    <w:p w14:paraId="20FFCD29">
      <w:pPr>
        <w:pStyle w:val="5"/>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eastAsia" w:ascii="楷体_GB2312" w:hAnsi="楷体_GB2312" w:eastAsia="楷体_GB2312" w:cs="楷体_GB2312"/>
          <w:b/>
          <w:bCs/>
          <w:kern w:val="2"/>
          <w:sz w:val="32"/>
          <w:szCs w:val="32"/>
          <w:lang w:val="en-US" w:eastAsia="zh-CN" w:bidi="ar-SA"/>
        </w:rPr>
        <w:t>（十一）</w:t>
      </w:r>
      <w:r>
        <w:rPr>
          <w:rFonts w:hint="default" w:ascii="楷体_GB2312" w:hAnsi="楷体_GB2312" w:eastAsia="楷体_GB2312" w:cs="楷体_GB2312"/>
          <w:b/>
          <w:bCs/>
          <w:kern w:val="2"/>
          <w:sz w:val="32"/>
          <w:szCs w:val="32"/>
          <w:lang w:val="en-US" w:eastAsia="zh-CN" w:bidi="ar-SA"/>
        </w:rPr>
        <w:t>负责管理全区计量工作。</w:t>
      </w:r>
      <w:r>
        <w:rPr>
          <w:rFonts w:hint="default" w:ascii="Times New Roman" w:hAnsi="Times New Roman" w:eastAsia="仿宋" w:cs="Times New Roman"/>
          <w:sz w:val="32"/>
          <w:szCs w:val="32"/>
        </w:rPr>
        <w:t>推行法定计量单位、执行国家计量制度，管理计量器具及量值传递和比对工作。规范、监督商品量和市场计量行为。</w:t>
      </w:r>
    </w:p>
    <w:p w14:paraId="4B8D6382">
      <w:pPr>
        <w:pStyle w:val="5"/>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eastAsia" w:ascii="楷体_GB2312" w:hAnsi="楷体_GB2312" w:eastAsia="楷体_GB2312" w:cs="楷体_GB2312"/>
          <w:b/>
          <w:bCs/>
          <w:kern w:val="2"/>
          <w:sz w:val="32"/>
          <w:szCs w:val="32"/>
          <w:lang w:val="en-US" w:eastAsia="zh-CN" w:bidi="ar-SA"/>
        </w:rPr>
        <w:t>（十二）</w:t>
      </w:r>
      <w:r>
        <w:rPr>
          <w:rFonts w:hint="default" w:ascii="楷体_GB2312" w:hAnsi="楷体_GB2312" w:eastAsia="楷体_GB2312" w:cs="楷体_GB2312"/>
          <w:b/>
          <w:bCs/>
          <w:kern w:val="2"/>
          <w:sz w:val="32"/>
          <w:szCs w:val="32"/>
          <w:lang w:val="en-US" w:eastAsia="zh-CN" w:bidi="ar-SA"/>
        </w:rPr>
        <w:t>负责管理标准化工作。</w:t>
      </w:r>
      <w:r>
        <w:rPr>
          <w:rFonts w:hint="default" w:ascii="Times New Roman" w:hAnsi="Times New Roman" w:eastAsia="仿宋" w:cs="Times New Roman"/>
          <w:sz w:val="32"/>
          <w:szCs w:val="32"/>
        </w:rPr>
        <w:t>负责对标准的制定进行指导和监督，组织实施标准并对标准实施情况进行监督检查。管理商品条码工作。</w:t>
      </w:r>
    </w:p>
    <w:p w14:paraId="276C88F7">
      <w:pPr>
        <w:pStyle w:val="5"/>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eastAsia" w:ascii="楷体_GB2312" w:hAnsi="楷体_GB2312" w:eastAsia="楷体_GB2312" w:cs="楷体_GB2312"/>
          <w:b/>
          <w:bCs/>
          <w:kern w:val="2"/>
          <w:sz w:val="32"/>
          <w:szCs w:val="32"/>
          <w:lang w:val="en-US" w:eastAsia="zh-CN" w:bidi="ar-SA"/>
        </w:rPr>
        <w:t>（十三）</w:t>
      </w:r>
      <w:r>
        <w:rPr>
          <w:rFonts w:hint="default" w:ascii="楷体_GB2312" w:hAnsi="楷体_GB2312" w:eastAsia="楷体_GB2312" w:cs="楷体_GB2312"/>
          <w:b/>
          <w:bCs/>
          <w:kern w:val="2"/>
          <w:sz w:val="32"/>
          <w:szCs w:val="32"/>
          <w:lang w:val="en-US" w:eastAsia="zh-CN" w:bidi="ar-SA"/>
        </w:rPr>
        <w:t>负责管理全区检验检测工作。</w:t>
      </w:r>
      <w:r>
        <w:rPr>
          <w:rFonts w:hint="default" w:ascii="Times New Roman" w:hAnsi="Times New Roman" w:eastAsia="仿宋" w:cs="Times New Roman"/>
          <w:sz w:val="32"/>
          <w:szCs w:val="32"/>
        </w:rPr>
        <w:t>规范检验检测市场，完善检验检测体系，指导检验检测行业发展。</w:t>
      </w:r>
    </w:p>
    <w:p w14:paraId="735B17C0">
      <w:pPr>
        <w:pStyle w:val="5"/>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sz w:val="32"/>
          <w:szCs w:val="32"/>
        </w:rPr>
      </w:pPr>
      <w:r>
        <w:rPr>
          <w:rFonts w:hint="eastAsia" w:ascii="楷体_GB2312" w:hAnsi="楷体_GB2312" w:eastAsia="楷体_GB2312" w:cs="楷体_GB2312"/>
          <w:b/>
          <w:bCs/>
          <w:kern w:val="2"/>
          <w:sz w:val="32"/>
          <w:szCs w:val="32"/>
          <w:lang w:val="en-US" w:eastAsia="zh-CN" w:bidi="ar-SA"/>
        </w:rPr>
        <w:t>（十四）</w:t>
      </w:r>
      <w:r>
        <w:rPr>
          <w:rFonts w:hint="default" w:ascii="楷体_GB2312" w:hAnsi="楷体_GB2312" w:eastAsia="楷体_GB2312" w:cs="楷体_GB2312"/>
          <w:b/>
          <w:bCs/>
          <w:kern w:val="2"/>
          <w:sz w:val="32"/>
          <w:szCs w:val="32"/>
          <w:lang w:val="en-US" w:eastAsia="zh-CN" w:bidi="ar-SA"/>
        </w:rPr>
        <w:t>负责管理全区认证认可工作</w:t>
      </w:r>
      <w:r>
        <w:rPr>
          <w:rFonts w:hint="default" w:ascii="Times New Roman" w:hAnsi="Times New Roman" w:eastAsia="仿宋" w:cs="Times New Roman"/>
          <w:sz w:val="32"/>
          <w:szCs w:val="32"/>
        </w:rPr>
        <w:t>。监督管理认证认可和合格评定监督工作。</w:t>
      </w:r>
    </w:p>
    <w:p w14:paraId="55754F3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（十五）</w:t>
      </w:r>
      <w:r>
        <w:rPr>
          <w:rFonts w:hint="default" w:ascii="楷体_GB2312" w:hAnsi="楷体_GB2312" w:eastAsia="楷体_GB2312" w:cs="楷体_GB2312"/>
          <w:b/>
          <w:bCs/>
          <w:sz w:val="32"/>
          <w:szCs w:val="32"/>
          <w:lang w:eastAsia="zh-CN"/>
        </w:rPr>
        <w:t>负责市场监督管理科技和信息化建设、新闻宣传。</w:t>
      </w:r>
    </w:p>
    <w:p w14:paraId="0336AF2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（十六）</w:t>
      </w:r>
      <w:r>
        <w:rPr>
          <w:rFonts w:hint="default" w:ascii="楷体_GB2312" w:hAnsi="楷体_GB2312" w:eastAsia="楷体_GB2312" w:cs="楷体_GB2312"/>
          <w:b/>
          <w:bCs/>
          <w:sz w:val="32"/>
          <w:szCs w:val="32"/>
          <w:lang w:eastAsia="zh-CN"/>
        </w:rPr>
        <w:t>负责全区知识产权战略、规划的拟订，知识产权的保护，负责组织指导商标、专利执法工作。</w:t>
      </w:r>
    </w:p>
    <w:p w14:paraId="338A41E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（十七）</w:t>
      </w:r>
      <w:r>
        <w:rPr>
          <w:rFonts w:hint="default" w:ascii="楷体_GB2312" w:hAnsi="楷体_GB2312" w:eastAsia="楷体_GB2312" w:cs="楷体_GB2312"/>
          <w:b/>
          <w:bCs/>
          <w:sz w:val="32"/>
          <w:szCs w:val="32"/>
          <w:lang w:eastAsia="zh-CN"/>
        </w:rPr>
        <w:t>负责促进民营经济发展。</w:t>
      </w:r>
    </w:p>
    <w:p w14:paraId="5677B27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（十八）</w:t>
      </w:r>
      <w:r>
        <w:rPr>
          <w:rFonts w:hint="default" w:ascii="楷体_GB2312" w:hAnsi="楷体_GB2312" w:eastAsia="楷体_GB2312" w:cs="楷体_GB2312"/>
          <w:b/>
          <w:bCs/>
          <w:sz w:val="32"/>
          <w:szCs w:val="32"/>
          <w:lang w:eastAsia="zh-CN"/>
        </w:rPr>
        <w:t>负责职责范围内的安全生产和职业健康、生态环境保护、审批服务便民化、依法治理等工作。</w:t>
      </w:r>
    </w:p>
    <w:p w14:paraId="1DC884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（十九）</w:t>
      </w:r>
      <w:r>
        <w:rPr>
          <w:rFonts w:hint="default" w:ascii="楷体_GB2312" w:hAnsi="楷体_GB2312" w:eastAsia="楷体_GB2312" w:cs="楷体_GB2312"/>
          <w:b w:val="0"/>
          <w:bCs w:val="0"/>
          <w:sz w:val="32"/>
          <w:szCs w:val="32"/>
          <w:lang w:eastAsia="zh-CN"/>
        </w:rPr>
        <w:t>完成区委和区政府交办的其他任务。</w:t>
      </w:r>
    </w:p>
    <w:p w14:paraId="71C6308C">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sz w:val="32"/>
          <w:szCs w:val="32"/>
        </w:rPr>
      </w:pPr>
      <w:bookmarkStart w:id="14" w:name="_Toc15396601"/>
      <w:bookmarkStart w:id="15" w:name="_Toc15377200"/>
      <w:r>
        <w:rPr>
          <w:rFonts w:hint="eastAsia" w:ascii="黑体" w:hAnsi="黑体" w:eastAsia="黑体" w:cs="黑体"/>
          <w:sz w:val="32"/>
          <w:szCs w:val="32"/>
        </w:rPr>
        <w:t>二、机构设置</w:t>
      </w:r>
      <w:bookmarkEnd w:id="14"/>
      <w:bookmarkEnd w:id="15"/>
    </w:p>
    <w:p w14:paraId="12E324B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sz w:val="32"/>
          <w:szCs w:val="32"/>
        </w:rPr>
        <w:t>遂宁市安居区市场监督管理局无二级预算单位。下属参照公务员管理事业单位7个，其中市场监管所6个，市场监管综合行政大队1个。下属事业单位2个包括：遂宁市安居区保护消费者权益服务中心、遂宁市安居区市场监管事务中心</w:t>
      </w:r>
      <w:r>
        <w:rPr>
          <w:rFonts w:hint="default" w:ascii="Times New Roman" w:hAnsi="Times New Roman" w:eastAsia="仿宋" w:cs="Times New Roman"/>
          <w:sz w:val="32"/>
          <w:szCs w:val="32"/>
          <w:lang w:eastAsia="zh-CN"/>
        </w:rPr>
        <w:t>。</w:t>
      </w:r>
    </w:p>
    <w:p w14:paraId="0B64CE6D">
      <w:pPr>
        <w:widowControl/>
        <w:jc w:val="left"/>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sz w:val="32"/>
          <w:szCs w:val="32"/>
          <w:highlight w:val="none"/>
        </w:rPr>
        <w:br w:type="page"/>
      </w:r>
    </w:p>
    <w:p w14:paraId="3D21EF27">
      <w:pPr>
        <w:pStyle w:val="2"/>
        <w:ind w:right="440"/>
        <w:jc w:val="center"/>
        <w:rPr>
          <w:rFonts w:hint="default" w:ascii="Times New Roman" w:hAnsi="Times New Roman" w:cs="Times New Roman"/>
          <w:color w:val="auto"/>
          <w:highlight w:val="none"/>
        </w:rPr>
      </w:pPr>
      <w:bookmarkStart w:id="16" w:name="_Toc15377204"/>
      <w:bookmarkStart w:id="17" w:name="_Toc15396602"/>
      <w:r>
        <w:rPr>
          <w:rFonts w:hint="default" w:ascii="Times New Roman" w:hAnsi="Times New Roman" w:eastAsia="黑体" w:cs="Times New Roman"/>
          <w:b w:val="0"/>
          <w:bCs/>
          <w:color w:val="auto"/>
          <w:highlight w:val="none"/>
        </w:rPr>
        <w:t xml:space="preserve">第二部分 </w:t>
      </w:r>
      <w:r>
        <w:rPr>
          <w:rFonts w:hint="default" w:ascii="Times New Roman" w:hAnsi="Times New Roman" w:eastAsia="黑体" w:cs="Times New Roman"/>
          <w:b w:val="0"/>
          <w:bCs/>
          <w:color w:val="auto"/>
          <w:highlight w:val="none"/>
          <w:lang w:val="en-US" w:eastAsia="zh-CN"/>
        </w:rPr>
        <w:t>2024年度</w:t>
      </w:r>
      <w:r>
        <w:rPr>
          <w:rStyle w:val="36"/>
          <w:rFonts w:hint="default" w:ascii="Times New Roman" w:hAnsi="Times New Roman" w:eastAsia="黑体" w:cs="Times New Roman"/>
          <w:b w:val="0"/>
          <w:bCs/>
          <w:color w:val="auto"/>
          <w:highlight w:val="none"/>
        </w:rPr>
        <w:t>部门决算情况说明</w:t>
      </w:r>
      <w:bookmarkEnd w:id="16"/>
      <w:bookmarkEnd w:id="17"/>
    </w:p>
    <w:p w14:paraId="381A9250">
      <w:pPr>
        <w:pStyle w:val="3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outlineLvl w:val="1"/>
        <w:rPr>
          <w:rStyle w:val="37"/>
          <w:rFonts w:hint="default" w:ascii="Times New Roman" w:hAnsi="Times New Roman" w:eastAsia="黑体" w:cs="Times New Roman"/>
          <w:b w:val="0"/>
          <w:color w:val="auto"/>
          <w:highlight w:val="none"/>
        </w:rPr>
      </w:pPr>
      <w:bookmarkStart w:id="18" w:name="_Toc15377205"/>
      <w:bookmarkStart w:id="19" w:name="_Toc15396603"/>
      <w:r>
        <w:rPr>
          <w:rFonts w:hint="eastAsia" w:eastAsia="黑体" w:cs="Times New Roman"/>
          <w:color w:val="auto"/>
          <w:sz w:val="32"/>
          <w:szCs w:val="32"/>
          <w:highlight w:val="none"/>
          <w:lang w:val="en-US" w:eastAsia="zh-CN"/>
        </w:rPr>
        <w:t>一、</w:t>
      </w:r>
      <w:r>
        <w:rPr>
          <w:rFonts w:hint="default" w:ascii="Times New Roman" w:hAnsi="Times New Roman" w:eastAsia="黑体" w:cs="Times New Roman"/>
          <w:color w:val="auto"/>
          <w:sz w:val="32"/>
          <w:szCs w:val="32"/>
          <w:highlight w:val="none"/>
        </w:rPr>
        <w:t>收</w:t>
      </w:r>
      <w:r>
        <w:rPr>
          <w:rStyle w:val="37"/>
          <w:rFonts w:hint="default" w:ascii="Times New Roman" w:hAnsi="Times New Roman" w:eastAsia="黑体" w:cs="Times New Roman"/>
          <w:b w:val="0"/>
          <w:color w:val="auto"/>
          <w:highlight w:val="none"/>
        </w:rPr>
        <w:t>入支出决算总体情况说明</w:t>
      </w:r>
      <w:bookmarkEnd w:id="18"/>
      <w:bookmarkEnd w:id="19"/>
    </w:p>
    <w:p w14:paraId="4413E6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 w:cs="Times New Roman"/>
          <w:kern w:val="2"/>
          <w:sz w:val="32"/>
          <w:szCs w:val="32"/>
          <w:lang w:val="en-US" w:eastAsia="zh-CN" w:bidi="ar-SA"/>
        </w:rPr>
        <w:t>2024年度收、支总计均为2141.27万元。与2023年度相比，收、支总计各增加51.1万元，增长2.44%。主要变动原因是</w:t>
      </w:r>
      <w:r>
        <w:rPr>
          <w:rFonts w:hint="eastAsia" w:eastAsia="仿宋" w:cs="Times New Roman"/>
          <w:kern w:val="2"/>
          <w:sz w:val="32"/>
          <w:szCs w:val="32"/>
          <w:lang w:val="en-US" w:eastAsia="zh-CN" w:bidi="ar-SA"/>
        </w:rPr>
        <w:t>增加了2022-2023年度“转企升规”财政激励资金项目和2023年食品药品及农产品、放心舒心消费城市建设专项资金项目</w:t>
      </w:r>
      <w:r>
        <w:rPr>
          <w:rFonts w:hint="default" w:ascii="Times New Roman" w:hAnsi="Times New Roman" w:eastAsia="仿宋" w:cs="Times New Roman"/>
          <w:kern w:val="2"/>
          <w:sz w:val="32"/>
          <w:szCs w:val="32"/>
          <w:lang w:val="en-US" w:eastAsia="zh-CN" w:bidi="ar-SA"/>
        </w:rPr>
        <w:t>。</w:t>
      </w:r>
    </w:p>
    <w:p w14:paraId="7A9BCDBA">
      <w:pPr>
        <w:pStyle w:val="7"/>
        <w:pageBreakBefore w:val="0"/>
        <w:kinsoku/>
        <w:wordWrap/>
        <w:overflowPunct/>
        <w:topLinePunct w:val="0"/>
        <w:bidi w:val="0"/>
        <w:ind w:left="0" w:leftChars="0" w:firstLine="0" w:firstLineChars="0"/>
        <w:textAlignment w:val="auto"/>
        <w:rPr>
          <w:rFonts w:hint="default" w:ascii="Times New Roman" w:hAnsi="Times New Roman" w:cs="Times New Roman"/>
        </w:rPr>
      </w:pPr>
      <w:r>
        <w:rPr>
          <w:rFonts w:hint="default" w:ascii="Times New Roman" w:hAnsi="Times New Roman" w:cs="Times New Roman"/>
        </w:rPr>
        <w:drawing>
          <wp:inline distT="0" distB="0" distL="114300" distR="114300">
            <wp:extent cx="5274310" cy="3038475"/>
            <wp:effectExtent l="4445" t="4445" r="17145" b="43180"/>
            <wp:docPr id="117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A15E086">
      <w:pPr>
        <w:spacing w:line="60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（图1：收、支决算总计变动情况图）（柱状图）</w:t>
      </w:r>
    </w:p>
    <w:p w14:paraId="4ABD0E93">
      <w:pPr>
        <w:pStyle w:val="3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outlineLvl w:val="1"/>
        <w:rPr>
          <w:rStyle w:val="37"/>
          <w:rFonts w:hint="default" w:ascii="Times New Roman" w:hAnsi="Times New Roman" w:eastAsia="黑体" w:cs="Times New Roman"/>
          <w:b w:val="0"/>
          <w:color w:val="auto"/>
          <w:highlight w:val="none"/>
        </w:rPr>
      </w:pPr>
      <w:bookmarkStart w:id="20" w:name="_Toc15377206"/>
      <w:bookmarkStart w:id="21" w:name="_Toc15396604"/>
      <w:r>
        <w:rPr>
          <w:rFonts w:hint="eastAsia"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rPr>
        <w:t>收</w:t>
      </w:r>
      <w:r>
        <w:rPr>
          <w:rStyle w:val="37"/>
          <w:rFonts w:hint="default" w:ascii="Times New Roman" w:hAnsi="Times New Roman" w:eastAsia="黑体" w:cs="Times New Roman"/>
          <w:b w:val="0"/>
          <w:color w:val="auto"/>
          <w:highlight w:val="none"/>
        </w:rPr>
        <w:t>入决算情况说明</w:t>
      </w:r>
      <w:bookmarkEnd w:id="20"/>
      <w:bookmarkEnd w:id="21"/>
    </w:p>
    <w:p w14:paraId="6E230D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kern w:val="2"/>
          <w:sz w:val="32"/>
          <w:szCs w:val="32"/>
          <w:lang w:val="en-US" w:eastAsia="zh-CN" w:bidi="ar-SA"/>
        </w:rPr>
        <w:t>2024年度本年收入合计2141.27万元，其中：一般公共预算财政拨款收入2141.27万元，占100%；政府性基金预算财政拨款收入0万元；国有资本经营预算财政拨款收入0万元；上级补助收入0万元；事业收入0万元；经营收入0万元；附属单位上缴收入0万元；其他收入0万元。</w:t>
      </w:r>
    </w:p>
    <w:p w14:paraId="6526C78E">
      <w:pPr>
        <w:pStyle w:val="10"/>
        <w:jc w:val="center"/>
        <w:rPr>
          <w:rFonts w:hint="default" w:ascii="Times New Roman" w:hAnsi="Times New Roman" w:eastAsia="仿宋" w:cs="Times New Roman"/>
          <w:color w:val="auto"/>
          <w:sz w:val="32"/>
          <w:szCs w:val="32"/>
          <w:highlight w:val="none"/>
          <w:lang w:eastAsia="zh-CN"/>
        </w:rPr>
      </w:pPr>
      <w:r>
        <w:rPr>
          <w:rFonts w:hint="default" w:ascii="Times New Roman" w:hAnsi="Times New Roman" w:cs="Times New Roman"/>
        </w:rPr>
        <w:drawing>
          <wp:inline distT="0" distB="0" distL="114300" distR="114300">
            <wp:extent cx="5182235" cy="2068195"/>
            <wp:effectExtent l="4445" t="4445" r="13970" b="22860"/>
            <wp:docPr id="116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7F3496A">
      <w:pPr>
        <w:spacing w:line="600" w:lineRule="exact"/>
        <w:ind w:firstLine="640" w:firstLineChars="200"/>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（图2：收入决算结构图）（饼状图）</w:t>
      </w:r>
    </w:p>
    <w:p w14:paraId="7599A7D0">
      <w:pPr>
        <w:pStyle w:val="3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outlineLvl w:val="1"/>
        <w:rPr>
          <w:rStyle w:val="37"/>
          <w:rFonts w:hint="default" w:ascii="Times New Roman" w:hAnsi="Times New Roman" w:eastAsia="黑体" w:cs="Times New Roman"/>
          <w:b w:val="0"/>
          <w:color w:val="auto"/>
          <w:highlight w:val="none"/>
        </w:rPr>
      </w:pPr>
      <w:bookmarkStart w:id="22" w:name="_Toc15396605"/>
      <w:bookmarkStart w:id="23" w:name="_Toc15377207"/>
      <w:r>
        <w:rPr>
          <w:rFonts w:hint="eastAsia"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支</w:t>
      </w:r>
      <w:r>
        <w:rPr>
          <w:rStyle w:val="37"/>
          <w:rFonts w:hint="default" w:ascii="Times New Roman" w:hAnsi="Times New Roman" w:eastAsia="黑体" w:cs="Times New Roman"/>
          <w:b w:val="0"/>
          <w:color w:val="auto"/>
          <w:highlight w:val="none"/>
        </w:rPr>
        <w:t>出决算情况说明</w:t>
      </w:r>
      <w:bookmarkEnd w:id="22"/>
      <w:bookmarkEnd w:id="23"/>
    </w:p>
    <w:p w14:paraId="37A03F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kern w:val="2"/>
          <w:sz w:val="32"/>
          <w:szCs w:val="32"/>
          <w:lang w:val="en-US" w:eastAsia="zh-CN" w:bidi="ar-SA"/>
        </w:rPr>
        <w:t>2024年度本年支出合计2141.27万元，其中：基本支出1732.22万元、占比80.9%，项目支出409.05万元、占比19.1%；上缴上级支出0万元；经营支出0万元；对附属单位补助支出0万元。</w:t>
      </w:r>
    </w:p>
    <w:p w14:paraId="7030D195">
      <w:pPr>
        <w:pStyle w:val="10"/>
        <w:jc w:val="center"/>
        <w:rPr>
          <w:rFonts w:hint="default" w:ascii="Times New Roman" w:hAnsi="Times New Roman" w:eastAsia="仿宋" w:cs="Times New Roman"/>
          <w:color w:val="auto"/>
          <w:sz w:val="32"/>
          <w:szCs w:val="32"/>
          <w:highlight w:val="none"/>
          <w:shd w:val="pct10" w:color="auto" w:fill="FFFFFF"/>
        </w:rPr>
      </w:pPr>
      <w:r>
        <w:rPr>
          <w:rFonts w:hint="default" w:ascii="Times New Roman" w:hAnsi="Times New Roman" w:cs="Times New Roman"/>
        </w:rPr>
        <w:drawing>
          <wp:inline distT="0" distB="0" distL="114300" distR="114300">
            <wp:extent cx="5334000" cy="2124710"/>
            <wp:effectExtent l="4445" t="4445" r="14605" b="23495"/>
            <wp:docPr id="116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0334EDA">
      <w:pPr>
        <w:spacing w:line="600" w:lineRule="exact"/>
        <w:ind w:firstLine="640" w:firstLineChars="200"/>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（图3：支出决算结构图）（饼状图）</w:t>
      </w:r>
    </w:p>
    <w:p w14:paraId="1B3760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37"/>
          <w:rFonts w:hint="default" w:ascii="Times New Roman" w:hAnsi="Times New Roman" w:eastAsia="黑体" w:cs="Times New Roman"/>
          <w:b w:val="0"/>
          <w:color w:val="auto"/>
          <w:highlight w:val="none"/>
        </w:rPr>
      </w:pPr>
      <w:bookmarkStart w:id="24" w:name="_Toc15377208"/>
      <w:bookmarkStart w:id="25" w:name="_Toc15396606"/>
      <w:r>
        <w:rPr>
          <w:rFonts w:hint="default" w:ascii="Times New Roman" w:hAnsi="Times New Roman" w:eastAsia="黑体" w:cs="Times New Roman"/>
          <w:color w:val="auto"/>
          <w:sz w:val="32"/>
          <w:szCs w:val="32"/>
          <w:highlight w:val="none"/>
        </w:rPr>
        <w:t>四、财</w:t>
      </w:r>
      <w:r>
        <w:rPr>
          <w:rStyle w:val="37"/>
          <w:rFonts w:hint="default" w:ascii="Times New Roman" w:hAnsi="Times New Roman" w:eastAsia="黑体" w:cs="Times New Roman"/>
          <w:b w:val="0"/>
          <w:color w:val="auto"/>
          <w:highlight w:val="none"/>
        </w:rPr>
        <w:t>政拨款收入支出决算总体情况说明</w:t>
      </w:r>
      <w:bookmarkEnd w:id="24"/>
      <w:bookmarkEnd w:id="25"/>
    </w:p>
    <w:p w14:paraId="48201071">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4</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000000"/>
          <w:sz w:val="32"/>
          <w:szCs w:val="32"/>
          <w:lang w:val="en-US" w:eastAsia="zh-CN"/>
        </w:rPr>
        <w:t>度</w:t>
      </w:r>
      <w:r>
        <w:rPr>
          <w:rFonts w:hint="default" w:ascii="Times New Roman" w:hAnsi="Times New Roman" w:eastAsia="仿宋" w:cs="Times New Roman"/>
          <w:color w:val="000000"/>
          <w:sz w:val="32"/>
          <w:szCs w:val="32"/>
        </w:rPr>
        <w:t>财政拨款收</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lang w:val="en-US" w:eastAsia="zh-CN"/>
        </w:rPr>
        <w:t>支总计均为2141.27</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auto"/>
          <w:sz w:val="32"/>
          <w:szCs w:val="32"/>
          <w:highlight w:val="none"/>
        </w:rPr>
        <w:t>。与</w:t>
      </w:r>
      <w:r>
        <w:rPr>
          <w:rFonts w:hint="default" w:ascii="Times New Roman" w:hAnsi="Times New Roman" w:eastAsia="仿宋" w:cs="Times New Roman"/>
          <w:color w:val="auto"/>
          <w:sz w:val="32"/>
          <w:szCs w:val="32"/>
          <w:highlight w:val="none"/>
          <w:lang w:eastAsia="zh-CN"/>
        </w:rPr>
        <w:t>202</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lang w:eastAsia="zh-CN"/>
        </w:rPr>
        <w:t>年</w:t>
      </w:r>
      <w:r>
        <w:rPr>
          <w:rFonts w:hint="default" w:ascii="Times New Roman" w:hAnsi="Times New Roman" w:eastAsia="仿宋" w:cs="Times New Roman"/>
          <w:color w:val="auto"/>
          <w:sz w:val="32"/>
          <w:szCs w:val="32"/>
          <w:highlight w:val="none"/>
          <w:lang w:val="en-US" w:eastAsia="zh-CN"/>
        </w:rPr>
        <w:t>度</w:t>
      </w:r>
      <w:r>
        <w:rPr>
          <w:rFonts w:hint="default" w:ascii="Times New Roman" w:hAnsi="Times New Roman" w:eastAsia="仿宋" w:cs="Times New Roman"/>
          <w:color w:val="auto"/>
          <w:sz w:val="32"/>
          <w:szCs w:val="32"/>
          <w:highlight w:val="none"/>
        </w:rPr>
        <w:t>相比，财政拨款收、支总计各</w:t>
      </w:r>
      <w:r>
        <w:rPr>
          <w:rFonts w:hint="eastAsia" w:eastAsia="仿宋" w:cs="Times New Roman"/>
          <w:color w:val="auto"/>
          <w:sz w:val="32"/>
          <w:szCs w:val="32"/>
          <w:highlight w:val="none"/>
          <w:lang w:val="en-US" w:eastAsia="zh-CN"/>
        </w:rPr>
        <w:t>增加</w:t>
      </w:r>
      <w:r>
        <w:rPr>
          <w:rFonts w:hint="default" w:ascii="Times New Roman" w:hAnsi="Times New Roman" w:eastAsia="仿宋" w:cs="Times New Roman"/>
          <w:color w:val="auto"/>
          <w:sz w:val="32"/>
          <w:szCs w:val="32"/>
          <w:highlight w:val="none"/>
          <w:lang w:val="en-US" w:eastAsia="zh-CN"/>
        </w:rPr>
        <w:t>51.1</w:t>
      </w:r>
      <w:r>
        <w:rPr>
          <w:rFonts w:hint="default" w:ascii="Times New Roman" w:hAnsi="Times New Roman" w:eastAsia="仿宋" w:cs="Times New Roman"/>
          <w:color w:val="auto"/>
          <w:sz w:val="32"/>
          <w:szCs w:val="32"/>
          <w:highlight w:val="none"/>
        </w:rPr>
        <w:t>万元，</w:t>
      </w:r>
      <w:r>
        <w:rPr>
          <w:rFonts w:hint="default" w:ascii="Times New Roman" w:hAnsi="Times New Roman" w:eastAsia="仿宋" w:cs="Times New Roman"/>
          <w:color w:val="auto"/>
          <w:sz w:val="32"/>
          <w:szCs w:val="32"/>
          <w:highlight w:val="none"/>
          <w:lang w:val="en-US" w:eastAsia="zh-CN"/>
        </w:rPr>
        <w:t>增长2.44</w:t>
      </w:r>
      <w:r>
        <w:rPr>
          <w:rFonts w:hint="default" w:ascii="Times New Roman" w:hAnsi="Times New Roman" w:eastAsia="仿宋" w:cs="Times New Roman"/>
          <w:color w:val="auto"/>
          <w:sz w:val="32"/>
          <w:szCs w:val="32"/>
          <w:highlight w:val="none"/>
        </w:rPr>
        <w:t>%。主要变动原因是</w:t>
      </w:r>
      <w:r>
        <w:rPr>
          <w:rFonts w:hint="eastAsia" w:eastAsia="仿宋" w:cs="Times New Roman"/>
          <w:kern w:val="2"/>
          <w:sz w:val="32"/>
          <w:szCs w:val="32"/>
          <w:lang w:val="en-US" w:eastAsia="zh-CN" w:bidi="ar-SA"/>
        </w:rPr>
        <w:t>增加了2022-2023年度“转企升规”财政激励资金项目和2023年食品药品及农产品、放心舒心消费城市建设专项资金项目</w:t>
      </w:r>
      <w:r>
        <w:rPr>
          <w:rFonts w:hint="default" w:ascii="Times New Roman" w:hAnsi="Times New Roman" w:eastAsia="仿宋" w:cs="Times New Roman"/>
          <w:color w:val="auto"/>
          <w:sz w:val="32"/>
          <w:szCs w:val="32"/>
          <w:highlight w:val="none"/>
          <w:lang w:val="en-US" w:eastAsia="zh-CN"/>
        </w:rPr>
        <w:t>。</w:t>
      </w:r>
    </w:p>
    <w:p w14:paraId="043A6402">
      <w:pPr>
        <w:pStyle w:val="10"/>
        <w:rPr>
          <w:rFonts w:hint="default" w:ascii="Times New Roman" w:hAnsi="Times New Roman" w:eastAsia="仿宋" w:cs="Times New Roman"/>
          <w:color w:val="auto"/>
          <w:sz w:val="32"/>
          <w:szCs w:val="32"/>
          <w:highlight w:val="none"/>
        </w:rPr>
      </w:pPr>
      <w:r>
        <w:rPr>
          <w:rFonts w:hint="default" w:ascii="Times New Roman" w:hAnsi="Times New Roman" w:cs="Times New Roman"/>
        </w:rPr>
        <w:drawing>
          <wp:inline distT="0" distB="0" distL="114300" distR="114300">
            <wp:extent cx="5273675" cy="2231390"/>
            <wp:effectExtent l="4445" t="4445" r="17780" b="5016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12480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（图4：财政拨款收、支决算总计</w:t>
      </w:r>
      <w:r>
        <w:rPr>
          <w:rFonts w:hint="default" w:ascii="Times New Roman" w:hAnsi="Times New Roman" w:eastAsia="仿宋" w:cs="Times New Roman"/>
          <w:color w:val="auto"/>
          <w:sz w:val="32"/>
          <w:szCs w:val="32"/>
          <w:highlight w:val="none"/>
          <w:lang w:val="en-US" w:eastAsia="zh-CN"/>
        </w:rPr>
        <w:t>变动图</w:t>
      </w:r>
      <w:r>
        <w:rPr>
          <w:rFonts w:hint="default" w:ascii="Times New Roman" w:hAnsi="Times New Roman" w:eastAsia="仿宋" w:cs="Times New Roman"/>
          <w:color w:val="auto"/>
          <w:sz w:val="32"/>
          <w:szCs w:val="32"/>
          <w:highlight w:val="none"/>
        </w:rPr>
        <w:t>）（柱状图）</w:t>
      </w:r>
    </w:p>
    <w:p w14:paraId="461107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37"/>
          <w:rFonts w:hint="default" w:ascii="Times New Roman" w:hAnsi="Times New Roman" w:eastAsia="黑体" w:cs="Times New Roman"/>
          <w:b w:val="0"/>
          <w:color w:val="auto"/>
          <w:highlight w:val="none"/>
        </w:rPr>
      </w:pPr>
      <w:bookmarkStart w:id="26" w:name="_Toc15377209"/>
      <w:bookmarkStart w:id="27" w:name="_Toc15396607"/>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37"/>
          <w:rFonts w:hint="default" w:ascii="Times New Roman" w:hAnsi="Times New Roman" w:eastAsia="黑体" w:cs="Times New Roman"/>
          <w:b w:val="0"/>
          <w:color w:val="auto"/>
          <w:highlight w:val="none"/>
        </w:rPr>
        <w:t>般公共预算财政拨款支出决算情况说明</w:t>
      </w:r>
      <w:bookmarkEnd w:id="26"/>
      <w:bookmarkEnd w:id="27"/>
    </w:p>
    <w:p w14:paraId="5267701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楷体_GB2312" w:hAnsi="楷体_GB2312" w:eastAsia="楷体_GB2312" w:cs="楷体_GB2312"/>
          <w:b/>
          <w:color w:val="auto"/>
          <w:sz w:val="32"/>
          <w:szCs w:val="32"/>
          <w:highlight w:val="none"/>
        </w:rPr>
      </w:pPr>
      <w:bookmarkStart w:id="28" w:name="_Toc15377210"/>
      <w:r>
        <w:rPr>
          <w:rFonts w:hint="eastAsia" w:ascii="楷体_GB2312" w:hAnsi="楷体_GB2312" w:eastAsia="楷体_GB2312" w:cs="楷体_GB2312"/>
          <w:b/>
          <w:color w:val="auto"/>
          <w:sz w:val="32"/>
          <w:szCs w:val="32"/>
          <w:highlight w:val="none"/>
        </w:rPr>
        <w:t>（一）一般公共预算财政拨款支出决算总体情况</w:t>
      </w:r>
      <w:bookmarkEnd w:id="28"/>
    </w:p>
    <w:p w14:paraId="0D60A7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24</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val="en-US" w:eastAsia="zh-CN"/>
        </w:rPr>
        <w:t>度</w:t>
      </w:r>
      <w:r>
        <w:rPr>
          <w:rFonts w:hint="default" w:ascii="Times New Roman" w:hAnsi="Times New Roman" w:eastAsia="仿宋" w:cs="Times New Roman"/>
          <w:color w:val="auto"/>
          <w:sz w:val="32"/>
          <w:szCs w:val="32"/>
          <w:highlight w:val="none"/>
        </w:rPr>
        <w:t>一般公共预算财政拨款支出</w:t>
      </w:r>
      <w:r>
        <w:rPr>
          <w:rFonts w:hint="default" w:ascii="Times New Roman" w:hAnsi="Times New Roman" w:eastAsia="仿宋" w:cs="Times New Roman"/>
          <w:color w:val="auto"/>
          <w:sz w:val="32"/>
          <w:szCs w:val="32"/>
          <w:highlight w:val="none"/>
          <w:lang w:val="en-US" w:eastAsia="zh-CN"/>
        </w:rPr>
        <w:t>2141.27</w:t>
      </w:r>
      <w:r>
        <w:rPr>
          <w:rFonts w:hint="default" w:ascii="Times New Roman" w:hAnsi="Times New Roman" w:eastAsia="仿宋" w:cs="Times New Roman"/>
          <w:color w:val="auto"/>
          <w:sz w:val="32"/>
          <w:szCs w:val="32"/>
          <w:highlight w:val="none"/>
        </w:rPr>
        <w:t>万元，占本年支出合计的</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%。与</w:t>
      </w:r>
      <w:r>
        <w:rPr>
          <w:rFonts w:hint="default" w:ascii="Times New Roman" w:hAnsi="Times New Roman" w:eastAsia="仿宋" w:cs="Times New Roman"/>
          <w:color w:val="auto"/>
          <w:sz w:val="32"/>
          <w:szCs w:val="32"/>
          <w:highlight w:val="none"/>
          <w:lang w:eastAsia="zh-CN"/>
        </w:rPr>
        <w:t>202</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lang w:eastAsia="zh-CN"/>
        </w:rPr>
        <w:t>年</w:t>
      </w:r>
      <w:r>
        <w:rPr>
          <w:rFonts w:hint="default" w:ascii="Times New Roman" w:hAnsi="Times New Roman" w:eastAsia="仿宋" w:cs="Times New Roman"/>
          <w:color w:val="auto"/>
          <w:sz w:val="32"/>
          <w:szCs w:val="32"/>
          <w:highlight w:val="none"/>
          <w:lang w:val="en-US" w:eastAsia="zh-CN"/>
        </w:rPr>
        <w:t>度</w:t>
      </w:r>
      <w:r>
        <w:rPr>
          <w:rFonts w:hint="default" w:ascii="Times New Roman" w:hAnsi="Times New Roman" w:eastAsia="仿宋" w:cs="Times New Roman"/>
          <w:color w:val="auto"/>
          <w:sz w:val="32"/>
          <w:szCs w:val="32"/>
          <w:highlight w:val="none"/>
        </w:rPr>
        <w:t>相比，一般公共预算财政拨款</w:t>
      </w:r>
      <w:r>
        <w:rPr>
          <w:rFonts w:hint="default" w:ascii="Times New Roman" w:hAnsi="Times New Roman" w:eastAsia="仿宋" w:cs="Times New Roman"/>
          <w:color w:val="auto"/>
          <w:sz w:val="32"/>
          <w:szCs w:val="32"/>
          <w:highlight w:val="none"/>
          <w:lang w:eastAsia="zh-CN"/>
        </w:rPr>
        <w:t>支出</w:t>
      </w:r>
      <w:r>
        <w:rPr>
          <w:rFonts w:hint="default" w:ascii="Times New Roman" w:hAnsi="Times New Roman" w:eastAsia="仿宋" w:cs="Times New Roman"/>
          <w:color w:val="auto"/>
          <w:sz w:val="32"/>
          <w:szCs w:val="32"/>
          <w:highlight w:val="none"/>
          <w:lang w:val="en-US" w:eastAsia="zh-CN"/>
        </w:rPr>
        <w:t>增加85.1</w:t>
      </w:r>
      <w:r>
        <w:rPr>
          <w:rFonts w:hint="default" w:ascii="Times New Roman" w:hAnsi="Times New Roman" w:eastAsia="仿宋" w:cs="Times New Roman"/>
          <w:color w:val="auto"/>
          <w:sz w:val="32"/>
          <w:szCs w:val="32"/>
          <w:highlight w:val="none"/>
        </w:rPr>
        <w:t>万元，</w:t>
      </w:r>
      <w:r>
        <w:rPr>
          <w:rFonts w:hint="default" w:ascii="Times New Roman" w:hAnsi="Times New Roman" w:eastAsia="仿宋" w:cs="Times New Roman"/>
          <w:color w:val="auto"/>
          <w:sz w:val="32"/>
          <w:szCs w:val="32"/>
          <w:highlight w:val="none"/>
          <w:lang w:val="en-US" w:eastAsia="zh-CN"/>
        </w:rPr>
        <w:t>增长4.14</w:t>
      </w:r>
      <w:r>
        <w:rPr>
          <w:rFonts w:hint="default" w:ascii="Times New Roman" w:hAnsi="Times New Roman" w:eastAsia="仿宋" w:cs="Times New Roman"/>
          <w:color w:val="auto"/>
          <w:sz w:val="32"/>
          <w:szCs w:val="32"/>
          <w:highlight w:val="none"/>
        </w:rPr>
        <w:t>%。主要变动原因</w:t>
      </w:r>
      <w:r>
        <w:rPr>
          <w:rFonts w:hint="eastAsia" w:eastAsia="仿宋" w:cs="Times New Roman"/>
          <w:color w:val="auto"/>
          <w:sz w:val="32"/>
          <w:szCs w:val="32"/>
          <w:highlight w:val="none"/>
          <w:lang w:val="en-US" w:eastAsia="zh-CN"/>
        </w:rPr>
        <w:t>是增加了</w:t>
      </w:r>
      <w:r>
        <w:rPr>
          <w:rFonts w:hint="eastAsia" w:eastAsia="仿宋" w:cs="Times New Roman"/>
          <w:kern w:val="2"/>
          <w:sz w:val="32"/>
          <w:szCs w:val="32"/>
          <w:lang w:val="en-US" w:eastAsia="zh-CN" w:bidi="ar-SA"/>
        </w:rPr>
        <w:t>2022-2023年“转企升规”财政激励资金项目和2023年食品药品及农产品、放心舒心消费城市建设专项资金项目</w:t>
      </w:r>
      <w:r>
        <w:rPr>
          <w:rFonts w:hint="default" w:ascii="Times New Roman" w:hAnsi="Times New Roman" w:eastAsia="仿宋" w:cs="Times New Roman"/>
          <w:color w:val="auto"/>
          <w:sz w:val="32"/>
          <w:szCs w:val="32"/>
          <w:highlight w:val="none"/>
          <w:lang w:val="en-US" w:eastAsia="zh-CN"/>
        </w:rPr>
        <w:t>。</w:t>
      </w:r>
    </w:p>
    <w:p w14:paraId="0AE8CC3B">
      <w:pPr>
        <w:pStyle w:val="10"/>
        <w:rPr>
          <w:rFonts w:hint="default" w:ascii="Times New Roman" w:hAnsi="Times New Roman" w:eastAsia="仿宋" w:cs="Times New Roman"/>
          <w:color w:val="auto"/>
          <w:sz w:val="32"/>
          <w:szCs w:val="32"/>
          <w:highlight w:val="none"/>
        </w:rPr>
      </w:pPr>
      <w:r>
        <w:rPr>
          <w:rFonts w:hint="default" w:ascii="Times New Roman" w:hAnsi="Times New Roman" w:cs="Times New Roman"/>
        </w:rPr>
        <w:drawing>
          <wp:inline distT="0" distB="0" distL="114300" distR="114300">
            <wp:extent cx="5431155" cy="1670050"/>
            <wp:effectExtent l="4445" t="4445" r="12700" b="20955"/>
            <wp:docPr id="116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4F774AA">
      <w:pPr>
        <w:spacing w:line="600" w:lineRule="exac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（图5：一般公共预算财政拨款支出决算变动情况）（柱状图）</w:t>
      </w:r>
    </w:p>
    <w:p w14:paraId="571B76C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楷体_GB2312" w:hAnsi="楷体_GB2312" w:eastAsia="楷体_GB2312" w:cs="楷体_GB2312"/>
          <w:b/>
          <w:color w:val="auto"/>
          <w:sz w:val="32"/>
          <w:szCs w:val="32"/>
          <w:highlight w:val="none"/>
        </w:rPr>
      </w:pPr>
      <w:bookmarkStart w:id="29" w:name="_Toc15377211"/>
      <w:r>
        <w:rPr>
          <w:rFonts w:hint="default" w:ascii="楷体_GB2312" w:hAnsi="楷体_GB2312" w:eastAsia="楷体_GB2312" w:cs="楷体_GB2312"/>
          <w:b/>
          <w:color w:val="auto"/>
          <w:sz w:val="32"/>
          <w:szCs w:val="32"/>
          <w:highlight w:val="none"/>
        </w:rPr>
        <w:t>（二）一般公共预算财政拨款支出决算结构情况</w:t>
      </w:r>
      <w:bookmarkEnd w:id="29"/>
    </w:p>
    <w:p w14:paraId="157ACD78">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24</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val="en-US" w:eastAsia="zh-CN"/>
        </w:rPr>
        <w:t>度</w:t>
      </w:r>
      <w:r>
        <w:rPr>
          <w:rFonts w:hint="default" w:ascii="Times New Roman" w:hAnsi="Times New Roman" w:eastAsia="仿宋" w:cs="Times New Roman"/>
          <w:color w:val="auto"/>
          <w:sz w:val="32"/>
          <w:szCs w:val="32"/>
          <w:highlight w:val="none"/>
        </w:rPr>
        <w:t>一般公共预算财政拨款支出</w:t>
      </w:r>
      <w:r>
        <w:rPr>
          <w:rFonts w:hint="default" w:ascii="Times New Roman" w:hAnsi="Times New Roman" w:eastAsia="仿宋" w:cs="Times New Roman"/>
          <w:color w:val="auto"/>
          <w:sz w:val="32"/>
          <w:szCs w:val="32"/>
          <w:highlight w:val="none"/>
          <w:lang w:val="en-US" w:eastAsia="zh-CN"/>
        </w:rPr>
        <w:t>2141.27</w:t>
      </w:r>
      <w:r>
        <w:rPr>
          <w:rFonts w:hint="default" w:ascii="Times New Roman" w:hAnsi="Times New Roman" w:eastAsia="仿宋" w:cs="Times New Roman"/>
          <w:color w:val="auto"/>
          <w:sz w:val="32"/>
          <w:szCs w:val="32"/>
          <w:highlight w:val="none"/>
        </w:rPr>
        <w:t>万元，主要用于以下方面:一般公共服务支出</w:t>
      </w:r>
      <w:r>
        <w:rPr>
          <w:rFonts w:hint="default" w:ascii="Times New Roman" w:hAnsi="Times New Roman" w:eastAsia="仿宋" w:cs="Times New Roman"/>
          <w:color w:val="auto"/>
          <w:sz w:val="32"/>
          <w:szCs w:val="32"/>
          <w:highlight w:val="none"/>
          <w:lang w:val="en-US" w:eastAsia="zh-CN"/>
        </w:rPr>
        <w:t>1526.41</w:t>
      </w:r>
      <w:r>
        <w:rPr>
          <w:rFonts w:hint="default" w:ascii="Times New Roman" w:hAnsi="Times New Roman" w:eastAsia="仿宋" w:cs="Times New Roman"/>
          <w:color w:val="auto"/>
          <w:sz w:val="32"/>
          <w:szCs w:val="32"/>
          <w:highlight w:val="none"/>
        </w:rPr>
        <w:t>万元，占比</w:t>
      </w:r>
      <w:r>
        <w:rPr>
          <w:rFonts w:hint="default" w:ascii="Times New Roman" w:hAnsi="Times New Roman" w:eastAsia="仿宋" w:cs="Times New Roman"/>
          <w:color w:val="auto"/>
          <w:sz w:val="32"/>
          <w:szCs w:val="32"/>
          <w:highlight w:val="none"/>
          <w:lang w:val="en-US" w:eastAsia="zh-CN"/>
        </w:rPr>
        <w:t>71.29%</w:t>
      </w:r>
      <w:r>
        <w:rPr>
          <w:rFonts w:hint="default" w:ascii="Times New Roman" w:hAnsi="Times New Roman" w:eastAsia="仿宋" w:cs="Times New Roman"/>
          <w:color w:val="auto"/>
          <w:sz w:val="32"/>
          <w:szCs w:val="32"/>
          <w:highlight w:val="none"/>
        </w:rPr>
        <w:t>；社会保障和就业支出</w:t>
      </w:r>
      <w:r>
        <w:rPr>
          <w:rFonts w:hint="default" w:ascii="Times New Roman" w:hAnsi="Times New Roman" w:eastAsia="仿宋" w:cs="Times New Roman"/>
          <w:color w:val="auto"/>
          <w:sz w:val="32"/>
          <w:szCs w:val="32"/>
          <w:highlight w:val="none"/>
          <w:lang w:val="en-US" w:eastAsia="zh-CN"/>
        </w:rPr>
        <w:t>272.65</w:t>
      </w:r>
      <w:r>
        <w:rPr>
          <w:rFonts w:hint="default" w:ascii="Times New Roman" w:hAnsi="Times New Roman" w:eastAsia="仿宋" w:cs="Times New Roman"/>
          <w:color w:val="auto"/>
          <w:sz w:val="32"/>
          <w:szCs w:val="32"/>
          <w:highlight w:val="none"/>
        </w:rPr>
        <w:t>万元，占比</w:t>
      </w:r>
      <w:r>
        <w:rPr>
          <w:rFonts w:hint="default" w:ascii="Times New Roman" w:hAnsi="Times New Roman" w:eastAsia="仿宋" w:cs="Times New Roman"/>
          <w:color w:val="auto"/>
          <w:sz w:val="32"/>
          <w:szCs w:val="32"/>
          <w:highlight w:val="none"/>
          <w:lang w:val="en-US" w:eastAsia="zh-CN"/>
        </w:rPr>
        <w:t>12.73</w:t>
      </w:r>
      <w:r>
        <w:rPr>
          <w:rFonts w:hint="default" w:ascii="Times New Roman" w:hAnsi="Times New Roman" w:eastAsia="仿宋" w:cs="Times New Roman"/>
          <w:color w:val="auto"/>
          <w:sz w:val="32"/>
          <w:szCs w:val="32"/>
          <w:highlight w:val="none"/>
        </w:rPr>
        <w:t>%；卫生健康支出</w:t>
      </w:r>
      <w:r>
        <w:rPr>
          <w:rFonts w:hint="default" w:ascii="Times New Roman" w:hAnsi="Times New Roman" w:eastAsia="仿宋" w:cs="Times New Roman"/>
          <w:color w:val="auto"/>
          <w:sz w:val="32"/>
          <w:szCs w:val="32"/>
          <w:highlight w:val="none"/>
          <w:lang w:val="en-US" w:eastAsia="zh-CN"/>
        </w:rPr>
        <w:t>92.04</w:t>
      </w:r>
      <w:r>
        <w:rPr>
          <w:rFonts w:hint="default" w:ascii="Times New Roman" w:hAnsi="Times New Roman" w:eastAsia="仿宋" w:cs="Times New Roman"/>
          <w:color w:val="auto"/>
          <w:sz w:val="32"/>
          <w:szCs w:val="32"/>
          <w:highlight w:val="none"/>
        </w:rPr>
        <w:t>万元，占比</w:t>
      </w:r>
      <w:r>
        <w:rPr>
          <w:rFonts w:hint="default" w:ascii="Times New Roman" w:hAnsi="Times New Roman" w:eastAsia="仿宋" w:cs="Times New Roman"/>
          <w:color w:val="auto"/>
          <w:sz w:val="32"/>
          <w:szCs w:val="32"/>
          <w:highlight w:val="none"/>
          <w:lang w:val="en-US" w:eastAsia="zh-CN"/>
        </w:rPr>
        <w:t>4.30</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资源勘探工业信息等支出45.25万元，占比2.11%</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商业服务业等支出68.60万元，占比3.20%；</w:t>
      </w:r>
      <w:r>
        <w:rPr>
          <w:rFonts w:hint="default" w:ascii="Times New Roman" w:hAnsi="Times New Roman" w:eastAsia="仿宋" w:cs="Times New Roman"/>
          <w:color w:val="auto"/>
          <w:sz w:val="32"/>
          <w:szCs w:val="32"/>
          <w:highlight w:val="none"/>
        </w:rPr>
        <w:t>住房保障支出</w:t>
      </w:r>
      <w:r>
        <w:rPr>
          <w:rFonts w:hint="default" w:ascii="Times New Roman" w:hAnsi="Times New Roman" w:eastAsia="仿宋" w:cs="Times New Roman"/>
          <w:color w:val="auto"/>
          <w:sz w:val="32"/>
          <w:szCs w:val="32"/>
          <w:highlight w:val="none"/>
          <w:lang w:val="en-US" w:eastAsia="zh-CN"/>
        </w:rPr>
        <w:t>120.59</w:t>
      </w:r>
      <w:r>
        <w:rPr>
          <w:rFonts w:hint="default" w:ascii="Times New Roman" w:hAnsi="Times New Roman" w:eastAsia="仿宋" w:cs="Times New Roman"/>
          <w:color w:val="auto"/>
          <w:sz w:val="32"/>
          <w:szCs w:val="32"/>
          <w:highlight w:val="none"/>
        </w:rPr>
        <w:t>万元，占比</w:t>
      </w:r>
      <w:r>
        <w:rPr>
          <w:rFonts w:hint="default" w:ascii="Times New Roman" w:hAnsi="Times New Roman" w:eastAsia="仿宋" w:cs="Times New Roman"/>
          <w:color w:val="auto"/>
          <w:sz w:val="32"/>
          <w:szCs w:val="32"/>
          <w:highlight w:val="none"/>
          <w:lang w:val="en-US" w:eastAsia="zh-CN"/>
        </w:rPr>
        <w:t>5.63</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灾害防治及应急管理支出15.73万元，占比0.74%</w:t>
      </w:r>
      <w:r>
        <w:rPr>
          <w:rFonts w:hint="default" w:ascii="Times New Roman" w:hAnsi="Times New Roman" w:eastAsia="仿宋" w:cs="Times New Roman"/>
          <w:color w:val="auto"/>
          <w:sz w:val="32"/>
          <w:szCs w:val="32"/>
          <w:highlight w:val="none"/>
        </w:rPr>
        <w:t>。</w:t>
      </w:r>
    </w:p>
    <w:p w14:paraId="3CE44DF1">
      <w:pPr>
        <w:pStyle w:val="10"/>
        <w:rPr>
          <w:rFonts w:hint="default" w:ascii="Times New Roman" w:hAnsi="Times New Roman" w:eastAsia="仿宋" w:cs="Times New Roman"/>
          <w:color w:val="auto"/>
          <w:sz w:val="32"/>
          <w:szCs w:val="32"/>
          <w:highlight w:val="none"/>
        </w:rPr>
      </w:pPr>
      <w:r>
        <w:rPr>
          <w:rFonts w:hint="default" w:ascii="Times New Roman" w:hAnsi="Times New Roman" w:cs="Times New Roman"/>
        </w:rPr>
        <w:drawing>
          <wp:inline distT="0" distB="0" distL="114300" distR="114300">
            <wp:extent cx="5446395" cy="2533015"/>
            <wp:effectExtent l="4445" t="4445" r="16510" b="15240"/>
            <wp:docPr id="117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EDEF405">
      <w:pPr>
        <w:spacing w:line="600" w:lineRule="exac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32"/>
          <w:szCs w:val="32"/>
          <w:highlight w:val="none"/>
        </w:rPr>
        <w:t>（图6：一般公共预算财政拨款支出决算结构）（饼状图）</w:t>
      </w:r>
    </w:p>
    <w:p w14:paraId="4A2707F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楷体_GB2312" w:hAnsi="楷体_GB2312" w:eastAsia="楷体_GB2312" w:cs="楷体_GB2312"/>
          <w:b/>
          <w:color w:val="auto"/>
          <w:sz w:val="32"/>
          <w:szCs w:val="32"/>
          <w:highlight w:val="none"/>
        </w:rPr>
      </w:pPr>
      <w:bookmarkStart w:id="30" w:name="_Toc15377212"/>
      <w:r>
        <w:rPr>
          <w:rFonts w:hint="default" w:ascii="楷体_GB2312" w:hAnsi="楷体_GB2312" w:eastAsia="楷体_GB2312" w:cs="楷体_GB2312"/>
          <w:b/>
          <w:color w:val="auto"/>
          <w:sz w:val="32"/>
          <w:szCs w:val="32"/>
          <w:highlight w:val="none"/>
        </w:rPr>
        <w:t>（三）一般公共预算财政拨款支出决算具体情况</w:t>
      </w:r>
      <w:bookmarkEnd w:id="30"/>
    </w:p>
    <w:p w14:paraId="20BA63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default" w:ascii="Times New Roman" w:hAnsi="Times New Roman" w:eastAsia="仿宋" w:cs="Times New Roman"/>
          <w:b w:val="0"/>
          <w:bCs/>
          <w:color w:val="auto"/>
          <w:sz w:val="32"/>
          <w:szCs w:val="32"/>
          <w:highlight w:val="none"/>
        </w:rPr>
      </w:pPr>
      <w:bookmarkStart w:id="31" w:name="_Toc15377444"/>
      <w:bookmarkStart w:id="32" w:name="_Toc15377213"/>
      <w:bookmarkStart w:id="33" w:name="_Toc15378460"/>
      <w:r>
        <w:rPr>
          <w:rFonts w:hint="default" w:ascii="Times New Roman" w:hAnsi="Times New Roman" w:eastAsia="仿宋" w:cs="Times New Roman"/>
          <w:b w:val="0"/>
          <w:bCs/>
          <w:color w:val="auto"/>
          <w:sz w:val="32"/>
          <w:szCs w:val="32"/>
          <w:highlight w:val="none"/>
        </w:rPr>
        <w:t>20</w:t>
      </w:r>
      <w:r>
        <w:rPr>
          <w:rFonts w:hint="default" w:ascii="Times New Roman" w:hAnsi="Times New Roman" w:eastAsia="仿宋" w:cs="Times New Roman"/>
          <w:b w:val="0"/>
          <w:bCs/>
          <w:color w:val="auto"/>
          <w:sz w:val="32"/>
          <w:szCs w:val="32"/>
          <w:highlight w:val="none"/>
          <w:lang w:val="en-US" w:eastAsia="zh-CN"/>
        </w:rPr>
        <w:t>2</w:t>
      </w:r>
      <w:r>
        <w:rPr>
          <w:rFonts w:hint="eastAsia" w:eastAsia="仿宋" w:cs="Times New Roman"/>
          <w:b w:val="0"/>
          <w:bCs/>
          <w:color w:val="auto"/>
          <w:sz w:val="32"/>
          <w:szCs w:val="32"/>
          <w:highlight w:val="none"/>
          <w:lang w:val="en-US" w:eastAsia="zh-CN"/>
        </w:rPr>
        <w:t>4</w:t>
      </w:r>
      <w:r>
        <w:rPr>
          <w:rFonts w:hint="default" w:ascii="Times New Roman" w:hAnsi="Times New Roman" w:eastAsia="仿宋" w:cs="Times New Roman"/>
          <w:b w:val="0"/>
          <w:bCs/>
          <w:color w:val="auto"/>
          <w:sz w:val="32"/>
          <w:szCs w:val="32"/>
          <w:highlight w:val="none"/>
        </w:rPr>
        <w:t>年</w:t>
      </w:r>
      <w:r>
        <w:rPr>
          <w:rFonts w:hint="default" w:ascii="Times New Roman" w:hAnsi="Times New Roman" w:eastAsia="仿宋" w:cs="Times New Roman"/>
          <w:b w:val="0"/>
          <w:bCs/>
          <w:color w:val="auto"/>
          <w:sz w:val="32"/>
          <w:szCs w:val="32"/>
          <w:highlight w:val="none"/>
          <w:lang w:val="en-US" w:eastAsia="zh-CN"/>
        </w:rPr>
        <w:t>度</w:t>
      </w:r>
      <w:r>
        <w:rPr>
          <w:rFonts w:hint="default" w:ascii="Times New Roman" w:hAnsi="Times New Roman" w:eastAsia="仿宋" w:cs="Times New Roman"/>
          <w:b w:val="0"/>
          <w:bCs/>
          <w:color w:val="auto"/>
          <w:sz w:val="32"/>
          <w:szCs w:val="32"/>
          <w:highlight w:val="none"/>
          <w:lang w:eastAsia="zh-CN"/>
        </w:rPr>
        <w:t>一</w:t>
      </w:r>
      <w:r>
        <w:rPr>
          <w:rFonts w:hint="default" w:ascii="Times New Roman" w:hAnsi="Times New Roman" w:eastAsia="仿宋" w:cs="Times New Roman"/>
          <w:b w:val="0"/>
          <w:bCs/>
          <w:color w:val="auto"/>
          <w:sz w:val="32"/>
          <w:szCs w:val="32"/>
          <w:highlight w:val="none"/>
        </w:rPr>
        <w:t>般公共预算支出决算数为</w:t>
      </w:r>
      <w:r>
        <w:rPr>
          <w:rFonts w:hint="default" w:ascii="Times New Roman" w:hAnsi="Times New Roman" w:eastAsia="仿宋" w:cs="Times New Roman"/>
          <w:b w:val="0"/>
          <w:bCs/>
          <w:color w:val="auto"/>
          <w:sz w:val="32"/>
          <w:szCs w:val="32"/>
          <w:highlight w:val="none"/>
          <w:lang w:val="en-US" w:eastAsia="zh-CN"/>
        </w:rPr>
        <w:t>2141.27万元</w:t>
      </w:r>
      <w:r>
        <w:rPr>
          <w:rFonts w:hint="default" w:ascii="Times New Roman" w:hAnsi="Times New Roman" w:eastAsia="仿宋" w:cs="Times New Roman"/>
          <w:b w:val="0"/>
          <w:bCs/>
          <w:color w:val="auto"/>
          <w:sz w:val="32"/>
          <w:szCs w:val="32"/>
          <w:highlight w:val="none"/>
        </w:rPr>
        <w:t>，</w:t>
      </w:r>
      <w:r>
        <w:rPr>
          <w:rStyle w:val="23"/>
          <w:rFonts w:hint="default" w:ascii="Times New Roman" w:hAnsi="Times New Roman" w:eastAsia="仿宋" w:cs="Times New Roman"/>
          <w:b w:val="0"/>
          <w:bCs/>
          <w:color w:val="auto"/>
          <w:sz w:val="32"/>
          <w:szCs w:val="32"/>
          <w:highlight w:val="none"/>
        </w:rPr>
        <w:t>完成预算</w:t>
      </w:r>
      <w:r>
        <w:rPr>
          <w:rStyle w:val="23"/>
          <w:rFonts w:hint="default" w:ascii="Times New Roman" w:hAnsi="Times New Roman" w:eastAsia="仿宋" w:cs="Times New Roman"/>
          <w:b w:val="0"/>
          <w:bCs/>
          <w:color w:val="auto"/>
          <w:sz w:val="32"/>
          <w:szCs w:val="32"/>
          <w:highlight w:val="none"/>
          <w:lang w:val="en-US" w:eastAsia="zh-CN"/>
        </w:rPr>
        <w:t>100</w:t>
      </w:r>
      <w:r>
        <w:rPr>
          <w:rStyle w:val="23"/>
          <w:rFonts w:hint="default" w:ascii="Times New Roman" w:hAnsi="Times New Roman" w:eastAsia="仿宋" w:cs="Times New Roman"/>
          <w:b w:val="0"/>
          <w:bCs/>
          <w:color w:val="auto"/>
          <w:sz w:val="32"/>
          <w:szCs w:val="32"/>
          <w:highlight w:val="none"/>
        </w:rPr>
        <w:t>%。其中：</w:t>
      </w:r>
      <w:bookmarkEnd w:id="31"/>
      <w:bookmarkEnd w:id="32"/>
      <w:bookmarkEnd w:id="33"/>
    </w:p>
    <w:p w14:paraId="018982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23"/>
          <w:rFonts w:hint="default" w:ascii="Times New Roman" w:hAnsi="Times New Roman" w:eastAsia="仿宋" w:cs="Times New Roman"/>
          <w:b w:val="0"/>
          <w:bCs w:val="0"/>
          <w:color w:val="auto"/>
          <w:sz w:val="32"/>
          <w:szCs w:val="32"/>
          <w:highlight w:val="none"/>
        </w:rPr>
      </w:pPr>
      <w:r>
        <w:rPr>
          <w:rStyle w:val="23"/>
          <w:rFonts w:hint="default" w:ascii="Times New Roman" w:hAnsi="Times New Roman" w:eastAsia="仿宋" w:cs="Times New Roman"/>
          <w:b w:val="0"/>
          <w:bCs w:val="0"/>
          <w:color w:val="auto"/>
          <w:sz w:val="32"/>
          <w:szCs w:val="32"/>
          <w:highlight w:val="none"/>
          <w:lang w:val="en-US" w:eastAsia="zh-CN"/>
        </w:rPr>
        <w:t>1.</w:t>
      </w:r>
      <w:r>
        <w:rPr>
          <w:rStyle w:val="23"/>
          <w:rFonts w:hint="default" w:ascii="Times New Roman" w:hAnsi="Times New Roman" w:eastAsia="仿宋" w:cs="Times New Roman"/>
          <w:b w:val="0"/>
          <w:bCs w:val="0"/>
          <w:color w:val="auto"/>
          <w:sz w:val="32"/>
          <w:szCs w:val="32"/>
          <w:highlight w:val="none"/>
        </w:rPr>
        <w:t>一般公共服务（类）</w:t>
      </w:r>
      <w:r>
        <w:rPr>
          <w:rStyle w:val="23"/>
          <w:rFonts w:hint="default" w:ascii="Times New Roman" w:hAnsi="Times New Roman" w:eastAsia="仿宋" w:cs="Times New Roman"/>
          <w:b w:val="0"/>
          <w:bCs w:val="0"/>
          <w:color w:val="auto"/>
          <w:sz w:val="32"/>
          <w:szCs w:val="32"/>
          <w:highlight w:val="none"/>
          <w:lang w:val="en-US" w:eastAsia="zh-CN"/>
        </w:rPr>
        <w:t>市场监督管理事务（款）信息化建设（项）</w:t>
      </w:r>
      <w:r>
        <w:rPr>
          <w:rStyle w:val="23"/>
          <w:rFonts w:hint="default" w:ascii="Times New Roman" w:hAnsi="Times New Roman" w:eastAsia="仿宋" w:cs="Times New Roman"/>
          <w:b w:val="0"/>
          <w:bCs w:val="0"/>
          <w:color w:val="auto"/>
          <w:sz w:val="32"/>
          <w:szCs w:val="32"/>
          <w:highlight w:val="none"/>
        </w:rPr>
        <w:t>:支出决算为</w:t>
      </w:r>
      <w:r>
        <w:rPr>
          <w:rStyle w:val="23"/>
          <w:rFonts w:hint="default" w:ascii="Times New Roman" w:hAnsi="Times New Roman" w:eastAsia="仿宋" w:cs="Times New Roman"/>
          <w:b w:val="0"/>
          <w:bCs w:val="0"/>
          <w:color w:val="auto"/>
          <w:sz w:val="32"/>
          <w:szCs w:val="32"/>
          <w:highlight w:val="none"/>
          <w:lang w:val="en-US" w:eastAsia="zh-CN"/>
        </w:rPr>
        <w:t>9.24</w:t>
      </w:r>
      <w:r>
        <w:rPr>
          <w:rStyle w:val="23"/>
          <w:rFonts w:hint="default" w:ascii="Times New Roman" w:hAnsi="Times New Roman" w:eastAsia="仿宋" w:cs="Times New Roman"/>
          <w:b w:val="0"/>
          <w:bCs w:val="0"/>
          <w:color w:val="auto"/>
          <w:sz w:val="32"/>
          <w:szCs w:val="32"/>
          <w:highlight w:val="none"/>
        </w:rPr>
        <w:t>万元，完成预算</w:t>
      </w:r>
      <w:r>
        <w:rPr>
          <w:rStyle w:val="23"/>
          <w:rFonts w:hint="default" w:ascii="Times New Roman" w:hAnsi="Times New Roman" w:eastAsia="仿宋" w:cs="Times New Roman"/>
          <w:b w:val="0"/>
          <w:bCs w:val="0"/>
          <w:color w:val="auto"/>
          <w:sz w:val="32"/>
          <w:szCs w:val="32"/>
          <w:highlight w:val="none"/>
          <w:lang w:val="en-US" w:eastAsia="zh-CN"/>
        </w:rPr>
        <w:t>100</w:t>
      </w:r>
      <w:r>
        <w:rPr>
          <w:rStyle w:val="23"/>
          <w:rFonts w:hint="default" w:ascii="Times New Roman" w:hAnsi="Times New Roman" w:eastAsia="仿宋" w:cs="Times New Roman"/>
          <w:b w:val="0"/>
          <w:bCs w:val="0"/>
          <w:color w:val="auto"/>
          <w:sz w:val="32"/>
          <w:szCs w:val="32"/>
          <w:highlight w:val="none"/>
        </w:rPr>
        <w:t>%。</w:t>
      </w:r>
    </w:p>
    <w:p w14:paraId="0A62E43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b w:val="0"/>
          <w:bCs w:val="0"/>
        </w:rPr>
      </w:pPr>
      <w:r>
        <w:rPr>
          <w:rStyle w:val="23"/>
          <w:rFonts w:hint="default" w:ascii="Times New Roman" w:hAnsi="Times New Roman" w:eastAsia="仿宋" w:cs="Times New Roman"/>
          <w:b w:val="0"/>
          <w:bCs w:val="0"/>
          <w:color w:val="auto"/>
          <w:sz w:val="32"/>
          <w:szCs w:val="32"/>
          <w:highlight w:val="none"/>
          <w:lang w:val="en-US" w:eastAsia="zh-CN"/>
        </w:rPr>
        <w:t>2.</w:t>
      </w:r>
      <w:r>
        <w:rPr>
          <w:rStyle w:val="23"/>
          <w:rFonts w:hint="default" w:ascii="Times New Roman" w:hAnsi="Times New Roman" w:eastAsia="仿宋" w:cs="Times New Roman"/>
          <w:b w:val="0"/>
          <w:bCs w:val="0"/>
          <w:color w:val="auto"/>
          <w:sz w:val="32"/>
          <w:szCs w:val="32"/>
          <w:highlight w:val="none"/>
        </w:rPr>
        <w:t>一般公共服务（类）</w:t>
      </w:r>
      <w:r>
        <w:rPr>
          <w:rStyle w:val="23"/>
          <w:rFonts w:hint="default" w:ascii="Times New Roman" w:hAnsi="Times New Roman" w:eastAsia="仿宋" w:cs="Times New Roman"/>
          <w:b w:val="0"/>
          <w:bCs w:val="0"/>
          <w:color w:val="auto"/>
          <w:sz w:val="32"/>
          <w:szCs w:val="32"/>
          <w:highlight w:val="none"/>
          <w:lang w:val="en-US" w:eastAsia="zh-CN"/>
        </w:rPr>
        <w:t>市场监督管理事务（款）行政运行（项）</w:t>
      </w:r>
      <w:r>
        <w:rPr>
          <w:rStyle w:val="23"/>
          <w:rFonts w:hint="default" w:ascii="Times New Roman" w:hAnsi="Times New Roman" w:eastAsia="仿宋" w:cs="Times New Roman"/>
          <w:b w:val="0"/>
          <w:bCs w:val="0"/>
          <w:color w:val="auto"/>
          <w:sz w:val="32"/>
          <w:szCs w:val="32"/>
          <w:highlight w:val="none"/>
        </w:rPr>
        <w:t>:</w:t>
      </w:r>
      <w:r>
        <w:rPr>
          <w:rStyle w:val="23"/>
          <w:rFonts w:hint="default" w:ascii="Times New Roman" w:hAnsi="Times New Roman" w:eastAsia="仿宋" w:cs="Times New Roman"/>
          <w:b w:val="0"/>
          <w:bCs w:val="0"/>
          <w:color w:val="auto"/>
          <w:kern w:val="2"/>
          <w:sz w:val="32"/>
          <w:szCs w:val="32"/>
          <w:highlight w:val="none"/>
          <w:lang w:val="en-US" w:eastAsia="zh-CN" w:bidi="ar-SA"/>
        </w:rPr>
        <w:t>支出决算为847.58万元，完成预算100%</w:t>
      </w:r>
      <w:r>
        <w:rPr>
          <w:rStyle w:val="23"/>
          <w:rFonts w:hint="default" w:ascii="Times New Roman" w:hAnsi="Times New Roman" w:eastAsia="仿宋" w:cs="Times New Roman"/>
          <w:b w:val="0"/>
          <w:bCs w:val="0"/>
          <w:color w:val="auto"/>
          <w:sz w:val="32"/>
          <w:szCs w:val="32"/>
          <w:highlight w:val="none"/>
        </w:rPr>
        <w:t>。</w:t>
      </w:r>
    </w:p>
    <w:p w14:paraId="6A639CA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b w:val="0"/>
          <w:bCs w:val="0"/>
        </w:rPr>
      </w:pPr>
      <w:r>
        <w:rPr>
          <w:rStyle w:val="23"/>
          <w:rFonts w:hint="default" w:ascii="Times New Roman" w:hAnsi="Times New Roman" w:eastAsia="仿宋" w:cs="Times New Roman"/>
          <w:b w:val="0"/>
          <w:bCs w:val="0"/>
          <w:color w:val="auto"/>
          <w:sz w:val="32"/>
          <w:szCs w:val="32"/>
          <w:highlight w:val="none"/>
          <w:lang w:val="en-US" w:eastAsia="zh-CN"/>
        </w:rPr>
        <w:t>3.</w:t>
      </w:r>
      <w:r>
        <w:rPr>
          <w:rStyle w:val="23"/>
          <w:rFonts w:hint="default" w:ascii="Times New Roman" w:hAnsi="Times New Roman" w:eastAsia="仿宋" w:cs="Times New Roman"/>
          <w:b w:val="0"/>
          <w:bCs w:val="0"/>
          <w:color w:val="auto"/>
          <w:sz w:val="32"/>
          <w:szCs w:val="32"/>
          <w:highlight w:val="none"/>
        </w:rPr>
        <w:t>一般公共服务（类）</w:t>
      </w:r>
      <w:r>
        <w:rPr>
          <w:rStyle w:val="23"/>
          <w:rFonts w:hint="default" w:ascii="Times New Roman" w:hAnsi="Times New Roman" w:eastAsia="仿宋" w:cs="Times New Roman"/>
          <w:b w:val="0"/>
          <w:bCs w:val="0"/>
          <w:color w:val="auto"/>
          <w:sz w:val="32"/>
          <w:szCs w:val="32"/>
          <w:highlight w:val="none"/>
          <w:lang w:val="en-US" w:eastAsia="zh-CN"/>
        </w:rPr>
        <w:t>市场监督管理事务（款）一般行政管理事务（项）</w:t>
      </w:r>
      <w:r>
        <w:rPr>
          <w:rStyle w:val="23"/>
          <w:rFonts w:hint="default" w:ascii="Times New Roman" w:hAnsi="Times New Roman" w:eastAsia="仿宋" w:cs="Times New Roman"/>
          <w:b w:val="0"/>
          <w:bCs w:val="0"/>
          <w:color w:val="auto"/>
          <w:sz w:val="32"/>
          <w:szCs w:val="32"/>
          <w:highlight w:val="none"/>
        </w:rPr>
        <w:t>:支出决算为</w:t>
      </w:r>
      <w:r>
        <w:rPr>
          <w:rStyle w:val="23"/>
          <w:rFonts w:hint="default" w:ascii="Times New Roman" w:hAnsi="Times New Roman" w:eastAsia="仿宋" w:cs="Times New Roman"/>
          <w:b w:val="0"/>
          <w:bCs w:val="0"/>
          <w:color w:val="auto"/>
          <w:sz w:val="32"/>
          <w:szCs w:val="32"/>
          <w:highlight w:val="none"/>
          <w:lang w:val="en-US" w:eastAsia="zh-CN"/>
        </w:rPr>
        <w:t>60.06</w:t>
      </w:r>
      <w:r>
        <w:rPr>
          <w:rStyle w:val="23"/>
          <w:rFonts w:hint="default" w:ascii="Times New Roman" w:hAnsi="Times New Roman" w:eastAsia="仿宋" w:cs="Times New Roman"/>
          <w:b w:val="0"/>
          <w:bCs w:val="0"/>
          <w:color w:val="auto"/>
          <w:sz w:val="32"/>
          <w:szCs w:val="32"/>
          <w:highlight w:val="none"/>
        </w:rPr>
        <w:t>万元，完成预算</w:t>
      </w:r>
      <w:r>
        <w:rPr>
          <w:rStyle w:val="23"/>
          <w:rFonts w:hint="default" w:ascii="Times New Roman" w:hAnsi="Times New Roman" w:eastAsia="仿宋" w:cs="Times New Roman"/>
          <w:b w:val="0"/>
          <w:bCs w:val="0"/>
          <w:color w:val="auto"/>
          <w:sz w:val="32"/>
          <w:szCs w:val="32"/>
          <w:highlight w:val="none"/>
          <w:lang w:val="en-US" w:eastAsia="zh-CN"/>
        </w:rPr>
        <w:t>100</w:t>
      </w:r>
      <w:r>
        <w:rPr>
          <w:rStyle w:val="23"/>
          <w:rFonts w:hint="default" w:ascii="Times New Roman" w:hAnsi="Times New Roman" w:eastAsia="仿宋" w:cs="Times New Roman"/>
          <w:b w:val="0"/>
          <w:bCs w:val="0"/>
          <w:color w:val="auto"/>
          <w:sz w:val="32"/>
          <w:szCs w:val="32"/>
          <w:highlight w:val="none"/>
        </w:rPr>
        <w:t>%。</w:t>
      </w:r>
    </w:p>
    <w:p w14:paraId="440F1E5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b w:val="0"/>
          <w:bCs w:val="0"/>
        </w:rPr>
      </w:pPr>
      <w:r>
        <w:rPr>
          <w:rStyle w:val="23"/>
          <w:rFonts w:hint="default" w:ascii="Times New Roman" w:hAnsi="Times New Roman" w:eastAsia="仿宋" w:cs="Times New Roman"/>
          <w:b w:val="0"/>
          <w:bCs w:val="0"/>
          <w:color w:val="auto"/>
          <w:sz w:val="32"/>
          <w:szCs w:val="32"/>
          <w:highlight w:val="none"/>
          <w:lang w:val="en-US" w:eastAsia="zh-CN"/>
        </w:rPr>
        <w:t>4.</w:t>
      </w:r>
      <w:r>
        <w:rPr>
          <w:rStyle w:val="23"/>
          <w:rFonts w:hint="default" w:ascii="Times New Roman" w:hAnsi="Times New Roman" w:eastAsia="仿宋" w:cs="Times New Roman"/>
          <w:b w:val="0"/>
          <w:bCs w:val="0"/>
          <w:color w:val="auto"/>
          <w:sz w:val="32"/>
          <w:szCs w:val="32"/>
          <w:highlight w:val="none"/>
        </w:rPr>
        <w:t>一般公共服务（类）</w:t>
      </w:r>
      <w:r>
        <w:rPr>
          <w:rStyle w:val="23"/>
          <w:rFonts w:hint="default" w:ascii="Times New Roman" w:hAnsi="Times New Roman" w:eastAsia="仿宋" w:cs="Times New Roman"/>
          <w:b w:val="0"/>
          <w:bCs w:val="0"/>
          <w:color w:val="auto"/>
          <w:sz w:val="32"/>
          <w:szCs w:val="32"/>
          <w:highlight w:val="none"/>
          <w:lang w:val="en-US" w:eastAsia="zh-CN"/>
        </w:rPr>
        <w:t>市场监督管理事务（款）市场秩序执法（项）</w:t>
      </w:r>
      <w:r>
        <w:rPr>
          <w:rStyle w:val="23"/>
          <w:rFonts w:hint="default" w:ascii="Times New Roman" w:hAnsi="Times New Roman" w:eastAsia="仿宋" w:cs="Times New Roman"/>
          <w:b w:val="0"/>
          <w:bCs w:val="0"/>
          <w:color w:val="auto"/>
          <w:sz w:val="32"/>
          <w:szCs w:val="32"/>
          <w:highlight w:val="none"/>
        </w:rPr>
        <w:t>:支出决算为</w:t>
      </w:r>
      <w:r>
        <w:rPr>
          <w:rStyle w:val="23"/>
          <w:rFonts w:hint="default" w:ascii="Times New Roman" w:hAnsi="Times New Roman" w:eastAsia="仿宋" w:cs="Times New Roman"/>
          <w:b w:val="0"/>
          <w:bCs w:val="0"/>
          <w:color w:val="auto"/>
          <w:sz w:val="32"/>
          <w:szCs w:val="32"/>
          <w:highlight w:val="none"/>
          <w:lang w:val="en-US" w:eastAsia="zh-CN"/>
        </w:rPr>
        <w:t>56.59</w:t>
      </w:r>
      <w:r>
        <w:rPr>
          <w:rStyle w:val="23"/>
          <w:rFonts w:hint="default" w:ascii="Times New Roman" w:hAnsi="Times New Roman" w:eastAsia="仿宋" w:cs="Times New Roman"/>
          <w:b w:val="0"/>
          <w:bCs w:val="0"/>
          <w:color w:val="auto"/>
          <w:sz w:val="32"/>
          <w:szCs w:val="32"/>
          <w:highlight w:val="none"/>
        </w:rPr>
        <w:t>万元，完成预算</w:t>
      </w:r>
      <w:r>
        <w:rPr>
          <w:rStyle w:val="23"/>
          <w:rFonts w:hint="default" w:ascii="Times New Roman" w:hAnsi="Times New Roman" w:eastAsia="仿宋" w:cs="Times New Roman"/>
          <w:b w:val="0"/>
          <w:bCs w:val="0"/>
          <w:color w:val="auto"/>
          <w:sz w:val="32"/>
          <w:szCs w:val="32"/>
          <w:highlight w:val="none"/>
          <w:lang w:val="en-US" w:eastAsia="zh-CN"/>
        </w:rPr>
        <w:t>100</w:t>
      </w:r>
      <w:r>
        <w:rPr>
          <w:rStyle w:val="23"/>
          <w:rFonts w:hint="default" w:ascii="Times New Roman" w:hAnsi="Times New Roman" w:eastAsia="仿宋" w:cs="Times New Roman"/>
          <w:b w:val="0"/>
          <w:bCs w:val="0"/>
          <w:color w:val="auto"/>
          <w:sz w:val="32"/>
          <w:szCs w:val="32"/>
          <w:highlight w:val="none"/>
        </w:rPr>
        <w:t>%。</w:t>
      </w:r>
    </w:p>
    <w:p w14:paraId="7CBBC39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b w:val="0"/>
          <w:bCs w:val="0"/>
        </w:rPr>
      </w:pPr>
      <w:r>
        <w:rPr>
          <w:rStyle w:val="23"/>
          <w:rFonts w:hint="default" w:ascii="Times New Roman" w:hAnsi="Times New Roman" w:eastAsia="仿宋" w:cs="Times New Roman"/>
          <w:b w:val="0"/>
          <w:bCs w:val="0"/>
          <w:color w:val="auto"/>
          <w:sz w:val="32"/>
          <w:szCs w:val="32"/>
          <w:highlight w:val="none"/>
          <w:lang w:val="en-US" w:eastAsia="zh-CN"/>
        </w:rPr>
        <w:t>5.</w:t>
      </w:r>
      <w:r>
        <w:rPr>
          <w:rStyle w:val="23"/>
          <w:rFonts w:hint="default" w:ascii="Times New Roman" w:hAnsi="Times New Roman" w:eastAsia="仿宋" w:cs="Times New Roman"/>
          <w:b w:val="0"/>
          <w:bCs w:val="0"/>
          <w:color w:val="auto"/>
          <w:sz w:val="32"/>
          <w:szCs w:val="32"/>
          <w:highlight w:val="none"/>
        </w:rPr>
        <w:t>一般公共服务（类）</w:t>
      </w:r>
      <w:r>
        <w:rPr>
          <w:rStyle w:val="23"/>
          <w:rFonts w:hint="default" w:ascii="Times New Roman" w:hAnsi="Times New Roman" w:eastAsia="仿宋" w:cs="Times New Roman"/>
          <w:b w:val="0"/>
          <w:bCs w:val="0"/>
          <w:color w:val="auto"/>
          <w:sz w:val="32"/>
          <w:szCs w:val="32"/>
          <w:highlight w:val="none"/>
          <w:lang w:val="en-US" w:eastAsia="zh-CN"/>
        </w:rPr>
        <w:t>市场监督管理事务（款）药品事务（项）</w:t>
      </w:r>
      <w:r>
        <w:rPr>
          <w:rStyle w:val="23"/>
          <w:rFonts w:hint="default" w:ascii="Times New Roman" w:hAnsi="Times New Roman" w:eastAsia="仿宋" w:cs="Times New Roman"/>
          <w:b w:val="0"/>
          <w:bCs w:val="0"/>
          <w:color w:val="auto"/>
          <w:sz w:val="32"/>
          <w:szCs w:val="32"/>
          <w:highlight w:val="none"/>
        </w:rPr>
        <w:t>:支出决算为</w:t>
      </w:r>
      <w:r>
        <w:rPr>
          <w:rStyle w:val="23"/>
          <w:rFonts w:hint="default" w:ascii="Times New Roman" w:hAnsi="Times New Roman" w:eastAsia="仿宋" w:cs="Times New Roman"/>
          <w:b w:val="0"/>
          <w:bCs w:val="0"/>
          <w:color w:val="auto"/>
          <w:sz w:val="32"/>
          <w:szCs w:val="32"/>
          <w:highlight w:val="none"/>
          <w:lang w:val="en-US" w:eastAsia="zh-CN"/>
        </w:rPr>
        <w:t>24.82</w:t>
      </w:r>
      <w:r>
        <w:rPr>
          <w:rStyle w:val="23"/>
          <w:rFonts w:hint="default" w:ascii="Times New Roman" w:hAnsi="Times New Roman" w:eastAsia="仿宋" w:cs="Times New Roman"/>
          <w:b w:val="0"/>
          <w:bCs w:val="0"/>
          <w:color w:val="auto"/>
          <w:sz w:val="32"/>
          <w:szCs w:val="32"/>
          <w:highlight w:val="none"/>
        </w:rPr>
        <w:t>万元，完成预算</w:t>
      </w:r>
      <w:r>
        <w:rPr>
          <w:rStyle w:val="23"/>
          <w:rFonts w:hint="default" w:ascii="Times New Roman" w:hAnsi="Times New Roman" w:eastAsia="仿宋" w:cs="Times New Roman"/>
          <w:b w:val="0"/>
          <w:bCs w:val="0"/>
          <w:color w:val="auto"/>
          <w:sz w:val="32"/>
          <w:szCs w:val="32"/>
          <w:highlight w:val="none"/>
          <w:lang w:val="en-US" w:eastAsia="zh-CN"/>
        </w:rPr>
        <w:t>100</w:t>
      </w:r>
      <w:r>
        <w:rPr>
          <w:rStyle w:val="23"/>
          <w:rFonts w:hint="default" w:ascii="Times New Roman" w:hAnsi="Times New Roman" w:eastAsia="仿宋" w:cs="Times New Roman"/>
          <w:b w:val="0"/>
          <w:bCs w:val="0"/>
          <w:color w:val="auto"/>
          <w:sz w:val="32"/>
          <w:szCs w:val="32"/>
          <w:highlight w:val="none"/>
        </w:rPr>
        <w:t>%。</w:t>
      </w:r>
    </w:p>
    <w:p w14:paraId="7B97D1D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b w:val="0"/>
          <w:bCs w:val="0"/>
          <w:highlight w:val="none"/>
        </w:rPr>
      </w:pPr>
      <w:r>
        <w:rPr>
          <w:rStyle w:val="23"/>
          <w:rFonts w:hint="default" w:ascii="Times New Roman" w:hAnsi="Times New Roman" w:eastAsia="仿宋" w:cs="Times New Roman"/>
          <w:b w:val="0"/>
          <w:bCs w:val="0"/>
          <w:color w:val="auto"/>
          <w:sz w:val="32"/>
          <w:szCs w:val="32"/>
          <w:highlight w:val="none"/>
          <w:lang w:val="en-US" w:eastAsia="zh-CN"/>
        </w:rPr>
        <w:t>6.</w:t>
      </w:r>
      <w:r>
        <w:rPr>
          <w:rStyle w:val="23"/>
          <w:rFonts w:hint="default" w:ascii="Times New Roman" w:hAnsi="Times New Roman" w:eastAsia="仿宋" w:cs="Times New Roman"/>
          <w:b w:val="0"/>
          <w:bCs w:val="0"/>
          <w:color w:val="auto"/>
          <w:sz w:val="32"/>
          <w:szCs w:val="32"/>
          <w:highlight w:val="none"/>
        </w:rPr>
        <w:t>一般公共服务（类）</w:t>
      </w:r>
      <w:r>
        <w:rPr>
          <w:rStyle w:val="23"/>
          <w:rFonts w:hint="default" w:ascii="Times New Roman" w:hAnsi="Times New Roman" w:eastAsia="仿宋" w:cs="Times New Roman"/>
          <w:b w:val="0"/>
          <w:bCs w:val="0"/>
          <w:color w:val="auto"/>
          <w:sz w:val="32"/>
          <w:szCs w:val="32"/>
          <w:highlight w:val="none"/>
          <w:lang w:val="en-US" w:eastAsia="zh-CN"/>
        </w:rPr>
        <w:t>市场监督管理事务（款）其他市场监督管理事务（项）</w:t>
      </w:r>
      <w:r>
        <w:rPr>
          <w:rStyle w:val="23"/>
          <w:rFonts w:hint="default" w:ascii="Times New Roman" w:hAnsi="Times New Roman" w:eastAsia="仿宋" w:cs="Times New Roman"/>
          <w:b w:val="0"/>
          <w:bCs w:val="0"/>
          <w:color w:val="auto"/>
          <w:sz w:val="32"/>
          <w:szCs w:val="32"/>
          <w:highlight w:val="none"/>
        </w:rPr>
        <w:t>:支出决算为</w:t>
      </w:r>
      <w:r>
        <w:rPr>
          <w:rStyle w:val="23"/>
          <w:rFonts w:hint="default" w:ascii="Times New Roman" w:hAnsi="Times New Roman" w:eastAsia="仿宋" w:cs="Times New Roman"/>
          <w:b w:val="0"/>
          <w:bCs w:val="0"/>
          <w:color w:val="auto"/>
          <w:sz w:val="32"/>
          <w:szCs w:val="32"/>
          <w:highlight w:val="none"/>
          <w:lang w:val="en-US" w:eastAsia="zh-CN"/>
        </w:rPr>
        <w:t>39.47</w:t>
      </w:r>
      <w:r>
        <w:rPr>
          <w:rStyle w:val="23"/>
          <w:rFonts w:hint="default" w:ascii="Times New Roman" w:hAnsi="Times New Roman" w:eastAsia="仿宋" w:cs="Times New Roman"/>
          <w:b w:val="0"/>
          <w:bCs w:val="0"/>
          <w:color w:val="auto"/>
          <w:sz w:val="32"/>
          <w:szCs w:val="32"/>
          <w:highlight w:val="none"/>
        </w:rPr>
        <w:t>万元，完成预算</w:t>
      </w:r>
      <w:r>
        <w:rPr>
          <w:rStyle w:val="23"/>
          <w:rFonts w:hint="default" w:ascii="Times New Roman" w:hAnsi="Times New Roman" w:eastAsia="仿宋" w:cs="Times New Roman"/>
          <w:b w:val="0"/>
          <w:bCs w:val="0"/>
          <w:color w:val="auto"/>
          <w:sz w:val="32"/>
          <w:szCs w:val="32"/>
          <w:highlight w:val="none"/>
          <w:lang w:val="en-US" w:eastAsia="zh-CN"/>
        </w:rPr>
        <w:t>100</w:t>
      </w:r>
      <w:r>
        <w:rPr>
          <w:rStyle w:val="23"/>
          <w:rFonts w:hint="default" w:ascii="Times New Roman" w:hAnsi="Times New Roman" w:eastAsia="仿宋" w:cs="Times New Roman"/>
          <w:b w:val="0"/>
          <w:bCs w:val="0"/>
          <w:color w:val="auto"/>
          <w:sz w:val="32"/>
          <w:szCs w:val="32"/>
          <w:highlight w:val="none"/>
        </w:rPr>
        <w:t>%。</w:t>
      </w:r>
    </w:p>
    <w:p w14:paraId="7E74E57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b w:val="0"/>
          <w:bCs w:val="0"/>
        </w:rPr>
      </w:pPr>
      <w:r>
        <w:rPr>
          <w:rStyle w:val="23"/>
          <w:rFonts w:hint="default" w:ascii="Times New Roman" w:hAnsi="Times New Roman" w:eastAsia="仿宋" w:cs="Times New Roman"/>
          <w:b w:val="0"/>
          <w:bCs w:val="0"/>
          <w:color w:val="auto"/>
          <w:sz w:val="32"/>
          <w:szCs w:val="32"/>
          <w:highlight w:val="none"/>
          <w:lang w:val="en-US" w:eastAsia="zh-CN"/>
        </w:rPr>
        <w:t>7.</w:t>
      </w:r>
      <w:r>
        <w:rPr>
          <w:rStyle w:val="23"/>
          <w:rFonts w:hint="default" w:ascii="Times New Roman" w:hAnsi="Times New Roman" w:eastAsia="仿宋" w:cs="Times New Roman"/>
          <w:b w:val="0"/>
          <w:bCs w:val="0"/>
          <w:color w:val="auto"/>
          <w:sz w:val="32"/>
          <w:szCs w:val="32"/>
          <w:highlight w:val="none"/>
        </w:rPr>
        <w:t>一般公共服务（类）</w:t>
      </w:r>
      <w:r>
        <w:rPr>
          <w:rStyle w:val="23"/>
          <w:rFonts w:hint="default" w:ascii="Times New Roman" w:hAnsi="Times New Roman" w:eastAsia="仿宋" w:cs="Times New Roman"/>
          <w:b w:val="0"/>
          <w:bCs w:val="0"/>
          <w:color w:val="auto"/>
          <w:sz w:val="32"/>
          <w:szCs w:val="32"/>
          <w:highlight w:val="none"/>
          <w:lang w:val="en-US" w:eastAsia="zh-CN"/>
        </w:rPr>
        <w:t>市场监督管理事务（款）食品安全监管（项）</w:t>
      </w:r>
      <w:r>
        <w:rPr>
          <w:rStyle w:val="23"/>
          <w:rFonts w:hint="default" w:ascii="Times New Roman" w:hAnsi="Times New Roman" w:eastAsia="仿宋" w:cs="Times New Roman"/>
          <w:b w:val="0"/>
          <w:bCs w:val="0"/>
          <w:color w:val="auto"/>
          <w:sz w:val="32"/>
          <w:szCs w:val="32"/>
          <w:highlight w:val="none"/>
        </w:rPr>
        <w:t>:支出决算为</w:t>
      </w:r>
      <w:r>
        <w:rPr>
          <w:rStyle w:val="23"/>
          <w:rFonts w:hint="default" w:ascii="Times New Roman" w:hAnsi="Times New Roman" w:eastAsia="仿宋" w:cs="Times New Roman"/>
          <w:b w:val="0"/>
          <w:bCs w:val="0"/>
          <w:color w:val="auto"/>
          <w:sz w:val="32"/>
          <w:szCs w:val="32"/>
          <w:highlight w:val="none"/>
          <w:lang w:val="en-US" w:eastAsia="zh-CN"/>
        </w:rPr>
        <w:t>89.29</w:t>
      </w:r>
      <w:r>
        <w:rPr>
          <w:rStyle w:val="23"/>
          <w:rFonts w:hint="default" w:ascii="Times New Roman" w:hAnsi="Times New Roman" w:eastAsia="仿宋" w:cs="Times New Roman"/>
          <w:b w:val="0"/>
          <w:bCs w:val="0"/>
          <w:color w:val="auto"/>
          <w:sz w:val="32"/>
          <w:szCs w:val="32"/>
          <w:highlight w:val="none"/>
        </w:rPr>
        <w:t>万元，完成预算</w:t>
      </w:r>
      <w:r>
        <w:rPr>
          <w:rStyle w:val="23"/>
          <w:rFonts w:hint="default" w:ascii="Times New Roman" w:hAnsi="Times New Roman" w:eastAsia="仿宋" w:cs="Times New Roman"/>
          <w:b w:val="0"/>
          <w:bCs w:val="0"/>
          <w:color w:val="auto"/>
          <w:sz w:val="32"/>
          <w:szCs w:val="32"/>
          <w:highlight w:val="none"/>
          <w:lang w:val="en-US" w:eastAsia="zh-CN"/>
        </w:rPr>
        <w:t>100</w:t>
      </w:r>
      <w:r>
        <w:rPr>
          <w:rStyle w:val="23"/>
          <w:rFonts w:hint="default" w:ascii="Times New Roman" w:hAnsi="Times New Roman" w:eastAsia="仿宋" w:cs="Times New Roman"/>
          <w:b w:val="0"/>
          <w:bCs w:val="0"/>
          <w:color w:val="auto"/>
          <w:sz w:val="32"/>
          <w:szCs w:val="32"/>
          <w:highlight w:val="none"/>
        </w:rPr>
        <w:t>%。</w:t>
      </w:r>
    </w:p>
    <w:p w14:paraId="2929E01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Style w:val="23"/>
          <w:rFonts w:hint="default" w:ascii="Times New Roman" w:hAnsi="Times New Roman" w:eastAsia="仿宋" w:cs="Times New Roman"/>
          <w:b w:val="0"/>
          <w:bCs w:val="0"/>
          <w:color w:val="auto"/>
          <w:sz w:val="32"/>
          <w:szCs w:val="32"/>
          <w:highlight w:val="none"/>
        </w:rPr>
      </w:pPr>
      <w:r>
        <w:rPr>
          <w:rStyle w:val="23"/>
          <w:rFonts w:hint="default" w:ascii="Times New Roman" w:hAnsi="Times New Roman" w:eastAsia="仿宋" w:cs="Times New Roman"/>
          <w:b w:val="0"/>
          <w:bCs w:val="0"/>
          <w:color w:val="auto"/>
          <w:sz w:val="32"/>
          <w:szCs w:val="32"/>
          <w:highlight w:val="none"/>
          <w:lang w:val="en-US" w:eastAsia="zh-CN"/>
        </w:rPr>
        <w:t>8.</w:t>
      </w:r>
      <w:r>
        <w:rPr>
          <w:rStyle w:val="23"/>
          <w:rFonts w:hint="default" w:ascii="Times New Roman" w:hAnsi="Times New Roman" w:eastAsia="仿宋" w:cs="Times New Roman"/>
          <w:b w:val="0"/>
          <w:bCs w:val="0"/>
          <w:color w:val="auto"/>
          <w:sz w:val="32"/>
          <w:szCs w:val="32"/>
          <w:highlight w:val="none"/>
        </w:rPr>
        <w:t>一般公共服务（类）</w:t>
      </w:r>
      <w:r>
        <w:rPr>
          <w:rStyle w:val="23"/>
          <w:rFonts w:hint="default" w:ascii="Times New Roman" w:hAnsi="Times New Roman" w:eastAsia="仿宋" w:cs="Times New Roman"/>
          <w:b w:val="0"/>
          <w:bCs w:val="0"/>
          <w:color w:val="auto"/>
          <w:sz w:val="32"/>
          <w:szCs w:val="32"/>
          <w:highlight w:val="none"/>
          <w:lang w:val="en-US" w:eastAsia="zh-CN"/>
        </w:rPr>
        <w:t>市场监督管理事务（款）事业运行（项）</w:t>
      </w:r>
      <w:r>
        <w:rPr>
          <w:rStyle w:val="23"/>
          <w:rFonts w:hint="default" w:ascii="Times New Roman" w:hAnsi="Times New Roman" w:eastAsia="仿宋" w:cs="Times New Roman"/>
          <w:b w:val="0"/>
          <w:bCs w:val="0"/>
          <w:color w:val="auto"/>
          <w:sz w:val="32"/>
          <w:szCs w:val="32"/>
          <w:highlight w:val="none"/>
        </w:rPr>
        <w:t>:支出决算为</w:t>
      </w:r>
      <w:r>
        <w:rPr>
          <w:rStyle w:val="23"/>
          <w:rFonts w:hint="default" w:ascii="Times New Roman" w:hAnsi="Times New Roman" w:eastAsia="仿宋" w:cs="Times New Roman"/>
          <w:b w:val="0"/>
          <w:bCs w:val="0"/>
          <w:color w:val="auto"/>
          <w:sz w:val="32"/>
          <w:szCs w:val="32"/>
          <w:highlight w:val="none"/>
          <w:lang w:val="en-US" w:eastAsia="zh-CN"/>
        </w:rPr>
        <w:t>399.35</w:t>
      </w:r>
      <w:r>
        <w:rPr>
          <w:rStyle w:val="23"/>
          <w:rFonts w:hint="default" w:ascii="Times New Roman" w:hAnsi="Times New Roman" w:eastAsia="仿宋" w:cs="Times New Roman"/>
          <w:b w:val="0"/>
          <w:bCs w:val="0"/>
          <w:color w:val="auto"/>
          <w:sz w:val="32"/>
          <w:szCs w:val="32"/>
          <w:highlight w:val="none"/>
        </w:rPr>
        <w:t>万元，完成预算</w:t>
      </w:r>
      <w:r>
        <w:rPr>
          <w:rStyle w:val="23"/>
          <w:rFonts w:hint="default" w:ascii="Times New Roman" w:hAnsi="Times New Roman" w:eastAsia="仿宋" w:cs="Times New Roman"/>
          <w:b w:val="0"/>
          <w:bCs w:val="0"/>
          <w:color w:val="auto"/>
          <w:sz w:val="32"/>
          <w:szCs w:val="32"/>
          <w:highlight w:val="none"/>
          <w:lang w:val="en-US" w:eastAsia="zh-CN"/>
        </w:rPr>
        <w:t>100</w:t>
      </w:r>
      <w:r>
        <w:rPr>
          <w:rStyle w:val="23"/>
          <w:rFonts w:hint="default" w:ascii="Times New Roman" w:hAnsi="Times New Roman" w:eastAsia="仿宋" w:cs="Times New Roman"/>
          <w:b w:val="0"/>
          <w:bCs w:val="0"/>
          <w:color w:val="auto"/>
          <w:sz w:val="32"/>
          <w:szCs w:val="32"/>
          <w:highlight w:val="none"/>
        </w:rPr>
        <w:t>%。</w:t>
      </w:r>
    </w:p>
    <w:p w14:paraId="0129A2B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Style w:val="23"/>
          <w:rFonts w:hint="default" w:ascii="Times New Roman" w:hAnsi="Times New Roman" w:eastAsia="仿宋" w:cs="Times New Roman"/>
          <w:b w:val="0"/>
          <w:bCs w:val="0"/>
          <w:color w:val="auto"/>
          <w:sz w:val="32"/>
          <w:szCs w:val="32"/>
          <w:highlight w:val="none"/>
          <w:lang w:val="en-US" w:eastAsia="zh-CN"/>
        </w:rPr>
      </w:pPr>
      <w:r>
        <w:rPr>
          <w:rStyle w:val="23"/>
          <w:rFonts w:hint="default" w:ascii="Times New Roman" w:hAnsi="Times New Roman" w:eastAsia="仿宋" w:cs="Times New Roman"/>
          <w:b w:val="0"/>
          <w:bCs w:val="0"/>
          <w:color w:val="auto"/>
          <w:sz w:val="32"/>
          <w:szCs w:val="32"/>
          <w:highlight w:val="none"/>
          <w:lang w:val="en-US" w:eastAsia="zh-CN"/>
        </w:rPr>
        <w:t>9.灾害防治及应急管理支出</w:t>
      </w:r>
      <w:r>
        <w:rPr>
          <w:rStyle w:val="23"/>
          <w:rFonts w:hint="default" w:ascii="Times New Roman" w:hAnsi="Times New Roman" w:eastAsia="仿宋" w:cs="Times New Roman"/>
          <w:b w:val="0"/>
          <w:bCs w:val="0"/>
          <w:color w:val="auto"/>
          <w:sz w:val="32"/>
          <w:szCs w:val="32"/>
          <w:highlight w:val="none"/>
        </w:rPr>
        <w:t>（类）</w:t>
      </w:r>
      <w:r>
        <w:rPr>
          <w:rStyle w:val="23"/>
          <w:rFonts w:hint="default" w:ascii="Times New Roman" w:hAnsi="Times New Roman" w:eastAsia="仿宋" w:cs="Times New Roman"/>
          <w:b w:val="0"/>
          <w:bCs w:val="0"/>
          <w:color w:val="auto"/>
          <w:sz w:val="32"/>
          <w:szCs w:val="32"/>
          <w:highlight w:val="none"/>
          <w:lang w:val="en-US" w:eastAsia="zh-CN"/>
        </w:rPr>
        <w:t>应急管理事务（款）其他应急管理支出（项）</w:t>
      </w:r>
      <w:r>
        <w:rPr>
          <w:rStyle w:val="23"/>
          <w:rFonts w:hint="default" w:ascii="Times New Roman" w:hAnsi="Times New Roman" w:eastAsia="仿宋" w:cs="Times New Roman"/>
          <w:b w:val="0"/>
          <w:bCs w:val="0"/>
          <w:color w:val="auto"/>
          <w:sz w:val="32"/>
          <w:szCs w:val="32"/>
          <w:highlight w:val="none"/>
        </w:rPr>
        <w:t>:支出决算为</w:t>
      </w:r>
      <w:r>
        <w:rPr>
          <w:rStyle w:val="23"/>
          <w:rFonts w:hint="default" w:ascii="Times New Roman" w:hAnsi="Times New Roman" w:eastAsia="仿宋" w:cs="Times New Roman"/>
          <w:b w:val="0"/>
          <w:bCs w:val="0"/>
          <w:color w:val="auto"/>
          <w:sz w:val="32"/>
          <w:szCs w:val="32"/>
          <w:highlight w:val="none"/>
          <w:lang w:val="en-US" w:eastAsia="zh-CN"/>
        </w:rPr>
        <w:t>15.73</w:t>
      </w:r>
      <w:r>
        <w:rPr>
          <w:rStyle w:val="23"/>
          <w:rFonts w:hint="default" w:ascii="Times New Roman" w:hAnsi="Times New Roman" w:eastAsia="仿宋" w:cs="Times New Roman"/>
          <w:b w:val="0"/>
          <w:bCs w:val="0"/>
          <w:color w:val="auto"/>
          <w:sz w:val="32"/>
          <w:szCs w:val="32"/>
          <w:highlight w:val="none"/>
        </w:rPr>
        <w:t>万元，完成预算</w:t>
      </w:r>
      <w:r>
        <w:rPr>
          <w:rStyle w:val="23"/>
          <w:rFonts w:hint="default" w:ascii="Times New Roman" w:hAnsi="Times New Roman" w:eastAsia="仿宋" w:cs="Times New Roman"/>
          <w:b w:val="0"/>
          <w:bCs w:val="0"/>
          <w:color w:val="auto"/>
          <w:sz w:val="32"/>
          <w:szCs w:val="32"/>
          <w:highlight w:val="none"/>
          <w:lang w:val="en-US" w:eastAsia="zh-CN"/>
        </w:rPr>
        <w:t>100</w:t>
      </w:r>
      <w:r>
        <w:rPr>
          <w:rStyle w:val="23"/>
          <w:rFonts w:hint="default" w:ascii="Times New Roman" w:hAnsi="Times New Roman" w:eastAsia="仿宋" w:cs="Times New Roman"/>
          <w:b w:val="0"/>
          <w:bCs w:val="0"/>
          <w:color w:val="auto"/>
          <w:sz w:val="32"/>
          <w:szCs w:val="32"/>
          <w:highlight w:val="none"/>
        </w:rPr>
        <w:t>%。</w:t>
      </w:r>
    </w:p>
    <w:p w14:paraId="34BED1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23"/>
          <w:rFonts w:hint="default" w:ascii="Times New Roman" w:hAnsi="Times New Roman" w:eastAsia="仿宋" w:cs="Times New Roman"/>
          <w:b w:val="0"/>
          <w:bCs w:val="0"/>
          <w:color w:val="auto"/>
          <w:sz w:val="32"/>
          <w:szCs w:val="32"/>
          <w:highlight w:val="none"/>
        </w:rPr>
      </w:pPr>
      <w:r>
        <w:rPr>
          <w:rStyle w:val="23"/>
          <w:rFonts w:hint="default" w:ascii="Times New Roman" w:hAnsi="Times New Roman" w:eastAsia="仿宋" w:cs="Times New Roman"/>
          <w:b w:val="0"/>
          <w:bCs w:val="0"/>
          <w:color w:val="auto"/>
          <w:sz w:val="32"/>
          <w:szCs w:val="32"/>
          <w:highlight w:val="none"/>
          <w:lang w:val="en-US" w:eastAsia="zh-CN"/>
        </w:rPr>
        <w:t>10.</w:t>
      </w:r>
      <w:r>
        <w:rPr>
          <w:rFonts w:hint="default" w:ascii="Times New Roman" w:hAnsi="Times New Roman" w:eastAsia="仿宋" w:cs="Times New Roman"/>
          <w:b w:val="0"/>
          <w:bCs w:val="0"/>
          <w:color w:val="000000"/>
          <w:sz w:val="32"/>
          <w:szCs w:val="32"/>
        </w:rPr>
        <w:t>住房保障</w:t>
      </w:r>
      <w:r>
        <w:rPr>
          <w:rStyle w:val="23"/>
          <w:rFonts w:hint="default" w:ascii="Times New Roman" w:hAnsi="Times New Roman" w:eastAsia="仿宋" w:cs="Times New Roman"/>
          <w:b w:val="0"/>
          <w:bCs w:val="0"/>
          <w:color w:val="000000"/>
          <w:sz w:val="32"/>
          <w:szCs w:val="32"/>
          <w:lang w:eastAsia="zh-CN"/>
        </w:rPr>
        <w:t>（</w:t>
      </w:r>
      <w:r>
        <w:rPr>
          <w:rStyle w:val="23"/>
          <w:rFonts w:hint="default" w:ascii="Times New Roman" w:hAnsi="Times New Roman" w:eastAsia="仿宋" w:cs="Times New Roman"/>
          <w:b w:val="0"/>
          <w:bCs w:val="0"/>
          <w:color w:val="000000"/>
          <w:sz w:val="32"/>
          <w:szCs w:val="32"/>
          <w:lang w:val="en-US" w:eastAsia="zh-CN"/>
        </w:rPr>
        <w:t>类</w:t>
      </w:r>
      <w:r>
        <w:rPr>
          <w:rStyle w:val="23"/>
          <w:rFonts w:hint="default" w:ascii="Times New Roman" w:hAnsi="Times New Roman" w:eastAsia="仿宋" w:cs="Times New Roman"/>
          <w:b w:val="0"/>
          <w:bCs w:val="0"/>
          <w:color w:val="000000"/>
          <w:sz w:val="32"/>
          <w:szCs w:val="32"/>
          <w:lang w:eastAsia="zh-CN"/>
        </w:rPr>
        <w:t>）</w:t>
      </w:r>
      <w:r>
        <w:rPr>
          <w:rStyle w:val="23"/>
          <w:rFonts w:hint="default" w:ascii="Times New Roman" w:hAnsi="Times New Roman" w:eastAsia="仿宋" w:cs="Times New Roman"/>
          <w:b w:val="0"/>
          <w:bCs w:val="0"/>
          <w:color w:val="000000"/>
          <w:sz w:val="32"/>
          <w:szCs w:val="32"/>
          <w:lang w:val="en-US" w:eastAsia="zh-CN"/>
        </w:rPr>
        <w:t>住房改革支出（款）住房公积金（项）</w:t>
      </w:r>
      <w:r>
        <w:rPr>
          <w:rStyle w:val="23"/>
          <w:rFonts w:hint="default" w:ascii="Times New Roman" w:hAnsi="Times New Roman" w:eastAsia="仿宋" w:cs="Times New Roman"/>
          <w:b w:val="0"/>
          <w:bCs w:val="0"/>
          <w:color w:val="000000"/>
          <w:sz w:val="32"/>
          <w:szCs w:val="32"/>
          <w:lang w:eastAsia="zh-CN"/>
        </w:rPr>
        <w:t>：</w:t>
      </w:r>
      <w:r>
        <w:rPr>
          <w:rStyle w:val="23"/>
          <w:rFonts w:hint="default" w:ascii="Times New Roman" w:hAnsi="Times New Roman" w:eastAsia="仿宋" w:cs="Times New Roman"/>
          <w:b w:val="0"/>
          <w:bCs w:val="0"/>
          <w:color w:val="auto"/>
          <w:sz w:val="32"/>
          <w:szCs w:val="32"/>
          <w:highlight w:val="none"/>
          <w:lang w:val="en-US" w:eastAsia="zh-CN"/>
        </w:rPr>
        <w:t>支出决算为120.59万元，完成预算100%。</w:t>
      </w:r>
    </w:p>
    <w:p w14:paraId="2E7F25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23"/>
          <w:rFonts w:hint="default" w:ascii="Times New Roman" w:hAnsi="Times New Roman" w:eastAsia="仿宋" w:cs="Times New Roman"/>
          <w:b w:val="0"/>
          <w:bCs w:val="0"/>
          <w:color w:val="auto"/>
          <w:sz w:val="32"/>
          <w:szCs w:val="32"/>
          <w:highlight w:val="none"/>
        </w:rPr>
      </w:pPr>
      <w:r>
        <w:rPr>
          <w:rStyle w:val="23"/>
          <w:rFonts w:hint="default" w:ascii="Times New Roman" w:hAnsi="Times New Roman" w:eastAsia="仿宋" w:cs="Times New Roman"/>
          <w:b w:val="0"/>
          <w:bCs w:val="0"/>
          <w:color w:val="auto"/>
          <w:sz w:val="32"/>
          <w:szCs w:val="32"/>
          <w:highlight w:val="none"/>
          <w:lang w:val="en-US" w:eastAsia="zh-CN"/>
        </w:rPr>
        <w:t>11</w:t>
      </w:r>
      <w:r>
        <w:rPr>
          <w:rStyle w:val="23"/>
          <w:rFonts w:hint="default" w:ascii="Times New Roman" w:hAnsi="Times New Roman" w:eastAsia="仿宋" w:cs="Times New Roman"/>
          <w:b w:val="0"/>
          <w:bCs w:val="0"/>
          <w:color w:val="auto"/>
          <w:sz w:val="32"/>
          <w:szCs w:val="32"/>
          <w:highlight w:val="none"/>
        </w:rPr>
        <w:t>.社会保障和就业（类）</w:t>
      </w:r>
      <w:r>
        <w:rPr>
          <w:rStyle w:val="23"/>
          <w:rFonts w:hint="default" w:ascii="Times New Roman" w:hAnsi="Times New Roman" w:eastAsia="仿宋" w:cs="Times New Roman"/>
          <w:b w:val="0"/>
          <w:bCs w:val="0"/>
          <w:color w:val="auto"/>
          <w:sz w:val="32"/>
          <w:szCs w:val="32"/>
          <w:highlight w:val="none"/>
          <w:lang w:val="en-US" w:eastAsia="zh-CN"/>
        </w:rPr>
        <w:t>行政事业单位养老支出（款）行政单位离退休（项）</w:t>
      </w:r>
      <w:r>
        <w:rPr>
          <w:rStyle w:val="23"/>
          <w:rFonts w:hint="default" w:ascii="Times New Roman" w:hAnsi="Times New Roman" w:eastAsia="仿宋" w:cs="Times New Roman"/>
          <w:b w:val="0"/>
          <w:bCs w:val="0"/>
          <w:color w:val="auto"/>
          <w:sz w:val="32"/>
          <w:szCs w:val="32"/>
          <w:highlight w:val="none"/>
        </w:rPr>
        <w:t>:支出决算为</w:t>
      </w:r>
      <w:r>
        <w:rPr>
          <w:rStyle w:val="23"/>
          <w:rFonts w:hint="default" w:ascii="Times New Roman" w:hAnsi="Times New Roman" w:eastAsia="仿宋" w:cs="Times New Roman"/>
          <w:b w:val="0"/>
          <w:bCs w:val="0"/>
          <w:color w:val="auto"/>
          <w:sz w:val="32"/>
          <w:szCs w:val="32"/>
          <w:highlight w:val="none"/>
          <w:lang w:val="en-US" w:eastAsia="zh-CN"/>
        </w:rPr>
        <w:t>100.18</w:t>
      </w:r>
      <w:r>
        <w:rPr>
          <w:rStyle w:val="23"/>
          <w:rFonts w:hint="default" w:ascii="Times New Roman" w:hAnsi="Times New Roman" w:eastAsia="仿宋" w:cs="Times New Roman"/>
          <w:b w:val="0"/>
          <w:bCs w:val="0"/>
          <w:color w:val="auto"/>
          <w:sz w:val="32"/>
          <w:szCs w:val="32"/>
          <w:highlight w:val="none"/>
        </w:rPr>
        <w:t>万元，完成预算</w:t>
      </w:r>
      <w:r>
        <w:rPr>
          <w:rStyle w:val="23"/>
          <w:rFonts w:hint="default" w:ascii="Times New Roman" w:hAnsi="Times New Roman" w:eastAsia="仿宋" w:cs="Times New Roman"/>
          <w:b w:val="0"/>
          <w:bCs w:val="0"/>
          <w:color w:val="auto"/>
          <w:sz w:val="32"/>
          <w:szCs w:val="32"/>
          <w:highlight w:val="none"/>
          <w:lang w:val="en-US" w:eastAsia="zh-CN"/>
        </w:rPr>
        <w:t>100</w:t>
      </w:r>
      <w:r>
        <w:rPr>
          <w:rStyle w:val="23"/>
          <w:rFonts w:hint="default" w:ascii="Times New Roman" w:hAnsi="Times New Roman" w:eastAsia="仿宋" w:cs="Times New Roman"/>
          <w:b w:val="0"/>
          <w:bCs w:val="0"/>
          <w:color w:val="auto"/>
          <w:sz w:val="32"/>
          <w:szCs w:val="32"/>
          <w:highlight w:val="none"/>
        </w:rPr>
        <w:t>%。</w:t>
      </w:r>
    </w:p>
    <w:p w14:paraId="311AB2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23"/>
          <w:rFonts w:hint="default" w:ascii="Times New Roman" w:hAnsi="Times New Roman" w:eastAsia="仿宋" w:cs="Times New Roman"/>
          <w:b w:val="0"/>
          <w:bCs w:val="0"/>
          <w:color w:val="auto"/>
          <w:sz w:val="32"/>
          <w:szCs w:val="32"/>
          <w:highlight w:val="none"/>
        </w:rPr>
      </w:pPr>
      <w:r>
        <w:rPr>
          <w:rStyle w:val="23"/>
          <w:rFonts w:hint="default" w:ascii="Times New Roman" w:hAnsi="Times New Roman" w:eastAsia="仿宋" w:cs="Times New Roman"/>
          <w:b w:val="0"/>
          <w:bCs w:val="0"/>
          <w:color w:val="auto"/>
          <w:sz w:val="32"/>
          <w:szCs w:val="32"/>
          <w:highlight w:val="none"/>
          <w:lang w:val="en-US" w:eastAsia="zh-CN"/>
        </w:rPr>
        <w:t>12</w:t>
      </w:r>
      <w:r>
        <w:rPr>
          <w:rStyle w:val="23"/>
          <w:rFonts w:hint="default" w:ascii="Times New Roman" w:hAnsi="Times New Roman" w:eastAsia="仿宋" w:cs="Times New Roman"/>
          <w:b w:val="0"/>
          <w:bCs w:val="0"/>
          <w:color w:val="auto"/>
          <w:sz w:val="32"/>
          <w:szCs w:val="32"/>
          <w:highlight w:val="none"/>
        </w:rPr>
        <w:t>.社会保障和就业（类）</w:t>
      </w:r>
      <w:r>
        <w:rPr>
          <w:rStyle w:val="23"/>
          <w:rFonts w:hint="default" w:ascii="Times New Roman" w:hAnsi="Times New Roman" w:eastAsia="仿宋" w:cs="Times New Roman"/>
          <w:b w:val="0"/>
          <w:bCs w:val="0"/>
          <w:color w:val="auto"/>
          <w:sz w:val="32"/>
          <w:szCs w:val="32"/>
          <w:highlight w:val="none"/>
          <w:lang w:val="en-US" w:eastAsia="zh-CN"/>
        </w:rPr>
        <w:t>行政事业单位养老支出（款）机关事业单位基本养老保险缴费支出（项）</w:t>
      </w:r>
      <w:r>
        <w:rPr>
          <w:rStyle w:val="23"/>
          <w:rFonts w:hint="default" w:ascii="Times New Roman" w:hAnsi="Times New Roman" w:eastAsia="仿宋" w:cs="Times New Roman"/>
          <w:b w:val="0"/>
          <w:bCs w:val="0"/>
          <w:color w:val="auto"/>
          <w:sz w:val="32"/>
          <w:szCs w:val="32"/>
          <w:highlight w:val="none"/>
        </w:rPr>
        <w:t>:支出决算为</w:t>
      </w:r>
      <w:r>
        <w:rPr>
          <w:rStyle w:val="23"/>
          <w:rFonts w:hint="default" w:ascii="Times New Roman" w:hAnsi="Times New Roman" w:eastAsia="仿宋" w:cs="Times New Roman"/>
          <w:b w:val="0"/>
          <w:bCs w:val="0"/>
          <w:color w:val="auto"/>
          <w:sz w:val="32"/>
          <w:szCs w:val="32"/>
          <w:highlight w:val="none"/>
          <w:lang w:val="en-US" w:eastAsia="zh-CN"/>
        </w:rPr>
        <w:t>163.44</w:t>
      </w:r>
      <w:r>
        <w:rPr>
          <w:rStyle w:val="23"/>
          <w:rFonts w:hint="default" w:ascii="Times New Roman" w:hAnsi="Times New Roman" w:eastAsia="仿宋" w:cs="Times New Roman"/>
          <w:b w:val="0"/>
          <w:bCs w:val="0"/>
          <w:color w:val="auto"/>
          <w:sz w:val="32"/>
          <w:szCs w:val="32"/>
          <w:highlight w:val="none"/>
        </w:rPr>
        <w:t>万元，完成预算</w:t>
      </w:r>
      <w:r>
        <w:rPr>
          <w:rStyle w:val="23"/>
          <w:rFonts w:hint="default" w:ascii="Times New Roman" w:hAnsi="Times New Roman" w:eastAsia="仿宋" w:cs="Times New Roman"/>
          <w:b w:val="0"/>
          <w:bCs w:val="0"/>
          <w:color w:val="auto"/>
          <w:sz w:val="32"/>
          <w:szCs w:val="32"/>
          <w:highlight w:val="none"/>
          <w:lang w:val="en-US" w:eastAsia="zh-CN"/>
        </w:rPr>
        <w:t>100</w:t>
      </w:r>
      <w:r>
        <w:rPr>
          <w:rStyle w:val="23"/>
          <w:rFonts w:hint="default" w:ascii="Times New Roman" w:hAnsi="Times New Roman" w:eastAsia="仿宋" w:cs="Times New Roman"/>
          <w:b w:val="0"/>
          <w:bCs w:val="0"/>
          <w:color w:val="auto"/>
          <w:sz w:val="32"/>
          <w:szCs w:val="32"/>
          <w:highlight w:val="none"/>
        </w:rPr>
        <w:t>%。</w:t>
      </w:r>
    </w:p>
    <w:p w14:paraId="0F8281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b w:val="0"/>
          <w:bCs w:val="0"/>
        </w:rPr>
      </w:pPr>
      <w:r>
        <w:rPr>
          <w:rStyle w:val="23"/>
          <w:rFonts w:hint="default" w:ascii="Times New Roman" w:hAnsi="Times New Roman" w:eastAsia="仿宋" w:cs="Times New Roman"/>
          <w:b w:val="0"/>
          <w:bCs w:val="0"/>
          <w:color w:val="auto"/>
          <w:sz w:val="32"/>
          <w:szCs w:val="32"/>
          <w:highlight w:val="none"/>
          <w:lang w:val="en-US" w:eastAsia="zh-CN"/>
        </w:rPr>
        <w:t>13</w:t>
      </w:r>
      <w:r>
        <w:rPr>
          <w:rStyle w:val="23"/>
          <w:rFonts w:hint="default" w:ascii="Times New Roman" w:hAnsi="Times New Roman" w:eastAsia="仿宋" w:cs="Times New Roman"/>
          <w:b w:val="0"/>
          <w:bCs w:val="0"/>
          <w:color w:val="auto"/>
          <w:sz w:val="32"/>
          <w:szCs w:val="32"/>
          <w:highlight w:val="none"/>
        </w:rPr>
        <w:t>.社会保障和就业（类）</w:t>
      </w:r>
      <w:r>
        <w:rPr>
          <w:rStyle w:val="23"/>
          <w:rFonts w:hint="default" w:ascii="Times New Roman" w:hAnsi="Times New Roman" w:eastAsia="仿宋" w:cs="Times New Roman"/>
          <w:b w:val="0"/>
          <w:bCs w:val="0"/>
          <w:color w:val="auto"/>
          <w:sz w:val="32"/>
          <w:szCs w:val="32"/>
          <w:highlight w:val="none"/>
          <w:lang w:val="en-US" w:eastAsia="zh-CN"/>
        </w:rPr>
        <w:t>其他社会保障和就业支出（款）其他社会保障和就业支出（项）</w:t>
      </w:r>
      <w:r>
        <w:rPr>
          <w:rStyle w:val="23"/>
          <w:rFonts w:hint="default" w:ascii="Times New Roman" w:hAnsi="Times New Roman" w:eastAsia="仿宋" w:cs="Times New Roman"/>
          <w:b w:val="0"/>
          <w:bCs w:val="0"/>
          <w:color w:val="auto"/>
          <w:sz w:val="32"/>
          <w:szCs w:val="32"/>
          <w:highlight w:val="none"/>
        </w:rPr>
        <w:t>:支出决算为</w:t>
      </w:r>
      <w:r>
        <w:rPr>
          <w:rStyle w:val="23"/>
          <w:rFonts w:hint="default" w:ascii="Times New Roman" w:hAnsi="Times New Roman" w:eastAsia="仿宋" w:cs="Times New Roman"/>
          <w:b w:val="0"/>
          <w:bCs w:val="0"/>
          <w:color w:val="auto"/>
          <w:sz w:val="32"/>
          <w:szCs w:val="32"/>
          <w:highlight w:val="none"/>
          <w:lang w:val="en-US" w:eastAsia="zh-CN"/>
        </w:rPr>
        <w:t>9.04</w:t>
      </w:r>
      <w:r>
        <w:rPr>
          <w:rStyle w:val="23"/>
          <w:rFonts w:hint="default" w:ascii="Times New Roman" w:hAnsi="Times New Roman" w:eastAsia="仿宋" w:cs="Times New Roman"/>
          <w:b w:val="0"/>
          <w:bCs w:val="0"/>
          <w:color w:val="auto"/>
          <w:sz w:val="32"/>
          <w:szCs w:val="32"/>
          <w:highlight w:val="none"/>
        </w:rPr>
        <w:t>万元，完成预算</w:t>
      </w:r>
      <w:r>
        <w:rPr>
          <w:rStyle w:val="23"/>
          <w:rFonts w:hint="default" w:ascii="Times New Roman" w:hAnsi="Times New Roman" w:eastAsia="仿宋" w:cs="Times New Roman"/>
          <w:b w:val="0"/>
          <w:bCs w:val="0"/>
          <w:color w:val="auto"/>
          <w:sz w:val="32"/>
          <w:szCs w:val="32"/>
          <w:highlight w:val="none"/>
          <w:lang w:val="en-US" w:eastAsia="zh-CN"/>
        </w:rPr>
        <w:t>100</w:t>
      </w:r>
      <w:r>
        <w:rPr>
          <w:rStyle w:val="23"/>
          <w:rFonts w:hint="default" w:ascii="Times New Roman" w:hAnsi="Times New Roman" w:eastAsia="仿宋" w:cs="Times New Roman"/>
          <w:b w:val="0"/>
          <w:bCs w:val="0"/>
          <w:color w:val="auto"/>
          <w:sz w:val="32"/>
          <w:szCs w:val="32"/>
          <w:highlight w:val="none"/>
        </w:rPr>
        <w:t>%。</w:t>
      </w:r>
    </w:p>
    <w:p w14:paraId="758F81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23"/>
          <w:rFonts w:hint="default" w:ascii="Times New Roman" w:hAnsi="Times New Roman" w:eastAsia="仿宋" w:cs="Times New Roman"/>
          <w:b w:val="0"/>
          <w:bCs w:val="0"/>
          <w:color w:val="auto"/>
          <w:sz w:val="32"/>
          <w:szCs w:val="32"/>
          <w:highlight w:val="none"/>
        </w:rPr>
      </w:pPr>
      <w:r>
        <w:rPr>
          <w:rStyle w:val="23"/>
          <w:rFonts w:hint="default" w:ascii="Times New Roman" w:hAnsi="Times New Roman" w:eastAsia="仿宋" w:cs="Times New Roman"/>
          <w:b w:val="0"/>
          <w:bCs w:val="0"/>
          <w:color w:val="auto"/>
          <w:sz w:val="32"/>
          <w:szCs w:val="32"/>
          <w:highlight w:val="none"/>
          <w:lang w:val="en-US" w:eastAsia="zh-CN"/>
        </w:rPr>
        <w:t>14.商业服务业等支出</w:t>
      </w:r>
      <w:r>
        <w:rPr>
          <w:rStyle w:val="23"/>
          <w:rFonts w:hint="default" w:ascii="Times New Roman" w:hAnsi="Times New Roman" w:eastAsia="仿宋" w:cs="Times New Roman"/>
          <w:b w:val="0"/>
          <w:bCs w:val="0"/>
          <w:color w:val="auto"/>
          <w:sz w:val="32"/>
          <w:szCs w:val="32"/>
          <w:highlight w:val="none"/>
        </w:rPr>
        <w:t>（类）</w:t>
      </w:r>
      <w:r>
        <w:rPr>
          <w:rStyle w:val="23"/>
          <w:rFonts w:hint="default" w:ascii="Times New Roman" w:hAnsi="Times New Roman" w:eastAsia="仿宋" w:cs="Times New Roman"/>
          <w:b w:val="0"/>
          <w:bCs w:val="0"/>
          <w:color w:val="auto"/>
          <w:sz w:val="32"/>
          <w:szCs w:val="32"/>
          <w:highlight w:val="none"/>
          <w:lang w:val="en-US" w:eastAsia="zh-CN"/>
        </w:rPr>
        <w:t>商业流通事务（款）其他商业流通事务支出（项）</w:t>
      </w:r>
      <w:r>
        <w:rPr>
          <w:rStyle w:val="23"/>
          <w:rFonts w:hint="default" w:ascii="Times New Roman" w:hAnsi="Times New Roman" w:eastAsia="仿宋" w:cs="Times New Roman"/>
          <w:b w:val="0"/>
          <w:bCs w:val="0"/>
          <w:color w:val="auto"/>
          <w:sz w:val="32"/>
          <w:szCs w:val="32"/>
          <w:highlight w:val="none"/>
        </w:rPr>
        <w:t>:支出决算为</w:t>
      </w:r>
      <w:r>
        <w:rPr>
          <w:rStyle w:val="23"/>
          <w:rFonts w:hint="default" w:ascii="Times New Roman" w:hAnsi="Times New Roman" w:eastAsia="仿宋" w:cs="Times New Roman"/>
          <w:b w:val="0"/>
          <w:bCs w:val="0"/>
          <w:color w:val="auto"/>
          <w:sz w:val="32"/>
          <w:szCs w:val="32"/>
          <w:highlight w:val="none"/>
          <w:lang w:val="en-US" w:eastAsia="zh-CN"/>
        </w:rPr>
        <w:t>68.6</w:t>
      </w:r>
      <w:r>
        <w:rPr>
          <w:rStyle w:val="23"/>
          <w:rFonts w:hint="default" w:ascii="Times New Roman" w:hAnsi="Times New Roman" w:eastAsia="仿宋" w:cs="Times New Roman"/>
          <w:b w:val="0"/>
          <w:bCs w:val="0"/>
          <w:color w:val="auto"/>
          <w:sz w:val="32"/>
          <w:szCs w:val="32"/>
          <w:highlight w:val="none"/>
        </w:rPr>
        <w:t>万元，完成预算</w:t>
      </w:r>
      <w:r>
        <w:rPr>
          <w:rStyle w:val="23"/>
          <w:rFonts w:hint="default" w:ascii="Times New Roman" w:hAnsi="Times New Roman" w:eastAsia="仿宋" w:cs="Times New Roman"/>
          <w:b w:val="0"/>
          <w:bCs w:val="0"/>
          <w:color w:val="auto"/>
          <w:sz w:val="32"/>
          <w:szCs w:val="32"/>
          <w:highlight w:val="none"/>
          <w:lang w:val="en-US" w:eastAsia="zh-CN"/>
        </w:rPr>
        <w:t>100</w:t>
      </w:r>
      <w:r>
        <w:rPr>
          <w:rStyle w:val="23"/>
          <w:rFonts w:hint="default" w:ascii="Times New Roman" w:hAnsi="Times New Roman" w:eastAsia="仿宋" w:cs="Times New Roman"/>
          <w:b w:val="0"/>
          <w:bCs w:val="0"/>
          <w:color w:val="auto"/>
          <w:sz w:val="32"/>
          <w:szCs w:val="32"/>
          <w:highlight w:val="none"/>
        </w:rPr>
        <w:t>%。</w:t>
      </w:r>
    </w:p>
    <w:p w14:paraId="75AB1A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b w:val="0"/>
          <w:bCs w:val="0"/>
          <w:highlight w:val="none"/>
          <w:lang w:val="en-US" w:eastAsia="zh-CN"/>
        </w:rPr>
      </w:pPr>
      <w:r>
        <w:rPr>
          <w:rStyle w:val="23"/>
          <w:rFonts w:hint="default" w:ascii="Times New Roman" w:hAnsi="Times New Roman" w:eastAsia="仿宋" w:cs="Times New Roman"/>
          <w:b w:val="0"/>
          <w:bCs w:val="0"/>
          <w:color w:val="auto"/>
          <w:sz w:val="32"/>
          <w:szCs w:val="32"/>
          <w:highlight w:val="none"/>
          <w:lang w:val="en-US" w:eastAsia="zh-CN"/>
        </w:rPr>
        <w:t>15.资源勘探工业信息等支出</w:t>
      </w:r>
      <w:r>
        <w:rPr>
          <w:rStyle w:val="23"/>
          <w:rFonts w:hint="default" w:ascii="Times New Roman" w:hAnsi="Times New Roman" w:eastAsia="仿宋" w:cs="Times New Roman"/>
          <w:b w:val="0"/>
          <w:bCs w:val="0"/>
          <w:color w:val="auto"/>
          <w:sz w:val="32"/>
          <w:szCs w:val="32"/>
          <w:highlight w:val="none"/>
        </w:rPr>
        <w:t>（类）</w:t>
      </w:r>
      <w:r>
        <w:rPr>
          <w:rStyle w:val="23"/>
          <w:rFonts w:hint="default" w:ascii="Times New Roman" w:hAnsi="Times New Roman" w:eastAsia="仿宋" w:cs="Times New Roman"/>
          <w:b w:val="0"/>
          <w:bCs w:val="0"/>
          <w:color w:val="auto"/>
          <w:sz w:val="32"/>
          <w:szCs w:val="32"/>
          <w:highlight w:val="none"/>
          <w:lang w:val="en-US" w:eastAsia="zh-CN"/>
        </w:rPr>
        <w:t>支持中小企业发展和管理支出（款）中小企业发展专项（项）</w:t>
      </w:r>
      <w:r>
        <w:rPr>
          <w:rStyle w:val="23"/>
          <w:rFonts w:hint="default" w:ascii="Times New Roman" w:hAnsi="Times New Roman" w:eastAsia="仿宋" w:cs="Times New Roman"/>
          <w:b w:val="0"/>
          <w:bCs w:val="0"/>
          <w:color w:val="auto"/>
          <w:sz w:val="32"/>
          <w:szCs w:val="32"/>
          <w:highlight w:val="none"/>
        </w:rPr>
        <w:t>:支出决算为</w:t>
      </w:r>
      <w:r>
        <w:rPr>
          <w:rStyle w:val="23"/>
          <w:rFonts w:hint="default" w:ascii="Times New Roman" w:hAnsi="Times New Roman" w:eastAsia="仿宋" w:cs="Times New Roman"/>
          <w:b w:val="0"/>
          <w:bCs w:val="0"/>
          <w:color w:val="auto"/>
          <w:sz w:val="32"/>
          <w:szCs w:val="32"/>
          <w:highlight w:val="none"/>
          <w:lang w:val="en-US" w:eastAsia="zh-CN"/>
        </w:rPr>
        <w:t>45.25</w:t>
      </w:r>
      <w:r>
        <w:rPr>
          <w:rStyle w:val="23"/>
          <w:rFonts w:hint="default" w:ascii="Times New Roman" w:hAnsi="Times New Roman" w:eastAsia="仿宋" w:cs="Times New Roman"/>
          <w:b w:val="0"/>
          <w:bCs w:val="0"/>
          <w:color w:val="auto"/>
          <w:sz w:val="32"/>
          <w:szCs w:val="32"/>
          <w:highlight w:val="none"/>
        </w:rPr>
        <w:t>万元，完成预算</w:t>
      </w:r>
      <w:r>
        <w:rPr>
          <w:rStyle w:val="23"/>
          <w:rFonts w:hint="default" w:ascii="Times New Roman" w:hAnsi="Times New Roman" w:eastAsia="仿宋" w:cs="Times New Roman"/>
          <w:b w:val="0"/>
          <w:bCs w:val="0"/>
          <w:color w:val="auto"/>
          <w:sz w:val="32"/>
          <w:szCs w:val="32"/>
          <w:highlight w:val="none"/>
          <w:lang w:val="en-US" w:eastAsia="zh-CN"/>
        </w:rPr>
        <w:t>100</w:t>
      </w:r>
      <w:r>
        <w:rPr>
          <w:rStyle w:val="23"/>
          <w:rFonts w:hint="default" w:ascii="Times New Roman" w:hAnsi="Times New Roman" w:eastAsia="仿宋" w:cs="Times New Roman"/>
          <w:b w:val="0"/>
          <w:bCs w:val="0"/>
          <w:color w:val="auto"/>
          <w:sz w:val="32"/>
          <w:szCs w:val="32"/>
          <w:highlight w:val="none"/>
        </w:rPr>
        <w:t>%。</w:t>
      </w:r>
    </w:p>
    <w:p w14:paraId="59D8C9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23"/>
          <w:rFonts w:hint="default" w:ascii="Times New Roman" w:hAnsi="Times New Roman" w:eastAsia="仿宋" w:cs="Times New Roman"/>
          <w:b w:val="0"/>
          <w:bCs w:val="0"/>
          <w:color w:val="auto"/>
          <w:sz w:val="32"/>
          <w:szCs w:val="32"/>
          <w:highlight w:val="none"/>
        </w:rPr>
      </w:pPr>
      <w:r>
        <w:rPr>
          <w:rStyle w:val="23"/>
          <w:rFonts w:hint="default" w:ascii="Times New Roman" w:hAnsi="Times New Roman" w:eastAsia="仿宋" w:cs="Times New Roman"/>
          <w:b w:val="0"/>
          <w:bCs w:val="0"/>
          <w:color w:val="auto"/>
          <w:sz w:val="32"/>
          <w:szCs w:val="32"/>
          <w:highlight w:val="none"/>
          <w:lang w:val="en-US" w:eastAsia="zh-CN"/>
        </w:rPr>
        <w:t>16</w:t>
      </w:r>
      <w:r>
        <w:rPr>
          <w:rStyle w:val="23"/>
          <w:rFonts w:hint="default" w:ascii="Times New Roman" w:hAnsi="Times New Roman" w:eastAsia="仿宋" w:cs="Times New Roman"/>
          <w:b w:val="0"/>
          <w:bCs w:val="0"/>
          <w:color w:val="auto"/>
          <w:sz w:val="32"/>
          <w:szCs w:val="32"/>
          <w:highlight w:val="none"/>
        </w:rPr>
        <w:t>.</w:t>
      </w:r>
      <w:r>
        <w:rPr>
          <w:rFonts w:hint="default" w:ascii="Times New Roman" w:hAnsi="Times New Roman" w:eastAsia="仿宋" w:cs="Times New Roman"/>
          <w:b w:val="0"/>
          <w:bCs w:val="0"/>
          <w:color w:val="auto"/>
          <w:sz w:val="32"/>
          <w:szCs w:val="32"/>
          <w:highlight w:val="none"/>
        </w:rPr>
        <w:t>卫生健康</w:t>
      </w:r>
      <w:r>
        <w:rPr>
          <w:rStyle w:val="23"/>
          <w:rFonts w:hint="default" w:ascii="Times New Roman" w:hAnsi="Times New Roman" w:eastAsia="仿宋" w:cs="Times New Roman"/>
          <w:b w:val="0"/>
          <w:bCs w:val="0"/>
          <w:color w:val="auto"/>
          <w:sz w:val="32"/>
          <w:szCs w:val="32"/>
          <w:highlight w:val="none"/>
        </w:rPr>
        <w:t>（类）</w:t>
      </w:r>
      <w:r>
        <w:rPr>
          <w:rStyle w:val="23"/>
          <w:rFonts w:hint="default" w:ascii="Times New Roman" w:hAnsi="Times New Roman" w:eastAsia="仿宋" w:cs="Times New Roman"/>
          <w:b w:val="0"/>
          <w:bCs w:val="0"/>
          <w:color w:val="auto"/>
          <w:sz w:val="32"/>
          <w:szCs w:val="32"/>
          <w:highlight w:val="none"/>
          <w:lang w:val="en-US" w:eastAsia="zh-CN"/>
        </w:rPr>
        <w:t>行政事业单位医疗（款）行政单位医疗（项）</w:t>
      </w:r>
      <w:r>
        <w:rPr>
          <w:rStyle w:val="23"/>
          <w:rFonts w:hint="default" w:ascii="Times New Roman" w:hAnsi="Times New Roman" w:eastAsia="仿宋" w:cs="Times New Roman"/>
          <w:b w:val="0"/>
          <w:bCs w:val="0"/>
          <w:color w:val="auto"/>
          <w:sz w:val="32"/>
          <w:szCs w:val="32"/>
          <w:highlight w:val="none"/>
        </w:rPr>
        <w:t>:支出决算为</w:t>
      </w:r>
      <w:r>
        <w:rPr>
          <w:rStyle w:val="23"/>
          <w:rFonts w:hint="default" w:ascii="Times New Roman" w:hAnsi="Times New Roman" w:eastAsia="仿宋" w:cs="Times New Roman"/>
          <w:b w:val="0"/>
          <w:bCs w:val="0"/>
          <w:color w:val="auto"/>
          <w:sz w:val="32"/>
          <w:szCs w:val="32"/>
          <w:highlight w:val="none"/>
          <w:lang w:val="en-US" w:eastAsia="zh-CN"/>
        </w:rPr>
        <w:t>44.58</w:t>
      </w:r>
      <w:r>
        <w:rPr>
          <w:rStyle w:val="23"/>
          <w:rFonts w:hint="default" w:ascii="Times New Roman" w:hAnsi="Times New Roman" w:eastAsia="仿宋" w:cs="Times New Roman"/>
          <w:b w:val="0"/>
          <w:bCs w:val="0"/>
          <w:color w:val="auto"/>
          <w:sz w:val="32"/>
          <w:szCs w:val="32"/>
          <w:highlight w:val="none"/>
        </w:rPr>
        <w:t>万元，完成预算</w:t>
      </w:r>
      <w:r>
        <w:rPr>
          <w:rStyle w:val="23"/>
          <w:rFonts w:hint="default" w:ascii="Times New Roman" w:hAnsi="Times New Roman" w:eastAsia="仿宋" w:cs="Times New Roman"/>
          <w:b w:val="0"/>
          <w:bCs w:val="0"/>
          <w:color w:val="auto"/>
          <w:sz w:val="32"/>
          <w:szCs w:val="32"/>
          <w:highlight w:val="none"/>
          <w:lang w:val="en-US" w:eastAsia="zh-CN"/>
        </w:rPr>
        <w:t>100</w:t>
      </w:r>
      <w:r>
        <w:rPr>
          <w:rStyle w:val="23"/>
          <w:rFonts w:hint="default" w:ascii="Times New Roman" w:hAnsi="Times New Roman" w:eastAsia="仿宋" w:cs="Times New Roman"/>
          <w:b w:val="0"/>
          <w:bCs w:val="0"/>
          <w:color w:val="auto"/>
          <w:sz w:val="32"/>
          <w:szCs w:val="32"/>
          <w:highlight w:val="none"/>
        </w:rPr>
        <w:t>%。</w:t>
      </w:r>
    </w:p>
    <w:p w14:paraId="7F43E8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23"/>
          <w:rFonts w:hint="default" w:ascii="Times New Roman" w:hAnsi="Times New Roman" w:eastAsia="仿宋" w:cs="Times New Roman"/>
          <w:b w:val="0"/>
          <w:bCs w:val="0"/>
          <w:color w:val="auto"/>
          <w:sz w:val="32"/>
          <w:szCs w:val="32"/>
          <w:highlight w:val="none"/>
        </w:rPr>
      </w:pPr>
      <w:r>
        <w:rPr>
          <w:rStyle w:val="23"/>
          <w:rFonts w:hint="default" w:ascii="Times New Roman" w:hAnsi="Times New Roman" w:eastAsia="仿宋" w:cs="Times New Roman"/>
          <w:b w:val="0"/>
          <w:bCs w:val="0"/>
          <w:color w:val="auto"/>
          <w:sz w:val="32"/>
          <w:szCs w:val="32"/>
          <w:highlight w:val="none"/>
          <w:lang w:val="en-US" w:eastAsia="zh-CN"/>
        </w:rPr>
        <w:t>17</w:t>
      </w:r>
      <w:r>
        <w:rPr>
          <w:rStyle w:val="23"/>
          <w:rFonts w:hint="default" w:ascii="Times New Roman" w:hAnsi="Times New Roman" w:eastAsia="仿宋" w:cs="Times New Roman"/>
          <w:b w:val="0"/>
          <w:bCs w:val="0"/>
          <w:color w:val="auto"/>
          <w:sz w:val="32"/>
          <w:szCs w:val="32"/>
          <w:highlight w:val="none"/>
        </w:rPr>
        <w:t>.</w:t>
      </w:r>
      <w:r>
        <w:rPr>
          <w:rFonts w:hint="default" w:ascii="Times New Roman" w:hAnsi="Times New Roman" w:eastAsia="仿宋" w:cs="Times New Roman"/>
          <w:b w:val="0"/>
          <w:bCs w:val="0"/>
          <w:color w:val="auto"/>
          <w:sz w:val="32"/>
          <w:szCs w:val="32"/>
          <w:highlight w:val="none"/>
        </w:rPr>
        <w:t>卫生健康</w:t>
      </w:r>
      <w:r>
        <w:rPr>
          <w:rStyle w:val="23"/>
          <w:rFonts w:hint="default" w:ascii="Times New Roman" w:hAnsi="Times New Roman" w:eastAsia="仿宋" w:cs="Times New Roman"/>
          <w:b w:val="0"/>
          <w:bCs w:val="0"/>
          <w:color w:val="auto"/>
          <w:sz w:val="32"/>
          <w:szCs w:val="32"/>
          <w:highlight w:val="none"/>
        </w:rPr>
        <w:t>（类）</w:t>
      </w:r>
      <w:r>
        <w:rPr>
          <w:rStyle w:val="23"/>
          <w:rFonts w:hint="default" w:ascii="Times New Roman" w:hAnsi="Times New Roman" w:eastAsia="仿宋" w:cs="Times New Roman"/>
          <w:b w:val="0"/>
          <w:bCs w:val="0"/>
          <w:color w:val="auto"/>
          <w:sz w:val="32"/>
          <w:szCs w:val="32"/>
          <w:highlight w:val="none"/>
          <w:lang w:val="en-US" w:eastAsia="zh-CN"/>
        </w:rPr>
        <w:t>行政事业单位医疗（款）事业单位医疗（项）</w:t>
      </w:r>
      <w:r>
        <w:rPr>
          <w:rStyle w:val="23"/>
          <w:rFonts w:hint="default" w:ascii="Times New Roman" w:hAnsi="Times New Roman" w:eastAsia="仿宋" w:cs="Times New Roman"/>
          <w:b w:val="0"/>
          <w:bCs w:val="0"/>
          <w:color w:val="auto"/>
          <w:sz w:val="32"/>
          <w:szCs w:val="32"/>
          <w:highlight w:val="none"/>
        </w:rPr>
        <w:t>:支出决算为</w:t>
      </w:r>
      <w:r>
        <w:rPr>
          <w:rStyle w:val="23"/>
          <w:rFonts w:hint="default" w:ascii="Times New Roman" w:hAnsi="Times New Roman" w:eastAsia="仿宋" w:cs="Times New Roman"/>
          <w:b w:val="0"/>
          <w:bCs w:val="0"/>
          <w:color w:val="auto"/>
          <w:sz w:val="32"/>
          <w:szCs w:val="32"/>
          <w:highlight w:val="none"/>
          <w:lang w:val="en-US" w:eastAsia="zh-CN"/>
        </w:rPr>
        <w:t>24.95</w:t>
      </w:r>
      <w:r>
        <w:rPr>
          <w:rStyle w:val="23"/>
          <w:rFonts w:hint="default" w:ascii="Times New Roman" w:hAnsi="Times New Roman" w:eastAsia="仿宋" w:cs="Times New Roman"/>
          <w:b w:val="0"/>
          <w:bCs w:val="0"/>
          <w:color w:val="auto"/>
          <w:sz w:val="32"/>
          <w:szCs w:val="32"/>
          <w:highlight w:val="none"/>
        </w:rPr>
        <w:t>万元，完成预算</w:t>
      </w:r>
      <w:r>
        <w:rPr>
          <w:rStyle w:val="23"/>
          <w:rFonts w:hint="default" w:ascii="Times New Roman" w:hAnsi="Times New Roman" w:eastAsia="仿宋" w:cs="Times New Roman"/>
          <w:b w:val="0"/>
          <w:bCs w:val="0"/>
          <w:color w:val="auto"/>
          <w:sz w:val="32"/>
          <w:szCs w:val="32"/>
          <w:highlight w:val="none"/>
          <w:lang w:val="en-US" w:eastAsia="zh-CN"/>
        </w:rPr>
        <w:t>100</w:t>
      </w:r>
      <w:r>
        <w:rPr>
          <w:rStyle w:val="23"/>
          <w:rFonts w:hint="default" w:ascii="Times New Roman" w:hAnsi="Times New Roman" w:eastAsia="仿宋" w:cs="Times New Roman"/>
          <w:b w:val="0"/>
          <w:bCs w:val="0"/>
          <w:color w:val="auto"/>
          <w:sz w:val="32"/>
          <w:szCs w:val="32"/>
          <w:highlight w:val="none"/>
        </w:rPr>
        <w:t>%。</w:t>
      </w:r>
    </w:p>
    <w:p w14:paraId="75A668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23"/>
          <w:rFonts w:hint="default" w:ascii="Times New Roman" w:hAnsi="Times New Roman" w:eastAsia="仿宋" w:cs="Times New Roman"/>
          <w:b w:val="0"/>
          <w:bCs w:val="0"/>
          <w:color w:val="auto"/>
          <w:sz w:val="32"/>
          <w:szCs w:val="32"/>
          <w:highlight w:val="none"/>
        </w:rPr>
      </w:pPr>
      <w:r>
        <w:rPr>
          <w:rStyle w:val="23"/>
          <w:rFonts w:hint="default" w:ascii="Times New Roman" w:hAnsi="Times New Roman" w:eastAsia="仿宋" w:cs="Times New Roman"/>
          <w:b w:val="0"/>
          <w:bCs w:val="0"/>
          <w:color w:val="auto"/>
          <w:sz w:val="32"/>
          <w:szCs w:val="32"/>
          <w:highlight w:val="none"/>
          <w:lang w:val="en-US" w:eastAsia="zh-CN"/>
        </w:rPr>
        <w:t>18</w:t>
      </w:r>
      <w:r>
        <w:rPr>
          <w:rStyle w:val="23"/>
          <w:rFonts w:hint="default" w:ascii="Times New Roman" w:hAnsi="Times New Roman" w:eastAsia="仿宋" w:cs="Times New Roman"/>
          <w:b w:val="0"/>
          <w:bCs w:val="0"/>
          <w:color w:val="auto"/>
          <w:sz w:val="32"/>
          <w:szCs w:val="32"/>
          <w:highlight w:val="none"/>
        </w:rPr>
        <w:t>.</w:t>
      </w:r>
      <w:r>
        <w:rPr>
          <w:rFonts w:hint="default" w:ascii="Times New Roman" w:hAnsi="Times New Roman" w:eastAsia="仿宋" w:cs="Times New Roman"/>
          <w:b w:val="0"/>
          <w:bCs w:val="0"/>
          <w:color w:val="auto"/>
          <w:sz w:val="32"/>
          <w:szCs w:val="32"/>
          <w:highlight w:val="none"/>
        </w:rPr>
        <w:t>卫生健康</w:t>
      </w:r>
      <w:r>
        <w:rPr>
          <w:rStyle w:val="23"/>
          <w:rFonts w:hint="default" w:ascii="Times New Roman" w:hAnsi="Times New Roman" w:eastAsia="仿宋" w:cs="Times New Roman"/>
          <w:b w:val="0"/>
          <w:bCs w:val="0"/>
          <w:color w:val="auto"/>
          <w:sz w:val="32"/>
          <w:szCs w:val="32"/>
          <w:highlight w:val="none"/>
        </w:rPr>
        <w:t>（类）</w:t>
      </w:r>
      <w:r>
        <w:rPr>
          <w:rStyle w:val="23"/>
          <w:rFonts w:hint="default" w:ascii="Times New Roman" w:hAnsi="Times New Roman" w:eastAsia="仿宋" w:cs="Times New Roman"/>
          <w:b w:val="0"/>
          <w:bCs w:val="0"/>
          <w:color w:val="auto"/>
          <w:sz w:val="32"/>
          <w:szCs w:val="32"/>
          <w:highlight w:val="none"/>
          <w:lang w:val="en-US" w:eastAsia="zh-CN"/>
        </w:rPr>
        <w:t>行政事业单位医疗（款）公务员医疗补助（项）</w:t>
      </w:r>
      <w:r>
        <w:rPr>
          <w:rStyle w:val="23"/>
          <w:rFonts w:hint="default" w:ascii="Times New Roman" w:hAnsi="Times New Roman" w:eastAsia="仿宋" w:cs="Times New Roman"/>
          <w:b w:val="0"/>
          <w:bCs w:val="0"/>
          <w:color w:val="auto"/>
          <w:sz w:val="32"/>
          <w:szCs w:val="32"/>
          <w:highlight w:val="none"/>
        </w:rPr>
        <w:t>:支出决算为</w:t>
      </w:r>
      <w:r>
        <w:rPr>
          <w:rStyle w:val="23"/>
          <w:rFonts w:hint="default" w:ascii="Times New Roman" w:hAnsi="Times New Roman" w:eastAsia="仿宋" w:cs="Times New Roman"/>
          <w:b w:val="0"/>
          <w:bCs w:val="0"/>
          <w:color w:val="auto"/>
          <w:sz w:val="32"/>
          <w:szCs w:val="32"/>
          <w:highlight w:val="none"/>
          <w:lang w:val="en-US" w:eastAsia="zh-CN"/>
        </w:rPr>
        <w:t>22.52</w:t>
      </w:r>
      <w:r>
        <w:rPr>
          <w:rStyle w:val="23"/>
          <w:rFonts w:hint="default" w:ascii="Times New Roman" w:hAnsi="Times New Roman" w:eastAsia="仿宋" w:cs="Times New Roman"/>
          <w:b w:val="0"/>
          <w:bCs w:val="0"/>
          <w:color w:val="auto"/>
          <w:sz w:val="32"/>
          <w:szCs w:val="32"/>
          <w:highlight w:val="none"/>
        </w:rPr>
        <w:t>万元，完成预算</w:t>
      </w:r>
      <w:r>
        <w:rPr>
          <w:rStyle w:val="23"/>
          <w:rFonts w:hint="default" w:ascii="Times New Roman" w:hAnsi="Times New Roman" w:eastAsia="仿宋" w:cs="Times New Roman"/>
          <w:b w:val="0"/>
          <w:bCs w:val="0"/>
          <w:color w:val="auto"/>
          <w:sz w:val="32"/>
          <w:szCs w:val="32"/>
          <w:highlight w:val="none"/>
          <w:lang w:val="en-US" w:eastAsia="zh-CN"/>
        </w:rPr>
        <w:t>100</w:t>
      </w:r>
      <w:r>
        <w:rPr>
          <w:rStyle w:val="23"/>
          <w:rFonts w:hint="default" w:ascii="Times New Roman" w:hAnsi="Times New Roman" w:eastAsia="仿宋" w:cs="Times New Roman"/>
          <w:b w:val="0"/>
          <w:bCs w:val="0"/>
          <w:color w:val="auto"/>
          <w:sz w:val="32"/>
          <w:szCs w:val="32"/>
          <w:highlight w:val="none"/>
        </w:rPr>
        <w:t>%。</w:t>
      </w:r>
    </w:p>
    <w:p w14:paraId="09FE5B63">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0"/>
        <w:textAlignment w:val="auto"/>
        <w:outlineLvl w:val="1"/>
        <w:rPr>
          <w:rStyle w:val="37"/>
          <w:rFonts w:hint="default" w:ascii="Times New Roman" w:hAnsi="Times New Roman" w:cs="Times New Roman"/>
          <w:color w:val="auto"/>
          <w:highlight w:val="none"/>
        </w:rPr>
      </w:pPr>
      <w:bookmarkStart w:id="34" w:name="_Toc15396608"/>
      <w:bookmarkStart w:id="35" w:name="_Toc15377214"/>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37"/>
          <w:rFonts w:hint="default" w:ascii="Times New Roman" w:hAnsi="Times New Roman" w:eastAsia="黑体" w:cs="Times New Roman"/>
          <w:b w:val="0"/>
          <w:color w:val="auto"/>
          <w:highlight w:val="none"/>
        </w:rPr>
        <w:t>般公共预算财政拨款基本支出决算情况说明</w:t>
      </w:r>
      <w:bookmarkEnd w:id="34"/>
      <w:bookmarkEnd w:id="35"/>
    </w:p>
    <w:p w14:paraId="5BEF623E">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24</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val="en-US" w:eastAsia="zh-CN"/>
        </w:rPr>
        <w:t>度</w:t>
      </w:r>
      <w:r>
        <w:rPr>
          <w:rFonts w:hint="default" w:ascii="Times New Roman" w:hAnsi="Times New Roman" w:eastAsia="仿宋" w:cs="Times New Roman"/>
          <w:color w:val="auto"/>
          <w:sz w:val="32"/>
          <w:szCs w:val="32"/>
          <w:highlight w:val="none"/>
        </w:rPr>
        <w:t>一般公共预算财政拨款基本支出</w:t>
      </w:r>
      <w:r>
        <w:rPr>
          <w:rFonts w:hint="default" w:ascii="Times New Roman" w:hAnsi="Times New Roman" w:eastAsia="仿宋" w:cs="Times New Roman"/>
          <w:color w:val="auto"/>
          <w:sz w:val="32"/>
          <w:szCs w:val="32"/>
          <w:highlight w:val="none"/>
          <w:lang w:val="en-US" w:eastAsia="zh-CN"/>
        </w:rPr>
        <w:t>1732.22</w:t>
      </w:r>
      <w:r>
        <w:rPr>
          <w:rFonts w:hint="default" w:ascii="Times New Roman" w:hAnsi="Times New Roman" w:eastAsia="仿宋" w:cs="Times New Roman"/>
          <w:color w:val="auto"/>
          <w:sz w:val="32"/>
          <w:szCs w:val="32"/>
          <w:highlight w:val="none"/>
        </w:rPr>
        <w:t>万元，其中：</w:t>
      </w:r>
    </w:p>
    <w:p w14:paraId="4E6FA3F1">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人员经费</w:t>
      </w:r>
      <w:r>
        <w:rPr>
          <w:rFonts w:hint="default" w:ascii="Times New Roman" w:hAnsi="Times New Roman" w:eastAsia="仿宋" w:cs="Times New Roman"/>
          <w:color w:val="auto"/>
          <w:sz w:val="32"/>
          <w:szCs w:val="32"/>
          <w:highlight w:val="none"/>
          <w:lang w:val="en-US" w:eastAsia="zh-CN"/>
        </w:rPr>
        <w:t>1520.90</w:t>
      </w:r>
      <w:r>
        <w:rPr>
          <w:rFonts w:hint="default" w:ascii="Times New Roman" w:hAnsi="Times New Roman" w:eastAsia="仿宋" w:cs="Times New Roman"/>
          <w:color w:val="auto"/>
          <w:sz w:val="32"/>
          <w:szCs w:val="32"/>
          <w:highlight w:val="none"/>
        </w:rPr>
        <w:t>万元，主要包括：基本工资、津贴补贴、奖金、</w:t>
      </w:r>
      <w:r>
        <w:rPr>
          <w:rFonts w:hint="default" w:ascii="Times New Roman" w:hAnsi="Times New Roman" w:eastAsia="仿宋" w:cs="Times New Roman"/>
          <w:color w:val="auto"/>
          <w:sz w:val="32"/>
          <w:szCs w:val="32"/>
          <w:highlight w:val="none"/>
          <w:lang w:val="en-US" w:eastAsia="zh-CN"/>
        </w:rPr>
        <w:t>奖金、</w:t>
      </w:r>
      <w:r>
        <w:rPr>
          <w:rFonts w:hint="default" w:ascii="Times New Roman" w:hAnsi="Times New Roman" w:eastAsia="仿宋" w:cs="Times New Roman"/>
          <w:color w:val="auto"/>
          <w:sz w:val="32"/>
          <w:szCs w:val="32"/>
          <w:highlight w:val="none"/>
        </w:rPr>
        <w:t>绩效工资、机关事业单位基本养老保险缴费、</w:t>
      </w:r>
      <w:r>
        <w:rPr>
          <w:rFonts w:hint="default" w:ascii="Times New Roman" w:hAnsi="Times New Roman" w:eastAsia="仿宋" w:cs="Times New Roman"/>
          <w:color w:val="auto"/>
          <w:sz w:val="32"/>
          <w:szCs w:val="32"/>
          <w:highlight w:val="none"/>
          <w:lang w:val="en-US" w:eastAsia="zh-CN"/>
        </w:rPr>
        <w:t>职工基本医疗保险缴费</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公务员医疗补助缴费、</w:t>
      </w:r>
      <w:r>
        <w:rPr>
          <w:rFonts w:hint="default" w:ascii="Times New Roman" w:hAnsi="Times New Roman" w:eastAsia="仿宋" w:cs="Times New Roman"/>
          <w:color w:val="auto"/>
          <w:sz w:val="32"/>
          <w:szCs w:val="32"/>
          <w:highlight w:val="none"/>
        </w:rPr>
        <w:t>其他社会保障缴费、住房公积金、其他工资福利支出、生活补助、其他对个人和家庭的补助支出等。</w:t>
      </w:r>
    </w:p>
    <w:p w14:paraId="70C12C8A">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公用经费</w:t>
      </w:r>
      <w:r>
        <w:rPr>
          <w:rFonts w:hint="default" w:ascii="Times New Roman" w:hAnsi="Times New Roman" w:eastAsia="仿宋" w:cs="Times New Roman"/>
          <w:color w:val="auto"/>
          <w:sz w:val="32"/>
          <w:szCs w:val="32"/>
          <w:highlight w:val="none"/>
          <w:lang w:val="en-US" w:eastAsia="zh-CN"/>
        </w:rPr>
        <w:t>211.32</w:t>
      </w:r>
      <w:r>
        <w:rPr>
          <w:rFonts w:hint="default" w:ascii="Times New Roman" w:hAnsi="Times New Roman" w:eastAsia="仿宋" w:cs="Times New Roman"/>
          <w:color w:val="auto"/>
          <w:sz w:val="32"/>
          <w:szCs w:val="32"/>
          <w:highlight w:val="none"/>
        </w:rPr>
        <w:t>万元，主要包括：办公费、印刷费、水费、电费、邮电费、差旅费、维修（护）费、会议费、培训费、公务接待费、劳务费、工会经费、福利费、公务用车运行维护费、其他交通费</w:t>
      </w:r>
      <w:r>
        <w:rPr>
          <w:rFonts w:hint="default" w:ascii="Times New Roman" w:hAnsi="Times New Roman" w:eastAsia="仿宋" w:cs="Times New Roman"/>
          <w:color w:val="auto"/>
          <w:sz w:val="32"/>
          <w:szCs w:val="32"/>
          <w:highlight w:val="none"/>
          <w:lang w:val="en-US" w:eastAsia="zh-CN"/>
        </w:rPr>
        <w:t>用</w:t>
      </w:r>
      <w:r>
        <w:rPr>
          <w:rFonts w:hint="default" w:ascii="Times New Roman" w:hAnsi="Times New Roman" w:eastAsia="仿宋" w:cs="Times New Roman"/>
          <w:color w:val="auto"/>
          <w:sz w:val="32"/>
          <w:szCs w:val="32"/>
          <w:highlight w:val="none"/>
        </w:rPr>
        <w:t>、其他商品和服务支出</w:t>
      </w:r>
      <w:r>
        <w:rPr>
          <w:rFonts w:hint="default" w:ascii="Times New Roman" w:hAnsi="Times New Roman" w:eastAsia="仿宋" w:cs="Times New Roman"/>
          <w:color w:val="auto"/>
          <w:sz w:val="32"/>
          <w:szCs w:val="32"/>
          <w:highlight w:val="none"/>
          <w:lang w:val="en-US" w:eastAsia="zh-CN"/>
        </w:rPr>
        <w:t>等。</w:t>
      </w:r>
    </w:p>
    <w:p w14:paraId="16C06485">
      <w:pPr>
        <w:keepNext w:val="0"/>
        <w:keepLines w:val="0"/>
        <w:pageBreakBefore w:val="0"/>
        <w:widowControl w:val="0"/>
        <w:kinsoku/>
        <w:wordWrap/>
        <w:overflowPunct/>
        <w:topLinePunct w:val="0"/>
        <w:autoSpaceDE/>
        <w:autoSpaceDN/>
        <w:bidi w:val="0"/>
        <w:adjustRightInd/>
        <w:snapToGrid/>
        <w:spacing w:line="520" w:lineRule="exact"/>
        <w:ind w:firstLine="646"/>
        <w:jc w:val="center"/>
        <w:textAlignment w:val="auto"/>
        <w:rPr>
          <w:rFonts w:hint="default" w:ascii="Times New Roman" w:hAnsi="Times New Roman" w:eastAsia="仿宋" w:cs="Times New Roman"/>
          <w:color w:val="auto"/>
          <w:sz w:val="32"/>
          <w:szCs w:val="32"/>
          <w:highlight w:val="none"/>
        </w:rPr>
      </w:pPr>
      <w:r>
        <w:drawing>
          <wp:anchor distT="0" distB="0" distL="114300" distR="114300" simplePos="0" relativeHeight="251659264" behindDoc="0" locked="0" layoutInCell="1" allowOverlap="1">
            <wp:simplePos x="0" y="0"/>
            <wp:positionH relativeFrom="column">
              <wp:posOffset>277495</wp:posOffset>
            </wp:positionH>
            <wp:positionV relativeFrom="paragraph">
              <wp:posOffset>80645</wp:posOffset>
            </wp:positionV>
            <wp:extent cx="5152390" cy="1858010"/>
            <wp:effectExtent l="4445" t="4445" r="5715" b="23495"/>
            <wp:wrapSquare wrapText="bothSides"/>
            <wp:docPr id="117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图</w:t>
      </w:r>
      <w:r>
        <w:rPr>
          <w:rFonts w:hint="default" w:ascii="Times New Roman" w:hAnsi="Times New Roman" w:eastAsia="仿宋" w:cs="Times New Roman"/>
          <w:color w:val="auto"/>
          <w:sz w:val="32"/>
          <w:szCs w:val="32"/>
          <w:highlight w:val="none"/>
          <w:lang w:val="en-US" w:eastAsia="zh-CN"/>
        </w:rPr>
        <w:t>7</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基本支出</w:t>
      </w:r>
      <w:r>
        <w:rPr>
          <w:rFonts w:hint="default" w:ascii="Times New Roman" w:hAnsi="Times New Roman" w:eastAsia="仿宋" w:cs="Times New Roman"/>
          <w:color w:val="auto"/>
          <w:sz w:val="32"/>
          <w:szCs w:val="32"/>
          <w:highlight w:val="none"/>
        </w:rPr>
        <w:t>结构</w:t>
      </w:r>
      <w:r>
        <w:rPr>
          <w:rFonts w:hint="eastAsia" w:eastAsia="仿宋" w:cs="Times New Roman"/>
          <w:color w:val="auto"/>
          <w:sz w:val="32"/>
          <w:szCs w:val="32"/>
          <w:highlight w:val="none"/>
          <w:lang w:val="en-US" w:eastAsia="zh-CN"/>
        </w:rPr>
        <w:t>图</w:t>
      </w:r>
      <w:r>
        <w:rPr>
          <w:rFonts w:hint="default" w:ascii="Times New Roman" w:hAnsi="Times New Roman" w:eastAsia="仿宋" w:cs="Times New Roman"/>
          <w:color w:val="auto"/>
          <w:sz w:val="32"/>
          <w:szCs w:val="32"/>
          <w:highlight w:val="none"/>
        </w:rPr>
        <w:t>）（饼状图）</w:t>
      </w:r>
    </w:p>
    <w:p w14:paraId="67BB2799">
      <w:pPr>
        <w:spacing w:line="600" w:lineRule="exact"/>
        <w:ind w:firstLine="640" w:firstLineChars="200"/>
        <w:outlineLvl w:val="1"/>
        <w:rPr>
          <w:rStyle w:val="37"/>
          <w:rFonts w:hint="default" w:ascii="Times New Roman" w:hAnsi="Times New Roman" w:eastAsia="黑体" w:cs="Times New Roman"/>
          <w:b w:val="0"/>
          <w:color w:val="auto"/>
          <w:highlight w:val="none"/>
        </w:rPr>
      </w:pPr>
      <w:bookmarkStart w:id="36" w:name="_Toc15396609"/>
      <w:bookmarkStart w:id="37" w:name="_Toc15377215"/>
      <w:r>
        <w:rPr>
          <w:rFonts w:hint="default" w:ascii="Times New Roman" w:hAnsi="Times New Roman" w:eastAsia="黑体" w:cs="Times New Roman"/>
          <w:color w:val="auto"/>
          <w:sz w:val="32"/>
          <w:szCs w:val="32"/>
          <w:highlight w:val="none"/>
        </w:rPr>
        <w:t>七、</w:t>
      </w:r>
      <w:r>
        <w:rPr>
          <w:rStyle w:val="37"/>
          <w:rFonts w:hint="default" w:ascii="Times New Roman" w:hAnsi="Times New Roman" w:eastAsia="黑体" w:cs="Times New Roman"/>
          <w:b w:val="0"/>
          <w:color w:val="auto"/>
          <w:highlight w:val="none"/>
        </w:rPr>
        <w:t>财政拨款</w:t>
      </w:r>
      <w:r>
        <w:rPr>
          <w:rStyle w:val="37"/>
          <w:rFonts w:hint="default" w:ascii="Times New Roman" w:hAnsi="Times New Roman" w:eastAsia="黑体" w:cs="Times New Roman"/>
          <w:color w:val="auto"/>
          <w:highlight w:val="none"/>
        </w:rPr>
        <w:t>“</w:t>
      </w:r>
      <w:r>
        <w:rPr>
          <w:rStyle w:val="37"/>
          <w:rFonts w:hint="default" w:ascii="Times New Roman" w:hAnsi="Times New Roman" w:eastAsia="黑体" w:cs="Times New Roman"/>
          <w:b w:val="0"/>
          <w:color w:val="auto"/>
          <w:highlight w:val="none"/>
        </w:rPr>
        <w:t>三公”经费支出决算情况说明</w:t>
      </w:r>
      <w:bookmarkEnd w:id="36"/>
      <w:bookmarkEnd w:id="37"/>
    </w:p>
    <w:p w14:paraId="2C4C977E">
      <w:pPr>
        <w:spacing w:line="600" w:lineRule="exact"/>
        <w:ind w:firstLine="640"/>
        <w:outlineLvl w:val="2"/>
        <w:rPr>
          <w:rFonts w:hint="eastAsia" w:ascii="楷体_GB2312" w:hAnsi="楷体_GB2312" w:eastAsia="楷体_GB2312" w:cs="楷体_GB2312"/>
          <w:b/>
          <w:color w:val="auto"/>
          <w:sz w:val="32"/>
          <w:szCs w:val="32"/>
          <w:highlight w:val="none"/>
        </w:rPr>
      </w:pPr>
      <w:bookmarkStart w:id="38" w:name="_Toc15377216"/>
      <w:r>
        <w:rPr>
          <w:rFonts w:hint="eastAsia" w:ascii="楷体_GB2312" w:hAnsi="楷体_GB2312" w:eastAsia="楷体_GB2312" w:cs="楷体_GB2312"/>
          <w:b/>
          <w:color w:val="auto"/>
          <w:sz w:val="32"/>
          <w:szCs w:val="32"/>
          <w:highlight w:val="none"/>
        </w:rPr>
        <w:t>（一）“三公”经费财政拨款支出决算总体情况说明</w:t>
      </w:r>
      <w:bookmarkEnd w:id="38"/>
    </w:p>
    <w:p w14:paraId="6907E5F6">
      <w:pPr>
        <w:pageBreakBefore w:val="0"/>
        <w:kinsoku/>
        <w:wordWrap/>
        <w:overflowPunct/>
        <w:topLinePunct w:val="0"/>
        <w:bidi w:val="0"/>
        <w:spacing w:line="600" w:lineRule="exact"/>
        <w:ind w:firstLine="640" w:firstLineChars="200"/>
        <w:textAlignment w:val="auto"/>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24</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val="en-US" w:eastAsia="zh-CN"/>
        </w:rPr>
        <w:t>度</w:t>
      </w:r>
      <w:r>
        <w:rPr>
          <w:rFonts w:hint="default" w:ascii="Times New Roman" w:hAnsi="Times New Roman" w:eastAsia="仿宋" w:cs="Times New Roman"/>
          <w:color w:val="auto"/>
          <w:sz w:val="32"/>
          <w:szCs w:val="32"/>
          <w:highlight w:val="none"/>
        </w:rPr>
        <w:t>“三公”经费财政拨款支出决算为</w:t>
      </w:r>
      <w:r>
        <w:rPr>
          <w:rFonts w:hint="default" w:ascii="Times New Roman" w:hAnsi="Times New Roman" w:eastAsia="仿宋" w:cs="Times New Roman"/>
          <w:color w:val="auto"/>
          <w:sz w:val="32"/>
          <w:szCs w:val="32"/>
          <w:highlight w:val="none"/>
          <w:lang w:val="en-US" w:eastAsia="zh-CN"/>
        </w:rPr>
        <w:t>40.44</w:t>
      </w:r>
      <w:r>
        <w:rPr>
          <w:rFonts w:hint="default" w:ascii="Times New Roman" w:hAnsi="Times New Roman" w:eastAsia="仿宋" w:cs="Times New Roman"/>
          <w:color w:val="auto"/>
          <w:sz w:val="32"/>
          <w:szCs w:val="32"/>
          <w:highlight w:val="none"/>
        </w:rPr>
        <w:t>万元，完成预算</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较上年</w:t>
      </w:r>
      <w:r>
        <w:rPr>
          <w:rFonts w:hint="default" w:ascii="Times New Roman" w:hAnsi="Times New Roman" w:eastAsia="仿宋" w:cs="Times New Roman"/>
          <w:color w:val="auto"/>
          <w:sz w:val="32"/>
          <w:szCs w:val="32"/>
          <w:highlight w:val="none"/>
          <w:lang w:val="en-US" w:eastAsia="zh-CN"/>
        </w:rPr>
        <w:t>减少3.01万元，下降6.93%，主要原因是厉行节约，控制开支</w:t>
      </w:r>
      <w:r>
        <w:rPr>
          <w:rFonts w:hint="default" w:ascii="Times New Roman" w:hAnsi="Times New Roman" w:eastAsia="仿宋" w:cs="Times New Roman"/>
          <w:color w:val="auto"/>
          <w:sz w:val="32"/>
          <w:szCs w:val="32"/>
          <w:highlight w:val="none"/>
        </w:rPr>
        <w:t>。</w:t>
      </w:r>
    </w:p>
    <w:p w14:paraId="74A70576">
      <w:pPr>
        <w:spacing w:line="600" w:lineRule="exact"/>
        <w:ind w:firstLine="640"/>
        <w:outlineLvl w:val="2"/>
        <w:rPr>
          <w:rFonts w:hint="default" w:ascii="楷体_GB2312" w:hAnsi="楷体_GB2312" w:eastAsia="楷体_GB2312" w:cs="楷体_GB2312"/>
          <w:b/>
          <w:color w:val="auto"/>
          <w:sz w:val="32"/>
          <w:szCs w:val="32"/>
          <w:highlight w:val="none"/>
        </w:rPr>
      </w:pPr>
      <w:bookmarkStart w:id="39" w:name="_Toc15377217"/>
      <w:r>
        <w:rPr>
          <w:rFonts w:hint="default" w:ascii="楷体_GB2312" w:hAnsi="楷体_GB2312" w:eastAsia="楷体_GB2312" w:cs="楷体_GB2312"/>
          <w:b/>
          <w:color w:val="auto"/>
          <w:sz w:val="32"/>
          <w:szCs w:val="32"/>
          <w:highlight w:val="none"/>
        </w:rPr>
        <w:t>（二）“三公”经费财政拨款支出决算具体情况说明</w:t>
      </w:r>
      <w:bookmarkEnd w:id="39"/>
    </w:p>
    <w:p w14:paraId="07F62CA3">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24</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val="en-US" w:eastAsia="zh-CN"/>
        </w:rPr>
        <w:t>度</w:t>
      </w:r>
      <w:r>
        <w:rPr>
          <w:rFonts w:hint="default" w:ascii="Times New Roman" w:hAnsi="Times New Roman" w:eastAsia="仿宋" w:cs="Times New Roman"/>
          <w:color w:val="auto"/>
          <w:sz w:val="32"/>
          <w:szCs w:val="32"/>
          <w:highlight w:val="none"/>
        </w:rPr>
        <w:t>“三公”经费财政拨款支出决算中，因公出国（境）费支出决算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_GB2312" w:cs="Times New Roman"/>
          <w:color w:val="000000"/>
          <w:sz w:val="32"/>
          <w:szCs w:val="32"/>
        </w:rPr>
        <w:t>占0%</w:t>
      </w:r>
      <w:r>
        <w:rPr>
          <w:rFonts w:hint="default" w:ascii="Times New Roman" w:hAnsi="Times New Roman" w:eastAsia="仿宋" w:cs="Times New Roman"/>
          <w:color w:val="auto"/>
          <w:sz w:val="32"/>
          <w:szCs w:val="32"/>
          <w:highlight w:val="none"/>
        </w:rPr>
        <w:t>；公务用车购置及运行维护费支出决算</w:t>
      </w:r>
      <w:r>
        <w:rPr>
          <w:rFonts w:hint="default" w:ascii="Times New Roman" w:hAnsi="Times New Roman" w:eastAsia="仿宋" w:cs="Times New Roman"/>
          <w:color w:val="auto"/>
          <w:sz w:val="32"/>
          <w:szCs w:val="32"/>
          <w:highlight w:val="none"/>
          <w:lang w:val="en-US" w:eastAsia="zh-CN"/>
        </w:rPr>
        <w:t>32.62</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80.66</w:t>
      </w:r>
      <w:r>
        <w:rPr>
          <w:rFonts w:hint="default" w:ascii="Times New Roman" w:hAnsi="Times New Roman" w:eastAsia="仿宋" w:cs="Times New Roman"/>
          <w:color w:val="auto"/>
          <w:sz w:val="32"/>
          <w:szCs w:val="32"/>
          <w:highlight w:val="none"/>
        </w:rPr>
        <w:t>%；公务接待费支出决算</w:t>
      </w:r>
      <w:r>
        <w:rPr>
          <w:rFonts w:hint="default" w:ascii="Times New Roman" w:hAnsi="Times New Roman" w:eastAsia="仿宋" w:cs="Times New Roman"/>
          <w:color w:val="auto"/>
          <w:sz w:val="32"/>
          <w:szCs w:val="32"/>
          <w:highlight w:val="none"/>
          <w:lang w:val="en-US" w:eastAsia="zh-CN"/>
        </w:rPr>
        <w:t>7.82</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19.34</w:t>
      </w:r>
      <w:r>
        <w:rPr>
          <w:rFonts w:hint="default" w:ascii="Times New Roman" w:hAnsi="Times New Roman" w:eastAsia="仿宋" w:cs="Times New Roman"/>
          <w:color w:val="auto"/>
          <w:sz w:val="32"/>
          <w:szCs w:val="32"/>
          <w:highlight w:val="none"/>
        </w:rPr>
        <w:t>%。具体情况如下：</w:t>
      </w:r>
    </w:p>
    <w:p w14:paraId="36EDA4DD">
      <w:pPr>
        <w:pStyle w:val="10"/>
        <w:jc w:val="center"/>
        <w:rPr>
          <w:rFonts w:hint="default" w:ascii="Times New Roman" w:hAnsi="Times New Roman" w:eastAsia="仿宋" w:cs="Times New Roman"/>
          <w:color w:val="auto"/>
          <w:sz w:val="32"/>
          <w:szCs w:val="32"/>
          <w:highlight w:val="none"/>
        </w:rPr>
      </w:pPr>
      <w:r>
        <w:rPr>
          <w:rFonts w:hint="default" w:ascii="Times New Roman" w:hAnsi="Times New Roman" w:cs="Times New Roman"/>
        </w:rPr>
        <w:drawing>
          <wp:inline distT="0" distB="0" distL="114300" distR="114300">
            <wp:extent cx="5135245" cy="1885950"/>
            <wp:effectExtent l="5080" t="4445" r="22225" b="14605"/>
            <wp:docPr id="116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45A69BA">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w:t>
      </w:r>
      <w:r>
        <w:rPr>
          <w:rFonts w:hint="default"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rPr>
        <w:t>：“三公”经费财政拨款支出结构）（饼状图）</w:t>
      </w:r>
    </w:p>
    <w:p w14:paraId="47B2B05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 w:cs="Times New Roman"/>
          <w:color w:val="auto"/>
          <w:sz w:val="32"/>
          <w:szCs w:val="32"/>
          <w:highlight w:val="none"/>
        </w:rPr>
        <w:t>1.因公出国（境）经费支出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万元，完成预算</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%。全年安排因公出国（境）团组</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次，出国（境）</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人。因公出国（境）支出决算比</w:t>
      </w:r>
      <w:r>
        <w:rPr>
          <w:rFonts w:hint="default" w:ascii="Times New Roman" w:hAnsi="Times New Roman" w:eastAsia="仿宋" w:cs="Times New Roman"/>
          <w:color w:val="auto"/>
          <w:sz w:val="32"/>
          <w:szCs w:val="32"/>
          <w:highlight w:val="none"/>
          <w:lang w:eastAsia="zh-CN"/>
        </w:rPr>
        <w:t>202</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lang w:eastAsia="zh-CN"/>
        </w:rPr>
        <w:t>年</w:t>
      </w:r>
      <w:r>
        <w:rPr>
          <w:rFonts w:hint="default" w:ascii="Times New Roman" w:hAnsi="Times New Roman" w:eastAsia="仿宋" w:cs="Times New Roman"/>
          <w:color w:val="auto"/>
          <w:sz w:val="32"/>
          <w:szCs w:val="32"/>
          <w:highlight w:val="none"/>
          <w:lang w:val="en-US" w:eastAsia="zh-CN"/>
        </w:rPr>
        <w:t>度持平</w:t>
      </w:r>
      <w:r>
        <w:rPr>
          <w:rFonts w:hint="default" w:ascii="Times New Roman" w:hAnsi="Times New Roman" w:eastAsia="仿宋" w:cs="Times New Roman"/>
          <w:color w:val="auto"/>
          <w:sz w:val="32"/>
          <w:szCs w:val="32"/>
          <w:highlight w:val="none"/>
        </w:rPr>
        <w:t>。</w:t>
      </w:r>
    </w:p>
    <w:p w14:paraId="1C9266F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 w:cs="Times New Roman"/>
          <w:color w:val="auto"/>
          <w:sz w:val="32"/>
          <w:szCs w:val="32"/>
          <w:highlight w:val="none"/>
        </w:rPr>
        <w:t>2.公务用车购置及运行维护费支出</w:t>
      </w:r>
      <w:r>
        <w:rPr>
          <w:rFonts w:hint="default" w:ascii="Times New Roman" w:hAnsi="Times New Roman" w:eastAsia="仿宋" w:cs="Times New Roman"/>
          <w:color w:val="auto"/>
          <w:sz w:val="32"/>
          <w:szCs w:val="32"/>
          <w:highlight w:val="none"/>
          <w:lang w:val="en-US" w:eastAsia="zh-CN"/>
        </w:rPr>
        <w:t>32.62</w:t>
      </w:r>
      <w:r>
        <w:rPr>
          <w:rFonts w:hint="default" w:ascii="Times New Roman" w:hAnsi="Times New Roman" w:eastAsia="仿宋" w:cs="Times New Roman"/>
          <w:color w:val="auto"/>
          <w:sz w:val="32"/>
          <w:szCs w:val="32"/>
          <w:highlight w:val="none"/>
        </w:rPr>
        <w:t>万元,完成预算</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%。公务用车购置及运行维护费支出决算比</w:t>
      </w:r>
      <w:r>
        <w:rPr>
          <w:rFonts w:hint="default" w:ascii="Times New Roman" w:hAnsi="Times New Roman" w:eastAsia="仿宋" w:cs="Times New Roman"/>
          <w:color w:val="auto"/>
          <w:sz w:val="32"/>
          <w:szCs w:val="32"/>
          <w:highlight w:val="none"/>
          <w:lang w:eastAsia="zh-CN"/>
        </w:rPr>
        <w:t>202</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lang w:eastAsia="zh-CN"/>
        </w:rPr>
        <w:t>年</w:t>
      </w:r>
      <w:r>
        <w:rPr>
          <w:rFonts w:hint="default" w:ascii="Times New Roman" w:hAnsi="Times New Roman" w:eastAsia="仿宋" w:cs="Times New Roman"/>
          <w:color w:val="auto"/>
          <w:sz w:val="32"/>
          <w:szCs w:val="32"/>
          <w:highlight w:val="none"/>
          <w:lang w:val="en-US" w:eastAsia="zh-CN"/>
        </w:rPr>
        <w:t>度增加0.65</w:t>
      </w:r>
      <w:r>
        <w:rPr>
          <w:rFonts w:hint="default" w:ascii="Times New Roman" w:hAnsi="Times New Roman" w:eastAsia="仿宋" w:cs="Times New Roman"/>
          <w:color w:val="auto"/>
          <w:sz w:val="32"/>
          <w:szCs w:val="32"/>
          <w:highlight w:val="none"/>
        </w:rPr>
        <w:t>万元，</w:t>
      </w:r>
      <w:r>
        <w:rPr>
          <w:rFonts w:hint="default" w:ascii="Times New Roman" w:hAnsi="Times New Roman" w:eastAsia="仿宋" w:cs="Times New Roman"/>
          <w:color w:val="auto"/>
          <w:sz w:val="32"/>
          <w:szCs w:val="32"/>
          <w:highlight w:val="none"/>
          <w:lang w:val="en-US" w:eastAsia="zh-CN"/>
        </w:rPr>
        <w:t>增长2.03</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主要原因是</w:t>
      </w:r>
      <w:r>
        <w:rPr>
          <w:rFonts w:hint="default" w:ascii="Times New Roman" w:hAnsi="Times New Roman" w:eastAsia="仿宋" w:cs="Times New Roman"/>
          <w:color w:val="auto"/>
          <w:sz w:val="32"/>
          <w:szCs w:val="32"/>
          <w:highlight w:val="none"/>
          <w:lang w:val="en-US" w:eastAsia="zh-CN"/>
        </w:rPr>
        <w:t>工作量增加，日常维护保养增加</w:t>
      </w:r>
      <w:r>
        <w:rPr>
          <w:rFonts w:hint="default" w:ascii="Times New Roman" w:hAnsi="Times New Roman" w:eastAsia="仿宋" w:cs="Times New Roman"/>
          <w:color w:val="auto"/>
          <w:sz w:val="32"/>
          <w:szCs w:val="32"/>
          <w:highlight w:val="none"/>
        </w:rPr>
        <w:t>。</w:t>
      </w:r>
    </w:p>
    <w:p w14:paraId="14F92C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 w:cs="Times New Roman"/>
          <w:color w:val="auto"/>
          <w:sz w:val="32"/>
          <w:szCs w:val="32"/>
          <w:highlight w:val="none"/>
        </w:rPr>
        <w:t>其中：公务用车购置支出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万元。全年按规定更新购置公务用车</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辆，其中：轿车</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辆、金额</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万元，越野车</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辆、金额</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万元，载客汽车</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辆、金额</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万元。截至20</w:t>
      </w:r>
      <w:r>
        <w:rPr>
          <w:rFonts w:hint="default" w:ascii="Times New Roman" w:hAnsi="Times New Roman" w:eastAsia="仿宋" w:cs="Times New Roman"/>
          <w:color w:val="auto"/>
          <w:sz w:val="32"/>
          <w:szCs w:val="32"/>
          <w:highlight w:val="none"/>
          <w:lang w:val="en-US" w:eastAsia="zh-CN"/>
        </w:rPr>
        <w:t>24</w:t>
      </w:r>
      <w:r>
        <w:rPr>
          <w:rFonts w:hint="default" w:ascii="Times New Roman" w:hAnsi="Times New Roman" w:eastAsia="仿宋" w:cs="Times New Roman"/>
          <w:color w:val="auto"/>
          <w:sz w:val="32"/>
          <w:szCs w:val="32"/>
          <w:highlight w:val="none"/>
        </w:rPr>
        <w:t>年12月底，单位共有公务用车</w:t>
      </w:r>
      <w:r>
        <w:rPr>
          <w:rFonts w:hint="default" w:ascii="Times New Roman" w:hAnsi="Times New Roman" w:eastAsia="仿宋" w:cs="Times New Roman"/>
          <w:color w:val="auto"/>
          <w:sz w:val="32"/>
          <w:szCs w:val="32"/>
          <w:highlight w:val="none"/>
          <w:lang w:val="en-US" w:eastAsia="zh-CN"/>
        </w:rPr>
        <w:t>16</w:t>
      </w:r>
      <w:r>
        <w:rPr>
          <w:rFonts w:hint="default" w:ascii="Times New Roman" w:hAnsi="Times New Roman" w:eastAsia="仿宋" w:cs="Times New Roman"/>
          <w:color w:val="auto"/>
          <w:sz w:val="32"/>
          <w:szCs w:val="32"/>
          <w:highlight w:val="none"/>
        </w:rPr>
        <w:t>辆，其中：轿车</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辆、越野车</w:t>
      </w: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辆、其他小型客车</w:t>
      </w:r>
      <w:r>
        <w:rPr>
          <w:rFonts w:hint="default" w:ascii="Times New Roman" w:hAnsi="Times New Roman" w:eastAsia="仿宋" w:cs="Times New Roman"/>
          <w:color w:val="auto"/>
          <w:sz w:val="32"/>
          <w:szCs w:val="32"/>
          <w:highlight w:val="none"/>
          <w:lang w:val="en-US" w:eastAsia="zh-CN"/>
        </w:rPr>
        <w:t>6辆，</w:t>
      </w:r>
      <w:r>
        <w:rPr>
          <w:rFonts w:hint="default" w:ascii="Times New Roman" w:hAnsi="Times New Roman" w:eastAsia="仿宋" w:cs="Times New Roman"/>
          <w:color w:val="auto"/>
          <w:sz w:val="32"/>
          <w:szCs w:val="32"/>
          <w:highlight w:val="none"/>
        </w:rPr>
        <w:t>中型客车</w:t>
      </w: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辆。</w:t>
      </w:r>
    </w:p>
    <w:p w14:paraId="117E93C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color w:val="auto"/>
          <w:sz w:val="32"/>
          <w:szCs w:val="32"/>
          <w:highlight w:val="none"/>
        </w:rPr>
        <w:t>公务用车运行维护费支出</w:t>
      </w:r>
      <w:r>
        <w:rPr>
          <w:rFonts w:hint="default" w:ascii="Times New Roman" w:hAnsi="Times New Roman" w:eastAsia="仿宋" w:cs="Times New Roman"/>
          <w:color w:val="auto"/>
          <w:sz w:val="32"/>
          <w:szCs w:val="32"/>
          <w:highlight w:val="none"/>
          <w:lang w:val="en-US" w:eastAsia="zh-CN"/>
        </w:rPr>
        <w:t>32.62</w:t>
      </w:r>
      <w:r>
        <w:rPr>
          <w:rFonts w:hint="default" w:ascii="Times New Roman" w:hAnsi="Times New Roman" w:eastAsia="仿宋" w:cs="Times New Roman"/>
          <w:color w:val="auto"/>
          <w:sz w:val="32"/>
          <w:szCs w:val="32"/>
          <w:highlight w:val="none"/>
        </w:rPr>
        <w:t>万元。主要用于执法执勤用车、特种专业技术用车开展执法办案及抽验检测等所需的公务用车燃料费、维修费、过路过桥费、保险费等支出。</w:t>
      </w:r>
    </w:p>
    <w:p w14:paraId="58AA8A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公务接待费支出</w:t>
      </w:r>
      <w:r>
        <w:rPr>
          <w:rFonts w:hint="default" w:ascii="Times New Roman" w:hAnsi="Times New Roman" w:eastAsia="仿宋" w:cs="Times New Roman"/>
          <w:color w:val="auto"/>
          <w:sz w:val="32"/>
          <w:szCs w:val="32"/>
          <w:highlight w:val="none"/>
          <w:lang w:val="en-US" w:eastAsia="zh-CN"/>
        </w:rPr>
        <w:t>7.82</w:t>
      </w:r>
      <w:r>
        <w:rPr>
          <w:rFonts w:hint="default" w:ascii="Times New Roman" w:hAnsi="Times New Roman" w:eastAsia="仿宋" w:cs="Times New Roman"/>
          <w:color w:val="auto"/>
          <w:sz w:val="32"/>
          <w:szCs w:val="32"/>
          <w:highlight w:val="none"/>
        </w:rPr>
        <w:t>万元，完成预算</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%。公务接待费支出</w:t>
      </w:r>
      <w:r>
        <w:rPr>
          <w:rFonts w:hint="default" w:ascii="Times New Roman" w:hAnsi="Times New Roman" w:eastAsia="仿宋" w:cs="Times New Roman"/>
          <w:color w:val="auto"/>
          <w:sz w:val="32"/>
          <w:szCs w:val="32"/>
          <w:highlight w:val="none"/>
          <w:lang w:val="en-US" w:eastAsia="zh-CN"/>
        </w:rPr>
        <w:t>决算</w:t>
      </w:r>
      <w:r>
        <w:rPr>
          <w:rFonts w:hint="default" w:ascii="Times New Roman" w:hAnsi="Times New Roman" w:eastAsia="仿宋" w:cs="Times New Roman"/>
          <w:color w:val="auto"/>
          <w:sz w:val="32"/>
          <w:szCs w:val="32"/>
          <w:highlight w:val="none"/>
        </w:rPr>
        <w:t>比</w:t>
      </w:r>
      <w:r>
        <w:rPr>
          <w:rFonts w:hint="default" w:ascii="Times New Roman" w:hAnsi="Times New Roman" w:eastAsia="仿宋" w:cs="Times New Roman"/>
          <w:color w:val="auto"/>
          <w:sz w:val="32"/>
          <w:szCs w:val="32"/>
          <w:highlight w:val="none"/>
          <w:lang w:eastAsia="zh-CN"/>
        </w:rPr>
        <w:t>202</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lang w:eastAsia="zh-CN"/>
        </w:rPr>
        <w:t>年</w:t>
      </w:r>
      <w:r>
        <w:rPr>
          <w:rFonts w:hint="default" w:ascii="Times New Roman" w:hAnsi="Times New Roman" w:eastAsia="仿宋" w:cs="Times New Roman"/>
          <w:color w:val="auto"/>
          <w:sz w:val="32"/>
          <w:szCs w:val="32"/>
          <w:highlight w:val="none"/>
          <w:lang w:val="en-US" w:eastAsia="zh-CN"/>
        </w:rPr>
        <w:t>度减少3.66</w:t>
      </w:r>
      <w:r>
        <w:rPr>
          <w:rFonts w:hint="default" w:ascii="Times New Roman" w:hAnsi="Times New Roman" w:eastAsia="仿宋" w:cs="Times New Roman"/>
          <w:color w:val="auto"/>
          <w:sz w:val="32"/>
          <w:szCs w:val="32"/>
          <w:highlight w:val="none"/>
        </w:rPr>
        <w:t>万元，</w:t>
      </w:r>
      <w:r>
        <w:rPr>
          <w:rFonts w:hint="default" w:ascii="Times New Roman" w:hAnsi="Times New Roman" w:eastAsia="仿宋" w:cs="Times New Roman"/>
          <w:color w:val="auto"/>
          <w:sz w:val="32"/>
          <w:szCs w:val="32"/>
          <w:highlight w:val="none"/>
          <w:lang w:val="en-US" w:eastAsia="zh-CN"/>
        </w:rPr>
        <w:t>下降31.88</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主要原因是</w:t>
      </w:r>
      <w:r>
        <w:rPr>
          <w:rFonts w:hint="default" w:ascii="Times New Roman" w:hAnsi="Times New Roman" w:eastAsia="仿宋" w:cs="Times New Roman"/>
          <w:color w:val="auto"/>
          <w:sz w:val="32"/>
          <w:szCs w:val="32"/>
          <w:highlight w:val="none"/>
          <w:lang w:val="en-US" w:eastAsia="zh-CN"/>
        </w:rPr>
        <w:t>厉行节约</w:t>
      </w:r>
      <w:r>
        <w:rPr>
          <w:rFonts w:hint="default" w:ascii="Times New Roman" w:hAnsi="Times New Roman" w:eastAsia="仿宋" w:cs="Times New Roman"/>
          <w:color w:val="auto"/>
          <w:sz w:val="32"/>
          <w:szCs w:val="32"/>
          <w:highlight w:val="none"/>
        </w:rPr>
        <w:t>。</w:t>
      </w:r>
    </w:p>
    <w:p w14:paraId="033BC3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其中：国内公务接待支出</w:t>
      </w:r>
      <w:r>
        <w:rPr>
          <w:rFonts w:hint="default" w:ascii="Times New Roman" w:hAnsi="Times New Roman" w:eastAsia="仿宋" w:cs="Times New Roman"/>
          <w:color w:val="auto"/>
          <w:sz w:val="32"/>
          <w:szCs w:val="32"/>
          <w:highlight w:val="none"/>
          <w:lang w:val="en-US" w:eastAsia="zh-CN"/>
        </w:rPr>
        <w:t>7.82</w:t>
      </w:r>
      <w:r>
        <w:rPr>
          <w:rFonts w:hint="default" w:ascii="Times New Roman" w:hAnsi="Times New Roman" w:eastAsia="仿宋" w:cs="Times New Roman"/>
          <w:color w:val="auto"/>
          <w:sz w:val="32"/>
          <w:szCs w:val="32"/>
          <w:highlight w:val="none"/>
        </w:rPr>
        <w:t>万元，主要用于我单位执行公务、开展业务活动开支的用餐费。国内公务接待</w:t>
      </w:r>
      <w:r>
        <w:rPr>
          <w:rFonts w:hint="default" w:ascii="Times New Roman" w:hAnsi="Times New Roman" w:eastAsia="仿宋" w:cs="Times New Roman"/>
          <w:color w:val="auto"/>
          <w:sz w:val="32"/>
          <w:szCs w:val="32"/>
          <w:highlight w:val="none"/>
          <w:lang w:val="en-US" w:eastAsia="zh-CN"/>
        </w:rPr>
        <w:t>116</w:t>
      </w:r>
      <w:r>
        <w:rPr>
          <w:rFonts w:hint="default" w:ascii="Times New Roman" w:hAnsi="Times New Roman" w:eastAsia="仿宋" w:cs="Times New Roman"/>
          <w:color w:val="auto"/>
          <w:sz w:val="32"/>
          <w:szCs w:val="32"/>
          <w:highlight w:val="none"/>
        </w:rPr>
        <w:t>批次，</w:t>
      </w:r>
      <w:r>
        <w:rPr>
          <w:rFonts w:hint="default" w:ascii="Times New Roman" w:hAnsi="Times New Roman" w:eastAsia="仿宋" w:cs="Times New Roman"/>
          <w:color w:val="auto"/>
          <w:sz w:val="32"/>
          <w:szCs w:val="32"/>
          <w:highlight w:val="none"/>
          <w:lang w:val="en-US" w:eastAsia="zh-CN"/>
        </w:rPr>
        <w:t>923</w:t>
      </w:r>
      <w:r>
        <w:rPr>
          <w:rFonts w:hint="default" w:ascii="Times New Roman" w:hAnsi="Times New Roman" w:eastAsia="仿宋" w:cs="Times New Roman"/>
          <w:color w:val="auto"/>
          <w:sz w:val="32"/>
          <w:szCs w:val="32"/>
          <w:highlight w:val="none"/>
        </w:rPr>
        <w:t>人次（包括陪同人员），共计支出</w:t>
      </w:r>
      <w:r>
        <w:rPr>
          <w:rFonts w:hint="default" w:ascii="Times New Roman" w:hAnsi="Times New Roman" w:eastAsia="仿宋" w:cs="Times New Roman"/>
          <w:color w:val="auto"/>
          <w:sz w:val="32"/>
          <w:szCs w:val="32"/>
          <w:highlight w:val="none"/>
          <w:lang w:val="en-US" w:eastAsia="zh-CN"/>
        </w:rPr>
        <w:t>7.82</w:t>
      </w:r>
      <w:r>
        <w:rPr>
          <w:rFonts w:hint="default" w:ascii="Times New Roman" w:hAnsi="Times New Roman" w:eastAsia="仿宋" w:cs="Times New Roman"/>
          <w:color w:val="auto"/>
          <w:sz w:val="32"/>
          <w:szCs w:val="32"/>
          <w:highlight w:val="none"/>
        </w:rPr>
        <w:t>万元，具体内容包括市局莅临我局</w:t>
      </w:r>
      <w:r>
        <w:rPr>
          <w:rFonts w:hint="default" w:ascii="Times New Roman" w:hAnsi="Times New Roman" w:eastAsia="仿宋" w:cs="Times New Roman"/>
          <w:color w:val="auto"/>
          <w:sz w:val="32"/>
          <w:szCs w:val="32"/>
          <w:highlight w:val="none"/>
          <w:lang w:val="en-US" w:eastAsia="zh-CN"/>
        </w:rPr>
        <w:t>监督</w:t>
      </w:r>
      <w:r>
        <w:rPr>
          <w:rFonts w:hint="default" w:ascii="Times New Roman" w:hAnsi="Times New Roman" w:eastAsia="仿宋" w:cs="Times New Roman"/>
          <w:color w:val="auto"/>
          <w:sz w:val="32"/>
          <w:szCs w:val="32"/>
          <w:highlight w:val="none"/>
        </w:rPr>
        <w:t>检查</w:t>
      </w:r>
      <w:r>
        <w:rPr>
          <w:rFonts w:hint="default" w:ascii="Times New Roman" w:hAnsi="Times New Roman" w:eastAsia="仿宋" w:cs="Times New Roman"/>
          <w:color w:val="auto"/>
          <w:sz w:val="32"/>
          <w:szCs w:val="32"/>
          <w:highlight w:val="none"/>
          <w:lang w:val="en-US" w:eastAsia="zh-CN"/>
        </w:rPr>
        <w:t>专项</w:t>
      </w:r>
      <w:r>
        <w:rPr>
          <w:rFonts w:hint="default" w:ascii="Times New Roman" w:hAnsi="Times New Roman" w:eastAsia="仿宋" w:cs="Times New Roman"/>
          <w:color w:val="auto"/>
          <w:sz w:val="32"/>
          <w:szCs w:val="32"/>
          <w:highlight w:val="none"/>
        </w:rPr>
        <w:t>行动、</w:t>
      </w:r>
      <w:r>
        <w:rPr>
          <w:rFonts w:hint="default" w:ascii="Times New Roman" w:hAnsi="Times New Roman" w:eastAsia="仿宋" w:cs="Times New Roman"/>
          <w:color w:val="auto"/>
          <w:sz w:val="32"/>
          <w:szCs w:val="32"/>
          <w:highlight w:val="none"/>
          <w:lang w:val="en-US" w:eastAsia="zh-CN"/>
        </w:rPr>
        <w:t>市场监管执法，药品食品特种设备安全检查等</w:t>
      </w:r>
      <w:r>
        <w:rPr>
          <w:rFonts w:hint="default" w:ascii="Times New Roman" w:hAnsi="Times New Roman" w:eastAsia="仿宋" w:cs="Times New Roman"/>
          <w:color w:val="auto"/>
          <w:sz w:val="32"/>
          <w:szCs w:val="32"/>
          <w:highlight w:val="none"/>
        </w:rPr>
        <w:t>。</w:t>
      </w:r>
    </w:p>
    <w:p w14:paraId="3CDA38E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外事接待支出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外事接待</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批次，</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人</w:t>
      </w:r>
      <w:r>
        <w:rPr>
          <w:rFonts w:hint="default" w:ascii="Times New Roman" w:hAnsi="Times New Roman" w:eastAsia="仿宋" w:cs="Times New Roman"/>
          <w:color w:val="auto"/>
          <w:sz w:val="32"/>
          <w:szCs w:val="32"/>
          <w:highlight w:val="none"/>
          <w:lang w:eastAsia="zh-CN"/>
        </w:rPr>
        <w:t>次（不包括陪同人员）</w:t>
      </w:r>
      <w:r>
        <w:rPr>
          <w:rFonts w:hint="default" w:ascii="Times New Roman" w:hAnsi="Times New Roman" w:eastAsia="仿宋" w:cs="Times New Roman"/>
          <w:color w:val="auto"/>
          <w:sz w:val="32"/>
          <w:szCs w:val="32"/>
          <w:highlight w:val="none"/>
        </w:rPr>
        <w:t>，共计支出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w:t>
      </w:r>
      <w:bookmarkStart w:id="40" w:name="_Toc15396610"/>
      <w:bookmarkStart w:id="41" w:name="_Toc15377218"/>
    </w:p>
    <w:p w14:paraId="1DBB6CB9">
      <w:pPr>
        <w:spacing w:line="600" w:lineRule="exact"/>
        <w:ind w:firstLine="640"/>
        <w:outlineLvl w:val="1"/>
        <w:rPr>
          <w:rStyle w:val="37"/>
          <w:rFonts w:hint="default" w:ascii="Times New Roman" w:hAnsi="Times New Roman" w:eastAsia="黑体" w:cs="Times New Roman"/>
          <w:color w:val="auto"/>
          <w:highlight w:val="none"/>
        </w:rPr>
      </w:pPr>
      <w:r>
        <w:rPr>
          <w:rFonts w:hint="default" w:ascii="Times New Roman" w:hAnsi="Times New Roman" w:eastAsia="黑体" w:cs="Times New Roman"/>
          <w:color w:val="auto"/>
          <w:sz w:val="32"/>
          <w:szCs w:val="32"/>
          <w:highlight w:val="none"/>
        </w:rPr>
        <w:t>八、</w:t>
      </w:r>
      <w:r>
        <w:rPr>
          <w:rStyle w:val="37"/>
          <w:rFonts w:hint="default" w:ascii="Times New Roman" w:hAnsi="Times New Roman" w:eastAsia="黑体" w:cs="Times New Roman"/>
          <w:b w:val="0"/>
          <w:color w:val="auto"/>
          <w:highlight w:val="none"/>
        </w:rPr>
        <w:t>政府性基金预算支出决算情况说明</w:t>
      </w:r>
      <w:bookmarkEnd w:id="40"/>
      <w:bookmarkEnd w:id="41"/>
    </w:p>
    <w:p w14:paraId="3F6BA752">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24</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val="en-US" w:eastAsia="zh-CN"/>
        </w:rPr>
        <w:t>度</w:t>
      </w:r>
      <w:r>
        <w:rPr>
          <w:rFonts w:hint="default" w:ascii="Times New Roman" w:hAnsi="Times New Roman" w:eastAsia="仿宋" w:cs="Times New Roman"/>
          <w:color w:val="auto"/>
          <w:sz w:val="32"/>
          <w:szCs w:val="32"/>
          <w:highlight w:val="none"/>
        </w:rPr>
        <w:t>政府性基金预算</w:t>
      </w:r>
      <w:r>
        <w:rPr>
          <w:rFonts w:hint="default" w:ascii="Times New Roman" w:hAnsi="Times New Roman" w:eastAsia="仿宋" w:cs="Times New Roman"/>
          <w:color w:val="auto"/>
          <w:sz w:val="32"/>
          <w:szCs w:val="32"/>
          <w:highlight w:val="none"/>
          <w:lang w:eastAsia="zh-CN"/>
        </w:rPr>
        <w:t>财政</w:t>
      </w:r>
      <w:r>
        <w:rPr>
          <w:rFonts w:hint="default" w:ascii="Times New Roman" w:hAnsi="Times New Roman" w:eastAsia="仿宋" w:cs="Times New Roman"/>
          <w:color w:val="auto"/>
          <w:sz w:val="32"/>
          <w:szCs w:val="32"/>
          <w:highlight w:val="none"/>
        </w:rPr>
        <w:t>拨款支出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w:t>
      </w:r>
    </w:p>
    <w:p w14:paraId="42D70196">
      <w:pPr>
        <w:numPr>
          <w:ilvl w:val="0"/>
          <w:numId w:val="2"/>
        </w:numPr>
        <w:spacing w:line="600" w:lineRule="exact"/>
        <w:ind w:firstLine="640"/>
        <w:outlineLvl w:val="1"/>
        <w:rPr>
          <w:rStyle w:val="37"/>
          <w:rFonts w:hint="default" w:ascii="Times New Roman" w:hAnsi="Times New Roman" w:eastAsia="黑体" w:cs="Times New Roman"/>
          <w:b w:val="0"/>
          <w:color w:val="auto"/>
          <w:highlight w:val="none"/>
        </w:rPr>
      </w:pPr>
      <w:bookmarkStart w:id="42" w:name="_Toc15396611"/>
      <w:bookmarkStart w:id="43" w:name="_Toc15377219"/>
      <w:r>
        <w:rPr>
          <w:rStyle w:val="37"/>
          <w:rFonts w:hint="default" w:ascii="Times New Roman" w:hAnsi="Times New Roman" w:eastAsia="黑体" w:cs="Times New Roman"/>
          <w:b w:val="0"/>
          <w:color w:val="auto"/>
          <w:highlight w:val="none"/>
        </w:rPr>
        <w:t>国有资本经营预算支出决算情况说明</w:t>
      </w:r>
      <w:bookmarkEnd w:id="42"/>
      <w:bookmarkEnd w:id="43"/>
    </w:p>
    <w:p w14:paraId="2B86DF78">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24</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val="en-US" w:eastAsia="zh-CN"/>
        </w:rPr>
        <w:t>度</w:t>
      </w:r>
      <w:r>
        <w:rPr>
          <w:rFonts w:hint="default" w:ascii="Times New Roman" w:hAnsi="Times New Roman" w:eastAsia="仿宋" w:cs="Times New Roman"/>
          <w:color w:val="auto"/>
          <w:sz w:val="32"/>
          <w:szCs w:val="32"/>
          <w:highlight w:val="none"/>
        </w:rPr>
        <w:t>国有资本经营预算</w:t>
      </w:r>
      <w:r>
        <w:rPr>
          <w:rFonts w:hint="default" w:ascii="Times New Roman" w:hAnsi="Times New Roman" w:eastAsia="仿宋" w:cs="Times New Roman"/>
          <w:color w:val="auto"/>
          <w:sz w:val="32"/>
          <w:szCs w:val="32"/>
          <w:highlight w:val="none"/>
          <w:lang w:eastAsia="zh-CN"/>
        </w:rPr>
        <w:t>财政</w:t>
      </w:r>
      <w:r>
        <w:rPr>
          <w:rFonts w:hint="default" w:ascii="Times New Roman" w:hAnsi="Times New Roman" w:eastAsia="仿宋" w:cs="Times New Roman"/>
          <w:color w:val="auto"/>
          <w:sz w:val="32"/>
          <w:szCs w:val="32"/>
          <w:highlight w:val="none"/>
        </w:rPr>
        <w:t>拨款支出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w:t>
      </w:r>
    </w:p>
    <w:p w14:paraId="04EE61CF">
      <w:pPr>
        <w:numPr>
          <w:ilvl w:val="0"/>
          <w:numId w:val="2"/>
        </w:numPr>
        <w:spacing w:line="600" w:lineRule="exact"/>
        <w:ind w:firstLine="640"/>
        <w:outlineLvl w:val="1"/>
        <w:rPr>
          <w:rStyle w:val="37"/>
          <w:rFonts w:hint="default" w:ascii="Times New Roman" w:hAnsi="Times New Roman" w:eastAsia="黑体" w:cs="Times New Roman"/>
          <w:b w:val="0"/>
          <w:color w:val="auto"/>
          <w:highlight w:val="none"/>
        </w:rPr>
      </w:pPr>
      <w:bookmarkStart w:id="44" w:name="_Toc15396612"/>
      <w:bookmarkStart w:id="45" w:name="_Toc15377221"/>
      <w:r>
        <w:rPr>
          <w:rStyle w:val="37"/>
          <w:rFonts w:hint="default" w:ascii="Times New Roman" w:hAnsi="Times New Roman" w:eastAsia="黑体" w:cs="Times New Roman"/>
          <w:b w:val="0"/>
          <w:color w:val="auto"/>
          <w:highlight w:val="none"/>
        </w:rPr>
        <w:t>其他重要事项的情况说明</w:t>
      </w:r>
      <w:bookmarkEnd w:id="44"/>
      <w:bookmarkEnd w:id="45"/>
    </w:p>
    <w:p w14:paraId="4D31EADC">
      <w:pPr>
        <w:spacing w:line="600" w:lineRule="exact"/>
        <w:ind w:firstLine="640"/>
        <w:outlineLvl w:val="2"/>
        <w:rPr>
          <w:rFonts w:hint="default" w:ascii="楷体_GB2312" w:hAnsi="楷体_GB2312" w:eastAsia="楷体_GB2312" w:cs="楷体_GB2312"/>
          <w:b/>
          <w:color w:val="auto"/>
          <w:sz w:val="32"/>
          <w:szCs w:val="32"/>
          <w:highlight w:val="none"/>
        </w:rPr>
      </w:pPr>
      <w:bookmarkStart w:id="46" w:name="_Toc15377222"/>
      <w:r>
        <w:rPr>
          <w:rFonts w:hint="default" w:ascii="楷体_GB2312" w:hAnsi="楷体_GB2312" w:eastAsia="楷体_GB2312" w:cs="楷体_GB2312"/>
          <w:b/>
          <w:color w:val="auto"/>
          <w:sz w:val="32"/>
          <w:szCs w:val="32"/>
          <w:highlight w:val="none"/>
        </w:rPr>
        <w:t>（一）机关运行经费支出情况</w:t>
      </w:r>
      <w:bookmarkEnd w:id="46"/>
    </w:p>
    <w:p w14:paraId="1F14E5C3">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24</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val="en-US" w:eastAsia="zh-CN"/>
        </w:rPr>
        <w:t>度</w:t>
      </w:r>
      <w:r>
        <w:rPr>
          <w:rFonts w:hint="default" w:ascii="Times New Roman" w:hAnsi="Times New Roman" w:eastAsia="仿宋" w:cs="Times New Roman"/>
          <w:color w:val="auto"/>
          <w:sz w:val="32"/>
          <w:szCs w:val="32"/>
          <w:highlight w:val="none"/>
        </w:rPr>
        <w:t>，区市场监管局机关运行经费支出</w:t>
      </w:r>
      <w:r>
        <w:rPr>
          <w:rFonts w:hint="default" w:ascii="Times New Roman" w:hAnsi="Times New Roman" w:eastAsia="仿宋" w:cs="Times New Roman"/>
          <w:color w:val="auto"/>
          <w:sz w:val="32"/>
          <w:szCs w:val="32"/>
          <w:highlight w:val="none"/>
          <w:lang w:val="en-US" w:eastAsia="zh-CN"/>
        </w:rPr>
        <w:t>211.32</w:t>
      </w:r>
      <w:r>
        <w:rPr>
          <w:rFonts w:hint="default" w:ascii="Times New Roman" w:hAnsi="Times New Roman" w:eastAsia="仿宋" w:cs="Times New Roman"/>
          <w:color w:val="auto"/>
          <w:sz w:val="32"/>
          <w:szCs w:val="32"/>
          <w:highlight w:val="none"/>
        </w:rPr>
        <w:t>万元，比</w:t>
      </w:r>
      <w:r>
        <w:rPr>
          <w:rFonts w:hint="default" w:ascii="Times New Roman" w:hAnsi="Times New Roman" w:eastAsia="仿宋" w:cs="Times New Roman"/>
          <w:color w:val="auto"/>
          <w:sz w:val="32"/>
          <w:szCs w:val="32"/>
          <w:highlight w:val="none"/>
          <w:lang w:eastAsia="zh-CN"/>
        </w:rPr>
        <w:t>202</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lang w:eastAsia="zh-CN"/>
        </w:rPr>
        <w:t>年</w:t>
      </w:r>
      <w:r>
        <w:rPr>
          <w:rFonts w:hint="default" w:ascii="Times New Roman" w:hAnsi="Times New Roman" w:eastAsia="仿宋" w:cs="Times New Roman"/>
          <w:color w:val="auto"/>
          <w:sz w:val="32"/>
          <w:szCs w:val="32"/>
          <w:highlight w:val="none"/>
          <w:lang w:val="en-US" w:eastAsia="zh-CN"/>
        </w:rPr>
        <w:t>度减少30.09</w:t>
      </w:r>
      <w:r>
        <w:rPr>
          <w:rFonts w:hint="default" w:ascii="Times New Roman" w:hAnsi="Times New Roman" w:eastAsia="仿宋" w:cs="Times New Roman"/>
          <w:color w:val="auto"/>
          <w:sz w:val="32"/>
          <w:szCs w:val="32"/>
          <w:highlight w:val="none"/>
        </w:rPr>
        <w:t>万元，</w:t>
      </w:r>
      <w:r>
        <w:rPr>
          <w:rFonts w:hint="default" w:ascii="Times New Roman" w:hAnsi="Times New Roman" w:eastAsia="仿宋" w:cs="Times New Roman"/>
          <w:color w:val="auto"/>
          <w:sz w:val="32"/>
          <w:szCs w:val="32"/>
          <w:highlight w:val="none"/>
          <w:lang w:val="en-US" w:eastAsia="zh-CN"/>
        </w:rPr>
        <w:t>下降12.46</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主要原因是</w:t>
      </w:r>
      <w:r>
        <w:rPr>
          <w:rFonts w:hint="default" w:ascii="Times New Roman" w:hAnsi="Times New Roman" w:eastAsia="仿宋" w:cs="Times New Roman"/>
          <w:color w:val="auto"/>
          <w:sz w:val="32"/>
          <w:szCs w:val="32"/>
          <w:highlight w:val="none"/>
          <w:lang w:val="en-US" w:eastAsia="zh-CN"/>
        </w:rPr>
        <w:t>厉行节约，严控开支</w:t>
      </w:r>
      <w:r>
        <w:rPr>
          <w:rFonts w:hint="default" w:ascii="Times New Roman" w:hAnsi="Times New Roman" w:eastAsia="仿宋" w:cs="Times New Roman"/>
          <w:color w:val="auto"/>
          <w:sz w:val="32"/>
          <w:szCs w:val="32"/>
          <w:highlight w:val="none"/>
          <w:lang w:eastAsia="zh-CN"/>
        </w:rPr>
        <w:t>。</w:t>
      </w:r>
    </w:p>
    <w:p w14:paraId="1BCBFCD3">
      <w:pPr>
        <w:spacing w:line="600" w:lineRule="exact"/>
        <w:ind w:firstLine="640"/>
        <w:outlineLvl w:val="2"/>
        <w:rPr>
          <w:rFonts w:hint="default" w:ascii="楷体_GB2312" w:hAnsi="楷体_GB2312" w:eastAsia="楷体_GB2312" w:cs="楷体_GB2312"/>
          <w:b/>
          <w:color w:val="auto"/>
          <w:sz w:val="32"/>
          <w:szCs w:val="32"/>
          <w:highlight w:val="none"/>
        </w:rPr>
      </w:pPr>
      <w:bookmarkStart w:id="47" w:name="_Toc15377223"/>
      <w:r>
        <w:rPr>
          <w:rFonts w:hint="default" w:ascii="楷体_GB2312" w:hAnsi="楷体_GB2312" w:eastAsia="楷体_GB2312" w:cs="楷体_GB2312"/>
          <w:b/>
          <w:color w:val="auto"/>
          <w:sz w:val="32"/>
          <w:szCs w:val="32"/>
          <w:highlight w:val="none"/>
        </w:rPr>
        <w:t>（二）政府采购支出情况</w:t>
      </w:r>
      <w:bookmarkEnd w:id="47"/>
    </w:p>
    <w:p w14:paraId="3937F33D">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24</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val="en-US" w:eastAsia="zh-CN"/>
        </w:rPr>
        <w:t>度</w:t>
      </w:r>
      <w:r>
        <w:rPr>
          <w:rFonts w:hint="default" w:ascii="Times New Roman" w:hAnsi="Times New Roman" w:eastAsia="仿宋" w:cs="Times New Roman"/>
          <w:color w:val="auto"/>
          <w:sz w:val="32"/>
          <w:szCs w:val="32"/>
          <w:highlight w:val="none"/>
        </w:rPr>
        <w:t>，区市场监管局政府采购支出总额</w:t>
      </w:r>
      <w:r>
        <w:rPr>
          <w:rFonts w:hint="default" w:ascii="Times New Roman" w:hAnsi="Times New Roman" w:eastAsia="仿宋" w:cs="Times New Roman"/>
          <w:color w:val="auto"/>
          <w:sz w:val="32"/>
          <w:szCs w:val="32"/>
          <w:highlight w:val="none"/>
          <w:lang w:val="en-US" w:eastAsia="zh-CN"/>
        </w:rPr>
        <w:t>9.55</w:t>
      </w:r>
      <w:r>
        <w:rPr>
          <w:rFonts w:hint="default" w:ascii="Times New Roman" w:hAnsi="Times New Roman" w:eastAsia="仿宋" w:cs="Times New Roman"/>
          <w:color w:val="auto"/>
          <w:sz w:val="32"/>
          <w:szCs w:val="32"/>
          <w:highlight w:val="none"/>
        </w:rPr>
        <w:t>万元，其中：政府采购货物支出</w:t>
      </w:r>
      <w:r>
        <w:rPr>
          <w:rFonts w:hint="default" w:ascii="Times New Roman" w:hAnsi="Times New Roman" w:eastAsia="仿宋" w:cs="Times New Roman"/>
          <w:color w:val="auto"/>
          <w:sz w:val="32"/>
          <w:szCs w:val="32"/>
          <w:highlight w:val="none"/>
          <w:lang w:val="en-US" w:eastAsia="zh-CN"/>
        </w:rPr>
        <w:t>9.24</w:t>
      </w:r>
      <w:r>
        <w:rPr>
          <w:rFonts w:hint="default" w:ascii="Times New Roman" w:hAnsi="Times New Roman" w:eastAsia="仿宋" w:cs="Times New Roman"/>
          <w:color w:val="auto"/>
          <w:sz w:val="32"/>
          <w:szCs w:val="32"/>
          <w:highlight w:val="none"/>
        </w:rPr>
        <w:t>万元、政府采购工程支出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万元、政府采购服务支出</w:t>
      </w:r>
      <w:r>
        <w:rPr>
          <w:rFonts w:hint="default" w:ascii="Times New Roman" w:hAnsi="Times New Roman" w:eastAsia="仿宋" w:cs="Times New Roman"/>
          <w:color w:val="auto"/>
          <w:sz w:val="32"/>
          <w:szCs w:val="32"/>
          <w:highlight w:val="none"/>
          <w:lang w:val="en-US" w:eastAsia="zh-CN"/>
        </w:rPr>
        <w:t>0.31</w:t>
      </w:r>
      <w:r>
        <w:rPr>
          <w:rFonts w:hint="default" w:ascii="Times New Roman" w:hAnsi="Times New Roman" w:eastAsia="仿宋" w:cs="Times New Roman"/>
          <w:color w:val="auto"/>
          <w:sz w:val="32"/>
          <w:szCs w:val="32"/>
          <w:highlight w:val="none"/>
        </w:rPr>
        <w:t>万元。</w:t>
      </w:r>
      <w:r>
        <w:rPr>
          <w:rFonts w:hint="default" w:ascii="Times New Roman" w:hAnsi="Times New Roman" w:eastAsia="仿宋" w:cs="Times New Roman"/>
          <w:color w:val="auto"/>
          <w:sz w:val="32"/>
          <w:szCs w:val="32"/>
          <w:highlight w:val="none"/>
          <w:lang w:val="en-US" w:eastAsia="zh-CN"/>
        </w:rPr>
        <w:t>主要用于购买办公用电脑、公务用车保险。</w:t>
      </w:r>
      <w:r>
        <w:rPr>
          <w:rFonts w:hint="default" w:ascii="Times New Roman" w:hAnsi="Times New Roman" w:eastAsia="仿宋" w:cs="Times New Roman"/>
          <w:color w:val="auto"/>
          <w:sz w:val="32"/>
          <w:szCs w:val="32"/>
          <w:highlight w:val="none"/>
        </w:rPr>
        <w:t>授予中小企业合同金额</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万元，占政府采购支出总额的</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%，其中：授予小微企业合同金额</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万元，占政府采购支出总额的</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p>
    <w:p w14:paraId="39CCCF52">
      <w:pPr>
        <w:spacing w:line="600" w:lineRule="exact"/>
        <w:ind w:firstLine="640"/>
        <w:outlineLvl w:val="2"/>
        <w:rPr>
          <w:rFonts w:hint="default" w:ascii="楷体_GB2312" w:hAnsi="楷体_GB2312" w:eastAsia="楷体_GB2312" w:cs="楷体_GB2312"/>
          <w:b/>
          <w:color w:val="auto"/>
          <w:sz w:val="32"/>
          <w:szCs w:val="32"/>
          <w:highlight w:val="none"/>
        </w:rPr>
      </w:pPr>
      <w:bookmarkStart w:id="48" w:name="_Toc15377224"/>
      <w:r>
        <w:rPr>
          <w:rFonts w:hint="default" w:ascii="楷体_GB2312" w:hAnsi="楷体_GB2312" w:eastAsia="楷体_GB2312" w:cs="楷体_GB2312"/>
          <w:b/>
          <w:color w:val="auto"/>
          <w:sz w:val="32"/>
          <w:szCs w:val="32"/>
          <w:highlight w:val="none"/>
        </w:rPr>
        <w:t>（三）国有资产占有使用情况</w:t>
      </w:r>
      <w:bookmarkEnd w:id="48"/>
    </w:p>
    <w:p w14:paraId="119B7EDF">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color w:val="auto"/>
          <w:sz w:val="32"/>
          <w:szCs w:val="32"/>
          <w:highlight w:val="none"/>
        </w:rPr>
        <w:t>截至20</w:t>
      </w:r>
      <w:r>
        <w:rPr>
          <w:rFonts w:hint="default" w:ascii="Times New Roman" w:hAnsi="Times New Roman" w:eastAsia="仿宋" w:cs="Times New Roman"/>
          <w:color w:val="auto"/>
          <w:sz w:val="32"/>
          <w:szCs w:val="32"/>
          <w:highlight w:val="none"/>
          <w:lang w:val="en-US" w:eastAsia="zh-CN"/>
        </w:rPr>
        <w:t>24</w:t>
      </w:r>
      <w:r>
        <w:rPr>
          <w:rFonts w:hint="default" w:ascii="Times New Roman" w:hAnsi="Times New Roman" w:eastAsia="仿宋" w:cs="Times New Roman"/>
          <w:color w:val="auto"/>
          <w:sz w:val="32"/>
          <w:szCs w:val="32"/>
          <w:highlight w:val="none"/>
        </w:rPr>
        <w:t>年12月31日，区市场监管局共有车辆</w:t>
      </w:r>
      <w:r>
        <w:rPr>
          <w:rFonts w:hint="default" w:ascii="Times New Roman" w:hAnsi="Times New Roman" w:eastAsia="仿宋" w:cs="Times New Roman"/>
          <w:color w:val="auto"/>
          <w:sz w:val="32"/>
          <w:szCs w:val="32"/>
          <w:highlight w:val="none"/>
          <w:lang w:val="en-US" w:eastAsia="zh-CN"/>
        </w:rPr>
        <w:t>16</w:t>
      </w:r>
      <w:r>
        <w:rPr>
          <w:rFonts w:hint="default" w:ascii="Times New Roman" w:hAnsi="Times New Roman" w:eastAsia="仿宋" w:cs="Times New Roman"/>
          <w:color w:val="auto"/>
          <w:sz w:val="32"/>
          <w:szCs w:val="32"/>
          <w:highlight w:val="none"/>
        </w:rPr>
        <w:t>辆，其中：执法执勤用车15辆、特种专业技术用车1辆</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单价100万元以上专用设备</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台（套）。</w:t>
      </w:r>
    </w:p>
    <w:p w14:paraId="25D0BCF5">
      <w:pPr>
        <w:spacing w:line="600" w:lineRule="exact"/>
        <w:ind w:firstLine="640"/>
        <w:outlineLvl w:val="2"/>
        <w:rPr>
          <w:rFonts w:hint="default" w:ascii="楷体_GB2312" w:hAnsi="楷体_GB2312" w:eastAsia="楷体_GB2312" w:cs="楷体_GB2312"/>
          <w:b/>
          <w:color w:val="auto"/>
          <w:sz w:val="32"/>
          <w:szCs w:val="32"/>
          <w:highlight w:val="none"/>
        </w:rPr>
      </w:pPr>
      <w:r>
        <w:rPr>
          <w:rFonts w:hint="default" w:ascii="楷体_GB2312" w:hAnsi="楷体_GB2312" w:eastAsia="楷体_GB2312" w:cs="楷体_GB2312"/>
          <w:b/>
          <w:color w:val="auto"/>
          <w:sz w:val="32"/>
          <w:szCs w:val="32"/>
          <w:highlight w:val="none"/>
        </w:rPr>
        <w:t>（四）预算绩效管理情况</w:t>
      </w:r>
    </w:p>
    <w:p w14:paraId="6E318039">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根据预算绩效管理要求，本部门在</w:t>
      </w:r>
      <w:r>
        <w:rPr>
          <w:rFonts w:hint="default" w:ascii="Times New Roman" w:hAnsi="Times New Roman" w:eastAsia="仿宋" w:cs="Times New Roman"/>
          <w:color w:val="auto"/>
          <w:sz w:val="32"/>
          <w:szCs w:val="32"/>
          <w:highlight w:val="none"/>
          <w:lang w:eastAsia="zh-CN"/>
        </w:rPr>
        <w:t>202</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lang w:eastAsia="zh-CN"/>
        </w:rPr>
        <w:t>年度</w:t>
      </w:r>
      <w:r>
        <w:rPr>
          <w:rFonts w:hint="default" w:ascii="Times New Roman" w:hAnsi="Times New Roman" w:eastAsia="仿宋" w:cs="Times New Roman"/>
          <w:color w:val="auto"/>
          <w:sz w:val="32"/>
          <w:szCs w:val="32"/>
          <w:highlight w:val="none"/>
        </w:rPr>
        <w:t>预算编制阶段，组织对</w:t>
      </w:r>
      <w:r>
        <w:rPr>
          <w:rFonts w:hint="default" w:ascii="Times New Roman" w:hAnsi="Times New Roman" w:eastAsia="仿宋" w:cs="Times New Roman"/>
          <w:color w:val="auto"/>
          <w:sz w:val="32"/>
          <w:szCs w:val="32"/>
          <w:highlight w:val="none"/>
          <w:lang w:val="en-US" w:eastAsia="zh-CN"/>
        </w:rPr>
        <w:t>食品监督抽检、执法办案工作经费</w:t>
      </w:r>
      <w:r>
        <w:rPr>
          <w:rFonts w:hint="default" w:ascii="Times New Roman" w:hAnsi="Times New Roman" w:eastAsia="仿宋" w:cs="Times New Roman"/>
          <w:color w:val="auto"/>
          <w:sz w:val="32"/>
          <w:szCs w:val="32"/>
          <w:highlight w:val="none"/>
        </w:rPr>
        <w:t>项目开展了预算事前绩效评估，对</w:t>
      </w: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个</w:t>
      </w:r>
      <w:r>
        <w:rPr>
          <w:rFonts w:hint="default" w:ascii="Times New Roman" w:hAnsi="Times New Roman" w:eastAsia="仿宋" w:cs="Times New Roman"/>
          <w:color w:val="auto"/>
          <w:sz w:val="32"/>
          <w:szCs w:val="32"/>
          <w:highlight w:val="none"/>
          <w:lang w:val="en-US" w:eastAsia="zh-CN"/>
        </w:rPr>
        <w:t>预算</w:t>
      </w:r>
      <w:r>
        <w:rPr>
          <w:rFonts w:hint="default" w:ascii="Times New Roman" w:hAnsi="Times New Roman" w:eastAsia="仿宋" w:cs="Times New Roman"/>
          <w:color w:val="auto"/>
          <w:sz w:val="32"/>
          <w:szCs w:val="32"/>
          <w:highlight w:val="none"/>
        </w:rPr>
        <w:t>项目编制了绩效目标</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预算执行过程中，选取</w:t>
      </w: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个项目开展绩效监控</w:t>
      </w:r>
      <w:r>
        <w:rPr>
          <w:rFonts w:hint="default" w:ascii="Times New Roman" w:hAnsi="Times New Roman" w:eastAsia="仿宋" w:cs="Times New Roman"/>
          <w:color w:val="auto"/>
          <w:sz w:val="32"/>
          <w:szCs w:val="32"/>
          <w:highlight w:val="none"/>
          <w:lang w:eastAsia="zh-CN"/>
        </w:rPr>
        <w:t>。</w:t>
      </w:r>
    </w:p>
    <w:p w14:paraId="70162D0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highlight w:val="none"/>
        </w:rPr>
        <w:t>组织对</w:t>
      </w:r>
      <w:r>
        <w:rPr>
          <w:rFonts w:hint="default" w:ascii="Times New Roman" w:hAnsi="Times New Roman" w:eastAsia="仿宋" w:cs="Times New Roman"/>
          <w:color w:val="auto"/>
          <w:sz w:val="32"/>
          <w:szCs w:val="32"/>
          <w:highlight w:val="none"/>
          <w:lang w:eastAsia="zh-CN"/>
        </w:rPr>
        <w:t>202</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lang w:eastAsia="zh-CN"/>
        </w:rPr>
        <w:t>年度</w:t>
      </w:r>
      <w:r>
        <w:rPr>
          <w:rFonts w:hint="default" w:ascii="Times New Roman" w:hAnsi="Times New Roman" w:eastAsia="仿宋" w:cs="Times New Roman"/>
          <w:color w:val="auto"/>
          <w:sz w:val="32"/>
          <w:szCs w:val="32"/>
          <w:highlight w:val="none"/>
        </w:rPr>
        <w:t>一般公共预算、政府性基金预算、国有资本经营预算、社会保险基金预算以及资本资产、债券资金等全面开展绩效自评，形成</w:t>
      </w:r>
      <w:r>
        <w:rPr>
          <w:rFonts w:hint="default" w:ascii="Times New Roman" w:hAnsi="Times New Roman" w:eastAsia="仿宋" w:cs="Times New Roman"/>
          <w:color w:val="auto"/>
          <w:sz w:val="32"/>
          <w:szCs w:val="32"/>
          <w:highlight w:val="none"/>
          <w:lang w:val="en-US" w:eastAsia="zh-CN"/>
        </w:rPr>
        <w:t>安居区市场监督管理局</w:t>
      </w:r>
      <w:r>
        <w:rPr>
          <w:rFonts w:hint="default" w:ascii="Times New Roman" w:hAnsi="Times New Roman" w:eastAsia="仿宋" w:cs="Times New Roman"/>
          <w:color w:val="auto"/>
          <w:sz w:val="32"/>
          <w:szCs w:val="32"/>
          <w:highlight w:val="none"/>
        </w:rPr>
        <w:t>部门整体（含部门预算项目）绩效自评报告、</w:t>
      </w:r>
      <w:r>
        <w:rPr>
          <w:rFonts w:hint="default" w:ascii="Times New Roman" w:hAnsi="Times New Roman" w:eastAsia="仿宋" w:cs="Times New Roman"/>
          <w:color w:val="auto"/>
          <w:sz w:val="32"/>
          <w:szCs w:val="32"/>
          <w:highlight w:val="none"/>
          <w:lang w:val="en-US" w:eastAsia="zh-CN"/>
        </w:rPr>
        <w:t>市场监管专项资金、</w:t>
      </w:r>
      <w:r>
        <w:rPr>
          <w:rFonts w:hint="default" w:ascii="Times New Roman" w:hAnsi="Times New Roman" w:eastAsia="仿宋" w:cs="Times New Roman"/>
          <w:color w:val="auto"/>
          <w:sz w:val="32"/>
          <w:szCs w:val="32"/>
          <w:lang w:val="en-US" w:eastAsia="zh-CN"/>
        </w:rPr>
        <w:t>食品药品及农产品安全、省级药品监管专项资金、中央药品监管补助资金、“转企升规”激励资金</w:t>
      </w:r>
      <w:r>
        <w:rPr>
          <w:rFonts w:hint="default" w:ascii="Times New Roman" w:hAnsi="Times New Roman" w:eastAsia="仿宋" w:cs="Times New Roman"/>
          <w:color w:val="auto"/>
          <w:sz w:val="32"/>
          <w:szCs w:val="32"/>
          <w:highlight w:val="none"/>
        </w:rPr>
        <w:t>等</w:t>
      </w:r>
      <w:r>
        <w:rPr>
          <w:rFonts w:hint="default" w:ascii="Times New Roman" w:hAnsi="Times New Roman" w:eastAsia="仿宋" w:cs="Times New Roman"/>
          <w:color w:val="auto"/>
          <w:sz w:val="32"/>
          <w:szCs w:val="32"/>
          <w:highlight w:val="none"/>
          <w:lang w:val="en-US" w:eastAsia="zh-CN"/>
        </w:rPr>
        <w:t>7个专项</w:t>
      </w:r>
      <w:r>
        <w:rPr>
          <w:rFonts w:hint="default" w:ascii="Times New Roman" w:hAnsi="Times New Roman" w:eastAsia="仿宋" w:cs="Times New Roman"/>
          <w:color w:val="auto"/>
          <w:sz w:val="32"/>
          <w:szCs w:val="32"/>
          <w:highlight w:val="none"/>
        </w:rPr>
        <w:t>项目绩效自评报告</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其中安居区市场监督管理局</w:t>
      </w:r>
      <w:r>
        <w:rPr>
          <w:rFonts w:hint="default" w:ascii="Times New Roman" w:hAnsi="Times New Roman" w:eastAsia="仿宋" w:cs="Times New Roman"/>
          <w:color w:val="auto"/>
          <w:sz w:val="32"/>
          <w:szCs w:val="32"/>
          <w:highlight w:val="none"/>
        </w:rPr>
        <w:t>部门整体（含部门预算项目）绩效自评</w:t>
      </w:r>
      <w:r>
        <w:rPr>
          <w:rFonts w:hint="default" w:ascii="Times New Roman" w:hAnsi="Times New Roman" w:eastAsia="仿宋" w:cs="Times New Roman"/>
          <w:color w:val="auto"/>
          <w:sz w:val="32"/>
          <w:szCs w:val="32"/>
          <w:highlight w:val="none"/>
          <w:lang w:val="en-US" w:eastAsia="zh-CN"/>
        </w:rPr>
        <w:t>得分为98.2分，绩效自评综述：我局2024年度部门整体绩效管理情况较好，严格按照预算绩效管理要求，以节约为目的，控制支出，项目绩效目标要素全面完善，信息公开全面、完整、及时，部门任务完成进度情况较好</w:t>
      </w:r>
      <w:r>
        <w:rPr>
          <w:rFonts w:hint="eastAsia" w:ascii="Times New Roman" w:hAnsi="Times New Roman" w:eastAsia="方正仿宋简体" w:cs="Times New Roman"/>
          <w:sz w:val="32"/>
          <w:szCs w:val="32"/>
          <w:lang w:val="en-US" w:eastAsia="zh-CN"/>
        </w:rPr>
        <w:t>；</w:t>
      </w:r>
      <w:r>
        <w:rPr>
          <w:rFonts w:hint="default" w:ascii="Times New Roman" w:hAnsi="Times New Roman" w:eastAsia="仿宋" w:cs="Times New Roman"/>
          <w:color w:val="auto"/>
          <w:sz w:val="32"/>
          <w:szCs w:val="32"/>
          <w:highlight w:val="none"/>
          <w:lang w:val="en-US" w:eastAsia="zh-CN"/>
        </w:rPr>
        <w:t>2023年市场监管专项资金项目绩效评价得分100分，绩效自评综述：</w:t>
      </w:r>
      <w:r>
        <w:rPr>
          <w:rFonts w:hint="eastAsia" w:eastAsia="仿宋" w:cs="Times New Roman"/>
          <w:color w:val="auto"/>
          <w:sz w:val="32"/>
          <w:szCs w:val="32"/>
          <w:highlight w:val="none"/>
          <w:lang w:val="en-US" w:eastAsia="zh-CN"/>
        </w:rPr>
        <w:t>紧紧围绕省局、市局确定的年度重点工作，完成了安居区市场监管局、横山市场监管所标准化规范化示范创建，“双随机、一公开”抽查49户，抽查任务100%完成、抽查结果100%公开，企业年报公示率98.55%，完成了“小个专”党建工作领导小组和6个指导站建立，覆盖率100%，完成对27家放心舒心示范单元提质升级现场核查，开展“一照多址”跨县区改革、破解改革制度障碍；</w:t>
      </w:r>
      <w:r>
        <w:rPr>
          <w:rFonts w:hint="default" w:ascii="Times New Roman" w:hAnsi="Times New Roman" w:eastAsia="仿宋" w:cs="Times New Roman"/>
          <w:color w:val="auto"/>
          <w:sz w:val="32"/>
          <w:szCs w:val="32"/>
          <w:highlight w:val="none"/>
          <w:lang w:val="en-US" w:eastAsia="zh-CN"/>
        </w:rPr>
        <w:t>2023年食品药品及农产品、放心舒心消费城市建设专项资金项目绩效自评得分为100分，绩效自评综述：</w:t>
      </w:r>
      <w:r>
        <w:rPr>
          <w:rFonts w:hint="eastAsia" w:eastAsia="仿宋" w:cs="Times New Roman"/>
          <w:color w:val="auto"/>
          <w:sz w:val="32"/>
          <w:szCs w:val="32"/>
          <w:highlight w:val="none"/>
          <w:lang w:val="en-US" w:eastAsia="zh-CN"/>
        </w:rPr>
        <w:t>在海龙凯歌景区打造沉浸式反食品浪费主体景区，落实食品“两个责任”工作，推进智慧监管，在全市率先打造智能监管示范店60家；</w:t>
      </w:r>
      <w:r>
        <w:rPr>
          <w:rFonts w:hint="default" w:ascii="Times New Roman" w:hAnsi="Times New Roman" w:eastAsia="仿宋" w:cs="Times New Roman"/>
          <w:color w:val="auto"/>
          <w:sz w:val="32"/>
          <w:szCs w:val="32"/>
          <w:lang w:val="en-US" w:eastAsia="zh-CN"/>
        </w:rPr>
        <w:t>2024年市场监管专项资金（包含2023年应急部分）项目绩效自评得分为99.81分，绩效自评综述：</w:t>
      </w:r>
      <w:r>
        <w:rPr>
          <w:rFonts w:hint="eastAsia" w:eastAsia="仿宋" w:cs="Times New Roman"/>
          <w:color w:val="auto"/>
          <w:sz w:val="32"/>
          <w:szCs w:val="32"/>
          <w:lang w:val="en-US" w:eastAsia="zh-CN"/>
        </w:rPr>
        <w:t>完成对安居区西眉市场监管所、三家市场监管所、安居市场监管所标准化规范化示范创建，</w:t>
      </w:r>
      <w:bookmarkStart w:id="49" w:name="OLE_LINK1"/>
      <w:r>
        <w:rPr>
          <w:rFonts w:hint="default" w:ascii="Times New Roman" w:hAnsi="Times New Roman" w:eastAsia="方正仿宋简体" w:cs="Times New Roman"/>
          <w:sz w:val="32"/>
          <w:szCs w:val="32"/>
          <w:lang w:eastAsia="zh-CN"/>
        </w:rPr>
        <w:t>建成省级化工企业特种设备规范化管理示范企业</w:t>
      </w: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eastAsia="zh-CN"/>
        </w:rPr>
        <w:t>家</w:t>
      </w:r>
      <w:bookmarkEnd w:id="49"/>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完成对15家放心舒心消费示范单元进行现场督导，“铁拳”暨“春雷”行动全区覆盖率100%，完成“双随机、一公开”抽查企业7户，企业年报公示率96.16%，辖区内外卖配送员党建数据完整度100%</w:t>
      </w:r>
      <w:r>
        <w:rPr>
          <w:rFonts w:hint="default" w:ascii="Times New Roman" w:hAnsi="Times New Roman" w:eastAsia="仿宋" w:cs="Times New Roman"/>
          <w:color w:val="auto"/>
          <w:sz w:val="32"/>
          <w:szCs w:val="32"/>
          <w:lang w:val="en-US" w:eastAsia="zh-CN"/>
        </w:rPr>
        <w:t>；2023年省级药品监管专项资金（应急部分）项目绩效自评得分为100分，绩效自评综述：</w:t>
      </w:r>
      <w:r>
        <w:rPr>
          <w:rFonts w:hint="eastAsia" w:eastAsia="仿宋" w:cs="Times New Roman"/>
          <w:color w:val="auto"/>
          <w:sz w:val="32"/>
          <w:szCs w:val="32"/>
          <w:lang w:val="en-US" w:eastAsia="zh-CN"/>
        </w:rPr>
        <w:t>通过“春节”、“3·15”、“禁毒月”等节日对药品、毒品、医疗器械等安全使用知识宣传、培训8次，提高了公众自我保护意识，药械化监管水平不断提高</w:t>
      </w:r>
      <w:r>
        <w:rPr>
          <w:rFonts w:hint="default" w:ascii="Times New Roman" w:hAnsi="Times New Roman" w:eastAsia="仿宋" w:cs="Times New Roman"/>
          <w:color w:val="auto"/>
          <w:sz w:val="32"/>
          <w:szCs w:val="32"/>
          <w:lang w:val="en-US" w:eastAsia="zh-CN"/>
        </w:rPr>
        <w:t>；2024年省级药品监管专项资金项目绩效自评得分为100分，绩效自评综述：</w:t>
      </w:r>
      <w:r>
        <w:rPr>
          <w:rFonts w:hint="eastAsia" w:eastAsia="仿宋" w:cs="Times New Roman"/>
          <w:color w:val="auto"/>
          <w:sz w:val="32"/>
          <w:szCs w:val="32"/>
          <w:lang w:val="en-US" w:eastAsia="zh-CN"/>
        </w:rPr>
        <w:t>切实加强了药品安全监管，守住了药品安全底线，规范了药品经营和使用秩序，强化了监督检查和稽查执法，加大了对制售假劣药品违法犯罪活动打击力度，进一步提升了安居区药品安全监管能力和水平</w:t>
      </w:r>
      <w:r>
        <w:rPr>
          <w:rFonts w:hint="default" w:ascii="Times New Roman" w:hAnsi="Times New Roman" w:eastAsia="仿宋" w:cs="Times New Roman"/>
          <w:color w:val="auto"/>
          <w:sz w:val="32"/>
          <w:szCs w:val="32"/>
          <w:lang w:val="en-US" w:eastAsia="zh-CN"/>
        </w:rPr>
        <w:t>；2024年中央药品监管补助资金项目绩效自评得分为100分，绩效自评综述：</w:t>
      </w:r>
      <w:r>
        <w:rPr>
          <w:rFonts w:hint="eastAsia" w:ascii="Times New Roman" w:hAnsi="Times New Roman" w:eastAsia="仿宋" w:cs="Times New Roman"/>
          <w:color w:val="auto"/>
          <w:sz w:val="32"/>
          <w:szCs w:val="32"/>
          <w:lang w:val="en-US" w:eastAsia="zh-CN"/>
        </w:rPr>
        <w:t>我局完成了药品不良反应报告</w:t>
      </w:r>
      <w:r>
        <w:rPr>
          <w:rFonts w:hint="default" w:ascii="Times New Roman" w:hAnsi="Times New Roman" w:eastAsia="仿宋" w:cs="Times New Roman"/>
          <w:color w:val="auto"/>
          <w:sz w:val="32"/>
          <w:szCs w:val="32"/>
          <w:lang w:val="en-US" w:eastAsia="zh-CN"/>
        </w:rPr>
        <w:t>533</w:t>
      </w:r>
      <w:r>
        <w:rPr>
          <w:rFonts w:hint="eastAsia" w:ascii="Times New Roman" w:hAnsi="Times New Roman" w:eastAsia="仿宋" w:cs="Times New Roman"/>
          <w:color w:val="auto"/>
          <w:sz w:val="32"/>
          <w:szCs w:val="32"/>
          <w:lang w:val="en-US" w:eastAsia="zh-CN"/>
        </w:rPr>
        <w:t>份、化妆品不良反应报告</w:t>
      </w:r>
      <w:r>
        <w:rPr>
          <w:rFonts w:hint="default" w:ascii="Times New Roman" w:hAnsi="Times New Roman" w:eastAsia="仿宋" w:cs="Times New Roman"/>
          <w:color w:val="auto"/>
          <w:sz w:val="32"/>
          <w:szCs w:val="32"/>
          <w:lang w:val="en-US" w:eastAsia="zh-CN"/>
        </w:rPr>
        <w:t>51</w:t>
      </w:r>
      <w:r>
        <w:rPr>
          <w:rFonts w:hint="eastAsia" w:ascii="Times New Roman" w:hAnsi="Times New Roman" w:eastAsia="仿宋" w:cs="Times New Roman"/>
          <w:color w:val="auto"/>
          <w:sz w:val="32"/>
          <w:szCs w:val="32"/>
          <w:lang w:val="en-US" w:eastAsia="zh-CN"/>
        </w:rPr>
        <w:t>份、医疗器械不良反应事件报告</w:t>
      </w:r>
      <w:r>
        <w:rPr>
          <w:rFonts w:hint="default" w:ascii="Times New Roman" w:hAnsi="Times New Roman" w:eastAsia="仿宋" w:cs="Times New Roman"/>
          <w:color w:val="auto"/>
          <w:sz w:val="32"/>
          <w:szCs w:val="32"/>
          <w:lang w:val="en-US" w:eastAsia="zh-CN"/>
        </w:rPr>
        <w:t>198</w:t>
      </w:r>
      <w:r>
        <w:rPr>
          <w:rFonts w:hint="eastAsia" w:ascii="Times New Roman" w:hAnsi="Times New Roman" w:eastAsia="仿宋" w:cs="Times New Roman"/>
          <w:color w:val="auto"/>
          <w:sz w:val="32"/>
          <w:szCs w:val="32"/>
          <w:lang w:val="en-US" w:eastAsia="zh-CN"/>
        </w:rPr>
        <w:t>份，药品安全监管责任事故发生数</w:t>
      </w:r>
      <w:r>
        <w:rPr>
          <w:rFonts w:hint="default" w:ascii="Times New Roman" w:hAnsi="Times New Roman" w:eastAsia="仿宋" w:cs="Times New Roman"/>
          <w:color w:val="auto"/>
          <w:sz w:val="32"/>
          <w:szCs w:val="32"/>
          <w:lang w:val="en-US" w:eastAsia="zh-CN"/>
        </w:rPr>
        <w:t>0</w:t>
      </w:r>
      <w:r>
        <w:rPr>
          <w:rFonts w:hint="eastAsia" w:ascii="Times New Roman" w:hAnsi="Times New Roman" w:eastAsia="仿宋" w:cs="Times New Roman"/>
          <w:color w:val="auto"/>
          <w:sz w:val="32"/>
          <w:szCs w:val="32"/>
          <w:lang w:val="en-US" w:eastAsia="zh-CN"/>
        </w:rPr>
        <w:t>次，开展药品安全监督检查</w:t>
      </w:r>
      <w:r>
        <w:rPr>
          <w:rFonts w:hint="default" w:ascii="Times New Roman" w:hAnsi="Times New Roman" w:eastAsia="仿宋" w:cs="Times New Roman"/>
          <w:color w:val="auto"/>
          <w:sz w:val="32"/>
          <w:szCs w:val="32"/>
          <w:lang w:val="en-US" w:eastAsia="zh-CN"/>
        </w:rPr>
        <w:t>480</w:t>
      </w:r>
      <w:r>
        <w:rPr>
          <w:rFonts w:hint="eastAsia" w:ascii="Times New Roman" w:hAnsi="Times New Roman" w:eastAsia="仿宋" w:cs="Times New Roman"/>
          <w:color w:val="auto"/>
          <w:sz w:val="32"/>
          <w:szCs w:val="32"/>
          <w:lang w:val="en-US" w:eastAsia="zh-CN"/>
        </w:rPr>
        <w:t>家次，责令整改</w:t>
      </w:r>
      <w:r>
        <w:rPr>
          <w:rFonts w:hint="default" w:ascii="Times New Roman" w:hAnsi="Times New Roman" w:eastAsia="仿宋" w:cs="Times New Roman"/>
          <w:color w:val="auto"/>
          <w:sz w:val="32"/>
          <w:szCs w:val="32"/>
          <w:lang w:val="en-US" w:eastAsia="zh-CN"/>
        </w:rPr>
        <w:t>10</w:t>
      </w:r>
      <w:r>
        <w:rPr>
          <w:rFonts w:hint="eastAsia" w:ascii="Times New Roman" w:hAnsi="Times New Roman" w:eastAsia="仿宋" w:cs="Times New Roman"/>
          <w:color w:val="auto"/>
          <w:sz w:val="32"/>
          <w:szCs w:val="32"/>
          <w:lang w:val="en-US" w:eastAsia="zh-CN"/>
        </w:rPr>
        <w:t>家次，药品相关案件办理</w:t>
      </w:r>
      <w:r>
        <w:rPr>
          <w:rFonts w:hint="default" w:ascii="Times New Roman" w:hAnsi="Times New Roman" w:eastAsia="仿宋" w:cs="Times New Roman"/>
          <w:color w:val="auto"/>
          <w:sz w:val="32"/>
          <w:szCs w:val="32"/>
          <w:lang w:val="en-US" w:eastAsia="zh-CN"/>
        </w:rPr>
        <w:t>10</w:t>
      </w:r>
      <w:r>
        <w:rPr>
          <w:rFonts w:hint="eastAsia" w:ascii="Times New Roman" w:hAnsi="Times New Roman" w:eastAsia="仿宋" w:cs="Times New Roman"/>
          <w:color w:val="auto"/>
          <w:sz w:val="32"/>
          <w:szCs w:val="32"/>
          <w:lang w:val="en-US" w:eastAsia="zh-CN"/>
        </w:rPr>
        <w:t>件，保障了辖区内的药械化安全，</w:t>
      </w:r>
      <w:r>
        <w:rPr>
          <w:rFonts w:hint="default" w:ascii="Times New Roman" w:hAnsi="Times New Roman" w:eastAsia="仿宋" w:cs="Times New Roman"/>
          <w:color w:val="auto"/>
          <w:sz w:val="32"/>
          <w:szCs w:val="32"/>
          <w:lang w:val="en-US" w:eastAsia="zh-CN"/>
        </w:rPr>
        <w:t>项目绩效目标准确，资金使用合规，资金执行率100%；“转企升规”激励资金项目绩效自评得分为100分，绩效自评综述：项目立项依据充分，资金实施到位，</w:t>
      </w:r>
      <w:r>
        <w:rPr>
          <w:rFonts w:hint="eastAsia" w:eastAsia="仿宋" w:cs="Times New Roman"/>
          <w:color w:val="auto"/>
          <w:sz w:val="32"/>
          <w:szCs w:val="32"/>
          <w:lang w:val="en-US" w:eastAsia="zh-CN"/>
        </w:rPr>
        <w:t>共兑现企业114家113.85万元，</w:t>
      </w:r>
      <w:r>
        <w:rPr>
          <w:rFonts w:hint="default" w:ascii="Times New Roman" w:hAnsi="Times New Roman" w:eastAsia="仿宋" w:cs="Times New Roman"/>
          <w:color w:val="auto"/>
          <w:sz w:val="32"/>
          <w:szCs w:val="32"/>
          <w:lang w:val="en-US" w:eastAsia="zh-CN"/>
        </w:rPr>
        <w:t>获得企业满意度高，充分实现了资金的最大效益化。</w:t>
      </w:r>
    </w:p>
    <w:p w14:paraId="3C0FAA0F">
      <w:pPr>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br w:type="page"/>
      </w:r>
    </w:p>
    <w:p w14:paraId="4928AAB7">
      <w:pPr>
        <w:numPr>
          <w:ilvl w:val="0"/>
          <w:numId w:val="3"/>
        </w:numPr>
        <w:spacing w:line="600" w:lineRule="exact"/>
        <w:ind w:firstLine="660" w:firstLineChars="150"/>
        <w:jc w:val="center"/>
        <w:outlineLvl w:val="0"/>
        <w:rPr>
          <w:rFonts w:hint="default" w:ascii="Times New Roman" w:hAnsi="Times New Roman" w:cs="Times New Roman"/>
          <w:b/>
          <w:color w:val="auto"/>
          <w:sz w:val="44"/>
          <w:szCs w:val="44"/>
          <w:highlight w:val="none"/>
        </w:rPr>
      </w:pPr>
      <w:bookmarkStart w:id="50" w:name="_Toc15396613"/>
      <w:bookmarkStart w:id="51" w:name="_Toc15377225"/>
      <w:r>
        <w:rPr>
          <w:rFonts w:hint="default" w:ascii="Times New Roman" w:hAnsi="Times New Roman" w:eastAsia="黑体" w:cs="Times New Roman"/>
          <w:color w:val="auto"/>
          <w:sz w:val="44"/>
          <w:szCs w:val="44"/>
          <w:highlight w:val="none"/>
        </w:rPr>
        <w:t>名</w:t>
      </w:r>
      <w:r>
        <w:rPr>
          <w:rStyle w:val="36"/>
          <w:rFonts w:hint="default" w:ascii="Times New Roman" w:hAnsi="Times New Roman" w:eastAsia="黑体" w:cs="Times New Roman"/>
          <w:b w:val="0"/>
          <w:color w:val="auto"/>
          <w:highlight w:val="none"/>
        </w:rPr>
        <w:t>词解释</w:t>
      </w:r>
      <w:bookmarkEnd w:id="50"/>
      <w:bookmarkEnd w:id="51"/>
    </w:p>
    <w:p w14:paraId="51A76562">
      <w:pPr>
        <w:pStyle w:val="26"/>
        <w:rPr>
          <w:rFonts w:hint="default"/>
        </w:rPr>
      </w:pPr>
    </w:p>
    <w:p w14:paraId="76F9B1F3">
      <w:pPr>
        <w:pStyle w:val="28"/>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1.财政拨款收入：指单位从同级财政部门取得的财政预算资金。</w:t>
      </w:r>
    </w:p>
    <w:p w14:paraId="3FDBCB27">
      <w:pPr>
        <w:pStyle w:val="28"/>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2.事业收入：指事业单位开展专业业务活动及辅助活动取得的收入。</w:t>
      </w:r>
    </w:p>
    <w:p w14:paraId="5FAE5544">
      <w:pPr>
        <w:pStyle w:val="28"/>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3.经营收入：指事业单位在专业业务活动及其辅助活动之外开展非独立核算经营活动取得的收入。</w:t>
      </w:r>
    </w:p>
    <w:p w14:paraId="0D2B5FAC">
      <w:pPr>
        <w:pStyle w:val="28"/>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4.其他收入：指单位取得的除上述收入以外的各项收入。</w:t>
      </w:r>
    </w:p>
    <w:p w14:paraId="701F0811">
      <w:pPr>
        <w:pStyle w:val="28"/>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5.</w:t>
      </w:r>
      <w:r>
        <w:rPr>
          <w:rFonts w:hint="default" w:ascii="Times New Roman" w:hAnsi="Times New Roman" w:eastAsia="仿宋" w:cs="Times New Roman"/>
          <w:color w:val="auto"/>
          <w:sz w:val="32"/>
          <w:szCs w:val="32"/>
          <w:highlight w:val="none"/>
          <w:lang w:eastAsia="zh-CN"/>
        </w:rPr>
        <w:t>使用非财政拨款结余</w:t>
      </w:r>
      <w:r>
        <w:rPr>
          <w:rFonts w:hint="default" w:ascii="Times New Roman" w:hAnsi="Times New Roman" w:eastAsia="仿宋" w:cs="Times New Roman"/>
          <w:color w:val="auto"/>
          <w:sz w:val="32"/>
          <w:szCs w:val="32"/>
          <w:highlight w:val="none"/>
        </w:rPr>
        <w:t>：指事业单位</w:t>
      </w:r>
      <w:r>
        <w:rPr>
          <w:rFonts w:hint="default" w:ascii="Times New Roman" w:hAnsi="Times New Roman" w:eastAsia="仿宋" w:cs="Times New Roman"/>
          <w:color w:val="auto"/>
          <w:sz w:val="32"/>
          <w:szCs w:val="32"/>
          <w:highlight w:val="none"/>
          <w:lang w:eastAsia="zh-CN"/>
        </w:rPr>
        <w:t>使用以前年度积累的非财政拨款结余弥补当年收支差额的金额。</w:t>
      </w:r>
    </w:p>
    <w:p w14:paraId="7F9F4CC8">
      <w:pPr>
        <w:pStyle w:val="28"/>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6.年初结转和结余：指以前年度尚未完成、结转到本年按有关规定继续使用的资金。</w:t>
      </w:r>
    </w:p>
    <w:p w14:paraId="74D971C8">
      <w:pPr>
        <w:pStyle w:val="28"/>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7.结余分配：指事业单位按照会计制度规定</w:t>
      </w:r>
      <w:r>
        <w:rPr>
          <w:rFonts w:hint="default" w:ascii="Times New Roman" w:hAnsi="Times New Roman" w:eastAsia="仿宋" w:cs="Times New Roman"/>
          <w:color w:val="auto"/>
          <w:sz w:val="32"/>
          <w:szCs w:val="32"/>
          <w:highlight w:val="none"/>
          <w:lang w:eastAsia="zh-CN"/>
        </w:rPr>
        <w:t>缴纳的所得税、提取的专用结余以及转入非财政拨款结余的金额</w:t>
      </w:r>
      <w:r>
        <w:rPr>
          <w:rFonts w:hint="default" w:ascii="Times New Roman" w:hAnsi="Times New Roman" w:eastAsia="仿宋" w:cs="Times New Roman"/>
          <w:color w:val="auto"/>
          <w:sz w:val="32"/>
          <w:szCs w:val="32"/>
          <w:highlight w:val="none"/>
        </w:rPr>
        <w:t>等。</w:t>
      </w:r>
    </w:p>
    <w:p w14:paraId="197FA681">
      <w:pPr>
        <w:pStyle w:val="28"/>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8</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年末结转和结余：指单位按有关规定结转到下年或以后年度继续使用的资金。</w:t>
      </w:r>
    </w:p>
    <w:p w14:paraId="43983F24">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9.一般公共服务（类）</w:t>
      </w:r>
      <w:r>
        <w:rPr>
          <w:rFonts w:hint="default" w:ascii="Times New Roman" w:hAnsi="Times New Roman" w:eastAsia="仿宋" w:cs="Times New Roman"/>
          <w:color w:val="auto"/>
          <w:sz w:val="32"/>
          <w:szCs w:val="32"/>
          <w:highlight w:val="none"/>
          <w:lang w:val="en-US" w:eastAsia="zh-CN"/>
        </w:rPr>
        <w:t>市场监督管理事务</w:t>
      </w:r>
      <w:r>
        <w:rPr>
          <w:rFonts w:hint="default" w:ascii="Times New Roman" w:hAnsi="Times New Roman" w:eastAsia="仿宋" w:cs="Times New Roman"/>
          <w:color w:val="auto"/>
          <w:sz w:val="32"/>
          <w:szCs w:val="32"/>
          <w:highlight w:val="none"/>
        </w:rPr>
        <w:t>（款）</w:t>
      </w:r>
      <w:r>
        <w:rPr>
          <w:rFonts w:hint="default" w:ascii="Times New Roman" w:hAnsi="Times New Roman" w:eastAsia="仿宋" w:cs="Times New Roman"/>
          <w:color w:val="auto"/>
          <w:sz w:val="32"/>
          <w:szCs w:val="32"/>
          <w:highlight w:val="none"/>
          <w:lang w:val="en-US" w:eastAsia="zh-CN"/>
        </w:rPr>
        <w:t>行政运行</w:t>
      </w:r>
      <w:r>
        <w:rPr>
          <w:rFonts w:hint="default" w:ascii="Times New Roman" w:hAnsi="Times New Roman" w:eastAsia="仿宋" w:cs="Times New Roman"/>
          <w:color w:val="auto"/>
          <w:sz w:val="32"/>
          <w:szCs w:val="32"/>
          <w:highlight w:val="none"/>
        </w:rPr>
        <w:t>（项）：指</w:t>
      </w:r>
      <w:r>
        <w:rPr>
          <w:rFonts w:hint="default" w:ascii="Times New Roman" w:hAnsi="Times New Roman" w:eastAsia="仿宋" w:cs="Times New Roman"/>
          <w:color w:val="auto"/>
          <w:sz w:val="32"/>
          <w:szCs w:val="32"/>
          <w:highlight w:val="none"/>
          <w:lang w:val="en-US" w:eastAsia="zh-CN"/>
        </w:rPr>
        <w:t>行政单位（包括公务员管理的事业单位）的基本支出</w:t>
      </w:r>
      <w:r>
        <w:rPr>
          <w:rFonts w:hint="default" w:ascii="Times New Roman" w:hAnsi="Times New Roman" w:eastAsia="仿宋" w:cs="Times New Roman"/>
          <w:color w:val="auto"/>
          <w:sz w:val="32"/>
          <w:szCs w:val="32"/>
          <w:highlight w:val="none"/>
        </w:rPr>
        <w:t>。</w:t>
      </w:r>
    </w:p>
    <w:p w14:paraId="10CD947F">
      <w:pPr>
        <w:pStyle w:val="19"/>
        <w:keepNext w:val="0"/>
        <w:keepLines w:val="0"/>
        <w:pageBreakBefore w:val="0"/>
        <w:widowControl w:val="0"/>
        <w:kinsoku/>
        <w:wordWrap/>
        <w:overflowPunct/>
        <w:topLinePunct w:val="0"/>
        <w:bidi w:val="0"/>
        <w:snapToGrid/>
        <w:spacing w:line="600" w:lineRule="exact"/>
        <w:ind w:left="0" w:leftChars="0"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kern w:val="2"/>
          <w:sz w:val="32"/>
          <w:szCs w:val="32"/>
          <w:highlight w:val="none"/>
          <w:lang w:val="en-US" w:eastAsia="zh-CN" w:bidi="ar-SA"/>
        </w:rPr>
        <w:t>10.</w:t>
      </w:r>
      <w:r>
        <w:rPr>
          <w:rFonts w:hint="default" w:ascii="Times New Roman" w:hAnsi="Times New Roman" w:eastAsia="仿宋" w:cs="Times New Roman"/>
          <w:color w:val="auto"/>
          <w:sz w:val="32"/>
          <w:szCs w:val="32"/>
          <w:highlight w:val="none"/>
        </w:rPr>
        <w:t>一般公共服务（类）</w:t>
      </w:r>
      <w:r>
        <w:rPr>
          <w:rFonts w:hint="default" w:ascii="Times New Roman" w:hAnsi="Times New Roman" w:eastAsia="仿宋" w:cs="Times New Roman"/>
          <w:color w:val="auto"/>
          <w:sz w:val="32"/>
          <w:szCs w:val="32"/>
          <w:highlight w:val="none"/>
          <w:lang w:val="en-US" w:eastAsia="zh-CN"/>
        </w:rPr>
        <w:t>市场监督管理事务</w:t>
      </w:r>
      <w:r>
        <w:rPr>
          <w:rFonts w:hint="default" w:ascii="Times New Roman" w:hAnsi="Times New Roman" w:eastAsia="仿宋" w:cs="Times New Roman"/>
          <w:color w:val="auto"/>
          <w:sz w:val="32"/>
          <w:szCs w:val="32"/>
          <w:highlight w:val="none"/>
        </w:rPr>
        <w:t>（款）</w:t>
      </w:r>
      <w:r>
        <w:rPr>
          <w:rFonts w:hint="default" w:ascii="Times New Roman" w:hAnsi="Times New Roman" w:eastAsia="仿宋" w:cs="Times New Roman"/>
          <w:color w:val="auto"/>
          <w:sz w:val="32"/>
          <w:szCs w:val="32"/>
          <w:highlight w:val="none"/>
          <w:lang w:val="en-US" w:eastAsia="zh-CN"/>
        </w:rPr>
        <w:t>市场秩序执法</w:t>
      </w:r>
      <w:r>
        <w:rPr>
          <w:rFonts w:hint="default" w:ascii="Times New Roman" w:hAnsi="Times New Roman" w:eastAsia="仿宋" w:cs="Times New Roman"/>
          <w:color w:val="auto"/>
          <w:sz w:val="32"/>
          <w:szCs w:val="32"/>
          <w:highlight w:val="none"/>
        </w:rPr>
        <w:t>（项）：指</w:t>
      </w:r>
      <w:r>
        <w:rPr>
          <w:rFonts w:hint="default" w:ascii="Times New Roman" w:hAnsi="Times New Roman" w:eastAsia="仿宋" w:cs="Times New Roman"/>
          <w:color w:val="auto"/>
          <w:sz w:val="32"/>
          <w:szCs w:val="32"/>
          <w:highlight w:val="none"/>
          <w:lang w:val="en-US" w:eastAsia="zh-CN"/>
        </w:rPr>
        <w:t>反垄断、价格监督、反不正当竞争、规范直销与打击传销、网络交易监管、广告监管、消费者权益保护、综合执法等市场秩序执法专项工作支出。</w:t>
      </w:r>
    </w:p>
    <w:p w14:paraId="144C8843">
      <w:pPr>
        <w:pStyle w:val="19"/>
        <w:keepNext w:val="0"/>
        <w:keepLines w:val="0"/>
        <w:pageBreakBefore w:val="0"/>
        <w:widowControl w:val="0"/>
        <w:kinsoku/>
        <w:wordWrap/>
        <w:overflowPunct/>
        <w:topLinePunct w:val="0"/>
        <w:bidi w:val="0"/>
        <w:snapToGrid/>
        <w:spacing w:line="600" w:lineRule="exact"/>
        <w:ind w:left="0" w:leftChars="0"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11.</w:t>
      </w:r>
      <w:r>
        <w:rPr>
          <w:rFonts w:hint="default" w:ascii="Times New Roman" w:hAnsi="Times New Roman" w:eastAsia="仿宋" w:cs="Times New Roman"/>
          <w:color w:val="auto"/>
          <w:sz w:val="32"/>
          <w:szCs w:val="32"/>
          <w:highlight w:val="none"/>
        </w:rPr>
        <w:t>一般公共服务（类）</w:t>
      </w:r>
      <w:r>
        <w:rPr>
          <w:rFonts w:hint="default" w:ascii="Times New Roman" w:hAnsi="Times New Roman" w:eastAsia="仿宋" w:cs="Times New Roman"/>
          <w:color w:val="auto"/>
          <w:sz w:val="32"/>
          <w:szCs w:val="32"/>
          <w:highlight w:val="none"/>
          <w:lang w:val="en-US" w:eastAsia="zh-CN"/>
        </w:rPr>
        <w:t>市场监督管理事务</w:t>
      </w:r>
      <w:r>
        <w:rPr>
          <w:rFonts w:hint="default" w:ascii="Times New Roman" w:hAnsi="Times New Roman" w:eastAsia="仿宋" w:cs="Times New Roman"/>
          <w:color w:val="auto"/>
          <w:sz w:val="32"/>
          <w:szCs w:val="32"/>
          <w:highlight w:val="none"/>
        </w:rPr>
        <w:t>（款）</w:t>
      </w:r>
      <w:r>
        <w:rPr>
          <w:rFonts w:hint="default" w:ascii="Times New Roman" w:hAnsi="Times New Roman" w:eastAsia="仿宋" w:cs="Times New Roman"/>
          <w:color w:val="auto"/>
          <w:sz w:val="32"/>
          <w:szCs w:val="32"/>
          <w:highlight w:val="none"/>
          <w:lang w:val="en-US" w:eastAsia="zh-CN"/>
        </w:rPr>
        <w:t>市场主体管理</w:t>
      </w:r>
      <w:r>
        <w:rPr>
          <w:rFonts w:hint="default" w:ascii="Times New Roman" w:hAnsi="Times New Roman" w:eastAsia="仿宋" w:cs="Times New Roman"/>
          <w:color w:val="auto"/>
          <w:sz w:val="32"/>
          <w:szCs w:val="32"/>
          <w:highlight w:val="none"/>
        </w:rPr>
        <w:t>（项）：指</w:t>
      </w:r>
      <w:r>
        <w:rPr>
          <w:rFonts w:hint="default" w:ascii="Times New Roman" w:hAnsi="Times New Roman" w:eastAsia="仿宋" w:cs="Times New Roman"/>
          <w:color w:val="auto"/>
          <w:sz w:val="32"/>
          <w:szCs w:val="32"/>
          <w:highlight w:val="none"/>
          <w:lang w:val="en-US" w:eastAsia="zh-CN"/>
        </w:rPr>
        <w:t>市场准入、许可审批、信用监管等市场主体管理专项工作支出。</w:t>
      </w:r>
    </w:p>
    <w:p w14:paraId="73E9CD91">
      <w:pPr>
        <w:pStyle w:val="19"/>
        <w:keepNext w:val="0"/>
        <w:keepLines w:val="0"/>
        <w:pageBreakBefore w:val="0"/>
        <w:widowControl w:val="0"/>
        <w:kinsoku/>
        <w:wordWrap/>
        <w:overflowPunct/>
        <w:topLinePunct w:val="0"/>
        <w:bidi w:val="0"/>
        <w:snapToGrid/>
        <w:spacing w:line="600" w:lineRule="exact"/>
        <w:ind w:left="0" w:leftChars="0"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12.</w:t>
      </w:r>
      <w:r>
        <w:rPr>
          <w:rFonts w:hint="default" w:ascii="Times New Roman" w:hAnsi="Times New Roman" w:eastAsia="仿宋" w:cs="Times New Roman"/>
          <w:color w:val="auto"/>
          <w:sz w:val="32"/>
          <w:szCs w:val="32"/>
          <w:highlight w:val="none"/>
        </w:rPr>
        <w:t>一般公共服务（类）</w:t>
      </w:r>
      <w:r>
        <w:rPr>
          <w:rFonts w:hint="default" w:ascii="Times New Roman" w:hAnsi="Times New Roman" w:eastAsia="仿宋" w:cs="Times New Roman"/>
          <w:color w:val="auto"/>
          <w:sz w:val="32"/>
          <w:szCs w:val="32"/>
          <w:highlight w:val="none"/>
          <w:lang w:val="en-US" w:eastAsia="zh-CN"/>
        </w:rPr>
        <w:t>市场监督管理事务</w:t>
      </w:r>
      <w:r>
        <w:rPr>
          <w:rFonts w:hint="default" w:ascii="Times New Roman" w:hAnsi="Times New Roman" w:eastAsia="仿宋" w:cs="Times New Roman"/>
          <w:color w:val="auto"/>
          <w:sz w:val="32"/>
          <w:szCs w:val="32"/>
          <w:highlight w:val="none"/>
        </w:rPr>
        <w:t>（款）</w:t>
      </w:r>
      <w:r>
        <w:rPr>
          <w:rFonts w:hint="default" w:ascii="Times New Roman" w:hAnsi="Times New Roman" w:eastAsia="仿宋" w:cs="Times New Roman"/>
          <w:color w:val="auto"/>
          <w:sz w:val="32"/>
          <w:szCs w:val="32"/>
          <w:highlight w:val="none"/>
          <w:lang w:val="en-US" w:eastAsia="zh-CN"/>
        </w:rPr>
        <w:t>药品事务</w:t>
      </w:r>
      <w:r>
        <w:rPr>
          <w:rFonts w:hint="default" w:ascii="Times New Roman" w:hAnsi="Times New Roman" w:eastAsia="仿宋" w:cs="Times New Roman"/>
          <w:color w:val="auto"/>
          <w:sz w:val="32"/>
          <w:szCs w:val="32"/>
          <w:highlight w:val="none"/>
        </w:rPr>
        <w:t>（项）：指</w:t>
      </w:r>
      <w:r>
        <w:rPr>
          <w:rFonts w:hint="default" w:ascii="Times New Roman" w:hAnsi="Times New Roman" w:eastAsia="仿宋" w:cs="Times New Roman"/>
          <w:color w:val="auto"/>
          <w:sz w:val="32"/>
          <w:szCs w:val="32"/>
          <w:highlight w:val="none"/>
          <w:lang w:val="en-US" w:eastAsia="zh-CN"/>
        </w:rPr>
        <w:t>用于药品（含中药、民族药）监督管理方面的支出。</w:t>
      </w:r>
    </w:p>
    <w:p w14:paraId="02015C64">
      <w:pPr>
        <w:pStyle w:val="19"/>
        <w:keepNext w:val="0"/>
        <w:keepLines w:val="0"/>
        <w:pageBreakBefore w:val="0"/>
        <w:widowControl w:val="0"/>
        <w:kinsoku/>
        <w:wordWrap/>
        <w:overflowPunct/>
        <w:topLinePunct w:val="0"/>
        <w:bidi w:val="0"/>
        <w:snapToGrid/>
        <w:spacing w:line="600" w:lineRule="exact"/>
        <w:ind w:left="0" w:leftChars="0"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13.</w:t>
      </w:r>
      <w:r>
        <w:rPr>
          <w:rFonts w:hint="default" w:ascii="Times New Roman" w:hAnsi="Times New Roman" w:eastAsia="仿宋" w:cs="Times New Roman"/>
          <w:color w:val="auto"/>
          <w:sz w:val="32"/>
          <w:szCs w:val="32"/>
          <w:highlight w:val="none"/>
        </w:rPr>
        <w:t>一般公共服务（类）</w:t>
      </w:r>
      <w:r>
        <w:rPr>
          <w:rFonts w:hint="default" w:ascii="Times New Roman" w:hAnsi="Times New Roman" w:eastAsia="仿宋" w:cs="Times New Roman"/>
          <w:color w:val="auto"/>
          <w:sz w:val="32"/>
          <w:szCs w:val="32"/>
          <w:highlight w:val="none"/>
          <w:lang w:val="en-US" w:eastAsia="zh-CN"/>
        </w:rPr>
        <w:t>市场监督管理事务</w:t>
      </w:r>
      <w:r>
        <w:rPr>
          <w:rFonts w:hint="default" w:ascii="Times New Roman" w:hAnsi="Times New Roman" w:eastAsia="仿宋" w:cs="Times New Roman"/>
          <w:color w:val="auto"/>
          <w:sz w:val="32"/>
          <w:szCs w:val="32"/>
          <w:highlight w:val="none"/>
        </w:rPr>
        <w:t>（款）</w:t>
      </w:r>
      <w:r>
        <w:rPr>
          <w:rFonts w:hint="default" w:ascii="Times New Roman" w:hAnsi="Times New Roman" w:eastAsia="仿宋" w:cs="Times New Roman"/>
          <w:color w:val="auto"/>
          <w:sz w:val="32"/>
          <w:szCs w:val="32"/>
          <w:highlight w:val="none"/>
          <w:lang w:val="en-US" w:eastAsia="zh-CN"/>
        </w:rPr>
        <w:t>质量安全监管</w:t>
      </w:r>
      <w:r>
        <w:rPr>
          <w:rFonts w:hint="default" w:ascii="Times New Roman" w:hAnsi="Times New Roman" w:eastAsia="仿宋" w:cs="Times New Roman"/>
          <w:color w:val="auto"/>
          <w:sz w:val="32"/>
          <w:szCs w:val="32"/>
          <w:highlight w:val="none"/>
        </w:rPr>
        <w:t>（项）：指</w:t>
      </w:r>
      <w:r>
        <w:rPr>
          <w:rFonts w:hint="default" w:ascii="Times New Roman" w:hAnsi="Times New Roman" w:eastAsia="仿宋" w:cs="Times New Roman"/>
          <w:color w:val="auto"/>
          <w:sz w:val="32"/>
          <w:szCs w:val="32"/>
          <w:highlight w:val="none"/>
          <w:lang w:val="en-US" w:eastAsia="zh-CN"/>
        </w:rPr>
        <w:t>产品质量安全监管、特种设备安全监管等质量监管专项工作支出。</w:t>
      </w:r>
    </w:p>
    <w:p w14:paraId="34ACA5A3">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14.社会保障和就业（类）行政事业单位</w:t>
      </w:r>
      <w:r>
        <w:rPr>
          <w:rFonts w:hint="default" w:ascii="Times New Roman" w:hAnsi="Times New Roman" w:eastAsia="仿宋" w:cs="Times New Roman"/>
          <w:color w:val="auto"/>
          <w:sz w:val="32"/>
          <w:szCs w:val="32"/>
          <w:highlight w:val="none"/>
          <w:lang w:val="en-US" w:eastAsia="zh-CN"/>
        </w:rPr>
        <w:t>养老</w:t>
      </w:r>
      <w:r>
        <w:rPr>
          <w:rFonts w:hint="default" w:ascii="Times New Roman" w:hAnsi="Times New Roman" w:eastAsia="仿宋" w:cs="Times New Roman"/>
          <w:color w:val="auto"/>
          <w:sz w:val="32"/>
          <w:szCs w:val="32"/>
          <w:highlight w:val="none"/>
        </w:rPr>
        <w:t>（款）机关事业单位基本养老保险缴费（项）：指部门实施养老保险制度由单位缴纳的养老保险费的支出。</w:t>
      </w:r>
    </w:p>
    <w:p w14:paraId="40171AFB">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15.社会保障和就业（类）其他社会保障和就业（款）其他社会保障和就业（项）：指除上述项目</w:t>
      </w:r>
      <w:r>
        <w:rPr>
          <w:rFonts w:hint="default" w:ascii="Times New Roman" w:hAnsi="Times New Roman" w:eastAsia="仿宋" w:cs="Times New Roman"/>
          <w:color w:val="auto"/>
          <w:sz w:val="32"/>
          <w:szCs w:val="32"/>
          <w:highlight w:val="none"/>
          <w:lang w:val="en-US" w:eastAsia="zh-CN"/>
        </w:rPr>
        <w:t>以</w:t>
      </w:r>
      <w:r>
        <w:rPr>
          <w:rFonts w:hint="default" w:ascii="Times New Roman" w:hAnsi="Times New Roman" w:eastAsia="仿宋" w:cs="Times New Roman"/>
          <w:color w:val="auto"/>
          <w:sz w:val="32"/>
          <w:szCs w:val="32"/>
          <w:highlight w:val="none"/>
        </w:rPr>
        <w:t>外其他</w:t>
      </w:r>
      <w:r>
        <w:rPr>
          <w:rFonts w:hint="default" w:ascii="Times New Roman" w:hAnsi="Times New Roman" w:eastAsia="仿宋" w:cs="Times New Roman"/>
          <w:color w:val="auto"/>
          <w:sz w:val="32"/>
          <w:szCs w:val="32"/>
          <w:highlight w:val="none"/>
          <w:lang w:val="en-US" w:eastAsia="zh-CN"/>
        </w:rPr>
        <w:t>用于社会保障和就业方面的</w:t>
      </w:r>
      <w:r>
        <w:rPr>
          <w:rFonts w:hint="default" w:ascii="Times New Roman" w:hAnsi="Times New Roman" w:eastAsia="仿宋" w:cs="Times New Roman"/>
          <w:color w:val="auto"/>
          <w:sz w:val="32"/>
          <w:szCs w:val="32"/>
          <w:highlight w:val="none"/>
        </w:rPr>
        <w:t>支出。</w:t>
      </w:r>
    </w:p>
    <w:p w14:paraId="0046316D">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16.卫生健康（类）行政事业单位医疗（款）公务员医疗补助（项）：指行政机关及参公管理事业单位用于集中缴纳公务员医疗补助支出。</w:t>
      </w:r>
    </w:p>
    <w:p w14:paraId="2EFA40FD">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17.卫生健康（类）行政事业单位医疗（款）行政单位医疗（项）：指行政机关及参公管理事业单位用于缴纳单位基本医疗保险支出。</w:t>
      </w:r>
    </w:p>
    <w:p w14:paraId="075627B7">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18</w:t>
      </w:r>
      <w:r>
        <w:rPr>
          <w:rFonts w:hint="default" w:ascii="Times New Roman" w:hAnsi="Times New Roman" w:eastAsia="仿宋" w:cs="Times New Roman"/>
          <w:color w:val="auto"/>
          <w:sz w:val="32"/>
          <w:szCs w:val="32"/>
          <w:highlight w:val="none"/>
        </w:rPr>
        <w:t>.住房保障（类）住房改革（款）住房公积金（项）：指按照《住房公积金管理条例》的规定，</w:t>
      </w:r>
      <w:r>
        <w:rPr>
          <w:rFonts w:hint="default" w:ascii="Times New Roman" w:hAnsi="Times New Roman" w:eastAsia="仿宋" w:cs="Times New Roman"/>
          <w:color w:val="auto"/>
          <w:sz w:val="32"/>
          <w:szCs w:val="32"/>
          <w:highlight w:val="none"/>
          <w:lang w:val="en-US" w:eastAsia="zh-CN"/>
        </w:rPr>
        <w:t>为在职</w:t>
      </w:r>
      <w:r>
        <w:rPr>
          <w:rFonts w:hint="default" w:ascii="Times New Roman" w:hAnsi="Times New Roman" w:eastAsia="仿宋" w:cs="Times New Roman"/>
          <w:color w:val="auto"/>
          <w:sz w:val="32"/>
          <w:szCs w:val="32"/>
          <w:highlight w:val="none"/>
        </w:rPr>
        <w:t>职工缴</w:t>
      </w:r>
      <w:r>
        <w:rPr>
          <w:rFonts w:hint="default" w:ascii="Times New Roman" w:hAnsi="Times New Roman" w:eastAsia="仿宋" w:cs="Times New Roman"/>
          <w:color w:val="auto"/>
          <w:sz w:val="32"/>
          <w:szCs w:val="32"/>
          <w:highlight w:val="none"/>
          <w:lang w:val="en-US" w:eastAsia="zh-CN"/>
        </w:rPr>
        <w:t>纳</w:t>
      </w:r>
      <w:r>
        <w:rPr>
          <w:rFonts w:hint="default" w:ascii="Times New Roman" w:hAnsi="Times New Roman" w:eastAsia="仿宋" w:cs="Times New Roman"/>
          <w:color w:val="auto"/>
          <w:sz w:val="32"/>
          <w:szCs w:val="32"/>
          <w:highlight w:val="none"/>
        </w:rPr>
        <w:t>的住房公积金。</w:t>
      </w:r>
    </w:p>
    <w:p w14:paraId="0B455B25">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19</w:t>
      </w:r>
      <w:r>
        <w:rPr>
          <w:rFonts w:hint="default" w:ascii="Times New Roman" w:hAnsi="Times New Roman" w:eastAsia="仿宋" w:cs="Times New Roman"/>
          <w:color w:val="auto"/>
          <w:sz w:val="32"/>
          <w:szCs w:val="32"/>
          <w:highlight w:val="none"/>
        </w:rPr>
        <w:t>.基本支出：指为保障机构正常运转、完成日常工作任务而发生的人员支出和公用支出。</w:t>
      </w:r>
    </w:p>
    <w:p w14:paraId="42926B2F">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20</w:t>
      </w:r>
      <w:r>
        <w:rPr>
          <w:rFonts w:hint="default" w:ascii="Times New Roman" w:hAnsi="Times New Roman" w:eastAsia="仿宋" w:cs="Times New Roman"/>
          <w:color w:val="auto"/>
          <w:sz w:val="32"/>
          <w:szCs w:val="32"/>
          <w:highlight w:val="none"/>
        </w:rPr>
        <w:t>.项目支出：指在基本支出之外为完成特定行政任务和事业发展目标所发生的支出。</w:t>
      </w:r>
    </w:p>
    <w:p w14:paraId="4BE4B37D">
      <w:pPr>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w:t>
      </w: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.经营支出：指事业单位在专业业务活动及其辅助活动之外开展非独立核算经营活动发生的支出。</w:t>
      </w:r>
    </w:p>
    <w:p w14:paraId="0D82538C">
      <w:pPr>
        <w:pStyle w:val="28"/>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0CEB97C">
      <w:pPr>
        <w:pStyle w:val="28"/>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23</w:t>
      </w:r>
      <w:r>
        <w:rPr>
          <w:rFonts w:hint="default" w:ascii="Times New Roman" w:hAnsi="Times New Roman" w:eastAsia="仿宋"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325B15C">
      <w:pPr>
        <w:spacing w:line="600" w:lineRule="exact"/>
        <w:jc w:val="center"/>
        <w:outlineLvl w:val="0"/>
        <w:rPr>
          <w:rStyle w:val="36"/>
          <w:rFonts w:hint="default" w:ascii="Times New Roman" w:hAnsi="Times New Roman" w:eastAsia="黑体" w:cs="Times New Roman"/>
          <w:b w:val="0"/>
          <w:color w:val="auto"/>
          <w:highlight w:val="none"/>
          <w:lang w:eastAsia="zh-CN"/>
        </w:rPr>
      </w:pPr>
      <w:bookmarkStart w:id="52" w:name="_Toc15377226"/>
      <w:r>
        <w:rPr>
          <w:rFonts w:hint="default" w:ascii="Times New Roman" w:hAnsi="Times New Roman" w:cs="Times New Roman"/>
          <w:b/>
          <w:color w:val="auto"/>
          <w:sz w:val="44"/>
          <w:szCs w:val="44"/>
          <w:highlight w:val="none"/>
        </w:rPr>
        <w:br w:type="page"/>
      </w:r>
      <w:bookmarkStart w:id="53" w:name="_Toc15396614"/>
      <w:r>
        <w:rPr>
          <w:rFonts w:hint="default" w:ascii="Times New Roman" w:hAnsi="Times New Roman" w:eastAsia="黑体" w:cs="Times New Roman"/>
          <w:color w:val="auto"/>
          <w:sz w:val="44"/>
          <w:szCs w:val="44"/>
          <w:highlight w:val="none"/>
        </w:rPr>
        <w:t>第</w:t>
      </w:r>
      <w:r>
        <w:rPr>
          <w:rStyle w:val="36"/>
          <w:rFonts w:hint="default" w:ascii="Times New Roman" w:hAnsi="Times New Roman" w:eastAsia="黑体" w:cs="Times New Roman"/>
          <w:b w:val="0"/>
          <w:color w:val="auto"/>
          <w:highlight w:val="none"/>
        </w:rPr>
        <w:t>四部分 附件</w:t>
      </w:r>
      <w:bookmarkEnd w:id="53"/>
    </w:p>
    <w:p w14:paraId="2638E589">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14:paraId="6648C5E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w w:val="100"/>
          <w:sz w:val="40"/>
          <w:szCs w:val="40"/>
          <w:shd w:val="clear" w:color="auto" w:fill="FFFFFF"/>
          <w:lang w:val="en-US" w:eastAsia="zh-CN"/>
        </w:rPr>
      </w:pPr>
      <w:r>
        <w:rPr>
          <w:rFonts w:hint="eastAsia" w:ascii="方正小标宋简体" w:hAnsi="方正小标宋简体" w:eastAsia="方正小标宋简体" w:cs="方正小标宋简体"/>
          <w:w w:val="100"/>
          <w:sz w:val="40"/>
          <w:szCs w:val="40"/>
          <w:shd w:val="clear" w:color="auto" w:fill="FFFFFF"/>
          <w:lang w:val="en-US" w:eastAsia="zh-CN"/>
        </w:rPr>
        <w:t>遂宁市安居区市场监督管理局</w:t>
      </w:r>
    </w:p>
    <w:p w14:paraId="0FDACAF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w w:val="100"/>
          <w:sz w:val="32"/>
          <w:szCs w:val="32"/>
          <w:shd w:val="clear" w:color="auto" w:fill="FFFFFF"/>
        </w:rPr>
      </w:pPr>
      <w:r>
        <w:rPr>
          <w:rFonts w:hint="eastAsia" w:ascii="方正小标宋简体" w:hAnsi="方正小标宋简体" w:eastAsia="方正小标宋简体" w:cs="方正小标宋简体"/>
          <w:w w:val="100"/>
          <w:sz w:val="40"/>
          <w:szCs w:val="40"/>
          <w:shd w:val="clear" w:color="auto" w:fill="FFFFFF"/>
        </w:rPr>
        <w:t>202</w:t>
      </w:r>
      <w:r>
        <w:rPr>
          <w:rFonts w:hint="eastAsia" w:ascii="方正小标宋简体" w:hAnsi="方正小标宋简体" w:eastAsia="方正小标宋简体" w:cs="方正小标宋简体"/>
          <w:w w:val="100"/>
          <w:sz w:val="40"/>
          <w:szCs w:val="40"/>
          <w:shd w:val="clear" w:color="auto" w:fill="FFFFFF"/>
          <w:lang w:val="en-US" w:eastAsia="zh-CN"/>
        </w:rPr>
        <w:t>4</w:t>
      </w:r>
      <w:r>
        <w:rPr>
          <w:rFonts w:hint="eastAsia" w:ascii="方正小标宋简体" w:hAnsi="方正小标宋简体" w:eastAsia="方正小标宋简体" w:cs="方正小标宋简体"/>
          <w:w w:val="100"/>
          <w:sz w:val="40"/>
          <w:szCs w:val="40"/>
          <w:shd w:val="clear" w:color="auto" w:fill="FFFFFF"/>
        </w:rPr>
        <w:t>年</w:t>
      </w:r>
      <w:r>
        <w:rPr>
          <w:rFonts w:hint="eastAsia" w:ascii="方正小标宋简体" w:hAnsi="方正小标宋简体" w:eastAsia="方正小标宋简体" w:cs="方正小标宋简体"/>
          <w:w w:val="100"/>
          <w:sz w:val="40"/>
          <w:szCs w:val="40"/>
          <w:shd w:val="clear" w:color="auto" w:fill="FFFFFF"/>
          <w:lang w:val="en-US" w:eastAsia="zh-CN"/>
        </w:rPr>
        <w:t>度区级</w:t>
      </w:r>
      <w:r>
        <w:rPr>
          <w:rFonts w:hint="eastAsia" w:ascii="方正小标宋简体" w:hAnsi="方正小标宋简体" w:eastAsia="方正小标宋简体" w:cs="方正小标宋简体"/>
          <w:w w:val="100"/>
          <w:sz w:val="40"/>
          <w:szCs w:val="40"/>
          <w:shd w:val="clear" w:color="auto" w:fill="FFFFFF"/>
        </w:rPr>
        <w:t>部门整体支出绩效报告</w:t>
      </w:r>
    </w:p>
    <w:p w14:paraId="358F242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w w:val="100"/>
          <w:sz w:val="18"/>
          <w:szCs w:val="18"/>
          <w:shd w:val="clear" w:color="auto" w:fill="FFFFFF"/>
        </w:rPr>
      </w:pPr>
    </w:p>
    <w:p w14:paraId="3E817E31">
      <w:pPr>
        <w:keepNext w:val="0"/>
        <w:keepLines w:val="0"/>
        <w:pageBreakBefore w:val="0"/>
        <w:widowControl/>
        <w:numPr>
          <w:ilvl w:val="0"/>
          <w:numId w:val="4"/>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Times New Roman" w:hAnsi="Times New Roman" w:cs="Times New Roman"/>
          <w:sz w:val="32"/>
          <w:szCs w:val="40"/>
          <w:lang w:val="zh-CN"/>
        </w:rPr>
      </w:pPr>
      <w:r>
        <w:rPr>
          <w:rFonts w:hint="default" w:ascii="Times New Roman" w:hAnsi="Times New Roman" w:eastAsia="黑体" w:cs="Times New Roman"/>
          <w:color w:val="000000"/>
          <w:kern w:val="0"/>
          <w:sz w:val="32"/>
          <w:szCs w:val="48"/>
          <w:shd w:val="clear" w:color="auto" w:fill="FFFFFF"/>
          <w:lang w:val="zh-CN"/>
        </w:rPr>
        <w:t>部门（单位）概况</w:t>
      </w:r>
    </w:p>
    <w:p w14:paraId="58548983">
      <w:pPr>
        <w:spacing w:line="600" w:lineRule="exact"/>
        <w:ind w:firstLine="640"/>
        <w:outlineLvl w:val="2"/>
        <w:rPr>
          <w:rFonts w:hint="default" w:ascii="楷体_GB2312" w:hAnsi="楷体_GB2312" w:eastAsia="楷体_GB2312" w:cs="楷体_GB2312"/>
          <w:b/>
          <w:color w:val="auto"/>
          <w:sz w:val="32"/>
          <w:szCs w:val="32"/>
          <w:highlight w:val="none"/>
          <w:lang w:val="zh-CN"/>
        </w:rPr>
      </w:pPr>
      <w:r>
        <w:rPr>
          <w:rFonts w:hint="default" w:ascii="楷体_GB2312" w:hAnsi="楷体_GB2312" w:eastAsia="楷体_GB2312" w:cs="楷体_GB2312"/>
          <w:b/>
          <w:color w:val="auto"/>
          <w:sz w:val="32"/>
          <w:szCs w:val="32"/>
          <w:highlight w:val="none"/>
          <w:lang w:val="zh-CN"/>
        </w:rPr>
        <w:t>（一）机构组成</w:t>
      </w:r>
    </w:p>
    <w:p w14:paraId="6E3EB1B2">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Times New Roman" w:hAnsi="Times New Roman" w:eastAsia="楷体" w:cs="Times New Roman"/>
          <w:color w:val="000000"/>
          <w:kern w:val="0"/>
          <w:sz w:val="32"/>
          <w:szCs w:val="48"/>
          <w:shd w:val="clear" w:color="auto" w:fill="FFFFFF"/>
          <w:lang w:val="zh-CN"/>
        </w:rPr>
      </w:pPr>
      <w:r>
        <w:rPr>
          <w:rFonts w:hint="default" w:ascii="Times New Roman" w:hAnsi="Times New Roman" w:eastAsia="仿宋" w:cs="Times New Roman"/>
          <w:color w:val="auto"/>
          <w:kern w:val="0"/>
          <w:sz w:val="32"/>
          <w:szCs w:val="32"/>
          <w:highlight w:val="none"/>
          <w:lang w:val="en-US" w:eastAsia="zh-CN" w:bidi="ar-SA"/>
        </w:rPr>
        <w:t>遂宁市安居区市场监督管理局无二级预算单位。下属参照公务员管理事业单位7个，其中市场监管所6个，市场监管综合行政大队1个。下属事业单位2个包括：遂宁市安居区保护消费者权益服务中心、遂宁市安居区市场监管事务中心。</w:t>
      </w:r>
    </w:p>
    <w:p w14:paraId="730C1942">
      <w:pPr>
        <w:spacing w:line="600" w:lineRule="exact"/>
        <w:ind w:firstLine="640"/>
        <w:outlineLvl w:val="2"/>
        <w:rPr>
          <w:rFonts w:hint="default" w:ascii="楷体_GB2312" w:hAnsi="楷体_GB2312" w:eastAsia="楷体_GB2312" w:cs="楷体_GB2312"/>
          <w:b/>
          <w:color w:val="auto"/>
          <w:sz w:val="32"/>
          <w:szCs w:val="32"/>
          <w:highlight w:val="none"/>
          <w:lang w:val="zh-CN"/>
        </w:rPr>
      </w:pPr>
      <w:r>
        <w:rPr>
          <w:rFonts w:hint="eastAsia" w:ascii="楷体_GB2312" w:hAnsi="楷体_GB2312" w:eastAsia="楷体_GB2312" w:cs="楷体_GB2312"/>
          <w:b/>
          <w:color w:val="auto"/>
          <w:sz w:val="32"/>
          <w:szCs w:val="32"/>
          <w:highlight w:val="none"/>
          <w:lang w:val="zh-CN"/>
        </w:rPr>
        <w:t>（二）</w:t>
      </w:r>
      <w:r>
        <w:rPr>
          <w:rFonts w:hint="default" w:ascii="楷体_GB2312" w:hAnsi="楷体_GB2312" w:eastAsia="楷体_GB2312" w:cs="楷体_GB2312"/>
          <w:b/>
          <w:color w:val="auto"/>
          <w:sz w:val="32"/>
          <w:szCs w:val="32"/>
          <w:highlight w:val="none"/>
          <w:lang w:val="zh-CN"/>
        </w:rPr>
        <w:t>机构职能</w:t>
      </w:r>
    </w:p>
    <w:p w14:paraId="5D3E861C">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b/>
          <w:bCs/>
          <w:color w:val="auto"/>
          <w:kern w:val="0"/>
          <w:sz w:val="32"/>
          <w:szCs w:val="32"/>
          <w:highlight w:val="none"/>
          <w:lang w:val="en-US" w:eastAsia="zh-CN" w:bidi="ar-SA"/>
        </w:rPr>
        <w:t>1.负责全区市场综合监督管理工作。</w:t>
      </w:r>
      <w:r>
        <w:rPr>
          <w:rFonts w:hint="default" w:ascii="Times New Roman" w:hAnsi="Times New Roman" w:eastAsia="仿宋" w:cs="Times New Roman"/>
          <w:color w:val="auto"/>
          <w:kern w:val="0"/>
          <w:sz w:val="32"/>
          <w:szCs w:val="32"/>
          <w:highlight w:val="none"/>
          <w:lang w:val="en-US" w:eastAsia="zh-CN" w:bidi="ar-SA"/>
        </w:rPr>
        <w:t>贯彻执行国家、省、市、区有关市场监督管理等方面的法律、法规、规章和方针、政策、规划；对市场监督管理有关地方性法规（草案）、规范性文件和政策、措施提出建议并组织实施。组织实施质量强区、食品（含保健食品、特殊医学用途配方食品和婴幼儿配方乳粉等特殊食品，下同）药品质量安全、特种设备安全、标准化和知识产权战略，拟订并组织实施全区食品安全等规划，规范和维护市场秩序，营造诚实守信、公平竞争的市场环境。</w:t>
      </w:r>
    </w:p>
    <w:p w14:paraId="0A01C82B">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b/>
          <w:bCs/>
          <w:color w:val="auto"/>
          <w:kern w:val="0"/>
          <w:sz w:val="32"/>
          <w:szCs w:val="32"/>
          <w:highlight w:val="none"/>
          <w:lang w:val="en-US" w:eastAsia="zh-CN" w:bidi="ar-SA"/>
        </w:rPr>
        <w:t>2.负责全区市场主体登记注册。</w:t>
      </w:r>
      <w:r>
        <w:rPr>
          <w:rFonts w:hint="default" w:ascii="Times New Roman" w:hAnsi="Times New Roman" w:eastAsia="仿宋" w:cs="Times New Roman"/>
          <w:color w:val="auto"/>
          <w:kern w:val="0"/>
          <w:sz w:val="32"/>
          <w:szCs w:val="32"/>
          <w:highlight w:val="none"/>
          <w:lang w:val="en-US" w:eastAsia="zh-CN" w:bidi="ar-SA"/>
        </w:rPr>
        <w:t>负责全区各类企业、农民专业合作社和从事经营活动的单位、个体工商户以及外国（地区）企业等市场主体的登记注册和监督管理工作。建立市场主体信息公示和共享机制，依法公示和共享有关信息，加强信用监管，推动市场主体信用体系建设。</w:t>
      </w:r>
    </w:p>
    <w:p w14:paraId="452AB3C1">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b/>
          <w:bCs/>
          <w:color w:val="auto"/>
          <w:kern w:val="0"/>
          <w:sz w:val="32"/>
          <w:szCs w:val="32"/>
          <w:highlight w:val="none"/>
          <w:lang w:val="en-US" w:eastAsia="zh-CN" w:bidi="ar-SA"/>
        </w:rPr>
        <w:t>3.负责组织和指导全区市场监督管理综合执法工作。</w:t>
      </w:r>
      <w:r>
        <w:rPr>
          <w:rFonts w:hint="default" w:ascii="Times New Roman" w:hAnsi="Times New Roman" w:eastAsia="仿宋" w:cs="Times New Roman"/>
          <w:color w:val="auto"/>
          <w:kern w:val="0"/>
          <w:sz w:val="32"/>
          <w:szCs w:val="32"/>
          <w:highlight w:val="none"/>
          <w:lang w:val="en-US" w:eastAsia="zh-CN" w:bidi="ar-SA"/>
        </w:rPr>
        <w:t>指导全区市场监管综合执法队伍整合和建设，推动实行统一的市场监管。组织指导查处违反市场监管方面相关法律、法规、规章的行为，规范全区市场监督管理行政执法行为。</w:t>
      </w:r>
    </w:p>
    <w:p w14:paraId="12DF88CD">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b/>
          <w:bCs/>
          <w:color w:val="auto"/>
          <w:kern w:val="0"/>
          <w:sz w:val="32"/>
          <w:szCs w:val="32"/>
          <w:highlight w:val="none"/>
          <w:lang w:val="en-US" w:eastAsia="zh-CN" w:bidi="ar-SA"/>
        </w:rPr>
        <w:t>4.负责监督管理全区市场秩序。</w:t>
      </w:r>
      <w:r>
        <w:rPr>
          <w:rFonts w:hint="default" w:ascii="Times New Roman" w:hAnsi="Times New Roman" w:eastAsia="仿宋" w:cs="Times New Roman"/>
          <w:color w:val="auto"/>
          <w:kern w:val="0"/>
          <w:sz w:val="32"/>
          <w:szCs w:val="32"/>
          <w:highlight w:val="none"/>
          <w:lang w:val="en-US" w:eastAsia="zh-CN" w:bidi="ar-SA"/>
        </w:rPr>
        <w:t>统筹推进竞争政策实施，指导实施公平竞争审查制度。依法依授权对经营者集中行为进行反垄断审查，负责垄断协议、滥用市场支配地位和滥用行政权力排除、限制竞争等反垄断执法工作。依法监督管理市场交易、网络商品交易及有关服务的行为。组织、指导查处价格收费违法违规、不正当竞争、违法直销、传销、侵犯商标专利知识产权和制售假冒伪劣行为。指导广告业发展，监督管理广告活动。组织、指导查处虚假注册、无照生产经营和相关无证生产经营行为。指导区保护消费者权益委员会开展消费维权工作。</w:t>
      </w:r>
    </w:p>
    <w:p w14:paraId="5B2339A4">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b/>
          <w:bCs/>
          <w:color w:val="auto"/>
          <w:kern w:val="0"/>
          <w:sz w:val="32"/>
          <w:szCs w:val="32"/>
          <w:highlight w:val="none"/>
          <w:lang w:val="en-US" w:eastAsia="zh-CN" w:bidi="ar-SA"/>
        </w:rPr>
        <w:t>5.负责全区宏观质量管理。</w:t>
      </w:r>
      <w:r>
        <w:rPr>
          <w:rFonts w:hint="default" w:ascii="Times New Roman" w:hAnsi="Times New Roman" w:eastAsia="仿宋" w:cs="Times New Roman"/>
          <w:color w:val="auto"/>
          <w:kern w:val="0"/>
          <w:sz w:val="32"/>
          <w:szCs w:val="32"/>
          <w:highlight w:val="none"/>
          <w:lang w:val="en-US" w:eastAsia="zh-CN" w:bidi="ar-SA"/>
        </w:rPr>
        <w:t>拟订并组织实施质量发展的制度措施。统筹全区质量基础设施建设与应用。会同有关部门组织实施重大工程设备质量监理制度，组织重大产品质量事故调查，贯彻实施缺陷产品召回制度，监督管理产品防伪工作。</w:t>
      </w:r>
    </w:p>
    <w:p w14:paraId="6612C5A2">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b/>
          <w:bCs/>
          <w:color w:val="auto"/>
          <w:kern w:val="0"/>
          <w:sz w:val="32"/>
          <w:szCs w:val="32"/>
          <w:highlight w:val="none"/>
          <w:lang w:val="en-US" w:eastAsia="zh-CN" w:bidi="ar-SA"/>
        </w:rPr>
        <w:t>6.负责全区产品质量安全监督管理。</w:t>
      </w:r>
      <w:r>
        <w:rPr>
          <w:rFonts w:hint="default" w:ascii="Times New Roman" w:hAnsi="Times New Roman" w:eastAsia="仿宋" w:cs="Times New Roman"/>
          <w:color w:val="auto"/>
          <w:kern w:val="0"/>
          <w:sz w:val="32"/>
          <w:szCs w:val="32"/>
          <w:highlight w:val="none"/>
          <w:lang w:val="en-US" w:eastAsia="zh-CN" w:bidi="ar-SA"/>
        </w:rPr>
        <w:t>负责产品质量监督抽查和风险监控工作，组织实施质量分级制度、质量安全追溯制度。负责工业产品生产管理。负责纤维质量监督工作。</w:t>
      </w:r>
    </w:p>
    <w:p w14:paraId="0B37965B">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b/>
          <w:bCs/>
          <w:color w:val="auto"/>
          <w:kern w:val="0"/>
          <w:sz w:val="32"/>
          <w:szCs w:val="32"/>
          <w:highlight w:val="none"/>
          <w:lang w:val="en-US" w:eastAsia="zh-CN" w:bidi="ar-SA"/>
        </w:rPr>
        <w:t>7.负责全区特种设备安全监督管理。</w:t>
      </w:r>
      <w:r>
        <w:rPr>
          <w:rFonts w:hint="default" w:ascii="Times New Roman" w:hAnsi="Times New Roman" w:eastAsia="仿宋" w:cs="Times New Roman"/>
          <w:color w:val="auto"/>
          <w:kern w:val="0"/>
          <w:sz w:val="32"/>
          <w:szCs w:val="32"/>
          <w:highlight w:val="none"/>
          <w:lang w:val="en-US" w:eastAsia="zh-CN" w:bidi="ar-SA"/>
        </w:rPr>
        <w:t>综合管理特种设备安全监察、监督工作，监督检查高耗能特种设备节能标准和锅炉产品环境保护标准的执行情况。</w:t>
      </w:r>
    </w:p>
    <w:p w14:paraId="6C3F456B">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b/>
          <w:bCs/>
          <w:color w:val="auto"/>
          <w:kern w:val="0"/>
          <w:sz w:val="32"/>
          <w:szCs w:val="32"/>
          <w:highlight w:val="none"/>
          <w:lang w:val="en-US" w:eastAsia="zh-CN" w:bidi="ar-SA"/>
        </w:rPr>
        <w:t>8.负责全区食品安全监督管理综合协调。</w:t>
      </w:r>
      <w:r>
        <w:rPr>
          <w:rFonts w:hint="default" w:ascii="Times New Roman" w:hAnsi="Times New Roman" w:eastAsia="仿宋" w:cs="Times New Roman"/>
          <w:color w:val="auto"/>
          <w:kern w:val="0"/>
          <w:sz w:val="32"/>
          <w:szCs w:val="32"/>
          <w:highlight w:val="none"/>
          <w:lang w:val="en-US" w:eastAsia="zh-CN" w:bidi="ar-SA"/>
        </w:rPr>
        <w:t>统筹指导全区食品安全工作。负责食品安全应急体系建设，组织指导一般食品安全事件应急处置和调查处理工作。建立健全食品安全重要信息直报制度。承担区食品安全委员会日常工作。</w:t>
      </w:r>
    </w:p>
    <w:p w14:paraId="6559B473">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b/>
          <w:bCs/>
          <w:color w:val="auto"/>
          <w:kern w:val="0"/>
          <w:sz w:val="32"/>
          <w:szCs w:val="32"/>
          <w:highlight w:val="none"/>
          <w:lang w:val="en-US" w:eastAsia="zh-CN" w:bidi="ar-SA"/>
        </w:rPr>
        <w:t>9.负责全区食品安全监督管理。</w:t>
      </w:r>
      <w:r>
        <w:rPr>
          <w:rFonts w:hint="default" w:ascii="Times New Roman" w:hAnsi="Times New Roman" w:eastAsia="仿宋" w:cs="Times New Roman"/>
          <w:color w:val="auto"/>
          <w:kern w:val="0"/>
          <w:sz w:val="32"/>
          <w:szCs w:val="32"/>
          <w:highlight w:val="none"/>
          <w:lang w:val="en-US" w:eastAsia="zh-CN" w:bidi="ar-SA"/>
        </w:rPr>
        <w:t>建立覆盖食品生产、流通、消费全过程的监督检查制度和隐患排查治理机制并组织实施，防范区域性、系统性食品安全风险。推动建立食品生产经营者落实主体责任的机制，健全食品安全追溯体系。指导督促食品生产经营企业的安全生产工作，组织开展食品安全监督抽检、风险监测、核查处置和风险预警、风险交流工作。组织实施特殊食品监督管理。</w:t>
      </w:r>
    </w:p>
    <w:p w14:paraId="75D7B262">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b/>
          <w:bCs/>
          <w:color w:val="auto"/>
          <w:kern w:val="0"/>
          <w:sz w:val="32"/>
          <w:szCs w:val="32"/>
          <w:highlight w:val="none"/>
          <w:lang w:val="en-US" w:eastAsia="zh-CN" w:bidi="ar-SA"/>
        </w:rPr>
        <w:t>10.负责贯彻落实执行国家、省有关药品（含中药、民族药，下同）、医疗器械和化妆品监督管理的方针政策和法律法规。</w:t>
      </w:r>
      <w:r>
        <w:rPr>
          <w:rFonts w:hint="default" w:ascii="Times New Roman" w:hAnsi="Times New Roman" w:eastAsia="仿宋" w:cs="Times New Roman"/>
          <w:color w:val="auto"/>
          <w:kern w:val="0"/>
          <w:sz w:val="32"/>
          <w:szCs w:val="32"/>
          <w:highlight w:val="none"/>
          <w:lang w:val="en-US" w:eastAsia="zh-CN" w:bidi="ar-SA"/>
        </w:rPr>
        <w:t>监督实施药品、医疗器械、化妆品经营、使用质量管理规范，负责全区药品、医疗器械、化妆品上市后风险管理。依职责组织实施药品、医疗器械和化妆品监督检查，负责药品零售、医疗器械使用环节质量的安全监测、检查和处罚。</w:t>
      </w:r>
    </w:p>
    <w:p w14:paraId="15162499">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b/>
          <w:bCs/>
          <w:color w:val="auto"/>
          <w:kern w:val="0"/>
          <w:sz w:val="32"/>
          <w:szCs w:val="32"/>
          <w:highlight w:val="none"/>
          <w:lang w:val="en-US" w:eastAsia="zh-CN" w:bidi="ar-SA"/>
        </w:rPr>
        <w:t>11.负责管理全区计量工作。</w:t>
      </w:r>
      <w:r>
        <w:rPr>
          <w:rFonts w:hint="default" w:ascii="Times New Roman" w:hAnsi="Times New Roman" w:eastAsia="仿宋" w:cs="Times New Roman"/>
          <w:color w:val="auto"/>
          <w:kern w:val="0"/>
          <w:sz w:val="32"/>
          <w:szCs w:val="32"/>
          <w:highlight w:val="none"/>
          <w:lang w:val="en-US" w:eastAsia="zh-CN" w:bidi="ar-SA"/>
        </w:rPr>
        <w:t>推行法定计量单位、执行国家计量制度，管理计量器具及量值传递和比对工作。规范、监督商品量和市场计量行为。</w:t>
      </w:r>
    </w:p>
    <w:p w14:paraId="25ACDCE2">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b/>
          <w:bCs/>
          <w:color w:val="auto"/>
          <w:kern w:val="0"/>
          <w:sz w:val="32"/>
          <w:szCs w:val="32"/>
          <w:highlight w:val="none"/>
          <w:lang w:val="en-US" w:eastAsia="zh-CN" w:bidi="ar-SA"/>
        </w:rPr>
        <w:t>12.负责管理标准化工作。</w:t>
      </w:r>
      <w:r>
        <w:rPr>
          <w:rFonts w:hint="default" w:ascii="Times New Roman" w:hAnsi="Times New Roman" w:eastAsia="仿宋" w:cs="Times New Roman"/>
          <w:color w:val="auto"/>
          <w:kern w:val="0"/>
          <w:sz w:val="32"/>
          <w:szCs w:val="32"/>
          <w:highlight w:val="none"/>
          <w:lang w:val="en-US" w:eastAsia="zh-CN" w:bidi="ar-SA"/>
        </w:rPr>
        <w:t>负责对标准的制定进行指导和监督，组织实施标准并对标准实施情况进行监督检查。管理商品条码工作。</w:t>
      </w:r>
    </w:p>
    <w:p w14:paraId="3A701461">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b/>
          <w:bCs/>
          <w:color w:val="auto"/>
          <w:kern w:val="0"/>
          <w:sz w:val="32"/>
          <w:szCs w:val="32"/>
          <w:highlight w:val="none"/>
          <w:lang w:val="en-US" w:eastAsia="zh-CN" w:bidi="ar-SA"/>
        </w:rPr>
        <w:t>13.负责管理全区检验检测工作。</w:t>
      </w:r>
      <w:r>
        <w:rPr>
          <w:rFonts w:hint="default" w:ascii="Times New Roman" w:hAnsi="Times New Roman" w:eastAsia="仿宋" w:cs="Times New Roman"/>
          <w:color w:val="auto"/>
          <w:kern w:val="0"/>
          <w:sz w:val="32"/>
          <w:szCs w:val="32"/>
          <w:highlight w:val="none"/>
          <w:lang w:val="en-US" w:eastAsia="zh-CN" w:bidi="ar-SA"/>
        </w:rPr>
        <w:t>规范检验检测市场，完善检验检测体系，指导检验检测行业发展。</w:t>
      </w:r>
    </w:p>
    <w:p w14:paraId="4A1C46AE">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b/>
          <w:bCs/>
          <w:color w:val="auto"/>
          <w:kern w:val="0"/>
          <w:sz w:val="32"/>
          <w:szCs w:val="32"/>
          <w:highlight w:val="none"/>
          <w:lang w:val="en-US" w:eastAsia="zh-CN" w:bidi="ar-SA"/>
        </w:rPr>
        <w:t>14.负责管理全区认证认可工作。</w:t>
      </w:r>
      <w:r>
        <w:rPr>
          <w:rFonts w:hint="default" w:ascii="Times New Roman" w:hAnsi="Times New Roman" w:eastAsia="仿宋" w:cs="Times New Roman"/>
          <w:color w:val="auto"/>
          <w:kern w:val="0"/>
          <w:sz w:val="32"/>
          <w:szCs w:val="32"/>
          <w:highlight w:val="none"/>
          <w:lang w:val="en-US" w:eastAsia="zh-CN" w:bidi="ar-SA"/>
        </w:rPr>
        <w:t>监督管理认证认可和合格评定监督工作。</w:t>
      </w:r>
    </w:p>
    <w:p w14:paraId="5F53CFFB">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 w:cs="Times New Roman"/>
          <w:b/>
          <w:bCs/>
          <w:color w:val="auto"/>
          <w:kern w:val="0"/>
          <w:sz w:val="32"/>
          <w:szCs w:val="32"/>
          <w:highlight w:val="none"/>
          <w:lang w:val="en-US" w:eastAsia="zh-CN" w:bidi="ar-SA"/>
        </w:rPr>
      </w:pPr>
      <w:r>
        <w:rPr>
          <w:rFonts w:hint="default" w:ascii="Times New Roman" w:hAnsi="Times New Roman" w:eastAsia="仿宋" w:cs="Times New Roman"/>
          <w:b/>
          <w:bCs/>
          <w:color w:val="auto"/>
          <w:kern w:val="0"/>
          <w:sz w:val="32"/>
          <w:szCs w:val="32"/>
          <w:highlight w:val="none"/>
          <w:lang w:val="en-US" w:eastAsia="zh-CN" w:bidi="ar-SA"/>
        </w:rPr>
        <w:t>15.负责市场监督管理科技和信息化建设、新闻宣传。</w:t>
      </w:r>
    </w:p>
    <w:p w14:paraId="320986B0">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 w:cs="Times New Roman"/>
          <w:b/>
          <w:bCs/>
          <w:color w:val="auto"/>
          <w:kern w:val="0"/>
          <w:sz w:val="32"/>
          <w:szCs w:val="32"/>
          <w:highlight w:val="none"/>
          <w:lang w:val="en-US" w:eastAsia="zh-CN" w:bidi="ar-SA"/>
        </w:rPr>
      </w:pPr>
      <w:r>
        <w:rPr>
          <w:rFonts w:hint="default" w:ascii="Times New Roman" w:hAnsi="Times New Roman" w:eastAsia="仿宋" w:cs="Times New Roman"/>
          <w:b/>
          <w:bCs/>
          <w:color w:val="auto"/>
          <w:kern w:val="0"/>
          <w:sz w:val="32"/>
          <w:szCs w:val="32"/>
          <w:highlight w:val="none"/>
          <w:lang w:val="en-US" w:eastAsia="zh-CN" w:bidi="ar-SA"/>
        </w:rPr>
        <w:t>16.负责全区知识产权战略、规划的拟订，知识产权的保护，负责组织指导商标、专利执法工作。</w:t>
      </w:r>
    </w:p>
    <w:p w14:paraId="27841655">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 w:cs="Times New Roman"/>
          <w:b/>
          <w:bCs/>
          <w:color w:val="auto"/>
          <w:kern w:val="0"/>
          <w:sz w:val="32"/>
          <w:szCs w:val="32"/>
          <w:highlight w:val="none"/>
          <w:lang w:val="en-US" w:eastAsia="zh-CN" w:bidi="ar-SA"/>
        </w:rPr>
      </w:pPr>
      <w:r>
        <w:rPr>
          <w:rFonts w:hint="default" w:ascii="Times New Roman" w:hAnsi="Times New Roman" w:eastAsia="仿宋" w:cs="Times New Roman"/>
          <w:b/>
          <w:bCs/>
          <w:color w:val="auto"/>
          <w:kern w:val="0"/>
          <w:sz w:val="32"/>
          <w:szCs w:val="32"/>
          <w:highlight w:val="none"/>
          <w:lang w:val="en-US" w:eastAsia="zh-CN" w:bidi="ar-SA"/>
        </w:rPr>
        <w:t>17.负责促进民营经济发展。</w:t>
      </w:r>
    </w:p>
    <w:p w14:paraId="0C105D3B">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 w:cs="Times New Roman"/>
          <w:b/>
          <w:bCs/>
          <w:color w:val="auto"/>
          <w:kern w:val="0"/>
          <w:sz w:val="32"/>
          <w:szCs w:val="32"/>
          <w:highlight w:val="none"/>
          <w:lang w:val="en-US" w:eastAsia="zh-CN" w:bidi="ar-SA"/>
        </w:rPr>
      </w:pPr>
      <w:r>
        <w:rPr>
          <w:rFonts w:hint="default" w:ascii="Times New Roman" w:hAnsi="Times New Roman" w:eastAsia="仿宋" w:cs="Times New Roman"/>
          <w:b/>
          <w:bCs/>
          <w:color w:val="auto"/>
          <w:kern w:val="0"/>
          <w:sz w:val="32"/>
          <w:szCs w:val="32"/>
          <w:highlight w:val="none"/>
          <w:lang w:val="en-US" w:eastAsia="zh-CN" w:bidi="ar-SA"/>
        </w:rPr>
        <w:t>18.负责职责范围内的安全生产和职业健康、生态环境保护、审批服务便民化、依法治理等工作。</w:t>
      </w:r>
    </w:p>
    <w:p w14:paraId="2C24122B">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 w:cs="Times New Roman"/>
          <w:b/>
          <w:bCs/>
          <w:color w:val="auto"/>
          <w:kern w:val="0"/>
          <w:sz w:val="32"/>
          <w:szCs w:val="32"/>
          <w:highlight w:val="none"/>
          <w:lang w:val="zh-CN" w:eastAsia="zh-CN" w:bidi="ar-SA"/>
        </w:rPr>
      </w:pPr>
      <w:r>
        <w:rPr>
          <w:rFonts w:hint="default" w:ascii="Times New Roman" w:hAnsi="Times New Roman" w:eastAsia="仿宋" w:cs="Times New Roman"/>
          <w:b/>
          <w:bCs/>
          <w:color w:val="auto"/>
          <w:kern w:val="0"/>
          <w:sz w:val="32"/>
          <w:szCs w:val="32"/>
          <w:highlight w:val="none"/>
          <w:lang w:val="en-US" w:eastAsia="zh-CN" w:bidi="ar-SA"/>
        </w:rPr>
        <w:t>19.完成区委和区政府交办的其他任务。</w:t>
      </w:r>
    </w:p>
    <w:p w14:paraId="7B9F26D8">
      <w:pPr>
        <w:spacing w:line="600" w:lineRule="exact"/>
        <w:ind w:firstLine="640"/>
        <w:outlineLvl w:val="2"/>
        <w:rPr>
          <w:rFonts w:hint="default" w:ascii="楷体_GB2312" w:hAnsi="楷体_GB2312" w:eastAsia="楷体_GB2312" w:cs="楷体_GB2312"/>
          <w:b/>
          <w:color w:val="auto"/>
          <w:sz w:val="32"/>
          <w:szCs w:val="32"/>
          <w:highlight w:val="none"/>
          <w:lang w:val="zh-CN"/>
        </w:rPr>
      </w:pPr>
      <w:r>
        <w:rPr>
          <w:rFonts w:hint="eastAsia" w:ascii="楷体_GB2312" w:hAnsi="楷体_GB2312" w:eastAsia="楷体_GB2312" w:cs="楷体_GB2312"/>
          <w:b/>
          <w:color w:val="auto"/>
          <w:sz w:val="32"/>
          <w:szCs w:val="32"/>
          <w:highlight w:val="none"/>
          <w:lang w:val="zh-CN"/>
        </w:rPr>
        <w:t>（三）</w:t>
      </w:r>
      <w:r>
        <w:rPr>
          <w:rFonts w:hint="default" w:ascii="楷体_GB2312" w:hAnsi="楷体_GB2312" w:eastAsia="楷体_GB2312" w:cs="楷体_GB2312"/>
          <w:b/>
          <w:color w:val="auto"/>
          <w:sz w:val="32"/>
          <w:szCs w:val="32"/>
          <w:highlight w:val="none"/>
          <w:lang w:val="zh-CN"/>
        </w:rPr>
        <w:t>人员概况</w:t>
      </w:r>
    </w:p>
    <w:p w14:paraId="0F62DF5D">
      <w:pPr>
        <w:keepNext w:val="0"/>
        <w:keepLines w:val="0"/>
        <w:pageBreakBefore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截止2024年底，在职人员81人，其中公务员及参公人员47人，机关工勤人员2人，事业人员32人；退休人员46人。</w:t>
      </w:r>
    </w:p>
    <w:p w14:paraId="486F10DF">
      <w:pPr>
        <w:keepNext w:val="0"/>
        <w:keepLines w:val="0"/>
        <w:pageBreakBefore w:val="0"/>
        <w:widowControl/>
        <w:numPr>
          <w:ilvl w:val="0"/>
          <w:numId w:val="4"/>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default" w:ascii="Times New Roman" w:hAnsi="Times New Roman" w:eastAsia="黑体" w:cs="Times New Roman"/>
          <w:color w:val="000000"/>
          <w:kern w:val="0"/>
          <w:sz w:val="32"/>
          <w:szCs w:val="48"/>
          <w:shd w:val="clear" w:color="auto" w:fill="FFFFFF"/>
        </w:rPr>
      </w:pPr>
      <w:r>
        <w:rPr>
          <w:rFonts w:hint="default" w:ascii="Times New Roman" w:hAnsi="Times New Roman" w:eastAsia="黑体" w:cs="Times New Roman"/>
          <w:color w:val="000000"/>
          <w:kern w:val="0"/>
          <w:sz w:val="32"/>
          <w:szCs w:val="48"/>
          <w:shd w:val="clear" w:color="auto" w:fill="FFFFFF"/>
        </w:rPr>
        <w:t>部门财政资金收支情况</w:t>
      </w:r>
    </w:p>
    <w:p w14:paraId="5A19BC94">
      <w:pPr>
        <w:spacing w:line="600" w:lineRule="exact"/>
        <w:ind w:firstLine="640"/>
        <w:outlineLvl w:val="2"/>
        <w:rPr>
          <w:rFonts w:hint="default" w:ascii="楷体_GB2312" w:hAnsi="楷体_GB2312" w:eastAsia="楷体_GB2312" w:cs="楷体_GB2312"/>
          <w:b/>
          <w:color w:val="auto"/>
          <w:sz w:val="32"/>
          <w:szCs w:val="32"/>
          <w:highlight w:val="none"/>
          <w:lang w:val="zh-CN"/>
        </w:rPr>
      </w:pPr>
      <w:r>
        <w:rPr>
          <w:rFonts w:hint="default" w:ascii="楷体_GB2312" w:hAnsi="楷体_GB2312" w:eastAsia="楷体_GB2312" w:cs="楷体_GB2312"/>
          <w:b/>
          <w:color w:val="auto"/>
          <w:sz w:val="32"/>
          <w:szCs w:val="32"/>
          <w:highlight w:val="none"/>
          <w:lang w:val="zh-CN"/>
        </w:rPr>
        <w:t>（一）收入情况</w:t>
      </w:r>
    </w:p>
    <w:p w14:paraId="6D74B2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rPr>
      </w:pPr>
      <w:r>
        <w:rPr>
          <w:rFonts w:hint="default" w:ascii="Times New Roman" w:hAnsi="Times New Roman" w:eastAsia="仿宋" w:cs="Times New Roman"/>
          <w:color w:val="auto"/>
          <w:kern w:val="0"/>
          <w:sz w:val="32"/>
          <w:szCs w:val="32"/>
          <w:highlight w:val="none"/>
          <w:lang w:val="en-US" w:eastAsia="zh-CN" w:bidi="ar-SA"/>
        </w:rPr>
        <w:t>2024年收入决算总额为2141.27万元，其中：一般公共预算财政拨款收入2141.27万元，政府性基金预算财政拨款收入0万元，年初结转和结余0万元。</w:t>
      </w:r>
    </w:p>
    <w:p w14:paraId="4C6B45B2">
      <w:pPr>
        <w:spacing w:line="600" w:lineRule="exact"/>
        <w:ind w:firstLine="640"/>
        <w:outlineLvl w:val="2"/>
        <w:rPr>
          <w:rFonts w:hint="default" w:ascii="楷体_GB2312" w:hAnsi="楷体_GB2312" w:eastAsia="楷体_GB2312" w:cs="楷体_GB2312"/>
          <w:b/>
          <w:color w:val="auto"/>
          <w:sz w:val="32"/>
          <w:szCs w:val="32"/>
          <w:highlight w:val="none"/>
          <w:lang w:val="zh-CN"/>
        </w:rPr>
      </w:pPr>
      <w:r>
        <w:rPr>
          <w:rFonts w:hint="default" w:ascii="楷体_GB2312" w:hAnsi="楷体_GB2312" w:eastAsia="楷体_GB2312" w:cs="楷体_GB2312"/>
          <w:b/>
          <w:color w:val="auto"/>
          <w:sz w:val="32"/>
          <w:szCs w:val="32"/>
          <w:highlight w:val="none"/>
          <w:lang w:val="zh-CN"/>
        </w:rPr>
        <w:t>（二）支出情况</w:t>
      </w:r>
    </w:p>
    <w:p w14:paraId="4ADA78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zh-CN" w:eastAsia="zh-CN" w:bidi="ar-SA"/>
        </w:rPr>
      </w:pPr>
      <w:r>
        <w:rPr>
          <w:rFonts w:hint="default" w:ascii="Times New Roman" w:hAnsi="Times New Roman" w:eastAsia="仿宋" w:cs="Times New Roman"/>
          <w:color w:val="auto"/>
          <w:kern w:val="0"/>
          <w:sz w:val="32"/>
          <w:szCs w:val="32"/>
          <w:highlight w:val="none"/>
          <w:lang w:val="en-US" w:eastAsia="zh-CN" w:bidi="ar-SA"/>
        </w:rPr>
        <w:t>2024年支出决算总额为2141.27万元。按功能分类：一般公共服务支出1526.41万元，社会保障和就业支出272.65万元，卫生健康支出92.04万元，资源勘探工业信息等支出45.25万元，商业服务业等支出68.60万元，住房保障支出120.59万元，灾害防治及应急管理支出15.73万元；按支出性质分类：基本支出1732.22万元（人员经费1520.90万元，公用经费211.32万元）、项目支出409.05万元；按经济分类：工资福利支出1398.90万元、商品和服务支出497.29万元、对个人和家庭的补助121.99万元、资本性支出9.24万元、对企业补助113.85万元。</w:t>
      </w:r>
    </w:p>
    <w:p w14:paraId="31E8577E">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（三）</w:t>
      </w:r>
      <w:r>
        <w:rPr>
          <w:rFonts w:hint="default" w:ascii="楷体_GB2312" w:hAnsi="楷体_GB2312" w:eastAsia="楷体_GB2312" w:cs="楷体_GB2312"/>
          <w:b/>
          <w:color w:val="auto"/>
          <w:sz w:val="32"/>
          <w:szCs w:val="32"/>
          <w:highlight w:val="none"/>
          <w:lang w:val="zh-CN"/>
        </w:rPr>
        <w:t>结余分配和结转结余情况</w:t>
      </w:r>
    </w:p>
    <w:p w14:paraId="4E815C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zh-CN" w:eastAsia="zh-CN" w:bidi="ar-SA"/>
        </w:rPr>
      </w:pPr>
      <w:r>
        <w:rPr>
          <w:rFonts w:hint="default" w:ascii="Times New Roman" w:hAnsi="Times New Roman" w:eastAsia="仿宋" w:cs="Times New Roman"/>
          <w:color w:val="auto"/>
          <w:kern w:val="0"/>
          <w:sz w:val="32"/>
          <w:szCs w:val="32"/>
          <w:highlight w:val="none"/>
          <w:lang w:val="en-US" w:eastAsia="zh-CN" w:bidi="ar-SA"/>
        </w:rPr>
        <w:t>2024年无结转结余。</w:t>
      </w:r>
    </w:p>
    <w:p w14:paraId="5A17CF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三、部门</w:t>
      </w:r>
      <w:r>
        <w:rPr>
          <w:rFonts w:hint="default" w:ascii="Times New Roman" w:hAnsi="Times New Roman" w:eastAsia="方正黑体简体" w:cs="Times New Roman"/>
          <w:sz w:val="32"/>
          <w:szCs w:val="32"/>
          <w:lang w:eastAsia="zh-CN"/>
        </w:rPr>
        <w:t>预算</w:t>
      </w:r>
      <w:r>
        <w:rPr>
          <w:rFonts w:hint="default" w:ascii="Times New Roman" w:hAnsi="Times New Roman" w:eastAsia="方正黑体简体" w:cs="Times New Roman"/>
          <w:sz w:val="32"/>
          <w:szCs w:val="32"/>
        </w:rPr>
        <w:t>绩效</w:t>
      </w:r>
      <w:r>
        <w:rPr>
          <w:rFonts w:hint="default" w:ascii="Times New Roman" w:hAnsi="Times New Roman" w:eastAsia="方正黑体简体" w:cs="Times New Roman"/>
          <w:sz w:val="32"/>
          <w:szCs w:val="32"/>
          <w:lang w:eastAsia="zh-CN"/>
        </w:rPr>
        <w:t>分析</w:t>
      </w:r>
    </w:p>
    <w:p w14:paraId="7A7D3EFA">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（一）部门预算总体绩效分析</w:t>
      </w:r>
    </w:p>
    <w:p w14:paraId="1129E9B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color w:val="auto"/>
          <w:kern w:val="0"/>
          <w:sz w:val="32"/>
          <w:szCs w:val="32"/>
          <w:highlight w:val="none"/>
          <w:lang w:val="zh-CN" w:eastAsia="zh-CN" w:bidi="ar-SA"/>
        </w:rPr>
      </w:pPr>
      <w:r>
        <w:rPr>
          <w:rFonts w:hint="default" w:ascii="Times New Roman" w:hAnsi="Times New Roman" w:eastAsia="仿宋" w:cs="Times New Roman"/>
          <w:b/>
          <w:bCs/>
          <w:color w:val="auto"/>
          <w:kern w:val="0"/>
          <w:sz w:val="32"/>
          <w:szCs w:val="32"/>
          <w:highlight w:val="none"/>
          <w:lang w:val="en-US" w:eastAsia="zh-CN" w:bidi="ar-SA"/>
        </w:rPr>
        <w:t>1.</w:t>
      </w:r>
      <w:r>
        <w:rPr>
          <w:rFonts w:hint="default" w:ascii="Times New Roman" w:hAnsi="Times New Roman" w:eastAsia="仿宋" w:cs="Times New Roman"/>
          <w:b/>
          <w:bCs/>
          <w:color w:val="auto"/>
          <w:kern w:val="0"/>
          <w:sz w:val="32"/>
          <w:szCs w:val="32"/>
          <w:highlight w:val="none"/>
          <w:lang w:val="zh-CN" w:eastAsia="zh-CN" w:bidi="ar-SA"/>
        </w:rPr>
        <w:t>履职效能</w:t>
      </w:r>
    </w:p>
    <w:p w14:paraId="0E0FEF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（1）食品安全抽检情况。2024年度坚持保障食品安全、群众饮食安全，共抽检875批次，对抽检结果均进行了公示，公示率100%，不合格样品处置率100%。</w:t>
      </w:r>
    </w:p>
    <w:p w14:paraId="5D48B9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2）基层市场监管所标准化、规范化建设情况。2024年度为持续推进基层市场监管所标准化、规范化建设，将安居区三家、西眉、安居市场监管所作为标准化、规范化建设第三批创建单位，3家市场监管所已完成党建、文化等建设，已通过验收。</w:t>
      </w:r>
    </w:p>
    <w:p w14:paraId="4E204F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（3）“转企升规”工作履职效果。为更好的发展经济，优化营商环境，促进企业发展，安居区共兑现“转企升规”激励资金（即个转企资金）113.85万元，涉及市场主体114户。</w:t>
      </w:r>
    </w:p>
    <w:p w14:paraId="721C53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4）中央药品监管工作履职效果。2024年度开展药品安全监督检查480家次，责令整改10家次，办理药品相关案件10件，开展医疗器械不良事件监测相关宣传1次，无菌和植入经营使用单位检查120家次，药品不良反应报告533份、化妆品不良反应报告51份、医疗器械不良反应事件报告198份，未发生药品安全监管责任事故。完成不合格样品核查处置任务1件，药品安全执法能力和监管能力逐步提升。中央药品监管补助资金预算8.47万元，执行8.47万元，执行率100%。</w:t>
      </w:r>
    </w:p>
    <w:p w14:paraId="27076E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zh-CN" w:eastAsia="zh-CN" w:bidi="ar-SA"/>
        </w:rPr>
      </w:pPr>
      <w:r>
        <w:rPr>
          <w:rFonts w:hint="default" w:ascii="Times New Roman" w:hAnsi="Times New Roman" w:eastAsia="仿宋" w:cs="Times New Roman"/>
          <w:color w:val="auto"/>
          <w:kern w:val="0"/>
          <w:sz w:val="32"/>
          <w:szCs w:val="32"/>
          <w:highlight w:val="none"/>
          <w:lang w:val="en-US" w:eastAsia="zh-CN" w:bidi="ar-SA"/>
        </w:rPr>
        <w:t>该项指标自评得分10分。</w:t>
      </w:r>
    </w:p>
    <w:p w14:paraId="6520B09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color w:val="auto"/>
          <w:kern w:val="0"/>
          <w:sz w:val="32"/>
          <w:szCs w:val="32"/>
          <w:highlight w:val="none"/>
          <w:lang w:val="zh-CN" w:eastAsia="zh-CN" w:bidi="ar-SA"/>
        </w:rPr>
      </w:pPr>
      <w:r>
        <w:rPr>
          <w:rFonts w:hint="default" w:ascii="Times New Roman" w:hAnsi="Times New Roman" w:eastAsia="仿宋" w:cs="Times New Roman"/>
          <w:b/>
          <w:bCs/>
          <w:color w:val="auto"/>
          <w:kern w:val="0"/>
          <w:sz w:val="32"/>
          <w:szCs w:val="32"/>
          <w:highlight w:val="none"/>
          <w:lang w:val="en-US" w:eastAsia="zh-CN" w:bidi="ar-SA"/>
        </w:rPr>
        <w:t>2.</w:t>
      </w:r>
      <w:r>
        <w:rPr>
          <w:rFonts w:hint="default" w:ascii="Times New Roman" w:hAnsi="Times New Roman" w:eastAsia="仿宋" w:cs="Times New Roman"/>
          <w:b/>
          <w:bCs/>
          <w:color w:val="auto"/>
          <w:kern w:val="0"/>
          <w:sz w:val="32"/>
          <w:szCs w:val="32"/>
          <w:highlight w:val="none"/>
          <w:lang w:val="zh-CN" w:eastAsia="zh-CN" w:bidi="ar-SA"/>
        </w:rPr>
        <w:t>预算管理</w:t>
      </w:r>
    </w:p>
    <w:p w14:paraId="55B4FF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zh-CN" w:eastAsia="zh-CN" w:bidi="ar-SA"/>
        </w:rPr>
      </w:pPr>
      <w:r>
        <w:rPr>
          <w:rFonts w:hint="default" w:ascii="Times New Roman" w:hAnsi="Times New Roman" w:eastAsia="仿宋" w:cs="Times New Roman"/>
          <w:color w:val="auto"/>
          <w:kern w:val="0"/>
          <w:sz w:val="32"/>
          <w:szCs w:val="32"/>
          <w:highlight w:val="none"/>
          <w:lang w:val="zh-CN" w:eastAsia="zh-CN" w:bidi="ar-SA"/>
        </w:rPr>
        <w:t>部门严格按要求编制年初部门预算，年初预算编制科学和准确，</w:t>
      </w:r>
      <w:r>
        <w:rPr>
          <w:rFonts w:hint="default" w:ascii="Times New Roman" w:hAnsi="Times New Roman" w:eastAsia="仿宋" w:cs="Times New Roman"/>
          <w:color w:val="auto"/>
          <w:kern w:val="0"/>
          <w:sz w:val="32"/>
          <w:szCs w:val="32"/>
          <w:highlight w:val="none"/>
          <w:lang w:val="en-US" w:eastAsia="zh-CN" w:bidi="ar-SA"/>
        </w:rPr>
        <w:t>2024年度财政拨款</w:t>
      </w:r>
      <w:r>
        <w:rPr>
          <w:rFonts w:hint="default" w:ascii="Times New Roman" w:hAnsi="Times New Roman" w:eastAsia="仿宋" w:cs="Times New Roman"/>
          <w:color w:val="auto"/>
          <w:kern w:val="0"/>
          <w:sz w:val="32"/>
          <w:szCs w:val="32"/>
          <w:highlight w:val="none"/>
          <w:lang w:val="zh-CN" w:eastAsia="zh-CN" w:bidi="ar-SA"/>
        </w:rPr>
        <w:t>收入</w:t>
      </w:r>
      <w:r>
        <w:rPr>
          <w:rFonts w:hint="default" w:ascii="Times New Roman" w:hAnsi="Times New Roman" w:eastAsia="仿宋" w:cs="Times New Roman"/>
          <w:color w:val="auto"/>
          <w:kern w:val="0"/>
          <w:sz w:val="32"/>
          <w:szCs w:val="32"/>
          <w:highlight w:val="none"/>
          <w:lang w:val="en-US" w:eastAsia="zh-CN" w:bidi="ar-SA"/>
        </w:rPr>
        <w:t>2141.27万元</w:t>
      </w:r>
      <w:r>
        <w:rPr>
          <w:rFonts w:hint="default" w:ascii="Times New Roman" w:hAnsi="Times New Roman" w:eastAsia="仿宋" w:cs="Times New Roman"/>
          <w:color w:val="auto"/>
          <w:kern w:val="0"/>
          <w:sz w:val="32"/>
          <w:szCs w:val="32"/>
          <w:highlight w:val="none"/>
          <w:lang w:val="zh-CN" w:eastAsia="zh-CN" w:bidi="ar-SA"/>
        </w:rPr>
        <w:t>、支出</w:t>
      </w:r>
      <w:r>
        <w:rPr>
          <w:rFonts w:hint="default" w:ascii="Times New Roman" w:hAnsi="Times New Roman" w:eastAsia="仿宋" w:cs="Times New Roman"/>
          <w:color w:val="auto"/>
          <w:kern w:val="0"/>
          <w:sz w:val="32"/>
          <w:szCs w:val="32"/>
          <w:highlight w:val="none"/>
          <w:lang w:val="en-US" w:eastAsia="zh-CN" w:bidi="ar-SA"/>
        </w:rPr>
        <w:t>2141.27万元，年终无结余，</w:t>
      </w:r>
      <w:r>
        <w:rPr>
          <w:rFonts w:hint="default" w:ascii="Times New Roman" w:hAnsi="Times New Roman" w:eastAsia="仿宋" w:cs="Times New Roman"/>
          <w:color w:val="auto"/>
          <w:kern w:val="0"/>
          <w:sz w:val="32"/>
          <w:szCs w:val="32"/>
          <w:highlight w:val="none"/>
          <w:lang w:val="zh-CN" w:eastAsia="zh-CN" w:bidi="ar-SA"/>
        </w:rPr>
        <w:t>严控“</w:t>
      </w:r>
      <w:r>
        <w:rPr>
          <w:rFonts w:hint="default" w:ascii="Times New Roman" w:hAnsi="Times New Roman" w:eastAsia="仿宋" w:cs="Times New Roman"/>
          <w:color w:val="auto"/>
          <w:kern w:val="0"/>
          <w:sz w:val="32"/>
          <w:szCs w:val="32"/>
          <w:highlight w:val="none"/>
          <w:lang w:val="en-US" w:eastAsia="zh-CN" w:bidi="ar-SA"/>
        </w:rPr>
        <w:t>三公</w:t>
      </w:r>
      <w:r>
        <w:rPr>
          <w:rFonts w:hint="default" w:ascii="Times New Roman" w:hAnsi="Times New Roman" w:eastAsia="仿宋" w:cs="Times New Roman"/>
          <w:color w:val="auto"/>
          <w:kern w:val="0"/>
          <w:sz w:val="32"/>
          <w:szCs w:val="32"/>
          <w:highlight w:val="none"/>
          <w:lang w:val="zh-CN" w:eastAsia="zh-CN" w:bidi="ar-SA"/>
        </w:rPr>
        <w:t>”</w:t>
      </w:r>
      <w:r>
        <w:rPr>
          <w:rFonts w:hint="default" w:ascii="Times New Roman" w:hAnsi="Times New Roman" w:eastAsia="仿宋" w:cs="Times New Roman"/>
          <w:color w:val="auto"/>
          <w:kern w:val="0"/>
          <w:sz w:val="32"/>
          <w:szCs w:val="32"/>
          <w:highlight w:val="none"/>
          <w:lang w:val="en-US" w:eastAsia="zh-CN" w:bidi="ar-SA"/>
        </w:rPr>
        <w:t>经费等</w:t>
      </w:r>
      <w:r>
        <w:rPr>
          <w:rFonts w:hint="default" w:ascii="Times New Roman" w:hAnsi="Times New Roman" w:eastAsia="仿宋" w:cs="Times New Roman"/>
          <w:color w:val="auto"/>
          <w:kern w:val="0"/>
          <w:sz w:val="32"/>
          <w:szCs w:val="32"/>
          <w:highlight w:val="none"/>
          <w:lang w:val="zh-CN" w:eastAsia="zh-CN" w:bidi="ar-SA"/>
        </w:rPr>
        <w:t>一般性支出，</w:t>
      </w:r>
      <w:r>
        <w:rPr>
          <w:rFonts w:hint="default" w:ascii="Times New Roman" w:hAnsi="Times New Roman" w:eastAsia="仿宋" w:cs="Times New Roman"/>
          <w:color w:val="auto"/>
          <w:kern w:val="0"/>
          <w:sz w:val="32"/>
          <w:szCs w:val="32"/>
          <w:highlight w:val="none"/>
          <w:lang w:val="en-US" w:eastAsia="zh-CN" w:bidi="ar-SA"/>
        </w:rPr>
        <w:t>该项指标自评得分28.4分</w:t>
      </w:r>
      <w:r>
        <w:rPr>
          <w:rFonts w:hint="default" w:ascii="Times New Roman" w:hAnsi="Times New Roman" w:eastAsia="仿宋" w:cs="Times New Roman"/>
          <w:color w:val="auto"/>
          <w:kern w:val="0"/>
          <w:sz w:val="32"/>
          <w:szCs w:val="32"/>
          <w:highlight w:val="none"/>
          <w:lang w:val="zh-CN" w:eastAsia="zh-CN" w:bidi="ar-SA"/>
        </w:rPr>
        <w:t>。</w:t>
      </w:r>
    </w:p>
    <w:p w14:paraId="5B7CEF0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color w:val="auto"/>
          <w:kern w:val="0"/>
          <w:sz w:val="32"/>
          <w:szCs w:val="32"/>
          <w:highlight w:val="none"/>
          <w:lang w:val="zh-CN" w:eastAsia="zh-CN" w:bidi="ar-SA"/>
        </w:rPr>
      </w:pPr>
      <w:r>
        <w:rPr>
          <w:rFonts w:hint="default" w:ascii="Times New Roman" w:hAnsi="Times New Roman" w:eastAsia="仿宋" w:cs="Times New Roman"/>
          <w:b/>
          <w:bCs/>
          <w:color w:val="auto"/>
          <w:kern w:val="0"/>
          <w:sz w:val="32"/>
          <w:szCs w:val="32"/>
          <w:highlight w:val="none"/>
          <w:lang w:val="en-US" w:eastAsia="zh-CN" w:bidi="ar-SA"/>
        </w:rPr>
        <w:t>3.</w:t>
      </w:r>
      <w:r>
        <w:rPr>
          <w:rFonts w:hint="default" w:ascii="Times New Roman" w:hAnsi="Times New Roman" w:eastAsia="仿宋" w:cs="Times New Roman"/>
          <w:b/>
          <w:bCs/>
          <w:color w:val="auto"/>
          <w:kern w:val="0"/>
          <w:sz w:val="32"/>
          <w:szCs w:val="32"/>
          <w:highlight w:val="none"/>
          <w:lang w:val="zh-CN" w:eastAsia="zh-CN" w:bidi="ar-SA"/>
        </w:rPr>
        <w:t>资产管理</w:t>
      </w:r>
    </w:p>
    <w:p w14:paraId="4EF0D4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zh-CN" w:eastAsia="zh-CN" w:bidi="ar-SA"/>
        </w:rPr>
      </w:pPr>
      <w:r>
        <w:rPr>
          <w:rFonts w:hint="default" w:ascii="Times New Roman" w:hAnsi="Times New Roman" w:eastAsia="仿宋" w:cs="Times New Roman"/>
          <w:color w:val="auto"/>
          <w:kern w:val="0"/>
          <w:sz w:val="32"/>
          <w:szCs w:val="32"/>
          <w:highlight w:val="none"/>
          <w:lang w:val="en-US" w:eastAsia="zh-CN" w:bidi="ar-SA"/>
        </w:rPr>
        <w:t>部门2024年度</w:t>
      </w:r>
      <w:r>
        <w:rPr>
          <w:rFonts w:hint="default" w:ascii="Times New Roman" w:hAnsi="Times New Roman" w:eastAsia="仿宋" w:cs="Times New Roman"/>
          <w:color w:val="auto"/>
          <w:kern w:val="0"/>
          <w:sz w:val="32"/>
          <w:szCs w:val="32"/>
          <w:highlight w:val="none"/>
          <w:lang w:val="zh-CN" w:eastAsia="zh-CN" w:bidi="ar-SA"/>
        </w:rPr>
        <w:t>人均资产变化率</w:t>
      </w:r>
      <w:r>
        <w:rPr>
          <w:rFonts w:hint="default" w:ascii="Times New Roman" w:hAnsi="Times New Roman" w:eastAsia="仿宋" w:cs="Times New Roman"/>
          <w:color w:val="auto"/>
          <w:kern w:val="0"/>
          <w:sz w:val="32"/>
          <w:szCs w:val="32"/>
          <w:highlight w:val="none"/>
          <w:lang w:val="en-US" w:eastAsia="zh-CN" w:bidi="ar-SA"/>
        </w:rPr>
        <w:t>-2.6%，充分利用全部资产，使资产功能发挥最大化，该项指标自评得分7.2分</w:t>
      </w:r>
      <w:r>
        <w:rPr>
          <w:rFonts w:hint="default" w:ascii="Times New Roman" w:hAnsi="Times New Roman" w:eastAsia="仿宋" w:cs="Times New Roman"/>
          <w:color w:val="auto"/>
          <w:kern w:val="0"/>
          <w:sz w:val="32"/>
          <w:szCs w:val="32"/>
          <w:highlight w:val="none"/>
          <w:lang w:val="zh-CN" w:eastAsia="zh-CN" w:bidi="ar-SA"/>
        </w:rPr>
        <w:t>。</w:t>
      </w:r>
    </w:p>
    <w:p w14:paraId="2391B60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color w:val="auto"/>
          <w:kern w:val="0"/>
          <w:sz w:val="32"/>
          <w:szCs w:val="32"/>
          <w:highlight w:val="none"/>
          <w:lang w:val="zh-CN" w:eastAsia="zh-CN" w:bidi="ar-SA"/>
        </w:rPr>
      </w:pPr>
      <w:r>
        <w:rPr>
          <w:rFonts w:hint="default" w:ascii="Times New Roman" w:hAnsi="Times New Roman" w:eastAsia="仿宋" w:cs="Times New Roman"/>
          <w:b/>
          <w:bCs/>
          <w:color w:val="auto"/>
          <w:kern w:val="0"/>
          <w:sz w:val="32"/>
          <w:szCs w:val="32"/>
          <w:highlight w:val="none"/>
          <w:lang w:val="en-US" w:eastAsia="zh-CN" w:bidi="ar-SA"/>
        </w:rPr>
        <w:t>4.</w:t>
      </w:r>
      <w:r>
        <w:rPr>
          <w:rFonts w:hint="default" w:ascii="Times New Roman" w:hAnsi="Times New Roman" w:eastAsia="仿宋" w:cs="Times New Roman"/>
          <w:b/>
          <w:bCs/>
          <w:color w:val="auto"/>
          <w:kern w:val="0"/>
          <w:sz w:val="32"/>
          <w:szCs w:val="32"/>
          <w:highlight w:val="none"/>
          <w:lang w:val="zh-CN" w:eastAsia="zh-CN" w:bidi="ar-SA"/>
        </w:rPr>
        <w:t>采购管理</w:t>
      </w:r>
    </w:p>
    <w:p w14:paraId="190029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zh-CN" w:eastAsia="zh-CN" w:bidi="ar-SA"/>
        </w:rPr>
      </w:pPr>
      <w:r>
        <w:rPr>
          <w:rFonts w:hint="default" w:ascii="Times New Roman" w:hAnsi="Times New Roman" w:eastAsia="仿宋" w:cs="Times New Roman"/>
          <w:color w:val="auto"/>
          <w:kern w:val="0"/>
          <w:sz w:val="32"/>
          <w:szCs w:val="32"/>
          <w:highlight w:val="none"/>
          <w:lang w:val="zh-CN" w:eastAsia="zh-CN" w:bidi="ar-SA"/>
        </w:rPr>
        <w:t>部门严格执行政府采购，促进中小企业发展相关管理办法，并在采购预算中单独列示，采购执行率</w:t>
      </w:r>
      <w:r>
        <w:rPr>
          <w:rFonts w:hint="default" w:ascii="Times New Roman" w:hAnsi="Times New Roman" w:eastAsia="仿宋" w:cs="Times New Roman"/>
          <w:color w:val="auto"/>
          <w:kern w:val="0"/>
          <w:sz w:val="32"/>
          <w:szCs w:val="32"/>
          <w:highlight w:val="none"/>
          <w:lang w:val="en-US" w:eastAsia="zh-CN" w:bidi="ar-SA"/>
        </w:rPr>
        <w:t>100%，该项指标自评得分6分。</w:t>
      </w:r>
    </w:p>
    <w:p w14:paraId="23C5299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color w:val="auto"/>
          <w:kern w:val="0"/>
          <w:sz w:val="32"/>
          <w:szCs w:val="32"/>
          <w:highlight w:val="none"/>
          <w:lang w:val="zh-CN" w:eastAsia="zh-CN" w:bidi="ar-SA"/>
        </w:rPr>
      </w:pPr>
      <w:r>
        <w:rPr>
          <w:rFonts w:hint="default" w:ascii="Times New Roman" w:hAnsi="Times New Roman" w:eastAsia="仿宋" w:cs="Times New Roman"/>
          <w:b/>
          <w:bCs/>
          <w:color w:val="auto"/>
          <w:kern w:val="0"/>
          <w:sz w:val="32"/>
          <w:szCs w:val="32"/>
          <w:highlight w:val="none"/>
          <w:lang w:val="en-US" w:eastAsia="zh-CN" w:bidi="ar-SA"/>
        </w:rPr>
        <w:t>5.</w:t>
      </w:r>
      <w:r>
        <w:rPr>
          <w:rFonts w:hint="default" w:ascii="Times New Roman" w:hAnsi="Times New Roman" w:eastAsia="仿宋" w:cs="Times New Roman"/>
          <w:b/>
          <w:bCs/>
          <w:color w:val="auto"/>
          <w:kern w:val="0"/>
          <w:sz w:val="32"/>
          <w:szCs w:val="32"/>
          <w:highlight w:val="none"/>
          <w:lang w:val="zh-CN" w:eastAsia="zh-CN" w:bidi="ar-SA"/>
        </w:rPr>
        <w:t>财务管理</w:t>
      </w:r>
    </w:p>
    <w:p w14:paraId="1C2D88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zh-CN" w:eastAsia="zh-CN" w:bidi="ar-SA"/>
        </w:rPr>
      </w:pPr>
      <w:r>
        <w:rPr>
          <w:rFonts w:hint="default" w:ascii="Times New Roman" w:hAnsi="Times New Roman" w:eastAsia="仿宋" w:cs="Times New Roman"/>
          <w:color w:val="auto"/>
          <w:kern w:val="0"/>
          <w:sz w:val="32"/>
          <w:szCs w:val="32"/>
          <w:highlight w:val="none"/>
          <w:lang w:val="zh-CN" w:eastAsia="zh-CN" w:bidi="ar-SA"/>
        </w:rPr>
        <w:t>部门制定了内部财务管理等制度，</w:t>
      </w:r>
      <w:r>
        <w:rPr>
          <w:rFonts w:hint="default" w:ascii="Times New Roman" w:hAnsi="Times New Roman" w:eastAsia="仿宋" w:cs="Times New Roman"/>
          <w:color w:val="auto"/>
          <w:kern w:val="0"/>
          <w:sz w:val="32"/>
          <w:szCs w:val="32"/>
          <w:highlight w:val="none"/>
          <w:lang w:val="en-US" w:eastAsia="zh-CN" w:bidi="ar-SA"/>
        </w:rPr>
        <w:t>并</w:t>
      </w:r>
      <w:r>
        <w:rPr>
          <w:rFonts w:hint="default" w:ascii="Times New Roman" w:hAnsi="Times New Roman" w:eastAsia="仿宋" w:cs="Times New Roman"/>
          <w:color w:val="auto"/>
          <w:kern w:val="0"/>
          <w:sz w:val="32"/>
          <w:szCs w:val="32"/>
          <w:highlight w:val="none"/>
          <w:lang w:val="zh-CN" w:eastAsia="zh-CN" w:bidi="ar-SA"/>
        </w:rPr>
        <w:t>得到落实，部门合理设置财务工作岗位，职责权限明确，实行不相容岗位分离，资金使用符合相关财务管理制度规定。</w:t>
      </w:r>
    </w:p>
    <w:p w14:paraId="16CF2B83">
      <w:pPr>
        <w:spacing w:line="600" w:lineRule="exact"/>
        <w:ind w:firstLine="640"/>
        <w:outlineLvl w:val="2"/>
        <w:rPr>
          <w:rFonts w:hint="default" w:ascii="楷体_GB2312" w:hAnsi="楷体_GB2312" w:eastAsia="楷体_GB2312" w:cs="楷体_GB2312"/>
          <w:b/>
          <w:color w:val="auto"/>
          <w:sz w:val="32"/>
          <w:szCs w:val="32"/>
          <w:highlight w:val="none"/>
          <w:lang w:val="en-US" w:eastAsia="zh-CN"/>
        </w:rPr>
      </w:pPr>
      <w:r>
        <w:rPr>
          <w:rFonts w:hint="default" w:ascii="楷体_GB2312" w:hAnsi="楷体_GB2312" w:eastAsia="楷体_GB2312" w:cs="楷体_GB2312"/>
          <w:b/>
          <w:color w:val="auto"/>
          <w:sz w:val="32"/>
          <w:szCs w:val="32"/>
          <w:highlight w:val="none"/>
          <w:lang w:val="zh-CN" w:eastAsia="zh-CN"/>
        </w:rPr>
        <w:t>（二）部门预算项目绩效分析</w:t>
      </w:r>
    </w:p>
    <w:p w14:paraId="138196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zh-CN" w:eastAsia="zh-CN" w:bidi="ar-SA"/>
        </w:rPr>
      </w:pPr>
      <w:r>
        <w:rPr>
          <w:rFonts w:hint="default" w:ascii="Times New Roman" w:hAnsi="Times New Roman" w:eastAsia="仿宋" w:cs="Times New Roman"/>
          <w:color w:val="auto"/>
          <w:kern w:val="0"/>
          <w:sz w:val="32"/>
          <w:szCs w:val="32"/>
          <w:highlight w:val="none"/>
          <w:lang w:val="en-US" w:eastAsia="zh-CN" w:bidi="ar-SA"/>
        </w:rPr>
        <w:t>常年项目绩效分析。</w:t>
      </w:r>
      <w:r>
        <w:rPr>
          <w:rFonts w:hint="default" w:ascii="Times New Roman" w:hAnsi="Times New Roman" w:eastAsia="仿宋" w:cs="Times New Roman"/>
          <w:color w:val="auto"/>
          <w:kern w:val="0"/>
          <w:sz w:val="32"/>
          <w:szCs w:val="32"/>
          <w:highlight w:val="none"/>
          <w:lang w:val="zh-CN" w:eastAsia="zh-CN" w:bidi="ar-SA"/>
        </w:rPr>
        <w:t>该类项目总数</w:t>
      </w:r>
      <w:r>
        <w:rPr>
          <w:rFonts w:hint="default" w:ascii="Times New Roman" w:hAnsi="Times New Roman" w:eastAsia="仿宋" w:cs="Times New Roman"/>
          <w:color w:val="auto"/>
          <w:kern w:val="0"/>
          <w:sz w:val="32"/>
          <w:szCs w:val="32"/>
          <w:highlight w:val="none"/>
          <w:lang w:val="en-US" w:eastAsia="zh-CN" w:bidi="ar-SA"/>
        </w:rPr>
        <w:t>8</w:t>
      </w:r>
      <w:r>
        <w:rPr>
          <w:rFonts w:hint="default" w:ascii="Times New Roman" w:hAnsi="Times New Roman" w:eastAsia="仿宋" w:cs="Times New Roman"/>
          <w:color w:val="auto"/>
          <w:kern w:val="0"/>
          <w:sz w:val="32"/>
          <w:szCs w:val="32"/>
          <w:highlight w:val="none"/>
          <w:lang w:val="zh-CN" w:eastAsia="zh-CN" w:bidi="ar-SA"/>
        </w:rPr>
        <w:t>个，涉及预算总金额</w:t>
      </w:r>
      <w:r>
        <w:rPr>
          <w:rFonts w:hint="default" w:ascii="Times New Roman" w:hAnsi="Times New Roman" w:eastAsia="仿宋" w:cs="Times New Roman"/>
          <w:color w:val="auto"/>
          <w:kern w:val="0"/>
          <w:sz w:val="32"/>
          <w:szCs w:val="32"/>
          <w:highlight w:val="none"/>
          <w:lang w:val="en-US" w:eastAsia="zh-CN" w:bidi="ar-SA"/>
        </w:rPr>
        <w:t>174.53</w:t>
      </w:r>
      <w:r>
        <w:rPr>
          <w:rFonts w:hint="default" w:ascii="Times New Roman" w:hAnsi="Times New Roman" w:eastAsia="仿宋" w:cs="Times New Roman"/>
          <w:color w:val="auto"/>
          <w:kern w:val="0"/>
          <w:sz w:val="32"/>
          <w:szCs w:val="32"/>
          <w:highlight w:val="none"/>
          <w:lang w:val="zh-CN" w:eastAsia="zh-CN" w:bidi="ar-SA"/>
        </w:rPr>
        <w:t>万元，1—1</w:t>
      </w:r>
      <w:r>
        <w:rPr>
          <w:rFonts w:hint="default" w:ascii="Times New Roman" w:hAnsi="Times New Roman" w:eastAsia="仿宋" w:cs="Times New Roman"/>
          <w:color w:val="auto"/>
          <w:kern w:val="0"/>
          <w:sz w:val="32"/>
          <w:szCs w:val="32"/>
          <w:highlight w:val="none"/>
          <w:lang w:val="en-US" w:eastAsia="zh-CN" w:bidi="ar-SA"/>
        </w:rPr>
        <w:t>2</w:t>
      </w:r>
      <w:r>
        <w:rPr>
          <w:rFonts w:hint="default" w:ascii="Times New Roman" w:hAnsi="Times New Roman" w:eastAsia="仿宋" w:cs="Times New Roman"/>
          <w:color w:val="auto"/>
          <w:kern w:val="0"/>
          <w:sz w:val="32"/>
          <w:szCs w:val="32"/>
          <w:highlight w:val="none"/>
          <w:lang w:val="zh-CN" w:eastAsia="zh-CN" w:bidi="ar-SA"/>
        </w:rPr>
        <w:t>月预算执行总体进度为</w:t>
      </w:r>
      <w:r>
        <w:rPr>
          <w:rFonts w:hint="default" w:ascii="Times New Roman" w:hAnsi="Times New Roman" w:eastAsia="仿宋" w:cs="Times New Roman"/>
          <w:color w:val="auto"/>
          <w:kern w:val="0"/>
          <w:sz w:val="32"/>
          <w:szCs w:val="32"/>
          <w:highlight w:val="none"/>
          <w:lang w:val="en-US" w:eastAsia="zh-CN" w:bidi="ar-SA"/>
        </w:rPr>
        <w:t>100</w:t>
      </w:r>
      <w:r>
        <w:rPr>
          <w:rFonts w:hint="default" w:ascii="Times New Roman" w:hAnsi="Times New Roman" w:eastAsia="仿宋" w:cs="Times New Roman"/>
          <w:color w:val="auto"/>
          <w:kern w:val="0"/>
          <w:sz w:val="32"/>
          <w:szCs w:val="32"/>
          <w:highlight w:val="none"/>
          <w:lang w:val="zh-CN" w:eastAsia="zh-CN" w:bidi="ar-SA"/>
        </w:rPr>
        <w:t>%，其中：预算结余率大于</w:t>
      </w:r>
      <w:r>
        <w:rPr>
          <w:rFonts w:hint="default" w:ascii="Times New Roman" w:hAnsi="Times New Roman" w:eastAsia="仿宋" w:cs="Times New Roman"/>
          <w:color w:val="auto"/>
          <w:kern w:val="0"/>
          <w:sz w:val="32"/>
          <w:szCs w:val="32"/>
          <w:highlight w:val="none"/>
          <w:lang w:val="en-US" w:eastAsia="zh-CN" w:bidi="ar-SA"/>
        </w:rPr>
        <w:t>10%</w:t>
      </w:r>
      <w:r>
        <w:rPr>
          <w:rFonts w:hint="default" w:ascii="Times New Roman" w:hAnsi="Times New Roman" w:eastAsia="仿宋" w:cs="Times New Roman"/>
          <w:color w:val="auto"/>
          <w:kern w:val="0"/>
          <w:sz w:val="32"/>
          <w:szCs w:val="32"/>
          <w:highlight w:val="none"/>
          <w:lang w:val="zh-CN" w:eastAsia="zh-CN" w:bidi="ar-SA"/>
        </w:rPr>
        <w:t>的项目共计</w:t>
      </w:r>
      <w:r>
        <w:rPr>
          <w:rFonts w:hint="default" w:ascii="Times New Roman" w:hAnsi="Times New Roman" w:eastAsia="仿宋" w:cs="Times New Roman"/>
          <w:color w:val="auto"/>
          <w:kern w:val="0"/>
          <w:sz w:val="32"/>
          <w:szCs w:val="32"/>
          <w:highlight w:val="none"/>
          <w:lang w:val="en-US" w:eastAsia="zh-CN" w:bidi="ar-SA"/>
        </w:rPr>
        <w:t>0</w:t>
      </w:r>
      <w:r>
        <w:rPr>
          <w:rFonts w:hint="default" w:ascii="Times New Roman" w:hAnsi="Times New Roman" w:eastAsia="仿宋" w:cs="Times New Roman"/>
          <w:color w:val="auto"/>
          <w:kern w:val="0"/>
          <w:sz w:val="32"/>
          <w:szCs w:val="32"/>
          <w:highlight w:val="none"/>
          <w:lang w:val="zh-CN" w:eastAsia="zh-CN" w:bidi="ar-SA"/>
        </w:rPr>
        <w:t>个。</w:t>
      </w:r>
    </w:p>
    <w:p w14:paraId="7695E8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zh-CN" w:eastAsia="zh-CN" w:bidi="ar-SA"/>
        </w:rPr>
      </w:pPr>
      <w:r>
        <w:rPr>
          <w:rFonts w:hint="default" w:ascii="Times New Roman" w:hAnsi="Times New Roman" w:eastAsia="仿宋" w:cs="Times New Roman"/>
          <w:color w:val="auto"/>
          <w:kern w:val="0"/>
          <w:sz w:val="32"/>
          <w:szCs w:val="32"/>
          <w:highlight w:val="none"/>
          <w:lang w:val="en-US" w:eastAsia="zh-CN" w:bidi="ar-SA"/>
        </w:rPr>
        <w:t>阶段（一次性）项目绩效分析。</w:t>
      </w:r>
      <w:r>
        <w:rPr>
          <w:rFonts w:hint="default" w:ascii="Times New Roman" w:hAnsi="Times New Roman" w:eastAsia="仿宋" w:cs="Times New Roman"/>
          <w:color w:val="auto"/>
          <w:kern w:val="0"/>
          <w:sz w:val="32"/>
          <w:szCs w:val="32"/>
          <w:highlight w:val="none"/>
          <w:lang w:val="zh-CN" w:eastAsia="zh-CN" w:bidi="ar-SA"/>
        </w:rPr>
        <w:t>该类项目总数</w:t>
      </w:r>
      <w:r>
        <w:rPr>
          <w:rFonts w:hint="default" w:ascii="Times New Roman" w:hAnsi="Times New Roman" w:eastAsia="仿宋" w:cs="Times New Roman"/>
          <w:color w:val="auto"/>
          <w:kern w:val="0"/>
          <w:sz w:val="32"/>
          <w:szCs w:val="32"/>
          <w:highlight w:val="none"/>
          <w:lang w:val="en-US" w:eastAsia="zh-CN" w:bidi="ar-SA"/>
        </w:rPr>
        <w:t>7</w:t>
      </w:r>
      <w:r>
        <w:rPr>
          <w:rFonts w:hint="default" w:ascii="Times New Roman" w:hAnsi="Times New Roman" w:eastAsia="仿宋" w:cs="Times New Roman"/>
          <w:color w:val="auto"/>
          <w:kern w:val="0"/>
          <w:sz w:val="32"/>
          <w:szCs w:val="32"/>
          <w:highlight w:val="none"/>
          <w:lang w:val="zh-CN" w:eastAsia="zh-CN" w:bidi="ar-SA"/>
        </w:rPr>
        <w:t>个，涉及预算总金额</w:t>
      </w:r>
      <w:r>
        <w:rPr>
          <w:rFonts w:hint="default" w:ascii="Times New Roman" w:hAnsi="Times New Roman" w:eastAsia="仿宋" w:cs="Times New Roman"/>
          <w:color w:val="auto"/>
          <w:kern w:val="0"/>
          <w:sz w:val="32"/>
          <w:szCs w:val="32"/>
          <w:highlight w:val="none"/>
          <w:lang w:val="en-US" w:eastAsia="zh-CN" w:bidi="ar-SA"/>
        </w:rPr>
        <w:t>234.52</w:t>
      </w:r>
      <w:r>
        <w:rPr>
          <w:rFonts w:hint="default" w:ascii="Times New Roman" w:hAnsi="Times New Roman" w:eastAsia="仿宋" w:cs="Times New Roman"/>
          <w:color w:val="auto"/>
          <w:kern w:val="0"/>
          <w:sz w:val="32"/>
          <w:szCs w:val="32"/>
          <w:highlight w:val="none"/>
          <w:lang w:val="zh-CN" w:eastAsia="zh-CN" w:bidi="ar-SA"/>
        </w:rPr>
        <w:t>万元，1—1</w:t>
      </w:r>
      <w:r>
        <w:rPr>
          <w:rFonts w:hint="default" w:ascii="Times New Roman" w:hAnsi="Times New Roman" w:eastAsia="仿宋" w:cs="Times New Roman"/>
          <w:color w:val="auto"/>
          <w:kern w:val="0"/>
          <w:sz w:val="32"/>
          <w:szCs w:val="32"/>
          <w:highlight w:val="none"/>
          <w:lang w:val="en-US" w:eastAsia="zh-CN" w:bidi="ar-SA"/>
        </w:rPr>
        <w:t>2</w:t>
      </w:r>
      <w:r>
        <w:rPr>
          <w:rFonts w:hint="default" w:ascii="Times New Roman" w:hAnsi="Times New Roman" w:eastAsia="仿宋" w:cs="Times New Roman"/>
          <w:color w:val="auto"/>
          <w:kern w:val="0"/>
          <w:sz w:val="32"/>
          <w:szCs w:val="32"/>
          <w:highlight w:val="none"/>
          <w:lang w:val="zh-CN" w:eastAsia="zh-CN" w:bidi="ar-SA"/>
        </w:rPr>
        <w:t>月预算执行总体进度为</w:t>
      </w:r>
      <w:r>
        <w:rPr>
          <w:rFonts w:hint="default" w:ascii="Times New Roman" w:hAnsi="Times New Roman" w:eastAsia="仿宋" w:cs="Times New Roman"/>
          <w:color w:val="auto"/>
          <w:kern w:val="0"/>
          <w:sz w:val="32"/>
          <w:szCs w:val="32"/>
          <w:highlight w:val="none"/>
          <w:lang w:val="en-US" w:eastAsia="zh-CN" w:bidi="ar-SA"/>
        </w:rPr>
        <w:t>100</w:t>
      </w:r>
      <w:r>
        <w:rPr>
          <w:rFonts w:hint="default" w:ascii="Times New Roman" w:hAnsi="Times New Roman" w:eastAsia="仿宋" w:cs="Times New Roman"/>
          <w:color w:val="auto"/>
          <w:kern w:val="0"/>
          <w:sz w:val="32"/>
          <w:szCs w:val="32"/>
          <w:highlight w:val="none"/>
          <w:lang w:val="zh-CN" w:eastAsia="zh-CN" w:bidi="ar-SA"/>
        </w:rPr>
        <w:t>%，其中：预算结余率大于</w:t>
      </w:r>
      <w:r>
        <w:rPr>
          <w:rFonts w:hint="default" w:ascii="Times New Roman" w:hAnsi="Times New Roman" w:eastAsia="仿宋" w:cs="Times New Roman"/>
          <w:color w:val="auto"/>
          <w:kern w:val="0"/>
          <w:sz w:val="32"/>
          <w:szCs w:val="32"/>
          <w:highlight w:val="none"/>
          <w:lang w:val="en-US" w:eastAsia="zh-CN" w:bidi="ar-SA"/>
        </w:rPr>
        <w:t>10%</w:t>
      </w:r>
      <w:r>
        <w:rPr>
          <w:rFonts w:hint="default" w:ascii="Times New Roman" w:hAnsi="Times New Roman" w:eastAsia="仿宋" w:cs="Times New Roman"/>
          <w:color w:val="auto"/>
          <w:kern w:val="0"/>
          <w:sz w:val="32"/>
          <w:szCs w:val="32"/>
          <w:highlight w:val="none"/>
          <w:lang w:val="zh-CN" w:eastAsia="zh-CN" w:bidi="ar-SA"/>
        </w:rPr>
        <w:t>的项目共计</w:t>
      </w:r>
      <w:r>
        <w:rPr>
          <w:rFonts w:hint="default" w:ascii="Times New Roman" w:hAnsi="Times New Roman" w:eastAsia="仿宋" w:cs="Times New Roman"/>
          <w:color w:val="auto"/>
          <w:kern w:val="0"/>
          <w:sz w:val="32"/>
          <w:szCs w:val="32"/>
          <w:highlight w:val="none"/>
          <w:lang w:val="en-US" w:eastAsia="zh-CN" w:bidi="ar-SA"/>
        </w:rPr>
        <w:t>0</w:t>
      </w:r>
      <w:r>
        <w:rPr>
          <w:rFonts w:hint="default" w:ascii="Times New Roman" w:hAnsi="Times New Roman" w:eastAsia="仿宋" w:cs="Times New Roman"/>
          <w:color w:val="auto"/>
          <w:kern w:val="0"/>
          <w:sz w:val="32"/>
          <w:szCs w:val="32"/>
          <w:highlight w:val="none"/>
          <w:lang w:val="zh-CN" w:eastAsia="zh-CN" w:bidi="ar-SA"/>
        </w:rPr>
        <w:t>个。</w:t>
      </w:r>
    </w:p>
    <w:p w14:paraId="1B72B95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color w:val="auto"/>
          <w:kern w:val="0"/>
          <w:sz w:val="32"/>
          <w:szCs w:val="32"/>
          <w:highlight w:val="none"/>
          <w:lang w:val="zh-CN" w:eastAsia="zh-CN" w:bidi="ar-SA"/>
        </w:rPr>
      </w:pPr>
      <w:r>
        <w:rPr>
          <w:rFonts w:hint="default" w:ascii="Times New Roman" w:hAnsi="Times New Roman" w:eastAsia="仿宋" w:cs="Times New Roman"/>
          <w:b/>
          <w:bCs/>
          <w:color w:val="auto"/>
          <w:kern w:val="0"/>
          <w:sz w:val="32"/>
          <w:szCs w:val="32"/>
          <w:highlight w:val="none"/>
          <w:lang w:val="en-US" w:eastAsia="zh-CN" w:bidi="ar-SA"/>
        </w:rPr>
        <w:t>1.</w:t>
      </w:r>
      <w:r>
        <w:rPr>
          <w:rFonts w:hint="default" w:ascii="Times New Roman" w:hAnsi="Times New Roman" w:eastAsia="仿宋" w:cs="Times New Roman"/>
          <w:b/>
          <w:bCs/>
          <w:color w:val="auto"/>
          <w:kern w:val="0"/>
          <w:sz w:val="32"/>
          <w:szCs w:val="32"/>
          <w:highlight w:val="none"/>
          <w:lang w:val="zh-CN" w:eastAsia="zh-CN" w:bidi="ar-SA"/>
        </w:rPr>
        <w:t>项目决策</w:t>
      </w:r>
    </w:p>
    <w:p w14:paraId="54FDDC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zh-CN" w:eastAsia="zh-CN" w:bidi="ar-SA"/>
        </w:rPr>
      </w:pPr>
      <w:r>
        <w:rPr>
          <w:rFonts w:hint="default" w:ascii="Times New Roman" w:hAnsi="Times New Roman" w:eastAsia="仿宋" w:cs="Times New Roman"/>
          <w:color w:val="auto"/>
          <w:kern w:val="0"/>
          <w:sz w:val="32"/>
          <w:szCs w:val="32"/>
          <w:highlight w:val="none"/>
          <w:lang w:val="en-US" w:eastAsia="zh-CN" w:bidi="ar-SA"/>
        </w:rPr>
        <w:t>部门预算项目设立按规定履行评估论证，申报程序合理，绩效目标与计划期内的任务量、预算安排的资金量相匹配，绩效目标设置科学、规范完成、细化量化，都在规定时间完成项目入库。该项指标自评得分12分</w:t>
      </w:r>
      <w:r>
        <w:rPr>
          <w:rFonts w:hint="default" w:ascii="Times New Roman" w:hAnsi="Times New Roman" w:eastAsia="仿宋" w:cs="Times New Roman"/>
          <w:color w:val="auto"/>
          <w:kern w:val="0"/>
          <w:sz w:val="32"/>
          <w:szCs w:val="32"/>
          <w:highlight w:val="none"/>
          <w:lang w:val="zh-CN" w:eastAsia="zh-CN" w:bidi="ar-SA"/>
        </w:rPr>
        <w:t>。</w:t>
      </w:r>
    </w:p>
    <w:p w14:paraId="62BA59C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color w:val="auto"/>
          <w:kern w:val="0"/>
          <w:sz w:val="32"/>
          <w:szCs w:val="32"/>
          <w:highlight w:val="none"/>
          <w:lang w:val="zh-CN" w:eastAsia="zh-CN" w:bidi="ar-SA"/>
        </w:rPr>
      </w:pPr>
      <w:r>
        <w:rPr>
          <w:rFonts w:hint="default" w:ascii="Times New Roman" w:hAnsi="Times New Roman" w:eastAsia="仿宋" w:cs="Times New Roman"/>
          <w:b/>
          <w:bCs/>
          <w:color w:val="auto"/>
          <w:kern w:val="0"/>
          <w:sz w:val="32"/>
          <w:szCs w:val="32"/>
          <w:highlight w:val="none"/>
          <w:lang w:val="en-US" w:eastAsia="zh-CN" w:bidi="ar-SA"/>
        </w:rPr>
        <w:t>2.项目执行</w:t>
      </w:r>
    </w:p>
    <w:p w14:paraId="371D35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部门预算项目实际列支内容与绩效目标设计方向相符，未涉及应调整事项，预算执行100%，该项指标自评得分15分。</w:t>
      </w:r>
    </w:p>
    <w:p w14:paraId="163C13F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color w:val="auto"/>
          <w:kern w:val="0"/>
          <w:sz w:val="32"/>
          <w:szCs w:val="32"/>
          <w:highlight w:val="none"/>
          <w:lang w:val="zh-CN" w:eastAsia="zh-CN" w:bidi="ar-SA"/>
        </w:rPr>
      </w:pPr>
      <w:r>
        <w:rPr>
          <w:rFonts w:hint="default" w:ascii="Times New Roman" w:hAnsi="Times New Roman" w:eastAsia="仿宋" w:cs="Times New Roman"/>
          <w:b/>
          <w:bCs/>
          <w:color w:val="auto"/>
          <w:kern w:val="0"/>
          <w:sz w:val="32"/>
          <w:szCs w:val="32"/>
          <w:highlight w:val="none"/>
          <w:lang w:val="en-US" w:eastAsia="zh-CN" w:bidi="ar-SA"/>
        </w:rPr>
        <w:t>3.</w:t>
      </w:r>
      <w:r>
        <w:rPr>
          <w:rFonts w:hint="default" w:ascii="Times New Roman" w:hAnsi="Times New Roman" w:eastAsia="仿宋" w:cs="Times New Roman"/>
          <w:b/>
          <w:bCs/>
          <w:color w:val="auto"/>
          <w:kern w:val="0"/>
          <w:sz w:val="32"/>
          <w:szCs w:val="32"/>
          <w:highlight w:val="none"/>
          <w:lang w:val="zh-CN" w:eastAsia="zh-CN" w:bidi="ar-SA"/>
        </w:rPr>
        <w:t>目标实现</w:t>
      </w:r>
    </w:p>
    <w:p w14:paraId="1D0280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zh-CN" w:eastAsia="zh-CN" w:bidi="ar-SA"/>
        </w:rPr>
      </w:pPr>
      <w:r>
        <w:rPr>
          <w:rFonts w:hint="default" w:ascii="Times New Roman" w:hAnsi="Times New Roman" w:eastAsia="仿宋" w:cs="Times New Roman"/>
          <w:color w:val="auto"/>
          <w:kern w:val="0"/>
          <w:sz w:val="32"/>
          <w:szCs w:val="32"/>
          <w:highlight w:val="none"/>
          <w:lang w:val="en-US" w:eastAsia="zh-CN" w:bidi="ar-SA"/>
        </w:rPr>
        <w:t>2024年度部门预算项目绩效目标数量指标均已完成，严格按照预期目标实施。该项指标自评得分17分。</w:t>
      </w:r>
    </w:p>
    <w:p w14:paraId="64BA7443">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eastAsia" w:ascii="楷体_GB2312" w:hAnsi="楷体_GB2312" w:eastAsia="楷体_GB2312" w:cs="楷体_GB2312"/>
          <w:b/>
          <w:color w:val="auto"/>
          <w:sz w:val="32"/>
          <w:szCs w:val="32"/>
          <w:highlight w:val="none"/>
          <w:lang w:val="zh-CN" w:eastAsia="zh-CN"/>
        </w:rPr>
        <w:t>（三）</w:t>
      </w:r>
      <w:r>
        <w:rPr>
          <w:rFonts w:hint="default" w:ascii="楷体_GB2312" w:hAnsi="楷体_GB2312" w:eastAsia="楷体_GB2312" w:cs="楷体_GB2312"/>
          <w:b/>
          <w:color w:val="auto"/>
          <w:sz w:val="32"/>
          <w:szCs w:val="32"/>
          <w:highlight w:val="none"/>
          <w:lang w:val="zh-CN" w:eastAsia="zh-CN"/>
        </w:rPr>
        <w:t>重点领域绩效分析</w:t>
      </w:r>
    </w:p>
    <w:p w14:paraId="64B0F4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部门2024年度未涉及国有资本、行政事业性国有资产、债券资金、政府采购和政府购买服务等重点领域。</w:t>
      </w:r>
    </w:p>
    <w:p w14:paraId="5090C473">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（四）绩效结果应用情况</w:t>
      </w:r>
    </w:p>
    <w:p w14:paraId="56A73B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zh-CN" w:eastAsia="zh-CN" w:bidi="ar-SA"/>
        </w:rPr>
      </w:pPr>
      <w:r>
        <w:rPr>
          <w:rFonts w:hint="default" w:ascii="Times New Roman" w:hAnsi="Times New Roman" w:eastAsia="仿宋" w:cs="Times New Roman"/>
          <w:color w:val="auto"/>
          <w:kern w:val="0"/>
          <w:sz w:val="32"/>
          <w:szCs w:val="32"/>
          <w:highlight w:val="none"/>
          <w:lang w:val="zh-CN" w:eastAsia="zh-CN" w:bidi="ar-SA"/>
        </w:rPr>
        <w:t>针对绩效自评结果，我局将强化绩效自评结果的运用：一是公开评价结果，在局门户网站上进行公开，让政府和社会公众了解项目实施情况和资金使用情况，接受政府和社会公众监督；二是将项目绩效自评结果与下一年度预算安排结合，合理规划，持续提升食品安全执法和监管能力，提高下一年资金的绩效自评质量。</w:t>
      </w:r>
    </w:p>
    <w:p w14:paraId="651EFB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lang w:eastAsia="zh-CN"/>
        </w:rPr>
        <w:t>四、</w:t>
      </w:r>
      <w:r>
        <w:rPr>
          <w:rFonts w:hint="default" w:ascii="Times New Roman" w:hAnsi="Times New Roman" w:eastAsia="方正黑体简体" w:cs="Times New Roman"/>
          <w:sz w:val="32"/>
          <w:szCs w:val="32"/>
        </w:rPr>
        <w:t>评价结论及建议</w:t>
      </w:r>
    </w:p>
    <w:p w14:paraId="29EC1181">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（一）评价结论</w:t>
      </w:r>
    </w:p>
    <w:p w14:paraId="1B071B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rPr>
      </w:pPr>
      <w:r>
        <w:rPr>
          <w:rFonts w:hint="default" w:ascii="Times New Roman" w:hAnsi="Times New Roman" w:eastAsia="仿宋" w:cs="Times New Roman"/>
          <w:color w:val="auto"/>
          <w:kern w:val="0"/>
          <w:sz w:val="32"/>
          <w:szCs w:val="32"/>
          <w:highlight w:val="none"/>
          <w:lang w:val="zh-CN" w:eastAsia="zh-CN" w:bidi="ar-SA"/>
        </w:rPr>
        <w:t>经过一年的项目实施，我局严格按照预算目标，完成目标绩效申报的数量、质量、时效、可持续发展等各项指标，与年初预算基本一致，根据该项目绩效评价指标体系自评得分</w:t>
      </w:r>
      <w:r>
        <w:rPr>
          <w:rFonts w:hint="default" w:ascii="Times New Roman" w:hAnsi="Times New Roman" w:eastAsia="仿宋" w:cs="Times New Roman"/>
          <w:color w:val="auto"/>
          <w:kern w:val="0"/>
          <w:sz w:val="32"/>
          <w:szCs w:val="32"/>
          <w:highlight w:val="none"/>
          <w:lang w:val="en-US" w:eastAsia="zh-CN" w:bidi="ar-SA"/>
        </w:rPr>
        <w:t>98.2</w:t>
      </w:r>
      <w:r>
        <w:rPr>
          <w:rFonts w:hint="default" w:ascii="Times New Roman" w:hAnsi="Times New Roman" w:eastAsia="仿宋" w:cs="Times New Roman"/>
          <w:color w:val="auto"/>
          <w:kern w:val="0"/>
          <w:sz w:val="32"/>
          <w:szCs w:val="32"/>
          <w:highlight w:val="none"/>
          <w:lang w:val="zh-CN" w:eastAsia="zh-CN" w:bidi="ar-SA"/>
        </w:rPr>
        <w:t>分。</w:t>
      </w:r>
    </w:p>
    <w:p w14:paraId="2C210784">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（二）存在问题</w:t>
      </w:r>
    </w:p>
    <w:p w14:paraId="4E62EC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对预算绩效编制的业务知识有待提高。</w:t>
      </w:r>
    </w:p>
    <w:p w14:paraId="7DD1AF9E">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（三）改进建议</w:t>
      </w:r>
    </w:p>
    <w:p w14:paraId="56CDFA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一是加强预算绩效管理，从数量、质量、成本和时效等方面进行绩效目标细化，进一步提高预算绩效目标制定的科学性、合理性；项目实施过程中，加强预算绩效执行监控，跟踪实施动态绩效，不断提高财政资金使用效益。二是加大对会计人员的培训力度，进一步统一认识，充实业务知识。</w:t>
      </w:r>
    </w:p>
    <w:p w14:paraId="0BF868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附表：1.部门整体支出绩效自评表</w:t>
      </w:r>
    </w:p>
    <w:p w14:paraId="206227F0">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rPr>
      </w:pPr>
      <w:r>
        <w:rPr>
          <w:rFonts w:hint="default" w:ascii="Times New Roman" w:hAnsi="Times New Roman" w:eastAsia="仿宋" w:cs="Times New Roman"/>
          <w:color w:val="auto"/>
          <w:kern w:val="0"/>
          <w:sz w:val="32"/>
          <w:szCs w:val="32"/>
          <w:highlight w:val="none"/>
          <w:lang w:val="en-US" w:eastAsia="zh-CN" w:bidi="ar-SA"/>
        </w:rPr>
        <w:t>2.部门预算项目支出绩效自评表</w:t>
      </w:r>
    </w:p>
    <w:p w14:paraId="0D523D91">
      <w:pPr>
        <w:pStyle w:val="26"/>
        <w:widowControl w:val="0"/>
        <w:numPr>
          <w:ilvl w:val="0"/>
          <w:numId w:val="0"/>
        </w:numPr>
        <w:snapToGrid w:val="0"/>
        <w:jc w:val="left"/>
        <w:rPr>
          <w:rFonts w:hint="default"/>
        </w:rPr>
        <w:sectPr>
          <w:footerReference r:id="rId9" w:type="default"/>
          <w:pgSz w:w="11906" w:h="16838"/>
          <w:pgMar w:top="1157" w:right="1463" w:bottom="1157" w:left="1463" w:header="851" w:footer="992" w:gutter="0"/>
          <w:pgNumType w:fmt="decimal" w:start="1"/>
          <w:cols w:space="425" w:num="1"/>
          <w:docGrid w:type="lines" w:linePitch="312" w:charSpace="0"/>
        </w:sect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8"/>
        <w:gridCol w:w="705"/>
        <w:gridCol w:w="2426"/>
        <w:gridCol w:w="578"/>
        <w:gridCol w:w="3098"/>
        <w:gridCol w:w="6061"/>
        <w:gridCol w:w="652"/>
        <w:gridCol w:w="472"/>
      </w:tblGrid>
      <w:tr w14:paraId="69873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00" w:type="pct"/>
            <w:gridSpan w:val="8"/>
            <w:tcBorders>
              <w:top w:val="nil"/>
              <w:left w:val="nil"/>
              <w:bottom w:val="nil"/>
              <w:right w:val="nil"/>
            </w:tcBorders>
            <w:shd w:val="clear" w:color="auto" w:fill="auto"/>
            <w:vAlign w:val="center"/>
          </w:tcPr>
          <w:p w14:paraId="1F34B50E">
            <w:pPr>
              <w:keepNext w:val="0"/>
              <w:keepLines w:val="0"/>
              <w:widowControl/>
              <w:suppressLineNumbers w:val="0"/>
              <w:jc w:val="left"/>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附表</w:t>
            </w:r>
            <w:r>
              <w:rPr>
                <w:rFonts w:hint="default" w:ascii="Times New Roman" w:hAnsi="Times New Roman" w:eastAsia="黑体" w:cs="Times New Roman"/>
                <w:i w:val="0"/>
                <w:iCs w:val="0"/>
                <w:color w:val="000000"/>
                <w:kern w:val="0"/>
                <w:sz w:val="32"/>
                <w:szCs w:val="32"/>
                <w:u w:val="none"/>
                <w:lang w:val="en-US" w:eastAsia="zh-CN" w:bidi="ar"/>
              </w:rPr>
              <w:t>1</w:t>
            </w:r>
          </w:p>
          <w:p w14:paraId="5761374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部门整体支出绩效自评表</w:t>
            </w:r>
          </w:p>
        </w:tc>
      </w:tr>
      <w:tr w14:paraId="1022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5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1A91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绩效指标</w:t>
            </w:r>
          </w:p>
        </w:tc>
        <w:tc>
          <w:tcPr>
            <w:tcW w:w="10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8FA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指标解释</w:t>
            </w:r>
          </w:p>
        </w:tc>
        <w:tc>
          <w:tcPr>
            <w:tcW w:w="20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252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评分说明</w:t>
            </w:r>
          </w:p>
        </w:tc>
        <w:tc>
          <w:tcPr>
            <w:tcW w:w="2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4CC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自评得分</w:t>
            </w:r>
          </w:p>
        </w:tc>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FBE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备注</w:t>
            </w:r>
          </w:p>
        </w:tc>
      </w:tr>
      <w:tr w14:paraId="517C9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nil"/>
            </w:tcBorders>
            <w:shd w:val="clear" w:color="auto" w:fill="auto"/>
            <w:vAlign w:val="center"/>
          </w:tcPr>
          <w:p w14:paraId="2002CD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一级指标</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665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二级指标</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751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三级指标</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B5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指标分值</w:t>
            </w:r>
          </w:p>
        </w:tc>
        <w:tc>
          <w:tcPr>
            <w:tcW w:w="10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001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p>
        </w:tc>
        <w:tc>
          <w:tcPr>
            <w:tcW w:w="20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EA2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p>
        </w:tc>
        <w:tc>
          <w:tcPr>
            <w:tcW w:w="2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476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p>
        </w:tc>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90E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p>
        </w:tc>
      </w:tr>
      <w:tr w14:paraId="38F30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1EA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总体绩效</w:t>
            </w:r>
            <w:r>
              <w:rPr>
                <w:rFonts w:hint="eastAsia" w:ascii="Times New Roman" w:hAnsi="Times New Roman" w:eastAsia="宋体" w:cs="Times New Roman"/>
                <w:i w:val="0"/>
                <w:iCs w:val="0"/>
                <w:color w:val="000000"/>
                <w:kern w:val="0"/>
                <w:sz w:val="18"/>
                <w:szCs w:val="18"/>
                <w:u w:val="none"/>
                <w:lang w:val="en-US" w:eastAsia="zh-CN" w:bidi="ar"/>
              </w:rPr>
              <w:br w:type="textWrapping"/>
            </w:r>
            <w:r>
              <w:rPr>
                <w:rFonts w:hint="eastAsia" w:ascii="Times New Roman" w:hAnsi="Times New Roman" w:eastAsia="宋体" w:cs="Times New Roman"/>
                <w:i w:val="0"/>
                <w:iCs w:val="0"/>
                <w:color w:val="000000"/>
                <w:kern w:val="0"/>
                <w:sz w:val="18"/>
                <w:szCs w:val="18"/>
                <w:u w:val="none"/>
                <w:lang w:val="en-US" w:eastAsia="zh-CN" w:bidi="ar"/>
              </w:rPr>
              <w:t>（56分）</w:t>
            </w:r>
          </w:p>
        </w:tc>
        <w:tc>
          <w:tcPr>
            <w:tcW w:w="239" w:type="pct"/>
            <w:vMerge w:val="restart"/>
            <w:tcBorders>
              <w:top w:val="single" w:color="000000" w:sz="4" w:space="0"/>
              <w:left w:val="single" w:color="000000" w:sz="4" w:space="0"/>
              <w:bottom w:val="nil"/>
              <w:right w:val="single" w:color="000000" w:sz="4" w:space="0"/>
            </w:tcBorders>
            <w:shd w:val="clear" w:color="auto" w:fill="auto"/>
            <w:vAlign w:val="center"/>
          </w:tcPr>
          <w:p w14:paraId="52E83A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履职效能</w:t>
            </w:r>
            <w:r>
              <w:rPr>
                <w:rFonts w:hint="eastAsia" w:ascii="Times New Roman" w:hAnsi="Times New Roman" w:eastAsia="宋体" w:cs="Times New Roman"/>
                <w:i w:val="0"/>
                <w:iCs w:val="0"/>
                <w:color w:val="000000"/>
                <w:kern w:val="0"/>
                <w:sz w:val="18"/>
                <w:szCs w:val="18"/>
                <w:u w:val="none"/>
                <w:lang w:val="en-US" w:eastAsia="zh-CN" w:bidi="ar"/>
              </w:rPr>
              <w:br w:type="textWrapping"/>
            </w:r>
            <w:r>
              <w:rPr>
                <w:rFonts w:hint="eastAsia" w:ascii="Times New Roman" w:hAnsi="Times New Roman" w:eastAsia="宋体" w:cs="Times New Roman"/>
                <w:i w:val="0"/>
                <w:iCs w:val="0"/>
                <w:color w:val="000000"/>
                <w:kern w:val="0"/>
                <w:sz w:val="18"/>
                <w:szCs w:val="18"/>
                <w:u w:val="none"/>
                <w:lang w:val="en-US" w:eastAsia="zh-CN" w:bidi="ar"/>
              </w:rPr>
              <w:t>（10分）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4BE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食品安全抽检履职效果</w:t>
            </w:r>
          </w:p>
        </w:tc>
        <w:tc>
          <w:tcPr>
            <w:tcW w:w="195" w:type="pct"/>
            <w:vMerge w:val="restart"/>
            <w:tcBorders>
              <w:top w:val="single" w:color="000000" w:sz="4" w:space="0"/>
              <w:left w:val="single" w:color="000000" w:sz="4" w:space="0"/>
              <w:bottom w:val="nil"/>
              <w:right w:val="single" w:color="000000" w:sz="4" w:space="0"/>
            </w:tcBorders>
            <w:shd w:val="clear" w:color="auto" w:fill="auto"/>
            <w:vAlign w:val="center"/>
          </w:tcPr>
          <w:p w14:paraId="4487B2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10</w:t>
            </w:r>
          </w:p>
        </w:tc>
        <w:tc>
          <w:tcPr>
            <w:tcW w:w="1051" w:type="pct"/>
            <w:vMerge w:val="restart"/>
            <w:tcBorders>
              <w:top w:val="single" w:color="000000" w:sz="4" w:space="0"/>
              <w:left w:val="single" w:color="000000" w:sz="4" w:space="0"/>
              <w:bottom w:val="nil"/>
              <w:right w:val="single" w:color="000000" w:sz="4" w:space="0"/>
            </w:tcBorders>
            <w:shd w:val="clear" w:color="auto" w:fill="auto"/>
            <w:vAlign w:val="center"/>
          </w:tcPr>
          <w:p w14:paraId="32999B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部门整体绩效目标中选定4-6个核心职能目标，反映该项职能目标完成效果情况</w:t>
            </w:r>
          </w:p>
        </w:tc>
        <w:tc>
          <w:tcPr>
            <w:tcW w:w="2056" w:type="pct"/>
            <w:vMerge w:val="restart"/>
            <w:tcBorders>
              <w:top w:val="single" w:color="000000" w:sz="4" w:space="0"/>
              <w:left w:val="single" w:color="000000" w:sz="4" w:space="0"/>
              <w:bottom w:val="nil"/>
              <w:right w:val="single" w:color="000000" w:sz="4" w:space="0"/>
            </w:tcBorders>
            <w:shd w:val="clear" w:color="auto" w:fill="auto"/>
            <w:vAlign w:val="center"/>
          </w:tcPr>
          <w:p w14:paraId="0AFDF4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tcW w:w="221" w:type="pct"/>
            <w:vMerge w:val="restart"/>
            <w:tcBorders>
              <w:top w:val="single" w:color="000000" w:sz="4" w:space="0"/>
              <w:left w:val="single" w:color="000000" w:sz="4" w:space="0"/>
              <w:bottom w:val="nil"/>
              <w:right w:val="single" w:color="000000" w:sz="4" w:space="0"/>
            </w:tcBorders>
            <w:shd w:val="clear" w:color="auto" w:fill="auto"/>
            <w:vAlign w:val="center"/>
          </w:tcPr>
          <w:p w14:paraId="2E1321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10</w:t>
            </w:r>
          </w:p>
        </w:tc>
        <w:tc>
          <w:tcPr>
            <w:tcW w:w="158" w:type="pct"/>
            <w:vMerge w:val="restart"/>
            <w:tcBorders>
              <w:top w:val="single" w:color="000000" w:sz="4" w:space="0"/>
              <w:left w:val="single" w:color="000000" w:sz="4" w:space="0"/>
              <w:bottom w:val="nil"/>
              <w:right w:val="single" w:color="000000" w:sz="4" w:space="0"/>
            </w:tcBorders>
            <w:shd w:val="clear" w:color="auto" w:fill="auto"/>
            <w:vAlign w:val="center"/>
          </w:tcPr>
          <w:p w14:paraId="73C1B6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p>
        </w:tc>
      </w:tr>
      <w:tr w14:paraId="13769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B76C0">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239" w:type="pct"/>
            <w:vMerge w:val="continue"/>
            <w:tcBorders>
              <w:top w:val="single" w:color="000000" w:sz="4" w:space="0"/>
              <w:left w:val="single" w:color="000000" w:sz="4" w:space="0"/>
              <w:bottom w:val="nil"/>
              <w:right w:val="single" w:color="000000" w:sz="4" w:space="0"/>
            </w:tcBorders>
            <w:shd w:val="clear" w:color="auto" w:fill="auto"/>
            <w:vAlign w:val="center"/>
          </w:tcPr>
          <w:p w14:paraId="4C3FAAB3">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829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基层市场监管所标准化、规范化建设工作履职效果</w:t>
            </w:r>
          </w:p>
        </w:tc>
        <w:tc>
          <w:tcPr>
            <w:tcW w:w="195" w:type="pct"/>
            <w:vMerge w:val="continue"/>
            <w:tcBorders>
              <w:top w:val="single" w:color="000000" w:sz="4" w:space="0"/>
              <w:left w:val="single" w:color="000000" w:sz="4" w:space="0"/>
              <w:bottom w:val="nil"/>
              <w:right w:val="single" w:color="000000" w:sz="4" w:space="0"/>
            </w:tcBorders>
            <w:shd w:val="clear" w:color="auto" w:fill="auto"/>
            <w:vAlign w:val="center"/>
          </w:tcPr>
          <w:p w14:paraId="2317DB8A">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1051" w:type="pct"/>
            <w:vMerge w:val="continue"/>
            <w:tcBorders>
              <w:top w:val="single" w:color="000000" w:sz="4" w:space="0"/>
              <w:left w:val="single" w:color="000000" w:sz="4" w:space="0"/>
              <w:bottom w:val="nil"/>
              <w:right w:val="single" w:color="000000" w:sz="4" w:space="0"/>
            </w:tcBorders>
            <w:shd w:val="clear" w:color="auto" w:fill="auto"/>
            <w:vAlign w:val="center"/>
          </w:tcPr>
          <w:p w14:paraId="52703513">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2056" w:type="pct"/>
            <w:vMerge w:val="continue"/>
            <w:tcBorders>
              <w:top w:val="single" w:color="000000" w:sz="4" w:space="0"/>
              <w:left w:val="single" w:color="000000" w:sz="4" w:space="0"/>
              <w:bottom w:val="nil"/>
              <w:right w:val="single" w:color="000000" w:sz="4" w:space="0"/>
            </w:tcBorders>
            <w:shd w:val="clear" w:color="auto" w:fill="auto"/>
            <w:vAlign w:val="center"/>
          </w:tcPr>
          <w:p w14:paraId="22B43338">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221" w:type="pct"/>
            <w:vMerge w:val="continue"/>
            <w:tcBorders>
              <w:top w:val="single" w:color="000000" w:sz="4" w:space="0"/>
              <w:left w:val="single" w:color="000000" w:sz="4" w:space="0"/>
              <w:bottom w:val="nil"/>
              <w:right w:val="single" w:color="000000" w:sz="4" w:space="0"/>
            </w:tcBorders>
            <w:shd w:val="clear" w:color="auto" w:fill="auto"/>
            <w:vAlign w:val="center"/>
          </w:tcPr>
          <w:p w14:paraId="7FFE598D">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158" w:type="pct"/>
            <w:vMerge w:val="continue"/>
            <w:tcBorders>
              <w:top w:val="single" w:color="000000" w:sz="4" w:space="0"/>
              <w:left w:val="single" w:color="000000" w:sz="4" w:space="0"/>
              <w:bottom w:val="nil"/>
              <w:right w:val="single" w:color="000000" w:sz="4" w:space="0"/>
            </w:tcBorders>
            <w:shd w:val="clear" w:color="auto" w:fill="auto"/>
            <w:vAlign w:val="center"/>
          </w:tcPr>
          <w:p w14:paraId="1C0C01E0">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r>
      <w:tr w14:paraId="78D61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85AE1">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239" w:type="pct"/>
            <w:vMerge w:val="continue"/>
            <w:tcBorders>
              <w:top w:val="single" w:color="000000" w:sz="4" w:space="0"/>
              <w:left w:val="single" w:color="000000" w:sz="4" w:space="0"/>
              <w:bottom w:val="nil"/>
              <w:right w:val="single" w:color="000000" w:sz="4" w:space="0"/>
            </w:tcBorders>
            <w:shd w:val="clear" w:color="auto" w:fill="auto"/>
            <w:vAlign w:val="center"/>
          </w:tcPr>
          <w:p w14:paraId="0C037811">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520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“转企升规"工作履职效果</w:t>
            </w:r>
          </w:p>
        </w:tc>
        <w:tc>
          <w:tcPr>
            <w:tcW w:w="195" w:type="pct"/>
            <w:vMerge w:val="continue"/>
            <w:tcBorders>
              <w:top w:val="single" w:color="000000" w:sz="4" w:space="0"/>
              <w:left w:val="single" w:color="000000" w:sz="4" w:space="0"/>
              <w:bottom w:val="nil"/>
              <w:right w:val="single" w:color="000000" w:sz="4" w:space="0"/>
            </w:tcBorders>
            <w:shd w:val="clear" w:color="auto" w:fill="auto"/>
            <w:vAlign w:val="center"/>
          </w:tcPr>
          <w:p w14:paraId="274D109C">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1051" w:type="pct"/>
            <w:vMerge w:val="continue"/>
            <w:tcBorders>
              <w:top w:val="single" w:color="000000" w:sz="4" w:space="0"/>
              <w:left w:val="single" w:color="000000" w:sz="4" w:space="0"/>
              <w:bottom w:val="nil"/>
              <w:right w:val="single" w:color="000000" w:sz="4" w:space="0"/>
            </w:tcBorders>
            <w:shd w:val="clear" w:color="auto" w:fill="auto"/>
            <w:vAlign w:val="center"/>
          </w:tcPr>
          <w:p w14:paraId="5CDADA2F">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2056" w:type="pct"/>
            <w:vMerge w:val="continue"/>
            <w:tcBorders>
              <w:top w:val="single" w:color="000000" w:sz="4" w:space="0"/>
              <w:left w:val="single" w:color="000000" w:sz="4" w:space="0"/>
              <w:bottom w:val="nil"/>
              <w:right w:val="single" w:color="000000" w:sz="4" w:space="0"/>
            </w:tcBorders>
            <w:shd w:val="clear" w:color="auto" w:fill="auto"/>
            <w:vAlign w:val="center"/>
          </w:tcPr>
          <w:p w14:paraId="237F9B5B">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221" w:type="pct"/>
            <w:vMerge w:val="continue"/>
            <w:tcBorders>
              <w:top w:val="single" w:color="000000" w:sz="4" w:space="0"/>
              <w:left w:val="single" w:color="000000" w:sz="4" w:space="0"/>
              <w:bottom w:val="nil"/>
              <w:right w:val="single" w:color="000000" w:sz="4" w:space="0"/>
            </w:tcBorders>
            <w:shd w:val="clear" w:color="auto" w:fill="auto"/>
            <w:vAlign w:val="center"/>
          </w:tcPr>
          <w:p w14:paraId="10973BC2">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158" w:type="pct"/>
            <w:vMerge w:val="continue"/>
            <w:tcBorders>
              <w:top w:val="single" w:color="000000" w:sz="4" w:space="0"/>
              <w:left w:val="single" w:color="000000" w:sz="4" w:space="0"/>
              <w:bottom w:val="nil"/>
              <w:right w:val="single" w:color="000000" w:sz="4" w:space="0"/>
            </w:tcBorders>
            <w:shd w:val="clear" w:color="auto" w:fill="auto"/>
            <w:vAlign w:val="center"/>
          </w:tcPr>
          <w:p w14:paraId="0EAE15A7">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r>
      <w:tr w14:paraId="4DEB3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AC823">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239" w:type="pct"/>
            <w:vMerge w:val="continue"/>
            <w:tcBorders>
              <w:top w:val="single" w:color="000000" w:sz="4" w:space="0"/>
              <w:left w:val="single" w:color="000000" w:sz="4" w:space="0"/>
              <w:bottom w:val="nil"/>
              <w:right w:val="single" w:color="000000" w:sz="4" w:space="0"/>
            </w:tcBorders>
            <w:shd w:val="clear" w:color="auto" w:fill="auto"/>
            <w:vAlign w:val="center"/>
          </w:tcPr>
          <w:p w14:paraId="651FA81E">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B87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中央药品监管工作履职效果</w:t>
            </w:r>
          </w:p>
        </w:tc>
        <w:tc>
          <w:tcPr>
            <w:tcW w:w="195" w:type="pct"/>
            <w:vMerge w:val="continue"/>
            <w:tcBorders>
              <w:top w:val="single" w:color="000000" w:sz="4" w:space="0"/>
              <w:left w:val="single" w:color="000000" w:sz="4" w:space="0"/>
              <w:bottom w:val="nil"/>
              <w:right w:val="single" w:color="000000" w:sz="4" w:space="0"/>
            </w:tcBorders>
            <w:shd w:val="clear" w:color="auto" w:fill="auto"/>
            <w:vAlign w:val="center"/>
          </w:tcPr>
          <w:p w14:paraId="128979B0">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1051" w:type="pct"/>
            <w:vMerge w:val="continue"/>
            <w:tcBorders>
              <w:top w:val="single" w:color="000000" w:sz="4" w:space="0"/>
              <w:left w:val="single" w:color="000000" w:sz="4" w:space="0"/>
              <w:bottom w:val="nil"/>
              <w:right w:val="single" w:color="000000" w:sz="4" w:space="0"/>
            </w:tcBorders>
            <w:shd w:val="clear" w:color="auto" w:fill="auto"/>
            <w:vAlign w:val="center"/>
          </w:tcPr>
          <w:p w14:paraId="61C97EAF">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2056" w:type="pct"/>
            <w:vMerge w:val="continue"/>
            <w:tcBorders>
              <w:top w:val="single" w:color="000000" w:sz="4" w:space="0"/>
              <w:left w:val="single" w:color="000000" w:sz="4" w:space="0"/>
              <w:bottom w:val="nil"/>
              <w:right w:val="single" w:color="000000" w:sz="4" w:space="0"/>
            </w:tcBorders>
            <w:shd w:val="clear" w:color="auto" w:fill="auto"/>
            <w:vAlign w:val="center"/>
          </w:tcPr>
          <w:p w14:paraId="3057E5AB">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221" w:type="pct"/>
            <w:vMerge w:val="continue"/>
            <w:tcBorders>
              <w:top w:val="single" w:color="000000" w:sz="4" w:space="0"/>
              <w:left w:val="single" w:color="000000" w:sz="4" w:space="0"/>
              <w:bottom w:val="nil"/>
              <w:right w:val="single" w:color="000000" w:sz="4" w:space="0"/>
            </w:tcBorders>
            <w:shd w:val="clear" w:color="auto" w:fill="auto"/>
            <w:vAlign w:val="center"/>
          </w:tcPr>
          <w:p w14:paraId="613DC8ED">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158" w:type="pct"/>
            <w:vMerge w:val="continue"/>
            <w:tcBorders>
              <w:top w:val="single" w:color="000000" w:sz="4" w:space="0"/>
              <w:left w:val="single" w:color="000000" w:sz="4" w:space="0"/>
              <w:bottom w:val="nil"/>
              <w:right w:val="single" w:color="000000" w:sz="4" w:space="0"/>
            </w:tcBorders>
            <w:shd w:val="clear" w:color="auto" w:fill="auto"/>
            <w:vAlign w:val="center"/>
          </w:tcPr>
          <w:p w14:paraId="5AE132CB">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r>
      <w:tr w14:paraId="7A338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A17EC">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45D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预算管理</w:t>
            </w:r>
            <w:r>
              <w:rPr>
                <w:rFonts w:hint="eastAsia" w:ascii="Times New Roman" w:hAnsi="Times New Roman" w:eastAsia="宋体" w:cs="Times New Roman"/>
                <w:i w:val="0"/>
                <w:iCs w:val="0"/>
                <w:color w:val="000000"/>
                <w:kern w:val="0"/>
                <w:sz w:val="18"/>
                <w:szCs w:val="18"/>
                <w:u w:val="none"/>
                <w:lang w:val="en-US" w:eastAsia="zh-CN" w:bidi="ar"/>
              </w:rPr>
              <w:br w:type="textWrapping"/>
            </w:r>
            <w:r>
              <w:rPr>
                <w:rFonts w:hint="eastAsia" w:ascii="Times New Roman" w:hAnsi="Times New Roman" w:eastAsia="宋体" w:cs="Times New Roman"/>
                <w:i w:val="0"/>
                <w:iCs w:val="0"/>
                <w:color w:val="000000"/>
                <w:kern w:val="0"/>
                <w:sz w:val="18"/>
                <w:szCs w:val="18"/>
                <w:u w:val="none"/>
                <w:lang w:val="en-US" w:eastAsia="zh-CN" w:bidi="ar"/>
              </w:rPr>
              <w:t>（31分）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51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预算编制质量</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05D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8</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A0E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部门是否严格按要求编制年初部门预算，年初预算编制的科学性和准确性</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0C8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该项指标得分=（1-财政拨款预算偏离度）×100%×8。偏离度=|预算执行数-调整预算数|÷调整预算数。</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40D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8</w:t>
            </w:r>
          </w:p>
        </w:tc>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56566">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r>
      <w:tr w14:paraId="478E2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6E1A5">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69847">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2DB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支出执行进度</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7C9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9</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BB4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部门1至12月预算执行情况</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7DA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该项指标得分=</w:t>
            </w:r>
            <w:r>
              <w:rPr>
                <w:rFonts w:hint="eastAsia" w:cs="Times New Roman"/>
                <w:i w:val="0"/>
                <w:iCs w:val="0"/>
                <w:color w:val="000000"/>
                <w:kern w:val="0"/>
                <w:sz w:val="18"/>
                <w:szCs w:val="18"/>
                <w:u w:val="none"/>
                <w:lang w:val="en-US" w:eastAsia="zh-CN" w:bidi="ar"/>
              </w:rPr>
              <w:t>中央、省委</w:t>
            </w:r>
            <w:r>
              <w:rPr>
                <w:rFonts w:hint="eastAsia" w:ascii="Times New Roman" w:hAnsi="Times New Roman" w:eastAsia="宋体" w:cs="Times New Roman"/>
                <w:i w:val="0"/>
                <w:iCs w:val="0"/>
                <w:color w:val="000000"/>
                <w:kern w:val="0"/>
                <w:sz w:val="18"/>
                <w:szCs w:val="18"/>
                <w:u w:val="none"/>
                <w:lang w:val="en-US" w:eastAsia="zh-CN" w:bidi="ar"/>
              </w:rPr>
              <w:t>转移支付资金1至12月实际支出数÷1-12月预算数*3+专项债券资金实际支出数÷1-12月部门预算数*3+专项预算项目1至12月实际支出数÷1-12月预算数*3。</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B9B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9</w:t>
            </w:r>
          </w:p>
        </w:tc>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F792E">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r>
      <w:tr w14:paraId="4579F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7D7A1">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89718">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7EF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预算年终结余</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6F0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8</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B70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部门整体年终预算结余情况</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960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该项指标得分=（1-部门整体预算结余率）×100%×8部门整体预算结余率为当年年终部门预算注销金额和结转金额占部门预算总金额的比率。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334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8</w:t>
            </w:r>
          </w:p>
        </w:tc>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FE65F">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r>
      <w:tr w14:paraId="3101E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DE7B3">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6C109">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EC9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严控一般性支出</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875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AE8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部门严控“三公”经费、会议、培训、差旅、办节办展、办公设备购置、信息网络及软件购置更新、课题经费等8项一般性支出情况</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941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该项指标得分=基础分值+加分值。</w:t>
            </w:r>
            <w:r>
              <w:rPr>
                <w:rFonts w:hint="eastAsia" w:ascii="Times New Roman" w:hAnsi="Times New Roman" w:eastAsia="宋体" w:cs="Times New Roman"/>
                <w:i w:val="0"/>
                <w:iCs w:val="0"/>
                <w:color w:val="000000"/>
                <w:kern w:val="0"/>
                <w:sz w:val="18"/>
                <w:szCs w:val="18"/>
                <w:u w:val="none"/>
                <w:lang w:val="en-US" w:eastAsia="zh-CN" w:bidi="ar"/>
              </w:rPr>
              <w:br w:type="textWrapping"/>
            </w:r>
            <w:r>
              <w:rPr>
                <w:rFonts w:hint="eastAsia" w:ascii="Times New Roman" w:hAnsi="Times New Roman" w:eastAsia="宋体" w:cs="Times New Roman"/>
                <w:i w:val="0"/>
                <w:iCs w:val="0"/>
                <w:color w:val="000000"/>
                <w:kern w:val="0"/>
                <w:sz w:val="18"/>
                <w:szCs w:val="18"/>
                <w:u w:val="none"/>
                <w:lang w:val="en-US" w:eastAsia="zh-CN" w:bidi="ar"/>
              </w:rPr>
              <w:t>1.基础分值。一般性支出财政拨款年初预算较上年实现压减得1.5分；一般性支出财政拨款预算执行较上年实现压减得1.5分。</w:t>
            </w:r>
            <w:r>
              <w:rPr>
                <w:rFonts w:hint="eastAsia" w:ascii="Times New Roman" w:hAnsi="Times New Roman" w:eastAsia="宋体" w:cs="Times New Roman"/>
                <w:i w:val="0"/>
                <w:iCs w:val="0"/>
                <w:color w:val="000000"/>
                <w:kern w:val="0"/>
                <w:sz w:val="18"/>
                <w:szCs w:val="18"/>
                <w:u w:val="none"/>
                <w:lang w:val="en-US" w:eastAsia="zh-CN" w:bidi="ar"/>
              </w:rPr>
              <w:br w:type="textWrapping"/>
            </w:r>
            <w:r>
              <w:rPr>
                <w:rFonts w:hint="eastAsia" w:ascii="Times New Roman" w:hAnsi="Times New Roman" w:eastAsia="宋体" w:cs="Times New Roman"/>
                <w:i w:val="0"/>
                <w:iCs w:val="0"/>
                <w:color w:val="000000"/>
                <w:kern w:val="0"/>
                <w:sz w:val="18"/>
                <w:szCs w:val="18"/>
                <w:u w:val="none"/>
                <w:lang w:val="en-US" w:eastAsia="zh-CN" w:bidi="ar"/>
              </w:rPr>
              <w:t>2.加分值。一般性支出财政拨款年初预算较上年每压减1%得0.2分，累计不超过1分；一般性支出财政拨款预算执行较上年每压减1%得0.4分，累计不超过2分。</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258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w:t>
            </w:r>
          </w:p>
        </w:tc>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D4D54">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r>
      <w:tr w14:paraId="281CC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D3E53">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F21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资产管理</w:t>
            </w:r>
            <w:r>
              <w:rPr>
                <w:rFonts w:hint="eastAsia" w:ascii="Times New Roman" w:hAnsi="Times New Roman" w:eastAsia="宋体" w:cs="Times New Roman"/>
                <w:i w:val="0"/>
                <w:iCs w:val="0"/>
                <w:color w:val="000000"/>
                <w:kern w:val="0"/>
                <w:sz w:val="18"/>
                <w:szCs w:val="18"/>
                <w:u w:val="none"/>
                <w:lang w:val="en-US" w:eastAsia="zh-CN" w:bidi="ar"/>
              </w:rPr>
              <w:br w:type="textWrapping"/>
            </w:r>
            <w:r>
              <w:rPr>
                <w:rFonts w:hint="eastAsia" w:ascii="Times New Roman" w:hAnsi="Times New Roman" w:eastAsia="宋体" w:cs="Times New Roman"/>
                <w:i w:val="0"/>
                <w:iCs w:val="0"/>
                <w:color w:val="000000"/>
                <w:kern w:val="0"/>
                <w:sz w:val="18"/>
                <w:szCs w:val="18"/>
                <w:u w:val="none"/>
                <w:lang w:val="en-US" w:eastAsia="zh-CN" w:bidi="ar"/>
              </w:rPr>
              <w:t>（9分）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0C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人均资产变化率</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0F7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C50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部门人均资产变化情况</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536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区直行政事业单位人均资产变化率平均值N为-4.63%，Y≤N，得3分；N＜Y≤0.8N（即-3.704%），得2分；0.8N＜Y≤0.5N（即-2.32%），得1分；Y＞0.5N，得0分。</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05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w:t>
            </w:r>
          </w:p>
        </w:tc>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37DC7">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r>
      <w:tr w14:paraId="2F838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374EB">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9DE6B">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9D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资产利用率</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8D1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405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部门资产超最低使用年限情况</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4C7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该项指标得分=（超最低使用年限的办公家具账面原值÷办公家具账面原值×100%×1.5）省级平均值办公家具为N=16.77%。Y≥N，得1.5分；0.8N≤Y＜N，得1分；0.5N≤Y＜0.8N，得0.5分；Y＜0.5N，得0分。+（超最低使用年限的办公设备账面原值÷办公设备账面原值×100%×1.5）。省级平均值办公设备为N=41.20%。Y≥N，得1.5分；0.8N≤Y＜N，得1分；0.5N≤Y＜0.8N，得0.5分；Y＜0.5N，得0分。</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072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w:t>
            </w:r>
          </w:p>
        </w:tc>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6E323">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r>
      <w:tr w14:paraId="347F9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792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总体绩效</w:t>
            </w:r>
            <w:r>
              <w:rPr>
                <w:rFonts w:hint="eastAsia" w:ascii="Times New Roman" w:hAnsi="Times New Roman" w:eastAsia="宋体" w:cs="Times New Roman"/>
                <w:i w:val="0"/>
                <w:iCs w:val="0"/>
                <w:color w:val="000000"/>
                <w:kern w:val="0"/>
                <w:sz w:val="18"/>
                <w:szCs w:val="18"/>
                <w:u w:val="none"/>
                <w:lang w:val="en-US" w:eastAsia="zh-CN" w:bidi="ar"/>
              </w:rPr>
              <w:br w:type="textWrapping"/>
            </w:r>
            <w:r>
              <w:rPr>
                <w:rFonts w:hint="eastAsia" w:ascii="Times New Roman" w:hAnsi="Times New Roman" w:eastAsia="宋体" w:cs="Times New Roman"/>
                <w:i w:val="0"/>
                <w:iCs w:val="0"/>
                <w:color w:val="000000"/>
                <w:kern w:val="0"/>
                <w:sz w:val="18"/>
                <w:szCs w:val="18"/>
                <w:u w:val="none"/>
                <w:lang w:val="en-US" w:eastAsia="zh-CN" w:bidi="ar"/>
              </w:rPr>
              <w:t>（56分）</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8D3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资产管理</w:t>
            </w:r>
            <w:r>
              <w:rPr>
                <w:rFonts w:hint="eastAsia" w:ascii="Times New Roman" w:hAnsi="Times New Roman" w:eastAsia="宋体" w:cs="Times New Roman"/>
                <w:i w:val="0"/>
                <w:iCs w:val="0"/>
                <w:color w:val="000000"/>
                <w:kern w:val="0"/>
                <w:sz w:val="18"/>
                <w:szCs w:val="18"/>
                <w:u w:val="none"/>
                <w:lang w:val="en-US" w:eastAsia="zh-CN" w:bidi="ar"/>
              </w:rPr>
              <w:br w:type="textWrapping"/>
            </w:r>
            <w:r>
              <w:rPr>
                <w:rFonts w:hint="eastAsia" w:ascii="Times New Roman" w:hAnsi="Times New Roman" w:eastAsia="宋体" w:cs="Times New Roman"/>
                <w:i w:val="0"/>
                <w:iCs w:val="0"/>
                <w:color w:val="000000"/>
                <w:kern w:val="0"/>
                <w:sz w:val="18"/>
                <w:szCs w:val="18"/>
                <w:u w:val="none"/>
                <w:lang w:val="en-US" w:eastAsia="zh-CN" w:bidi="ar"/>
              </w:rPr>
              <w:t>（9分）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FF6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资产盘活率</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53B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A1B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部门闲置一年以上的资产盘活情况</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7A2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0A8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1.2</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09E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p>
        </w:tc>
      </w:tr>
      <w:tr w14:paraId="63987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6797E">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06C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采购管理</w:t>
            </w:r>
            <w:r>
              <w:rPr>
                <w:rFonts w:hint="eastAsia" w:ascii="Times New Roman" w:hAnsi="Times New Roman" w:eastAsia="宋体" w:cs="Times New Roman"/>
                <w:i w:val="0"/>
                <w:iCs w:val="0"/>
                <w:color w:val="000000"/>
                <w:kern w:val="0"/>
                <w:sz w:val="18"/>
                <w:szCs w:val="18"/>
                <w:u w:val="none"/>
                <w:lang w:val="en-US" w:eastAsia="zh-CN" w:bidi="ar"/>
              </w:rPr>
              <w:br w:type="textWrapping"/>
            </w:r>
            <w:r>
              <w:rPr>
                <w:rFonts w:hint="eastAsia" w:ascii="Times New Roman" w:hAnsi="Times New Roman" w:eastAsia="宋体" w:cs="Times New Roman"/>
                <w:i w:val="0"/>
                <w:iCs w:val="0"/>
                <w:color w:val="000000"/>
                <w:kern w:val="0"/>
                <w:sz w:val="18"/>
                <w:szCs w:val="18"/>
                <w:u w:val="none"/>
                <w:lang w:val="en-US" w:eastAsia="zh-CN" w:bidi="ar"/>
              </w:rPr>
              <w:t>（6分）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D2D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支持中小企业发展</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E73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536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部门是否严格执行政府采购促进中小企业发展相关管理办法</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CE6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对适宜由中小企业提供的采购项目和采购包，预留采购份额专门面向中小企业采购，并在采购预算中单独列示，不符合要求的扣3分。</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D0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w:t>
            </w:r>
          </w:p>
        </w:tc>
        <w:tc>
          <w:tcPr>
            <w:tcW w:w="1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E5F98">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r>
      <w:tr w14:paraId="3F99F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4F654">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8AD4A">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3A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采购执行率</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5D3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711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部门政府采购项目资金支付比例情况</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B38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该项指标得分=当年政府采购实际支付总金额÷（当年政府采购总预算数-当年已完成采购项目节约金额）×100%×3。</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04D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w:t>
            </w:r>
          </w:p>
        </w:tc>
        <w:tc>
          <w:tcPr>
            <w:tcW w:w="1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8F893">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r>
      <w:tr w14:paraId="4DCB1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D07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项目绩效</w:t>
            </w:r>
            <w:r>
              <w:rPr>
                <w:rFonts w:hint="eastAsia" w:ascii="Times New Roman" w:hAnsi="Times New Roman" w:eastAsia="宋体" w:cs="Times New Roman"/>
                <w:i w:val="0"/>
                <w:iCs w:val="0"/>
                <w:color w:val="000000"/>
                <w:kern w:val="0"/>
                <w:sz w:val="18"/>
                <w:szCs w:val="18"/>
                <w:u w:val="none"/>
                <w:lang w:val="en-US" w:eastAsia="zh-CN" w:bidi="ar"/>
              </w:rPr>
              <w:br w:type="textWrapping"/>
            </w:r>
            <w:r>
              <w:rPr>
                <w:rFonts w:hint="eastAsia" w:ascii="Times New Roman" w:hAnsi="Times New Roman" w:eastAsia="宋体" w:cs="Times New Roman"/>
                <w:i w:val="0"/>
                <w:iCs w:val="0"/>
                <w:color w:val="000000"/>
                <w:kern w:val="0"/>
                <w:sz w:val="18"/>
                <w:szCs w:val="18"/>
                <w:u w:val="none"/>
                <w:lang w:val="en-US" w:eastAsia="zh-CN" w:bidi="ar"/>
              </w:rPr>
              <w:t>（44分）</w:t>
            </w:r>
          </w:p>
        </w:tc>
        <w:tc>
          <w:tcPr>
            <w:tcW w:w="239" w:type="pct"/>
            <w:vMerge w:val="restart"/>
            <w:tcBorders>
              <w:top w:val="single" w:color="000000" w:sz="4" w:space="0"/>
              <w:left w:val="single" w:color="000000" w:sz="4" w:space="0"/>
              <w:bottom w:val="nil"/>
              <w:right w:val="single" w:color="000000" w:sz="4" w:space="0"/>
            </w:tcBorders>
            <w:shd w:val="clear" w:color="auto" w:fill="auto"/>
            <w:vAlign w:val="center"/>
          </w:tcPr>
          <w:p w14:paraId="413D31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项目决策</w:t>
            </w:r>
            <w:r>
              <w:rPr>
                <w:rFonts w:hint="eastAsia" w:ascii="Times New Roman" w:hAnsi="Times New Roman" w:eastAsia="宋体" w:cs="Times New Roman"/>
                <w:i w:val="0"/>
                <w:iCs w:val="0"/>
                <w:color w:val="000000"/>
                <w:kern w:val="0"/>
                <w:sz w:val="18"/>
                <w:szCs w:val="18"/>
                <w:u w:val="none"/>
                <w:lang w:val="en-US" w:eastAsia="zh-CN" w:bidi="ar"/>
              </w:rPr>
              <w:br w:type="textWrapping"/>
            </w:r>
            <w:r>
              <w:rPr>
                <w:rFonts w:hint="eastAsia" w:ascii="Times New Roman" w:hAnsi="Times New Roman" w:eastAsia="宋体" w:cs="Times New Roman"/>
                <w:i w:val="0"/>
                <w:iCs w:val="0"/>
                <w:color w:val="000000"/>
                <w:kern w:val="0"/>
                <w:sz w:val="18"/>
                <w:szCs w:val="18"/>
                <w:u w:val="none"/>
                <w:lang w:val="en-US" w:eastAsia="zh-CN" w:bidi="ar"/>
              </w:rPr>
              <w:t>（12分）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BF7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决策程序</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2C8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344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部门预算项目设立是否按规定履行评估论证、申报程序</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224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该项指标得分=4-部门未履行事前评估程序的部门预算阶段项目（含一次性项目）数量÷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CA4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C64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p>
        </w:tc>
      </w:tr>
      <w:tr w14:paraId="2F4B3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4E959">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239" w:type="pct"/>
            <w:vMerge w:val="continue"/>
            <w:tcBorders>
              <w:top w:val="single" w:color="000000" w:sz="4" w:space="0"/>
              <w:left w:val="single" w:color="000000" w:sz="4" w:space="0"/>
              <w:bottom w:val="nil"/>
              <w:right w:val="single" w:color="000000" w:sz="4" w:space="0"/>
            </w:tcBorders>
            <w:shd w:val="clear" w:color="auto" w:fill="auto"/>
            <w:vAlign w:val="center"/>
          </w:tcPr>
          <w:p w14:paraId="4229C6F1">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5D4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目标设置</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E3E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738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部门预算项目绩效目标与计划期内的任务量、预算安排的资金量匹配情况，绩效目标设置是否科学合理、规范完整、量化细化、预算匹配</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095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ED9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D4939">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r>
      <w:tr w14:paraId="70099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CA8EB">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239" w:type="pct"/>
            <w:vMerge w:val="continue"/>
            <w:tcBorders>
              <w:top w:val="single" w:color="000000" w:sz="4" w:space="0"/>
              <w:left w:val="single" w:color="000000" w:sz="4" w:space="0"/>
              <w:bottom w:val="nil"/>
              <w:right w:val="single" w:color="000000" w:sz="4" w:space="0"/>
            </w:tcBorders>
            <w:shd w:val="clear" w:color="auto" w:fill="auto"/>
            <w:vAlign w:val="center"/>
          </w:tcPr>
          <w:p w14:paraId="3236B014">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8F6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项目入库</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3CC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F04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部门预算项目是否在规定时间完成项目入库</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7B0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该项指标得分=4-规定时间未入财政库部门预算阶段项目（含一次性项目）数量÷最终安排部门预算阶段项目（含一次性项目）总数×100%×4。（默认满分）</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E29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64625">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r>
      <w:tr w14:paraId="64C32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35485">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239" w:type="pct"/>
            <w:vMerge w:val="restart"/>
            <w:tcBorders>
              <w:top w:val="single" w:color="000000" w:sz="4" w:space="0"/>
              <w:left w:val="single" w:color="000000" w:sz="4" w:space="0"/>
              <w:bottom w:val="nil"/>
              <w:right w:val="single" w:color="000000" w:sz="4" w:space="0"/>
            </w:tcBorders>
            <w:shd w:val="clear" w:color="auto" w:fill="auto"/>
            <w:vAlign w:val="center"/>
          </w:tcPr>
          <w:p w14:paraId="26BA1C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项目执行</w:t>
            </w:r>
            <w:r>
              <w:rPr>
                <w:rFonts w:hint="eastAsia" w:ascii="Times New Roman" w:hAnsi="Times New Roman" w:eastAsia="宋体" w:cs="Times New Roman"/>
                <w:i w:val="0"/>
                <w:iCs w:val="0"/>
                <w:color w:val="000000"/>
                <w:kern w:val="0"/>
                <w:sz w:val="18"/>
                <w:szCs w:val="18"/>
                <w:u w:val="none"/>
                <w:lang w:val="en-US" w:eastAsia="zh-CN" w:bidi="ar"/>
              </w:rPr>
              <w:br w:type="textWrapping"/>
            </w:r>
            <w:r>
              <w:rPr>
                <w:rFonts w:hint="eastAsia" w:ascii="Times New Roman" w:hAnsi="Times New Roman" w:eastAsia="宋体" w:cs="Times New Roman"/>
                <w:i w:val="0"/>
                <w:iCs w:val="0"/>
                <w:color w:val="000000"/>
                <w:kern w:val="0"/>
                <w:sz w:val="18"/>
                <w:szCs w:val="18"/>
                <w:u w:val="none"/>
                <w:lang w:val="en-US" w:eastAsia="zh-CN" w:bidi="ar"/>
              </w:rPr>
              <w:t>（15分）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D89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执行同向</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F23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27A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部门预算项目实际列支内容是否与绩效目标设置方向相符</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2D0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该项指标得分=4-实际列支内容与绩效目标设置方向不相符的部门预算阶段项目（含一次性项目）数量÷部门预算阶段项目（含一次性项目）总数×100%×5。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E08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C3182">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r>
      <w:tr w14:paraId="413D8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1F7DC">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239" w:type="pct"/>
            <w:vMerge w:val="continue"/>
            <w:tcBorders>
              <w:top w:val="single" w:color="000000" w:sz="4" w:space="0"/>
              <w:left w:val="single" w:color="000000" w:sz="4" w:space="0"/>
              <w:bottom w:val="nil"/>
              <w:right w:val="single" w:color="000000" w:sz="4" w:space="0"/>
            </w:tcBorders>
            <w:shd w:val="clear" w:color="auto" w:fill="auto"/>
            <w:vAlign w:val="center"/>
          </w:tcPr>
          <w:p w14:paraId="2308FEF4">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822" w:type="pct"/>
            <w:tcBorders>
              <w:top w:val="single" w:color="000000" w:sz="4" w:space="0"/>
              <w:left w:val="single" w:color="000000" w:sz="4" w:space="0"/>
              <w:bottom w:val="nil"/>
              <w:right w:val="single" w:color="000000" w:sz="4" w:space="0"/>
            </w:tcBorders>
            <w:shd w:val="clear" w:color="auto" w:fill="auto"/>
            <w:vAlign w:val="center"/>
          </w:tcPr>
          <w:p w14:paraId="5AF8A7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项目调整</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C8C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223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部门预算项目是否采取对应调整措施</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554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该项指标得分=4-应采取未采取收回预算、调整目标等处置措施的部门预算阶段项目（含一次性项目）数量÷应采取收回预算、调整目标等处置措施的部门预算阶段项目（含一次性项目）总数×100%×6。</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66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EF919">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r>
      <w:tr w14:paraId="635F8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6DDF9">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239" w:type="pct"/>
            <w:vMerge w:val="continue"/>
            <w:tcBorders>
              <w:top w:val="single" w:color="000000" w:sz="4" w:space="0"/>
              <w:left w:val="single" w:color="000000" w:sz="4" w:space="0"/>
              <w:bottom w:val="nil"/>
              <w:right w:val="single" w:color="000000" w:sz="4" w:space="0"/>
            </w:tcBorders>
            <w:shd w:val="clear" w:color="auto" w:fill="auto"/>
            <w:vAlign w:val="center"/>
          </w:tcPr>
          <w:p w14:paraId="337F528C">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3A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执行结果</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533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5D1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部门预算项目预算执行情况</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DC6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该项指标得分=预算结余率小于10%的常年项目数量÷部门预算常年项目总数×100%×2+预算结余率小于10%的一次性项目和阶段项目数量÷部门预算一次性项目和阶段项目总数×100%×2。</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908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1357E">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r>
      <w:tr w14:paraId="28AB0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BF512">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DD3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目标实现</w:t>
            </w:r>
            <w:r>
              <w:rPr>
                <w:rFonts w:hint="eastAsia" w:ascii="Times New Roman" w:hAnsi="Times New Roman" w:eastAsia="宋体" w:cs="Times New Roman"/>
                <w:i w:val="0"/>
                <w:iCs w:val="0"/>
                <w:color w:val="000000"/>
                <w:kern w:val="0"/>
                <w:sz w:val="18"/>
                <w:szCs w:val="18"/>
                <w:u w:val="none"/>
                <w:lang w:val="en-US" w:eastAsia="zh-CN" w:bidi="ar"/>
              </w:rPr>
              <w:br w:type="textWrapping"/>
            </w:r>
            <w:r>
              <w:rPr>
                <w:rFonts w:hint="eastAsia" w:ascii="Times New Roman" w:hAnsi="Times New Roman" w:eastAsia="宋体" w:cs="Times New Roman"/>
                <w:i w:val="0"/>
                <w:iCs w:val="0"/>
                <w:color w:val="000000"/>
                <w:kern w:val="0"/>
                <w:sz w:val="18"/>
                <w:szCs w:val="18"/>
                <w:u w:val="none"/>
                <w:lang w:val="en-US" w:eastAsia="zh-CN" w:bidi="ar"/>
              </w:rPr>
              <w:t>（17分）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985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目标完成</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286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E62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部门预算项目绩效目标数量指标完成情况</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229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该项指标得分=完成绩效目标数量指标的部门预算阶段项目（含一次性项目）数量÷部门预算阶段项目（含一次性项目）总数×100%×6。</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64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5B032">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r>
      <w:tr w14:paraId="49C2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4E639">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A9F2F">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E5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目标偏离</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BF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C12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部门预算项目绩效目标数量指标实现程度与预期目标的偏离情况</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92B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910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6</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5F2F7">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r>
      <w:tr w14:paraId="27C28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E20CF">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6CFD4">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D82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实现效果</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E5A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DE7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部门预算项目绩效目标效益指标实施效果</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299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该项指标得分=完成绩效目标效益指标的部门预算阶段项目（含一次性项目）数量÷部门预算阶段项目（含一次性项目）总数×100%×5。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655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5</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DA2CE">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r>
      <w:tr w14:paraId="25284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D3A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扣分项</w:t>
            </w: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BB1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财务管理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A93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财务管理制度</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21C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3AD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部门财务管理制度建立情况</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4F5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部门未制定内部财务管理制度等制度机制的,财务管理制度未得到落实，发现一处扣1分，扣完为止。</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BC6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6C1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p>
        </w:tc>
      </w:tr>
      <w:tr w14:paraId="1A31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6B739">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D6432">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0EB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财务岗位设置</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7E3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AE4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部门财务岗位设置是否符合相关财务管理制度要求</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54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部门未合理设置财务工作岗位，职责权限不明确，未严格实行不相容岗位分离，发现一处扣1分，扣完为止。</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7DA20">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98AE3">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r>
      <w:tr w14:paraId="29CAA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97F87">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25AAE">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DA6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资金使用规范</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37E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07D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部门资金使用是否符合相关财务管理制度规定</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F5B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部门资金使用不符合相关财务管理制度规定的，发现一处扣1分，扣完为止。</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99C6">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78B86">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r>
      <w:tr w14:paraId="00DF1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C4AB9">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1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567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预算绩效存在问题</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4A2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CA4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预算管理和绩效管理工作存在问题</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20C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06666">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8D617">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r>
      <w:tr w14:paraId="29C44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7433F">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1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A68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被评价部门配合度</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55C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w:t>
            </w:r>
          </w:p>
        </w:tc>
        <w:tc>
          <w:tcPr>
            <w:tcW w:w="10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033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被评价对象工作配合情况</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025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评价工作开展过程中，被评价对象拖延推诿、提交资料不及时等拒不配合评价工作的，每发现一次扣1分，扣完为止。</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0986E">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34E86">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0"/>
                <w:sz w:val="18"/>
                <w:szCs w:val="18"/>
                <w:u w:val="none"/>
                <w:lang w:val="en-US" w:eastAsia="zh-CN" w:bidi="ar"/>
              </w:rPr>
            </w:pPr>
          </w:p>
        </w:tc>
      </w:tr>
      <w:tr w14:paraId="67CF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3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78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分值</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31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40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BC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F4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98.2</w:t>
            </w:r>
          </w:p>
        </w:tc>
        <w:tc>
          <w:tcPr>
            <w:tcW w:w="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8D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p>
        </w:tc>
      </w:tr>
    </w:tbl>
    <w:p w14:paraId="61A7A544">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auto"/>
          <w:sz w:val="32"/>
          <w:szCs w:val="32"/>
          <w:highlight w:val="none"/>
          <w:lang w:val="zh-CN"/>
        </w:rPr>
      </w:pPr>
    </w:p>
    <w:p w14:paraId="5239C2EC">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auto"/>
          <w:sz w:val="32"/>
          <w:szCs w:val="32"/>
          <w:highlight w:val="none"/>
          <w:lang w:val="zh-CN"/>
        </w:rPr>
        <w:sectPr>
          <w:footerReference r:id="rId10" w:type="default"/>
          <w:pgSz w:w="16838" w:h="11906" w:orient="landscape"/>
          <w:pgMar w:top="1463" w:right="1157" w:bottom="1463" w:left="1157" w:header="851" w:footer="992" w:gutter="0"/>
          <w:pgNumType w:fmt="decimal"/>
          <w:cols w:space="425" w:num="1"/>
          <w:docGrid w:type="lines" w:linePitch="312" w:charSpace="0"/>
        </w:sectPr>
      </w:pPr>
    </w:p>
    <w:p w14:paraId="0AAA4881">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en-US" w:eastAsia="zh-CN"/>
        </w:rPr>
        <w:t>表</w:t>
      </w:r>
      <w:r>
        <w:rPr>
          <w:rFonts w:hint="default" w:ascii="Times New Roman" w:hAnsi="Times New Roman" w:eastAsia="黑体" w:cs="Times New Roman"/>
          <w:color w:val="auto"/>
          <w:sz w:val="32"/>
          <w:szCs w:val="32"/>
          <w:highlight w:val="none"/>
          <w:lang w:val="en-US" w:eastAsia="zh-CN"/>
        </w:rPr>
        <w:t>2</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80"/>
        <w:gridCol w:w="940"/>
        <w:gridCol w:w="1361"/>
        <w:gridCol w:w="396"/>
        <w:gridCol w:w="1160"/>
        <w:gridCol w:w="396"/>
        <w:gridCol w:w="704"/>
        <w:gridCol w:w="410"/>
        <w:gridCol w:w="448"/>
        <w:gridCol w:w="1725"/>
      </w:tblGrid>
      <w:tr w14:paraId="3FB63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11"/>
            <w:tcBorders>
              <w:top w:val="nil"/>
              <w:left w:val="nil"/>
              <w:bottom w:val="nil"/>
              <w:right w:val="nil"/>
            </w:tcBorders>
            <w:shd w:val="clear" w:color="auto" w:fill="auto"/>
            <w:vAlign w:val="center"/>
          </w:tcPr>
          <w:p w14:paraId="122308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32"/>
                <w:szCs w:val="32"/>
                <w:u w:val="none"/>
              </w:rPr>
            </w:pPr>
            <w:r>
              <w:rPr>
                <w:rFonts w:hint="default" w:ascii="黑体" w:hAnsi="黑体" w:eastAsia="黑体" w:cs="黑体"/>
                <w:b w:val="0"/>
                <w:bCs w:val="0"/>
                <w:i w:val="0"/>
                <w:iCs w:val="0"/>
                <w:color w:val="000000"/>
                <w:kern w:val="0"/>
                <w:sz w:val="32"/>
                <w:szCs w:val="32"/>
                <w:u w:val="none"/>
                <w:lang w:val="en-US" w:eastAsia="zh-CN" w:bidi="ar"/>
              </w:rPr>
              <w:t>部门预算项目支出绩效自评表</w:t>
            </w:r>
          </w:p>
        </w:tc>
      </w:tr>
      <w:tr w14:paraId="1BD69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94B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10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2AA5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放心舒心消费城市创建经费</w:t>
            </w:r>
          </w:p>
        </w:tc>
      </w:tr>
      <w:tr w14:paraId="2975D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0363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1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40C1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遂宁市安居区财政局</w:t>
            </w:r>
          </w:p>
        </w:tc>
        <w:tc>
          <w:tcPr>
            <w:tcW w:w="556" w:type="pct"/>
            <w:gridSpan w:val="2"/>
            <w:tcBorders>
              <w:top w:val="nil"/>
              <w:left w:val="nil"/>
              <w:bottom w:val="nil"/>
              <w:right w:val="nil"/>
            </w:tcBorders>
            <w:shd w:val="clear" w:color="auto" w:fill="auto"/>
            <w:vAlign w:val="center"/>
          </w:tcPr>
          <w:p w14:paraId="73D219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实施单位 </w:t>
            </w:r>
          </w:p>
        </w:tc>
        <w:tc>
          <w:tcPr>
            <w:tcW w:w="14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6A19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遂宁市安居区市场监督管理局</w:t>
            </w:r>
          </w:p>
        </w:tc>
      </w:tr>
      <w:tr w14:paraId="78D91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CE3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E5A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1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576D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9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CE06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年度目标完成情况</w:t>
            </w:r>
          </w:p>
        </w:tc>
      </w:tr>
      <w:tr w14:paraId="47CD4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C3EBB">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959BD">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c>
          <w:tcPr>
            <w:tcW w:w="211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95ABF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1.加强“放心舒心消费城市”宣传，营造良好的消费环境；2.进一步打造示范街区、景点、企业、市场、个体工商户；3、加强示范单位提质升级</w:t>
            </w:r>
          </w:p>
        </w:tc>
        <w:tc>
          <w:tcPr>
            <w:tcW w:w="19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A19A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利用重大节日或上门服务等形式集中宣传放心舒心消费城市建设，发展示范企业4户，引导12家市场主体实行线下无理由退货或先付赔偿制度，4家企业实现ODR处置投诉，15家示范单位体质升级。</w:t>
            </w:r>
          </w:p>
        </w:tc>
      </w:tr>
      <w:tr w14:paraId="0777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56686">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91A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10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5A8D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采取多种形式开展宣传引导工作，包括利用重大节日（如“3·15”国际消费者权益日、国庆节等）开展集中宣传活动，并结合“送政策、送服务”上门走访，向市场主体宣传诚信经营理念。同时，积极引导辖区内企业、商户参与线下无理由退货承诺或“先赔付后处理”制度，优化消费纠纷解决机制，提升消费者满意度。此外，对15家示范单位进行提质升级，通过优化服务流程、完善售后体系、强化消费维权等措施，发挥示范引领作用，带动行业整体服务水平提升。</w:t>
            </w:r>
          </w:p>
        </w:tc>
      </w:tr>
      <w:tr w14:paraId="5B655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1A6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2B0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   （万元）</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E3A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26D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AD6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023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B6E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0BA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BB4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07720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3A10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331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9C3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5E2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776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FEF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FE3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2D1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7F8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C726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C1C7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EEE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A92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1F7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473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144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0D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B52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3B244">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黑体" w:cs="Times New Roman"/>
                <w:i w:val="0"/>
                <w:iCs w:val="0"/>
                <w:color w:val="000000"/>
                <w:sz w:val="16"/>
                <w:szCs w:val="16"/>
                <w:u w:val="none"/>
              </w:rPr>
            </w:pPr>
          </w:p>
        </w:tc>
      </w:tr>
      <w:tr w14:paraId="473D6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27ED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546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财政专户管理资金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5C7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F354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6492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B9BC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76B7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F1BB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84367">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黑体" w:cs="Times New Roman"/>
                <w:i w:val="0"/>
                <w:iCs w:val="0"/>
                <w:color w:val="000000"/>
                <w:sz w:val="16"/>
                <w:szCs w:val="16"/>
                <w:u w:val="none"/>
              </w:rPr>
            </w:pPr>
          </w:p>
        </w:tc>
      </w:tr>
      <w:tr w14:paraId="38CBB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F738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471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B27B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F17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07BF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F5D8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EE53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31D2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92D07">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黑体" w:cs="Times New Roman"/>
                <w:i w:val="0"/>
                <w:iCs w:val="0"/>
                <w:color w:val="000000"/>
                <w:sz w:val="16"/>
                <w:szCs w:val="16"/>
                <w:u w:val="none"/>
              </w:rPr>
            </w:pPr>
          </w:p>
        </w:tc>
      </w:tr>
      <w:tr w14:paraId="765E3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F6FC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63A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ED16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4A2D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B21B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3AAE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362F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D24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7067F">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黑体" w:cs="Times New Roman"/>
                <w:i w:val="0"/>
                <w:iCs w:val="0"/>
                <w:color w:val="000000"/>
                <w:sz w:val="16"/>
                <w:szCs w:val="16"/>
                <w:u w:val="none"/>
              </w:rPr>
            </w:pPr>
          </w:p>
        </w:tc>
      </w:tr>
      <w:tr w14:paraId="38C60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0CE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45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FAC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00C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260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B51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865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848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742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EA5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EA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0B79F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A723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397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AFD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F55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开展放心舒心消费城市宣传活动</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694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9C3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DC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446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2次</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BCE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4B8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DDF7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6DF18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B2B6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2492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0ED8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735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创建示范街区、景区、示范企业、示范店、市场</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DE0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90A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582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C76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4个</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CB2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C78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F5E3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4CA8E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AF6A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B7AE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A8FA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CC2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发展引导开展线下实体店自主承诺无理由退货制度</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A8C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1C9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F0C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F6A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12户</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9D5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2E8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BBA4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3A565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C8B6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BBB3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6B1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D4D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“放心舒心消费城市”宣传知晓率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3C2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42B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811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2B0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D19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BF2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9BF9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02959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F61D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D506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776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F91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项目开展持续时间</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CD2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F8F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12个月</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DD1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C244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FEA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A80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6800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2B558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D005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EFE2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AA7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CF0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宣传资料印刷费</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C68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AA2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68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0B5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≤2万元/次</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1AD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302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E75D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1A3C2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6563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D04A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4EC0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2E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标识标牌制作</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2E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88C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51B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BF2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≤4万元/次</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280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3AE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555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53249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B1A0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A1A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AFB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经济效益指标</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F53B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827A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7B07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1450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9456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CEE2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99D0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5104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7C678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D08F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1A05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234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2F8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经营者信用</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1BE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49F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不断提高</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1716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D619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B9F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F34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3930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49CEC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425F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3F98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CFF6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06A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消费环境</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CB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DBE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不断改善</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937B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471D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8B9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F1E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057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0D761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EF3E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F2CD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39B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生态效益指标</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302F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AD6E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AB21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66B5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847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6D88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385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24FA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67C7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128A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E30A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96B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可持续影响指标</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40D6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FB3E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81C5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8936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B192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3FB6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35B7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6EB5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21A30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DCB2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F498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9D1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045E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1BBA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633F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7F5D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61C3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A227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BC2D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2686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6D7DB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526C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26F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0F4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722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消费者对消费环境满意度</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FF2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1A7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C8B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7E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435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B3E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D399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4BAC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83D4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2C5C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D4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4FF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3604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32AC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6915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6D96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A6B1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1D4E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BE8B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36436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7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C1C2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D849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7B5D7">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DD2E4">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r>
      <w:tr w14:paraId="384C0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F1E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9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D200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严格执行项目资金的使用，对预算执行进度和绩效目标实现程度实行双监控，自评得分95分。</w:t>
            </w:r>
          </w:p>
        </w:tc>
      </w:tr>
      <w:tr w14:paraId="68A04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869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9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1A00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64096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AE3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9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ADED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29B72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EBA8F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项目负责人：何荣华</w:t>
            </w:r>
          </w:p>
        </w:tc>
        <w:tc>
          <w:tcPr>
            <w:tcW w:w="262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DA68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财务负责人：龚大举</w:t>
            </w:r>
          </w:p>
        </w:tc>
      </w:tr>
    </w:tbl>
    <w:p w14:paraId="4868C0B4">
      <w:pPr>
        <w:spacing w:line="600" w:lineRule="exact"/>
        <w:jc w:val="center"/>
        <w:outlineLvl w:val="0"/>
        <w:rPr>
          <w:rFonts w:hint="default" w:ascii="Times New Roman" w:hAnsi="Times New Roman" w:eastAsia="黑体" w:cs="Times New Roman"/>
          <w:color w:val="auto"/>
          <w:sz w:val="44"/>
          <w:szCs w:val="44"/>
          <w:highlight w:val="none"/>
        </w:rPr>
      </w:pPr>
      <w:bookmarkStart w:id="54" w:name="_Toc15396618"/>
    </w:p>
    <w:p w14:paraId="78455562">
      <w:pPr>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rPr>
        <w:br w:type="page"/>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1"/>
        <w:gridCol w:w="655"/>
        <w:gridCol w:w="610"/>
        <w:gridCol w:w="1536"/>
        <w:gridCol w:w="670"/>
        <w:gridCol w:w="724"/>
        <w:gridCol w:w="720"/>
        <w:gridCol w:w="1026"/>
        <w:gridCol w:w="519"/>
        <w:gridCol w:w="416"/>
        <w:gridCol w:w="1679"/>
      </w:tblGrid>
      <w:tr w14:paraId="7AAC1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5000" w:type="pct"/>
            <w:gridSpan w:val="11"/>
            <w:tcBorders>
              <w:top w:val="nil"/>
              <w:left w:val="nil"/>
              <w:bottom w:val="nil"/>
              <w:right w:val="nil"/>
            </w:tcBorders>
            <w:shd w:val="clear" w:color="auto" w:fill="auto"/>
            <w:vAlign w:val="center"/>
          </w:tcPr>
          <w:p w14:paraId="6C8AF5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40"/>
                <w:szCs w:val="40"/>
                <w:u w:val="none"/>
              </w:rPr>
            </w:pPr>
            <w:r>
              <w:rPr>
                <w:rFonts w:hint="default" w:ascii="黑体" w:hAnsi="黑体" w:eastAsia="黑体" w:cs="黑体"/>
                <w:b w:val="0"/>
                <w:bCs w:val="0"/>
                <w:i w:val="0"/>
                <w:iCs w:val="0"/>
                <w:color w:val="000000"/>
                <w:kern w:val="0"/>
                <w:sz w:val="32"/>
                <w:szCs w:val="32"/>
                <w:u w:val="none"/>
                <w:lang w:val="en-US" w:eastAsia="zh-CN" w:bidi="ar"/>
              </w:rPr>
              <w:t>部门预算项目支出绩效自评表</w:t>
            </w:r>
          </w:p>
        </w:tc>
      </w:tr>
      <w:tr w14:paraId="0DFBA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7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587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29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5531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执法办案工作经费</w:t>
            </w:r>
          </w:p>
        </w:tc>
      </w:tr>
      <w:tr w14:paraId="37E9F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7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52E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3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BF5C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遂宁市安居区财政局</w:t>
            </w:r>
          </w:p>
        </w:tc>
        <w:tc>
          <w:tcPr>
            <w:tcW w:w="557" w:type="pct"/>
            <w:tcBorders>
              <w:top w:val="nil"/>
              <w:left w:val="nil"/>
              <w:bottom w:val="nil"/>
              <w:right w:val="nil"/>
            </w:tcBorders>
            <w:shd w:val="clear" w:color="auto" w:fill="auto"/>
            <w:vAlign w:val="center"/>
          </w:tcPr>
          <w:p w14:paraId="26E09A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实施单位 </w:t>
            </w:r>
          </w:p>
        </w:tc>
        <w:tc>
          <w:tcPr>
            <w:tcW w:w="14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136D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遂宁市安居区市场监督管理局</w:t>
            </w:r>
          </w:p>
        </w:tc>
      </w:tr>
      <w:tr w14:paraId="06A33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930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24A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3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AD6A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9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7ABC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年度目标完成情况</w:t>
            </w:r>
          </w:p>
        </w:tc>
      </w:tr>
      <w:tr w14:paraId="5140C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2ACB6">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739BB">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c>
          <w:tcPr>
            <w:tcW w:w="23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FBB8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根据市局安排及</w:t>
            </w:r>
            <w:r>
              <w:rPr>
                <w:rFonts w:hint="eastAsia" w:cs="Times New Roman"/>
                <w:i w:val="0"/>
                <w:iCs w:val="0"/>
                <w:color w:val="000000"/>
                <w:kern w:val="0"/>
                <w:sz w:val="18"/>
                <w:szCs w:val="18"/>
                <w:u w:val="none"/>
                <w:lang w:val="en-US" w:eastAsia="zh-CN" w:bidi="ar"/>
              </w:rPr>
              <w:t>区委区政府要求</w:t>
            </w:r>
            <w:r>
              <w:rPr>
                <w:rFonts w:hint="default" w:ascii="Times New Roman" w:hAnsi="Times New Roman" w:eastAsia="宋体" w:cs="Times New Roman"/>
                <w:i w:val="0"/>
                <w:iCs w:val="0"/>
                <w:color w:val="000000"/>
                <w:kern w:val="0"/>
                <w:sz w:val="18"/>
                <w:szCs w:val="18"/>
                <w:u w:val="none"/>
                <w:lang w:val="en-US" w:eastAsia="zh-CN" w:bidi="ar"/>
              </w:rPr>
              <w:t>，我单位积极开展“春雷行动”、“铁拳行动”、“双打”工作、“长江禁捕 打非断链”、“市场流通领域扫黑除恶”、“茶叶过度包装整治”等各项行动，严厉打击各种违法违规行为，保障人民群众食药安全。承办全局综合性监管执法工作、案件移送、案件协查工作；牵头组织协调全局工商、食药、质量和物价违法案件查办工作，承办全局范围内重大案件；指导、督办各市场监管所查处交办案件；负责协作宣传国家法律、法规，推进依法行政建设、执法人员法律法规培训；负责汇总、统计、分析上级交办受理情况；负责开展执法案件信息公示、报送工作；负责全局罚没物资处置销毁工作；统筹全局执法装备维护更换。</w:t>
            </w:r>
          </w:p>
        </w:tc>
        <w:tc>
          <w:tcPr>
            <w:tcW w:w="19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318D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积极开展“春雷行动”、“铁拳行动”、“双打”工作、“长江禁捕 打非断链”、“市场流通领域扫黑除恶”、“茶叶过度包装整治”等各项行动，严厉打击各种违法违规行为，保障人民群众食药安全。承办全局综合性监管执法工作、案件移送、案件协查工作；牵头组织协调全局工商、食药、质量和物价违法案件查办工作，承办全局范围内重大案件；指导、督办各市场监管所查处交办案件；负责协作宣传国家法律、法规，推进依法行政建设、执法人员法律法规培训；负责汇总、统计、分析上级交办受理情况；负责开展执法案件信息公示、报送工作；负责全局罚没物资处置销毁工作。</w:t>
            </w:r>
          </w:p>
        </w:tc>
      </w:tr>
      <w:tr w14:paraId="482AF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63BF6">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4F2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29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35D7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通过开展“春雷行动”、“铁拳行动”、“双打”工作、“长江禁捕 打非断链”、“市场流通领域扫黑除恶”、“茶叶过度包装整治”等各项行动，严厉打击各种违法违规行为，承办全局范围内重大案件，指导、督办各市场监管所查处交办案件，负责协作宣传国家法律、法规，推进依法行政建设、执法人员法律法规培训等</w:t>
            </w:r>
          </w:p>
        </w:tc>
      </w:tr>
      <w:tr w14:paraId="3890E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217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E0B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   （万元）</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947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544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1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93B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673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A2E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2A9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290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687E4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FB07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946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8F1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40.00</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43F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40.00</w:t>
            </w:r>
          </w:p>
        </w:tc>
        <w:tc>
          <w:tcPr>
            <w:tcW w:w="11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E64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D62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8D7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2C9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468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501C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4393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DC0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EEE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40.00</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BB3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40.00</w:t>
            </w:r>
          </w:p>
        </w:tc>
        <w:tc>
          <w:tcPr>
            <w:tcW w:w="11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99D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40.00</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4D0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8C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3BE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7BF4E">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黑体" w:cs="Times New Roman"/>
                <w:i w:val="0"/>
                <w:iCs w:val="0"/>
                <w:color w:val="000000"/>
                <w:sz w:val="16"/>
                <w:szCs w:val="16"/>
                <w:u w:val="none"/>
              </w:rPr>
            </w:pPr>
          </w:p>
        </w:tc>
      </w:tr>
      <w:tr w14:paraId="551F3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DA57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02D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财政专户管理资金</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3371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BD0F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11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0EDCE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B2D5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F722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FCE8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B57D3">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黑体" w:cs="Times New Roman"/>
                <w:i w:val="0"/>
                <w:iCs w:val="0"/>
                <w:color w:val="000000"/>
                <w:sz w:val="16"/>
                <w:szCs w:val="16"/>
                <w:u w:val="none"/>
              </w:rPr>
            </w:pPr>
          </w:p>
        </w:tc>
      </w:tr>
      <w:tr w14:paraId="4210B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C6F9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C3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BFD1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C95D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11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1AB7F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2B03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71C8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D546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491A8">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黑体" w:cs="Times New Roman"/>
                <w:i w:val="0"/>
                <w:iCs w:val="0"/>
                <w:color w:val="000000"/>
                <w:sz w:val="16"/>
                <w:szCs w:val="16"/>
                <w:u w:val="none"/>
              </w:rPr>
            </w:pPr>
          </w:p>
        </w:tc>
      </w:tr>
      <w:tr w14:paraId="60D62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2657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361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B728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BEA5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11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99F1E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0E0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FA99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8B6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60828">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黑体" w:cs="Times New Roman"/>
                <w:i w:val="0"/>
                <w:iCs w:val="0"/>
                <w:color w:val="000000"/>
                <w:sz w:val="16"/>
                <w:szCs w:val="16"/>
                <w:u w:val="none"/>
              </w:rPr>
            </w:pPr>
          </w:p>
        </w:tc>
      </w:tr>
      <w:tr w14:paraId="41F06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D43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FF4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A25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4E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3DA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A84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9BF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00C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15D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7DD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A04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05BA7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A18F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8F5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7B1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A94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每月开展执法安全检查及整治</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A9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8D1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785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71A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Style w:val="47"/>
                <w:rFonts w:hint="default" w:ascii="Times New Roman" w:hAnsi="Times New Roman" w:cs="Times New Roman"/>
                <w:lang w:val="en-US" w:eastAsia="zh-CN" w:bidi="ar"/>
              </w:rPr>
              <w:t>≥</w:t>
            </w:r>
            <w:r>
              <w:rPr>
                <w:rFonts w:hint="default" w:ascii="Times New Roman" w:hAnsi="Times New Roman" w:eastAsia="微软雅黑" w:cs="Times New Roman"/>
                <w:i w:val="0"/>
                <w:iCs w:val="0"/>
                <w:color w:val="000000"/>
                <w:kern w:val="0"/>
                <w:sz w:val="16"/>
                <w:szCs w:val="16"/>
                <w:u w:val="none"/>
                <w:lang w:val="en-US" w:eastAsia="zh-CN" w:bidi="ar"/>
              </w:rPr>
              <w:t>50次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024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AAD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981F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4CF9C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3EB4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D5B1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8F85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139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开展执法培训</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FA5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645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E10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B29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Style w:val="47"/>
                <w:rFonts w:hint="default" w:ascii="Times New Roman" w:hAnsi="Times New Roman" w:cs="Times New Roman"/>
                <w:lang w:val="en-US" w:eastAsia="zh-CN" w:bidi="ar"/>
              </w:rPr>
              <w:t>3</w:t>
            </w:r>
            <w:r>
              <w:rPr>
                <w:rFonts w:hint="default" w:ascii="Times New Roman" w:hAnsi="Times New Roman" w:eastAsia="微软雅黑" w:cs="Times New Roman"/>
                <w:i w:val="0"/>
                <w:iCs w:val="0"/>
                <w:color w:val="000000"/>
                <w:kern w:val="0"/>
                <w:sz w:val="16"/>
                <w:szCs w:val="16"/>
                <w:u w:val="none"/>
                <w:lang w:val="en-US" w:eastAsia="zh-CN" w:bidi="ar"/>
              </w:rPr>
              <w:t>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6D0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0F8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51BA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08994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A2D8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43EC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85FA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3AD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执法装备配置</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5E2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F75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2F1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3F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024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64B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BF24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40A8B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DBC0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F6CE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CF9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B37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持执法证人员装备配置率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CAE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C54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3E6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79D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05C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D6F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6088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4EFA2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D054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BE73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770E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E56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案件公示率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FFC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89E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4B1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B19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1F7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6A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6386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359BB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A4EC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C6AF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6D8F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5AC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案件查处率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687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F99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C23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3AB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4AB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5A1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2090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4BC59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ED38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46F9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79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058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案件录入系统期限</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A8A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D5B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作出行政处罚之日起20个工作日内录入系统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3E16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E6E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作出行政处罚之日起20个工作日内录入系统</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0A8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BD4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40C9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0D158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76A1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F98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A10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经济效益指标</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698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市场秩序</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B63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DBB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维护市场经济发展</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A5DD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BF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维护市场经济发展</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F56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8BD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74B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22E9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5126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6CA3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8B2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2A0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营商环境</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976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02F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不断优化</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A1FD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A26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不断优化</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1BE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972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1D6C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08E3E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AEB0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DFDA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9DDF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D5A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交易秩序</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8F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C60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严厉打击市场领域黑恶势力，维护市场公平公正交易秩序</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6CC7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E64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严厉打击市场领域黑恶势力，维护市场公平公正交易秩序</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5FE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B2E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C9E7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10992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1E58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7C9D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532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生态效益指标</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660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环保发展</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626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D69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治理辖区油烟、污水排放，推进环保发展</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2CDD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896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治理辖区油烟、污水排放，推进环保发展</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722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297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0E81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2489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97EC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4C1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ADB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F33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群众满意度</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27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F86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BC0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851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94E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CF3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9ED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404AE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493C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06E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3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950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430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执法装备配备</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752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27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2F8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元/人年</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FEB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A2C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115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72F1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71E54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4CDA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2C56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98DB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3A0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开展监管执法人员培训</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A97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4A4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DF1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元/人·次</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2CC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≤400元/人·次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0F0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3BD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411C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4BDD7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2670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E905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386C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6CE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执法文书及宣传资料印刷费</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41E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447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18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万元/每项目</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2F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≤2万元/人·次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1D6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6C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1EF1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141DC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032C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1C3D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2FAA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C67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开展执法安全检查</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854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25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D39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元/人·次</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F7A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≤200元/人·次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90D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15A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806F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4C248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7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024A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DEB1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FBE24">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c>
          <w:tcPr>
            <w:tcW w:w="9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4E596">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r>
      <w:tr w14:paraId="7094A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3C6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5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9781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严格执行项目资金的使用，对预算执行进度和绩效目标实现程度实行双监控，自评得分95分。</w:t>
            </w:r>
          </w:p>
        </w:tc>
      </w:tr>
      <w:tr w14:paraId="57CB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664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5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4AD7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4640B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004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5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9E83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6E11D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2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AF36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项目负责人：刘业富</w:t>
            </w:r>
          </w:p>
        </w:tc>
        <w:tc>
          <w:tcPr>
            <w:tcW w:w="276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CFF7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财务负责人：龚大举</w:t>
            </w:r>
          </w:p>
        </w:tc>
      </w:tr>
    </w:tbl>
    <w:p w14:paraId="62B400CF">
      <w:pPr>
        <w:spacing w:line="600" w:lineRule="exact"/>
        <w:jc w:val="center"/>
        <w:outlineLvl w:val="0"/>
        <w:rPr>
          <w:rFonts w:hint="default" w:ascii="Times New Roman" w:hAnsi="Times New Roman" w:eastAsia="黑体" w:cs="Times New Roman"/>
          <w:color w:val="auto"/>
          <w:sz w:val="44"/>
          <w:szCs w:val="44"/>
          <w:highlight w:val="none"/>
        </w:rPr>
      </w:pPr>
    </w:p>
    <w:p w14:paraId="1D1007B1">
      <w:pPr>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rPr>
        <w:br w:type="page"/>
      </w:r>
    </w:p>
    <w:tbl>
      <w:tblPr>
        <w:tblStyle w:val="20"/>
        <w:tblW w:w="50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5"/>
        <w:gridCol w:w="1160"/>
        <w:gridCol w:w="1012"/>
        <w:gridCol w:w="1208"/>
        <w:gridCol w:w="598"/>
        <w:gridCol w:w="530"/>
        <w:gridCol w:w="512"/>
        <w:gridCol w:w="1091"/>
        <w:gridCol w:w="497"/>
        <w:gridCol w:w="486"/>
        <w:gridCol w:w="1699"/>
      </w:tblGrid>
      <w:tr w14:paraId="70B4D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nil"/>
              <w:left w:val="nil"/>
              <w:bottom w:val="nil"/>
              <w:right w:val="nil"/>
            </w:tcBorders>
            <w:shd w:val="clear" w:color="auto" w:fill="auto"/>
            <w:vAlign w:val="center"/>
          </w:tcPr>
          <w:p w14:paraId="2909EB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40"/>
                <w:szCs w:val="40"/>
                <w:u w:val="none"/>
              </w:rPr>
            </w:pPr>
            <w:r>
              <w:rPr>
                <w:rFonts w:hint="default" w:ascii="黑体" w:hAnsi="黑体" w:eastAsia="黑体" w:cs="黑体"/>
                <w:b w:val="0"/>
                <w:bCs w:val="0"/>
                <w:i w:val="0"/>
                <w:iCs w:val="0"/>
                <w:color w:val="000000"/>
                <w:kern w:val="0"/>
                <w:sz w:val="32"/>
                <w:szCs w:val="32"/>
                <w:u w:val="none"/>
                <w:lang w:val="en-US" w:eastAsia="zh-CN" w:bidi="ar"/>
              </w:rPr>
              <w:t>部门预算项目支出绩效自评表</w:t>
            </w:r>
          </w:p>
        </w:tc>
      </w:tr>
      <w:tr w14:paraId="61465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609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7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16A0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信创项目资金</w:t>
            </w:r>
          </w:p>
        </w:tc>
      </w:tr>
      <w:tr w14:paraId="74554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B5E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0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0229A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遂宁市安居区财政局</w:t>
            </w:r>
          </w:p>
        </w:tc>
        <w:tc>
          <w:tcPr>
            <w:tcW w:w="582" w:type="pct"/>
            <w:tcBorders>
              <w:top w:val="nil"/>
              <w:left w:val="nil"/>
              <w:bottom w:val="nil"/>
              <w:right w:val="nil"/>
            </w:tcBorders>
            <w:shd w:val="clear" w:color="auto" w:fill="auto"/>
            <w:vAlign w:val="center"/>
          </w:tcPr>
          <w:p w14:paraId="49E189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实施单位 </w:t>
            </w:r>
          </w:p>
        </w:tc>
        <w:tc>
          <w:tcPr>
            <w:tcW w:w="14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374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遂宁市安居区市场监督管理局</w:t>
            </w:r>
          </w:p>
        </w:tc>
      </w:tr>
      <w:tr w14:paraId="79060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8D6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2EED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0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D678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0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0865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年度目标完成情况</w:t>
            </w:r>
          </w:p>
        </w:tc>
      </w:tr>
      <w:tr w14:paraId="0043E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F4DD1">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BCC24">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c>
          <w:tcPr>
            <w:tcW w:w="20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B953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采购国产办公电脑，提高工作质量</w:t>
            </w:r>
            <w:r>
              <w:rPr>
                <w:rFonts w:hint="eastAsia" w:cs="Times New Roman"/>
                <w:i w:val="0"/>
                <w:iCs w:val="0"/>
                <w:color w:val="000000"/>
                <w:kern w:val="0"/>
                <w:sz w:val="18"/>
                <w:szCs w:val="18"/>
                <w:u w:val="none"/>
                <w:lang w:val="en-US" w:eastAsia="zh-CN" w:bidi="ar"/>
              </w:rPr>
              <w:t>和</w:t>
            </w:r>
            <w:r>
              <w:rPr>
                <w:rFonts w:hint="default" w:ascii="Times New Roman" w:hAnsi="Times New Roman" w:eastAsia="宋体" w:cs="Times New Roman"/>
                <w:i w:val="0"/>
                <w:iCs w:val="0"/>
                <w:color w:val="000000"/>
                <w:kern w:val="0"/>
                <w:sz w:val="18"/>
                <w:szCs w:val="18"/>
                <w:u w:val="none"/>
                <w:lang w:val="en-US" w:eastAsia="zh-CN" w:bidi="ar"/>
              </w:rPr>
              <w:t>国产电脑使用率</w:t>
            </w:r>
          </w:p>
        </w:tc>
        <w:tc>
          <w:tcPr>
            <w:tcW w:w="20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91DB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2024年度已完成采购国产电脑16台，均投入使用</w:t>
            </w:r>
          </w:p>
        </w:tc>
      </w:tr>
      <w:tr w14:paraId="278B2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24582">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6234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7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C316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通过政府采购网采购，严格按照政府采购制度</w:t>
            </w:r>
          </w:p>
        </w:tc>
      </w:tr>
      <w:tr w14:paraId="64814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31D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DE0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   （万元）</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6CF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97D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142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B4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E1C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BA7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F02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161A1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A772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76E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D80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4E9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9.24</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1DF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9.24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23B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EF7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FB3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819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50B0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6280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871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630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377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9.24</w:t>
            </w: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10B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9.24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7AB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25D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BD5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CB249">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黑体" w:cs="Times New Roman"/>
                <w:i w:val="0"/>
                <w:iCs w:val="0"/>
                <w:color w:val="000000"/>
                <w:sz w:val="16"/>
                <w:szCs w:val="16"/>
                <w:u w:val="none"/>
              </w:rPr>
            </w:pPr>
          </w:p>
        </w:tc>
      </w:tr>
      <w:tr w14:paraId="61EB5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8546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D48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财政专户管理资金</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B8FB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6E9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352F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5284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1C46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840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67EB8">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黑体" w:cs="Times New Roman"/>
                <w:i w:val="0"/>
                <w:iCs w:val="0"/>
                <w:color w:val="000000"/>
                <w:sz w:val="16"/>
                <w:szCs w:val="16"/>
                <w:u w:val="none"/>
              </w:rPr>
            </w:pPr>
          </w:p>
        </w:tc>
      </w:tr>
      <w:tr w14:paraId="36F27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478D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22F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98EE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6E08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B42B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658B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3819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496C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48A0B">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黑体" w:cs="Times New Roman"/>
                <w:i w:val="0"/>
                <w:iCs w:val="0"/>
                <w:color w:val="000000"/>
                <w:sz w:val="16"/>
                <w:szCs w:val="16"/>
                <w:u w:val="none"/>
              </w:rPr>
            </w:pPr>
          </w:p>
        </w:tc>
      </w:tr>
      <w:tr w14:paraId="72FA4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2E2E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E69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8B73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5C54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8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E17DD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E907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C73D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1278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F0218">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黑体" w:cs="Times New Roman"/>
                <w:i w:val="0"/>
                <w:iCs w:val="0"/>
                <w:color w:val="000000"/>
                <w:sz w:val="16"/>
                <w:szCs w:val="16"/>
                <w:u w:val="none"/>
              </w:rPr>
            </w:pPr>
          </w:p>
        </w:tc>
      </w:tr>
      <w:tr w14:paraId="79807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9A5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0A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FEA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AD9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5DA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621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6F1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2AF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41F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4A2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766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1BC3A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A1B8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28B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5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66A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6CA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采购办公设备电脑数</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2D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D9F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D2F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台</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927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16台</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246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60A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BC86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0BE48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6662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ECD1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C888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71E2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4473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F3D4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9A0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7DA1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1073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0B8B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67B4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32729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E1FE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6F8E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9AB5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BF73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6BC8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4CEE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4AE7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20A5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4A48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095B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8288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2E876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D4A4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15A5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6ED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FAB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设备投入使用率</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782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C29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34D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E71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246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59D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0398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3F62B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2A98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BFD7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24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CD7E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4269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51E1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351F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7918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04C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7CC3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B86F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02050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9688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C401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380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4BE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每台采购单价</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50E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B8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053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018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5775元/台</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BA0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575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252E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50D26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8CE6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777C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EAE7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0A3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6830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62BA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750E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C49E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4891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3CD2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948F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46A30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B5E4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FE1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BE0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经济效益指标</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8B06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B683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9CA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1689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7DE5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877C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3438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3527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03936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CDF0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2577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14A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59CD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0E7A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299A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2D60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07F1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4167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C5E3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ECA5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057CA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471C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6782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36BF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7DA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EC3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D455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04F4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A8DF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AF0D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2D8D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F6C3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28B74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2737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50AD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FA7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生态效益指标</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844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F724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3127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972C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0A22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CC19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02D1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F003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28E28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4814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BF5B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7D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A72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设施设备使用年限</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085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06C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A27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D9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≥6年</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513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34F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0943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3BE99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90AE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2AB8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A21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5179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CF36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37A6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F0ED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271C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5244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EAE3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9E8C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6729B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FC20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178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390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98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eastAsia" w:cs="Times New Roman"/>
                <w:i w:val="0"/>
                <w:iCs w:val="0"/>
                <w:color w:val="000000"/>
                <w:kern w:val="0"/>
                <w:sz w:val="18"/>
                <w:szCs w:val="18"/>
                <w:u w:val="none"/>
                <w:lang w:val="en-US" w:eastAsia="zh-CN" w:bidi="ar"/>
              </w:rPr>
              <w:t>使用服务对象</w:t>
            </w:r>
            <w:r>
              <w:rPr>
                <w:rFonts w:hint="default" w:ascii="Times New Roman" w:hAnsi="Times New Roman" w:eastAsia="宋体" w:cs="Times New Roman"/>
                <w:i w:val="0"/>
                <w:iCs w:val="0"/>
                <w:color w:val="000000"/>
                <w:kern w:val="0"/>
                <w:sz w:val="18"/>
                <w:szCs w:val="18"/>
                <w:u w:val="none"/>
                <w:lang w:val="en-US" w:eastAsia="zh-CN" w:bidi="ar"/>
              </w:rPr>
              <w:t>满意度</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BB9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BC4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14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963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C62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D7F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921F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17E23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924E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4E98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3F9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5AB2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9DED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F80F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59D3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1397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8D4F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1995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8BDF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762BA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6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BE5A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03A4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DB7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7D2C9">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r>
      <w:tr w14:paraId="635F9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357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9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095F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严格执行项目资金的使用，按照政府采购程序采购，并严格控制开支，未超预算支出，自评得分100分。</w:t>
            </w:r>
          </w:p>
        </w:tc>
      </w:tr>
      <w:tr w14:paraId="3823B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30D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9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337D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70E80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4C1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9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FEEC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20C22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4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21FF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项目负责人：李凤</w:t>
            </w:r>
          </w:p>
        </w:tc>
        <w:tc>
          <w:tcPr>
            <w:tcW w:w="256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02F0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财务负责人：龚大举</w:t>
            </w:r>
          </w:p>
        </w:tc>
      </w:tr>
    </w:tbl>
    <w:p w14:paraId="13FE2591">
      <w:pPr>
        <w:spacing w:line="600" w:lineRule="exact"/>
        <w:jc w:val="center"/>
        <w:outlineLvl w:val="0"/>
        <w:rPr>
          <w:rFonts w:hint="default" w:ascii="Times New Roman" w:hAnsi="Times New Roman" w:eastAsia="黑体" w:cs="Times New Roman"/>
          <w:color w:val="auto"/>
          <w:sz w:val="44"/>
          <w:szCs w:val="44"/>
          <w:highlight w:val="none"/>
        </w:rPr>
      </w:pPr>
    </w:p>
    <w:p w14:paraId="686FA349">
      <w:pPr>
        <w:spacing w:line="600" w:lineRule="exact"/>
        <w:jc w:val="center"/>
        <w:outlineLvl w:val="0"/>
        <w:rPr>
          <w:rFonts w:hint="default" w:ascii="Times New Roman" w:hAnsi="Times New Roman" w:eastAsia="黑体" w:cs="Times New Roman"/>
          <w:color w:val="auto"/>
          <w:sz w:val="44"/>
          <w:szCs w:val="44"/>
          <w:highlight w:val="none"/>
        </w:rPr>
      </w:pPr>
    </w:p>
    <w:p w14:paraId="45A53F4D">
      <w:pPr>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rPr>
        <w:br w:type="page"/>
      </w:r>
    </w:p>
    <w:tbl>
      <w:tblPr>
        <w:tblStyle w:val="20"/>
        <w:tblW w:w="50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5"/>
        <w:gridCol w:w="1059"/>
        <w:gridCol w:w="1150"/>
        <w:gridCol w:w="1308"/>
        <w:gridCol w:w="673"/>
        <w:gridCol w:w="388"/>
        <w:gridCol w:w="477"/>
        <w:gridCol w:w="1006"/>
        <w:gridCol w:w="671"/>
        <w:gridCol w:w="486"/>
        <w:gridCol w:w="1403"/>
        <w:gridCol w:w="167"/>
      </w:tblGrid>
      <w:tr w14:paraId="05B66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9" w:type="pct"/>
          <w:trHeight w:val="498" w:hRule="atLeast"/>
        </w:trPr>
        <w:tc>
          <w:tcPr>
            <w:tcW w:w="4910" w:type="pct"/>
            <w:gridSpan w:val="11"/>
            <w:tcBorders>
              <w:top w:val="nil"/>
              <w:left w:val="nil"/>
              <w:bottom w:val="nil"/>
              <w:right w:val="nil"/>
            </w:tcBorders>
            <w:shd w:val="clear" w:color="auto" w:fill="auto"/>
            <w:vAlign w:val="center"/>
          </w:tcPr>
          <w:p w14:paraId="65030D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40"/>
                <w:szCs w:val="40"/>
                <w:u w:val="none"/>
              </w:rPr>
            </w:pPr>
            <w:r>
              <w:rPr>
                <w:rFonts w:hint="default" w:ascii="黑体" w:hAnsi="黑体" w:eastAsia="黑体" w:cs="黑体"/>
                <w:b w:val="0"/>
                <w:bCs w:val="0"/>
                <w:i w:val="0"/>
                <w:iCs w:val="0"/>
                <w:color w:val="000000"/>
                <w:kern w:val="0"/>
                <w:sz w:val="32"/>
                <w:szCs w:val="32"/>
                <w:u w:val="none"/>
                <w:lang w:val="en-US" w:eastAsia="zh-CN" w:bidi="ar"/>
              </w:rPr>
              <w:t>部门预算项目支出绩效自评表</w:t>
            </w:r>
          </w:p>
        </w:tc>
      </w:tr>
      <w:tr w14:paraId="292EB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9" w:type="pct"/>
          <w:trHeight w:val="560" w:hRule="atLeast"/>
        </w:trPr>
        <w:tc>
          <w:tcPr>
            <w:tcW w:w="8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895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56E0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2023年食品监督抽检经费</w:t>
            </w:r>
          </w:p>
        </w:tc>
      </w:tr>
      <w:tr w14:paraId="5C204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9" w:type="pct"/>
          <w:trHeight w:val="512" w:hRule="atLeast"/>
        </w:trPr>
        <w:tc>
          <w:tcPr>
            <w:tcW w:w="8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054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13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4257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遂宁市安居区财政局</w:t>
            </w:r>
          </w:p>
        </w:tc>
        <w:tc>
          <w:tcPr>
            <w:tcW w:w="537" w:type="pct"/>
            <w:tcBorders>
              <w:top w:val="nil"/>
              <w:left w:val="nil"/>
              <w:bottom w:val="nil"/>
              <w:right w:val="nil"/>
            </w:tcBorders>
            <w:shd w:val="clear" w:color="auto" w:fill="auto"/>
            <w:vAlign w:val="center"/>
          </w:tcPr>
          <w:p w14:paraId="625804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实施单位 </w:t>
            </w:r>
          </w:p>
        </w:tc>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534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遂宁市安居区市场监督管理局</w:t>
            </w:r>
          </w:p>
        </w:tc>
      </w:tr>
      <w:tr w14:paraId="5DEEB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9" w:type="pct"/>
          <w:trHeight w:val="360" w:hRule="atLeast"/>
        </w:trPr>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E930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1D0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13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BB99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9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B590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年度目标完成情况</w:t>
            </w:r>
          </w:p>
        </w:tc>
      </w:tr>
      <w:tr w14:paraId="327D1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9" w:type="pct"/>
          <w:trHeight w:val="256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269A4">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526F2">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c>
          <w:tcPr>
            <w:tcW w:w="213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C586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按照省局、市局食品安全监督抽检计划要求开展食品安全抽检，完成</w:t>
            </w:r>
            <w:r>
              <w:rPr>
                <w:rFonts w:hint="eastAsia" w:cs="Times New Roman"/>
                <w:i w:val="0"/>
                <w:iCs w:val="0"/>
                <w:color w:val="000000"/>
                <w:kern w:val="0"/>
                <w:sz w:val="18"/>
                <w:szCs w:val="18"/>
                <w:u w:val="none"/>
                <w:lang w:val="en-US" w:eastAsia="zh-CN" w:bidi="ar"/>
              </w:rPr>
              <w:t>区委区政府党政</w:t>
            </w:r>
            <w:r>
              <w:rPr>
                <w:rFonts w:hint="default" w:ascii="Times New Roman" w:hAnsi="Times New Roman" w:eastAsia="宋体" w:cs="Times New Roman"/>
                <w:i w:val="0"/>
                <w:iCs w:val="0"/>
                <w:color w:val="000000"/>
                <w:kern w:val="0"/>
                <w:sz w:val="18"/>
                <w:szCs w:val="18"/>
                <w:u w:val="none"/>
                <w:lang w:val="en-US" w:eastAsia="zh-CN" w:bidi="ar"/>
              </w:rPr>
              <w:t>同责考核任务中食品安全抽检任务。我局积极组织配合完成省抽、市抽，自主完成区级抽检任务。负责制定本辖区年度食品安全抽检方案并组织实施区级抽检任务；负责区级任务的复检异议受理和信息发布等工作；汇总上报本辖区年度抽检工作情况；负责与承检机构共同完成辖区内的抽样工作；负责将承检机构上报的不合格食品检验报告及相关材料送至被抽样单位；负责组织对辖区内不合格食品开展问题产生原因的分析调查及督促整改等核查处置工作，按时限要求将相关处置情况上报数据平台；预计明年开展食品抽检800批次以上。通过食品抽检找出食品潜在风险，精准打击，防患未然，结合日常监管做好源头管控，守护食品安全底线，不断提高食品质量，创建舒心消费环境。</w:t>
            </w:r>
          </w:p>
        </w:tc>
        <w:tc>
          <w:tcPr>
            <w:tcW w:w="19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A6A5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制定了年度抽检计划，按照抽检计划开展均衡抽检，完成年度抽检任务875批次，其中食用农产品抽检300批次，自主抽检575批次。对学校食堂、食品再生产企业实现全覆盖。根据食品抽检结果形成风险分析报告，为日常监管和下年食品抽检提供科学依据。</w:t>
            </w:r>
          </w:p>
        </w:tc>
      </w:tr>
      <w:tr w14:paraId="573B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9" w:type="pct"/>
          <w:trHeight w:val="693"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68DA9">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4B8D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E6D9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安居区市场监督管理局在2023年度组织实施了食品安全监督抽检工作，共计875批次覆盖食品生产、流通、餐饮等多个环节。通过严格的抽检和检测，能及时发现食品安全风险问题并同时降低部分食品安全风险隐患，有效维护食品安全市场秩序。</w:t>
            </w:r>
          </w:p>
        </w:tc>
      </w:tr>
      <w:tr w14:paraId="21658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9" w:type="pct"/>
          <w:trHeight w:val="620" w:hRule="atLeast"/>
        </w:trPr>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BE4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13A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   （万元）</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314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F9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8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0BAA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44A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843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BFA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E41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6E514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9" w:type="pct"/>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F749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49D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469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517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49.00</w:t>
            </w:r>
          </w:p>
        </w:tc>
        <w:tc>
          <w:tcPr>
            <w:tcW w:w="8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61F1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49.00</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AB3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622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563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D21A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CB4F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9" w:type="pct"/>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BA2E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E35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4CE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AF9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49.00</w:t>
            </w:r>
          </w:p>
        </w:tc>
        <w:tc>
          <w:tcPr>
            <w:tcW w:w="8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6CC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49.00</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740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88B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883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026AB">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黑体" w:cs="Times New Roman"/>
                <w:i w:val="0"/>
                <w:iCs w:val="0"/>
                <w:color w:val="000000"/>
                <w:sz w:val="16"/>
                <w:szCs w:val="16"/>
                <w:u w:val="none"/>
              </w:rPr>
            </w:pPr>
          </w:p>
        </w:tc>
      </w:tr>
      <w:tr w14:paraId="174D3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9" w:type="pct"/>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4056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EE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财政专户管理资金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83C4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373A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4866B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22E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1807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8EF4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9A6F2">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黑体" w:cs="Times New Roman"/>
                <w:i w:val="0"/>
                <w:iCs w:val="0"/>
                <w:color w:val="000000"/>
                <w:sz w:val="16"/>
                <w:szCs w:val="16"/>
                <w:u w:val="none"/>
              </w:rPr>
            </w:pPr>
          </w:p>
        </w:tc>
      </w:tr>
      <w:tr w14:paraId="3B1C7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9" w:type="pct"/>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5F2E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66A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2B79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1CDE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C4606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1269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9975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A0C0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2BB8E">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黑体" w:cs="Times New Roman"/>
                <w:i w:val="0"/>
                <w:iCs w:val="0"/>
                <w:color w:val="000000"/>
                <w:sz w:val="16"/>
                <w:szCs w:val="16"/>
                <w:u w:val="none"/>
              </w:rPr>
            </w:pPr>
          </w:p>
        </w:tc>
      </w:tr>
      <w:tr w14:paraId="533CC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9" w:type="pct"/>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4DE8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684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3DD7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F68F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8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244FB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9846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2E4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26FB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D4B5F">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黑体" w:cs="Times New Roman"/>
                <w:i w:val="0"/>
                <w:iCs w:val="0"/>
                <w:color w:val="000000"/>
                <w:sz w:val="16"/>
                <w:szCs w:val="16"/>
                <w:u w:val="none"/>
              </w:rPr>
            </w:pPr>
          </w:p>
        </w:tc>
      </w:tr>
      <w:tr w14:paraId="67442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5D4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82C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BE8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15D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4C2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328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FBF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B3E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104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1DF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3A4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46A79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AB90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F96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614" w:type="pct"/>
            <w:tcBorders>
              <w:top w:val="single" w:color="000000" w:sz="4" w:space="0"/>
              <w:left w:val="single" w:color="000000" w:sz="4" w:space="0"/>
              <w:bottom w:val="nil"/>
              <w:right w:val="single" w:color="000000" w:sz="4" w:space="0"/>
            </w:tcBorders>
            <w:shd w:val="clear" w:color="auto" w:fill="auto"/>
            <w:vAlign w:val="center"/>
          </w:tcPr>
          <w:p w14:paraId="1CEE45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E92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食品抽检批次</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06A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D34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939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批次</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0A0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875</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3F3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94E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F556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27074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2258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EA6E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007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323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检测结果信息公示率</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29B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238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907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093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DCC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9FB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980D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7F5A1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D88F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267D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CD2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AAC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每季度抽检食品样本数</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DEF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81C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1D8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B46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≥200个</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BF2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0ED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278B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1A641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7023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47C8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4" w:type="pct"/>
            <w:tcBorders>
              <w:top w:val="single" w:color="000000" w:sz="4" w:space="0"/>
              <w:left w:val="single" w:color="000000" w:sz="4" w:space="0"/>
              <w:bottom w:val="nil"/>
              <w:right w:val="single" w:color="000000" w:sz="4" w:space="0"/>
            </w:tcBorders>
            <w:shd w:val="clear" w:color="auto" w:fill="auto"/>
            <w:vAlign w:val="center"/>
          </w:tcPr>
          <w:p w14:paraId="1AB741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AFF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每个样品抽检费用</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959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C82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900</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80E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343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800元</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B38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00B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A382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6293F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DD16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596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89C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经济效益指标</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D02A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49E9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AA98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2B8B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7523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F1FE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2FD5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A6DF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376C1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5ED7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516F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4" w:type="pct"/>
            <w:tcBorders>
              <w:top w:val="single" w:color="000000" w:sz="4" w:space="0"/>
              <w:left w:val="single" w:color="000000" w:sz="4" w:space="0"/>
              <w:bottom w:val="nil"/>
              <w:right w:val="single" w:color="000000" w:sz="4" w:space="0"/>
            </w:tcBorders>
            <w:shd w:val="clear" w:color="auto" w:fill="auto"/>
            <w:vAlign w:val="center"/>
          </w:tcPr>
          <w:p w14:paraId="3FC438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10BC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7129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8589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1256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A797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534E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F688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DB2F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66336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E4CC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5C53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A28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生态效益指标</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9E42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8C6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B95A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9E7A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B078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1EC1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D2E7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0EB4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5A880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627A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F624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74E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213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食品质量安全</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0AB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865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不断提高</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E166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1EF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不断提高</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300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469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7EAF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22761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1A5B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C9D9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898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7F97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B240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6625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8814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9CC0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0D0F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322A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380B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4C29A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C572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EE0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21F0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980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人民群众满意度</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9E0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DDE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71E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CB8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133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6C1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3AC9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09FA7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D361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65FF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A36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BCA6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F92E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0D91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52D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CA3A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7ABD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37D4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4E39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63156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9" w:type="pct"/>
          <w:trHeight w:val="286" w:hRule="atLeast"/>
        </w:trPr>
        <w:tc>
          <w:tcPr>
            <w:tcW w:w="35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8705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724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6AA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BACF7">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r>
      <w:tr w14:paraId="3D7C1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9" w:type="pct"/>
          <w:trHeight w:val="603"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06E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0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460D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严格执行项目资金的使用，对预算执行进度和绩效目标实现程度实行双监控，自评得分100分。</w:t>
            </w:r>
          </w:p>
        </w:tc>
      </w:tr>
      <w:tr w14:paraId="0DAA8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9" w:type="pct"/>
          <w:trHeight w:val="572"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EF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0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1B71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7787D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9" w:type="pct"/>
          <w:trHeight w:val="633"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AC4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0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E53C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200D0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9" w:type="pct"/>
          <w:trHeight w:val="620" w:hRule="atLeast"/>
        </w:trPr>
        <w:tc>
          <w:tcPr>
            <w:tcW w:w="254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589A7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项目负责人：张飞飞</w:t>
            </w:r>
          </w:p>
        </w:tc>
        <w:tc>
          <w:tcPr>
            <w:tcW w:w="236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BDFC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财务负责人：龚大举</w:t>
            </w:r>
          </w:p>
        </w:tc>
      </w:tr>
    </w:tbl>
    <w:p w14:paraId="7B26994E">
      <w:pPr>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rPr>
        <w:br w:type="page"/>
      </w:r>
    </w:p>
    <w:p w14:paraId="43B1009D">
      <w:pPr>
        <w:pStyle w:val="26"/>
        <w:rPr>
          <w:rFonts w:hint="default"/>
        </w:rPr>
      </w:pPr>
    </w:p>
    <w:tbl>
      <w:tblPr>
        <w:tblStyle w:val="20"/>
        <w:tblW w:w="511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109"/>
        <w:gridCol w:w="964"/>
        <w:gridCol w:w="1278"/>
        <w:gridCol w:w="399"/>
        <w:gridCol w:w="1127"/>
        <w:gridCol w:w="316"/>
        <w:gridCol w:w="991"/>
        <w:gridCol w:w="486"/>
        <w:gridCol w:w="486"/>
        <w:gridCol w:w="1674"/>
      </w:tblGrid>
      <w:tr w14:paraId="169EA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nil"/>
              <w:left w:val="nil"/>
              <w:bottom w:val="nil"/>
              <w:right w:val="nil"/>
            </w:tcBorders>
            <w:shd w:val="clear" w:color="auto" w:fill="auto"/>
            <w:vAlign w:val="center"/>
          </w:tcPr>
          <w:p w14:paraId="5ABF21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40"/>
                <w:szCs w:val="40"/>
                <w:u w:val="none"/>
              </w:rPr>
            </w:pPr>
            <w:r>
              <w:rPr>
                <w:rFonts w:hint="default" w:ascii="黑体" w:hAnsi="黑体" w:eastAsia="黑体" w:cs="黑体"/>
                <w:b w:val="0"/>
                <w:bCs w:val="0"/>
                <w:i w:val="0"/>
                <w:iCs w:val="0"/>
                <w:color w:val="000000"/>
                <w:kern w:val="0"/>
                <w:sz w:val="32"/>
                <w:szCs w:val="32"/>
                <w:u w:val="none"/>
                <w:lang w:val="en-US" w:eastAsia="zh-CN" w:bidi="ar"/>
              </w:rPr>
              <w:t>部门预算项目支出绩效自评表</w:t>
            </w:r>
          </w:p>
        </w:tc>
      </w:tr>
      <w:tr w14:paraId="16A5B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B79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10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D597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创建省级食品安全示范县经费</w:t>
            </w:r>
          </w:p>
        </w:tc>
      </w:tr>
      <w:tr w14:paraId="2389A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DE39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1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9127C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遂宁市安居区财政局</w:t>
            </w:r>
          </w:p>
        </w:tc>
        <w:tc>
          <w:tcPr>
            <w:tcW w:w="526" w:type="pct"/>
            <w:tcBorders>
              <w:top w:val="nil"/>
              <w:left w:val="nil"/>
              <w:bottom w:val="nil"/>
              <w:right w:val="nil"/>
            </w:tcBorders>
            <w:shd w:val="clear" w:color="auto" w:fill="auto"/>
            <w:vAlign w:val="center"/>
          </w:tcPr>
          <w:p w14:paraId="1E616E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实施单位 </w:t>
            </w:r>
          </w:p>
        </w:tc>
        <w:tc>
          <w:tcPr>
            <w:tcW w:w="14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E69C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遂宁市安居区市场监督管理局</w:t>
            </w:r>
          </w:p>
        </w:tc>
      </w:tr>
      <w:tr w14:paraId="2D4AD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589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650F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1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0918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93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A397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年度目标完成情况</w:t>
            </w:r>
          </w:p>
        </w:tc>
      </w:tr>
      <w:tr w14:paraId="54821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2F1C7">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24DF6">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c>
          <w:tcPr>
            <w:tcW w:w="21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5670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按照《四川省食品安全委员会关于公布第四批四川省食品安全示范县（市、区）创建名单的通知》（川食安委〔2023〕1号），积极推进安居区创建省级食品安全示范县工作。</w:t>
            </w:r>
          </w:p>
        </w:tc>
        <w:tc>
          <w:tcPr>
            <w:tcW w:w="193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32EF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召开全区食安委全体会议1次，专题食品安全工作会议2次，制作张贴包保公示牌和食品安全示范县创建公告2000个，全面提升食品示范县创建知晓率。</w:t>
            </w:r>
          </w:p>
        </w:tc>
      </w:tr>
      <w:tr w14:paraId="750BA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F4D69">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5CE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10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816E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召开食品安全工作会部署全区食品安全示范县创建工作，通过张贴食品安全示范县创建公示公告的形式大力提升食品安全示范县创建群众知晓率，通过制作公示食品安全包保责任公示牌，压实属地包保和食品生产经营主体责任，提升全区食品安全管理水平。</w:t>
            </w:r>
          </w:p>
        </w:tc>
      </w:tr>
      <w:tr w14:paraId="02E9D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BFB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E30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   （万元）</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33D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36B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9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7621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069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5F3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9E1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88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5B8C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9622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4A1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21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886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9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C3AA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170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53E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22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43C5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D13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A293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7F2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E9E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791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9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959F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1CB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06C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E4A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5BF4C">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黑体" w:cs="Times New Roman"/>
                <w:i w:val="0"/>
                <w:iCs w:val="0"/>
                <w:color w:val="000000"/>
                <w:sz w:val="16"/>
                <w:szCs w:val="16"/>
                <w:u w:val="none"/>
              </w:rPr>
            </w:pPr>
          </w:p>
        </w:tc>
      </w:tr>
      <w:tr w14:paraId="167F0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496B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77C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财政专户管理资金</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39F3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CDF8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6331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8EB0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629F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4D78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8B1B4">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黑体" w:cs="Times New Roman"/>
                <w:i w:val="0"/>
                <w:iCs w:val="0"/>
                <w:color w:val="000000"/>
                <w:sz w:val="16"/>
                <w:szCs w:val="16"/>
                <w:u w:val="none"/>
              </w:rPr>
            </w:pPr>
          </w:p>
        </w:tc>
      </w:tr>
      <w:tr w14:paraId="46183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1B18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D35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77BC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17E1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5B349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84D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FFFA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684D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8448A">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黑体" w:cs="Times New Roman"/>
                <w:i w:val="0"/>
                <w:iCs w:val="0"/>
                <w:color w:val="000000"/>
                <w:sz w:val="16"/>
                <w:szCs w:val="16"/>
                <w:u w:val="none"/>
              </w:rPr>
            </w:pPr>
          </w:p>
        </w:tc>
      </w:tr>
      <w:tr w14:paraId="6436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F884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ED2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289A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1F9E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9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D4F6D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2423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E367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28A3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D4233">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黑体" w:cs="Times New Roman"/>
                <w:i w:val="0"/>
                <w:iCs w:val="0"/>
                <w:color w:val="000000"/>
                <w:sz w:val="16"/>
                <w:szCs w:val="16"/>
                <w:u w:val="none"/>
              </w:rPr>
            </w:pPr>
          </w:p>
        </w:tc>
      </w:tr>
      <w:tr w14:paraId="2B529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064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51C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26D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5CA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EE3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20B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D4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FC9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547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C30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6A2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70733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756C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9" w:type="pct"/>
            <w:vMerge w:val="restart"/>
            <w:tcBorders>
              <w:top w:val="single" w:color="000000" w:sz="4" w:space="0"/>
              <w:left w:val="single" w:color="000000" w:sz="4" w:space="0"/>
              <w:bottom w:val="nil"/>
              <w:right w:val="nil"/>
            </w:tcBorders>
            <w:shd w:val="clear" w:color="auto" w:fill="auto"/>
            <w:vAlign w:val="center"/>
          </w:tcPr>
          <w:p w14:paraId="4382D7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512" w:type="pct"/>
            <w:vMerge w:val="restart"/>
            <w:tcBorders>
              <w:top w:val="single" w:color="000000" w:sz="4" w:space="0"/>
              <w:left w:val="single" w:color="000000" w:sz="4" w:space="0"/>
              <w:bottom w:val="nil"/>
              <w:right w:val="single" w:color="000000" w:sz="4" w:space="0"/>
            </w:tcBorders>
            <w:shd w:val="clear" w:color="auto" w:fill="auto"/>
            <w:vAlign w:val="center"/>
          </w:tcPr>
          <w:p w14:paraId="1CC79A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37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召开食品安全会议</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675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023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80A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585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3次</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1A1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AA8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F289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6BB97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84DB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9" w:type="pct"/>
            <w:vMerge w:val="continue"/>
            <w:tcBorders>
              <w:top w:val="single" w:color="000000" w:sz="4" w:space="0"/>
              <w:left w:val="single" w:color="000000" w:sz="4" w:space="0"/>
              <w:bottom w:val="nil"/>
              <w:right w:val="nil"/>
            </w:tcBorders>
            <w:shd w:val="clear" w:color="auto" w:fill="auto"/>
            <w:vAlign w:val="center"/>
          </w:tcPr>
          <w:p w14:paraId="35C82B8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12" w:type="pct"/>
            <w:vMerge w:val="continue"/>
            <w:tcBorders>
              <w:top w:val="single" w:color="000000" w:sz="4" w:space="0"/>
              <w:left w:val="single" w:color="000000" w:sz="4" w:space="0"/>
              <w:bottom w:val="nil"/>
              <w:right w:val="single" w:color="000000" w:sz="4" w:space="0"/>
            </w:tcBorders>
            <w:shd w:val="clear" w:color="auto" w:fill="auto"/>
            <w:vAlign w:val="center"/>
          </w:tcPr>
          <w:p w14:paraId="51F86A6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BC8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制作包保信息公示牌、手册、宣传资料等</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730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D32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DEC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D07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≤2000个</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88B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53F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F88D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3FB17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C150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9" w:type="pct"/>
            <w:vMerge w:val="continue"/>
            <w:tcBorders>
              <w:top w:val="single" w:color="000000" w:sz="4" w:space="0"/>
              <w:left w:val="single" w:color="000000" w:sz="4" w:space="0"/>
              <w:bottom w:val="nil"/>
              <w:right w:val="nil"/>
            </w:tcBorders>
            <w:shd w:val="clear" w:color="auto" w:fill="auto"/>
            <w:vAlign w:val="center"/>
          </w:tcPr>
          <w:p w14:paraId="50312FD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A6E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62C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创建食品安全示范县知晓率</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72B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685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51B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63D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EBE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07A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B542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2D64F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76AA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9" w:type="pct"/>
            <w:vMerge w:val="continue"/>
            <w:tcBorders>
              <w:top w:val="single" w:color="000000" w:sz="4" w:space="0"/>
              <w:left w:val="single" w:color="000000" w:sz="4" w:space="0"/>
              <w:bottom w:val="nil"/>
              <w:right w:val="nil"/>
            </w:tcBorders>
            <w:shd w:val="clear" w:color="auto" w:fill="auto"/>
            <w:vAlign w:val="center"/>
          </w:tcPr>
          <w:p w14:paraId="0C1892A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44BD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97C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食品安全包保信息公示栏覆盖率</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B85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E4F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661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606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1A0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850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9FAC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7969F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A4EE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9" w:type="pct"/>
            <w:vMerge w:val="continue"/>
            <w:tcBorders>
              <w:top w:val="single" w:color="000000" w:sz="4" w:space="0"/>
              <w:left w:val="single" w:color="000000" w:sz="4" w:space="0"/>
              <w:bottom w:val="nil"/>
              <w:right w:val="nil"/>
            </w:tcBorders>
            <w:shd w:val="clear" w:color="auto" w:fill="auto"/>
            <w:vAlign w:val="center"/>
          </w:tcPr>
          <w:p w14:paraId="68C7CB7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5F9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F2E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全面完成时间</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92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5AA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A04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月</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9E3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11月</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43F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22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679D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6853B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CC40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9" w:type="pct"/>
            <w:vMerge w:val="continue"/>
            <w:tcBorders>
              <w:top w:val="single" w:color="000000" w:sz="4" w:space="0"/>
              <w:left w:val="single" w:color="000000" w:sz="4" w:space="0"/>
              <w:bottom w:val="nil"/>
              <w:right w:val="nil"/>
            </w:tcBorders>
            <w:shd w:val="clear" w:color="auto" w:fill="auto"/>
            <w:vAlign w:val="center"/>
          </w:tcPr>
          <w:p w14:paraId="57B7762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1FF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E50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落实食品安全“两个责任”资料费</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CB8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29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EC2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105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≤2万元/次</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92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C4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EEB7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273FB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B51B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9" w:type="pct"/>
            <w:vMerge w:val="continue"/>
            <w:tcBorders>
              <w:top w:val="single" w:color="000000" w:sz="4" w:space="0"/>
              <w:left w:val="single" w:color="000000" w:sz="4" w:space="0"/>
              <w:bottom w:val="nil"/>
              <w:right w:val="nil"/>
            </w:tcBorders>
            <w:shd w:val="clear" w:color="auto" w:fill="auto"/>
            <w:vAlign w:val="center"/>
          </w:tcPr>
          <w:p w14:paraId="4FDDB0A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CB50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BBA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开展食品安全大型广告宣传</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F1C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553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209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E71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≤2万元/次</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8F8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EE5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3B39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7D526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EF25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9" w:type="pct"/>
            <w:vMerge w:val="continue"/>
            <w:tcBorders>
              <w:top w:val="single" w:color="000000" w:sz="4" w:space="0"/>
              <w:left w:val="single" w:color="000000" w:sz="4" w:space="0"/>
              <w:bottom w:val="nil"/>
              <w:right w:val="nil"/>
            </w:tcBorders>
            <w:shd w:val="clear" w:color="auto" w:fill="auto"/>
            <w:vAlign w:val="center"/>
          </w:tcPr>
          <w:p w14:paraId="015E0A8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4923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EA9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开展重大食品安全会议</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8C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C7F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319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万元/场</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B97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≤1万元/场</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79B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E45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E34A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4C503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1AC8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4FA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424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经济效益指标</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0F30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D4A9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96F1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C45C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7B16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067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30DE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81A8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07A0D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89BF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1B1A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6FE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D46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食品安全</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4EB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B9E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不断提高</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7E6C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54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不断提高</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24E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B02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403B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0D5B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1C88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36D1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C0DE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9E9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营商环境</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B68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465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不断优化</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C21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30F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不断优化</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0EF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E17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9268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3844D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4C6E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9C93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A2C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生态效益指标</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8832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DED5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88AB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ACBE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591B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1C9B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BC5F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5D7D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69F12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F885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44A7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563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可持续影响指标</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6255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2125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E80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E7D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88CA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E4D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8E95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F62E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52224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82E5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3B35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116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E4EA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4CC5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10EE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5D5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646A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57BF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9F5A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DCD2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348EA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A31E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7E1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ACD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D21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群众满意度</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654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A9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9ED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227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84.12%</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CA9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846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27A9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5CD26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D87A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E82A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291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C972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BEFA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C421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ACF5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CA5B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FCD9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58F2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8558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06A9A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9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8922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C6A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BCB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34F2C">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r>
      <w:tr w14:paraId="62431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EC7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9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E64B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严格执行项目资金的使用，对预算执行进度和绩效目标实现程度实行双监控，自评得分100分。</w:t>
            </w:r>
          </w:p>
        </w:tc>
      </w:tr>
      <w:tr w14:paraId="295C4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5B8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9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5A31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524F2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98A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9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C2AC7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4CB5D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2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3317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项目负责人：张飞飞</w:t>
            </w:r>
          </w:p>
        </w:tc>
        <w:tc>
          <w:tcPr>
            <w:tcW w:w="27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512E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财务负责人：龚大举</w:t>
            </w:r>
          </w:p>
        </w:tc>
      </w:tr>
    </w:tbl>
    <w:p w14:paraId="026166D3">
      <w:pPr>
        <w:spacing w:line="600" w:lineRule="exact"/>
        <w:jc w:val="center"/>
        <w:outlineLvl w:val="0"/>
        <w:rPr>
          <w:rFonts w:hint="default" w:ascii="Times New Roman" w:hAnsi="Times New Roman" w:eastAsia="黑体" w:cs="Times New Roman"/>
          <w:color w:val="auto"/>
          <w:sz w:val="44"/>
          <w:szCs w:val="44"/>
          <w:highlight w:val="none"/>
        </w:rPr>
      </w:pPr>
    </w:p>
    <w:p w14:paraId="67909FC3">
      <w:pPr>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rPr>
        <w:br w:type="page"/>
      </w:r>
    </w:p>
    <w:tbl>
      <w:tblPr>
        <w:tblStyle w:val="20"/>
        <w:tblW w:w="50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083"/>
        <w:gridCol w:w="944"/>
        <w:gridCol w:w="1276"/>
        <w:gridCol w:w="569"/>
        <w:gridCol w:w="476"/>
        <w:gridCol w:w="512"/>
        <w:gridCol w:w="1182"/>
        <w:gridCol w:w="635"/>
        <w:gridCol w:w="501"/>
        <w:gridCol w:w="1442"/>
        <w:gridCol w:w="172"/>
      </w:tblGrid>
      <w:tr w14:paraId="3DCD9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1" w:type="pct"/>
          <w:trHeight w:val="904" w:hRule="atLeast"/>
        </w:trPr>
        <w:tc>
          <w:tcPr>
            <w:tcW w:w="4908" w:type="pct"/>
            <w:gridSpan w:val="11"/>
            <w:tcBorders>
              <w:top w:val="nil"/>
              <w:left w:val="nil"/>
              <w:bottom w:val="nil"/>
              <w:right w:val="nil"/>
            </w:tcBorders>
            <w:shd w:val="clear" w:color="auto" w:fill="auto"/>
            <w:vAlign w:val="center"/>
          </w:tcPr>
          <w:p w14:paraId="221D8B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40"/>
                <w:szCs w:val="40"/>
                <w:u w:val="none"/>
              </w:rPr>
            </w:pPr>
            <w:r>
              <w:rPr>
                <w:rFonts w:hint="default" w:ascii="黑体" w:hAnsi="黑体" w:eastAsia="黑体" w:cs="黑体"/>
                <w:b w:val="0"/>
                <w:bCs w:val="0"/>
                <w:i w:val="0"/>
                <w:iCs w:val="0"/>
                <w:color w:val="000000"/>
                <w:kern w:val="0"/>
                <w:sz w:val="32"/>
                <w:szCs w:val="32"/>
                <w:u w:val="none"/>
                <w:lang w:val="en-US" w:eastAsia="zh-CN" w:bidi="ar"/>
              </w:rPr>
              <w:t>部门预算项目支出绩效自评表</w:t>
            </w:r>
          </w:p>
        </w:tc>
      </w:tr>
      <w:tr w14:paraId="48E40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pct"/>
          <w:trHeight w:val="560"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C0E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2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1152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食品安全监管等经费</w:t>
            </w:r>
          </w:p>
        </w:tc>
      </w:tr>
      <w:tr w14:paraId="037E6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pct"/>
          <w:trHeight w:val="512" w:hRule="atLeast"/>
        </w:trPr>
        <w:tc>
          <w:tcPr>
            <w:tcW w:w="8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7EB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0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130B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遂宁市安居区财政局</w:t>
            </w:r>
          </w:p>
        </w:tc>
        <w:tc>
          <w:tcPr>
            <w:tcW w:w="630" w:type="pct"/>
            <w:tcBorders>
              <w:top w:val="nil"/>
              <w:left w:val="nil"/>
              <w:bottom w:val="nil"/>
              <w:right w:val="nil"/>
            </w:tcBorders>
            <w:shd w:val="clear" w:color="auto" w:fill="auto"/>
            <w:vAlign w:val="center"/>
          </w:tcPr>
          <w:p w14:paraId="4B5281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实施单位 </w:t>
            </w:r>
          </w:p>
        </w:tc>
        <w:tc>
          <w:tcPr>
            <w:tcW w:w="1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F65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遂宁市安居区市场监督管理局</w:t>
            </w:r>
          </w:p>
        </w:tc>
      </w:tr>
      <w:tr w14:paraId="66CF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pct"/>
          <w:trHeight w:val="360" w:hRule="atLeast"/>
        </w:trPr>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A60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FA3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0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FB44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0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4608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年度目标完成情况</w:t>
            </w:r>
          </w:p>
        </w:tc>
      </w:tr>
      <w:tr w14:paraId="30BC1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pct"/>
          <w:trHeight w:val="23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4A075">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96B98">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c>
          <w:tcPr>
            <w:tcW w:w="20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7974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完成辖区餐饮、流通、生产各个环节食品等安全监督检查；2.完成食品等安全员学习培训考试全覆盖；3.完成各项活动餐饮安全保障；4.完成辖区食品小作坊治理提升；5.完成辖区农贸市场专项整治；6.完成农村过期食品专项整治；7.完成食品等生产企业主体责任落实打造；8.完成景区食品等安全创建；9.完成网络餐饮整治提升；10.完成辖区食品领域获证企业风险分级管理等。</w:t>
            </w:r>
          </w:p>
        </w:tc>
        <w:tc>
          <w:tcPr>
            <w:tcW w:w="20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CA85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完成辖区餐饮、流通、生产各个环节食品等安全监督检查；2.完成食品生产经营企业食品等安全员学习培训考试全覆盖；3.完成中高考等各项活动餐饮安全保障；4.指导辖区食品小作坊许可质量提升；5.开展辖区农贸市场专项整治；6.开展农村过期食品专项整治；7.通过“专家巡诊”“企业座谈”“培训提升”等多种手段，助力企业完善管理体系提升管理水平；8.创建反食品浪费示范景区；9.开展网络餐饮整治提升；10.完成辖区食品领域获证企业风险分级管理等。</w:t>
            </w:r>
          </w:p>
        </w:tc>
      </w:tr>
      <w:tr w14:paraId="41D72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pct"/>
          <w:trHeight w:val="126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4B309">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34E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2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7E9E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一是部门协同强化监管责任。以群众身边不正之风和腐败问题集中整治专项工作为指引，联合教体、民政、公安等部门，聚焦“一老一小”“夏季</w:t>
            </w:r>
            <w:r>
              <w:rPr>
                <w:rFonts w:hint="eastAsia" w:cs="Times New Roman"/>
                <w:i w:val="0"/>
                <w:iCs w:val="0"/>
                <w:color w:val="000000"/>
                <w:kern w:val="0"/>
                <w:sz w:val="18"/>
                <w:szCs w:val="18"/>
                <w:u w:val="none"/>
                <w:lang w:val="en-US" w:eastAsia="zh-CN" w:bidi="ar"/>
              </w:rPr>
              <w:t>肉制品</w:t>
            </w:r>
            <w:r>
              <w:rPr>
                <w:rFonts w:hint="default" w:ascii="Times New Roman" w:hAnsi="Times New Roman" w:eastAsia="宋体" w:cs="Times New Roman"/>
                <w:i w:val="0"/>
                <w:iCs w:val="0"/>
                <w:color w:val="000000"/>
                <w:kern w:val="0"/>
                <w:sz w:val="18"/>
                <w:szCs w:val="18"/>
                <w:u w:val="none"/>
                <w:lang w:val="en-US" w:eastAsia="zh-CN" w:bidi="ar"/>
              </w:rPr>
              <w:t>”等重点品种和重点领域开展联合执法监管，强化问题整改闭环和违法行为打击，切实守护人民群众舌尖上的安全。二是通过“专家巡诊”“企业座谈”“培训提升”等多种手段，助力企业完善管理体系提升管理水平。三是通过新媒体宣传、现场活动、志愿活动提升群众对食品安全治理的知晓度、参与度、满意度。结合</w:t>
            </w:r>
            <w:r>
              <w:rPr>
                <w:rFonts w:hint="eastAsia" w:cs="Times New Roman"/>
                <w:i w:val="0"/>
                <w:iCs w:val="0"/>
                <w:color w:val="000000"/>
                <w:kern w:val="0"/>
                <w:sz w:val="18"/>
                <w:szCs w:val="18"/>
                <w:u w:val="none"/>
                <w:lang w:val="en-US" w:eastAsia="zh-CN" w:bidi="ar"/>
              </w:rPr>
              <w:t>“3·15”</w:t>
            </w:r>
            <w:r>
              <w:rPr>
                <w:rFonts w:hint="default" w:ascii="Times New Roman" w:hAnsi="Times New Roman" w:eastAsia="宋体" w:cs="Times New Roman"/>
                <w:i w:val="0"/>
                <w:iCs w:val="0"/>
                <w:color w:val="000000"/>
                <w:kern w:val="0"/>
                <w:sz w:val="18"/>
                <w:szCs w:val="18"/>
                <w:u w:val="none"/>
                <w:lang w:val="en-US" w:eastAsia="zh-CN" w:bidi="ar"/>
              </w:rPr>
              <w:t>“食品安全宣传周”等开展食品安全现场宣传活动8次，发放宣传资料10000余份，通过新闻媒体宣传食品安全监管工作25次</w:t>
            </w:r>
          </w:p>
        </w:tc>
      </w:tr>
      <w:tr w14:paraId="7193E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1" w:type="pct"/>
          <w:trHeight w:val="620" w:hRule="atLeast"/>
        </w:trPr>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B49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127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   （万元）</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907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1C7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8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5B49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78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3C4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E6B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8E4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009C5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pct"/>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474C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D3A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151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35.00</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E2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35.00</w:t>
            </w:r>
          </w:p>
        </w:tc>
        <w:tc>
          <w:tcPr>
            <w:tcW w:w="8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0C81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35.00</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1F6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C5C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6D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9980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85D9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pct"/>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4DBE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81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1BB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35.00</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B1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35.00</w:t>
            </w:r>
          </w:p>
        </w:tc>
        <w:tc>
          <w:tcPr>
            <w:tcW w:w="8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3875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35.00</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851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0E4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C36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EEC8A">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黑体" w:cs="Times New Roman"/>
                <w:i w:val="0"/>
                <w:iCs w:val="0"/>
                <w:color w:val="000000"/>
                <w:sz w:val="16"/>
                <w:szCs w:val="16"/>
                <w:u w:val="none"/>
              </w:rPr>
            </w:pPr>
          </w:p>
        </w:tc>
      </w:tr>
      <w:tr w14:paraId="26233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pct"/>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E6A2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148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财政专户管理资金</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805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EA6A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5551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770C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0FD9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81E2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414B4">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黑体" w:cs="Times New Roman"/>
                <w:i w:val="0"/>
                <w:iCs w:val="0"/>
                <w:color w:val="000000"/>
                <w:sz w:val="16"/>
                <w:szCs w:val="16"/>
                <w:u w:val="none"/>
              </w:rPr>
            </w:pPr>
          </w:p>
        </w:tc>
      </w:tr>
      <w:tr w14:paraId="30238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pct"/>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F33F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59F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C204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46BE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7FEA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9029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3560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CDF0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D64D3">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黑体" w:cs="Times New Roman"/>
                <w:i w:val="0"/>
                <w:iCs w:val="0"/>
                <w:color w:val="000000"/>
                <w:sz w:val="16"/>
                <w:szCs w:val="16"/>
                <w:u w:val="none"/>
              </w:rPr>
            </w:pPr>
          </w:p>
        </w:tc>
      </w:tr>
      <w:tr w14:paraId="59B39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pct"/>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560A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FC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DE85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46FE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8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9D4E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45C2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772E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270F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8CAA5">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黑体" w:cs="Times New Roman"/>
                <w:i w:val="0"/>
                <w:iCs w:val="0"/>
                <w:color w:val="000000"/>
                <w:sz w:val="16"/>
                <w:szCs w:val="16"/>
                <w:u w:val="none"/>
              </w:rPr>
            </w:pPr>
          </w:p>
        </w:tc>
      </w:tr>
      <w:tr w14:paraId="44E6D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05B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55F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3C7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132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A0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24E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7E3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97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253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0D8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8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8C4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29C6B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68DC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78" w:type="pct"/>
            <w:vMerge w:val="restart"/>
            <w:tcBorders>
              <w:top w:val="single" w:color="000000" w:sz="4" w:space="0"/>
              <w:left w:val="single" w:color="000000" w:sz="4" w:space="0"/>
              <w:bottom w:val="nil"/>
              <w:right w:val="nil"/>
            </w:tcBorders>
            <w:shd w:val="clear" w:color="auto" w:fill="auto"/>
            <w:vAlign w:val="center"/>
          </w:tcPr>
          <w:p w14:paraId="4B9753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3A4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F8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发放食品等安全宣传单</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CEC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8D9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AF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份</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D7E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≥10000份</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AED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580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2DF4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19E82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5A51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78" w:type="pct"/>
            <w:vMerge w:val="continue"/>
            <w:tcBorders>
              <w:top w:val="single" w:color="000000" w:sz="4" w:space="0"/>
              <w:left w:val="single" w:color="000000" w:sz="4" w:space="0"/>
              <w:bottom w:val="nil"/>
              <w:right w:val="nil"/>
            </w:tcBorders>
            <w:shd w:val="clear" w:color="auto" w:fill="auto"/>
            <w:vAlign w:val="center"/>
          </w:tcPr>
          <w:p w14:paraId="069CC27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DDFD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D94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印刷食品风险分级份数</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574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578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C31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0B6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≤15000本</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17F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6E9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54B3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45181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17BB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78" w:type="pct"/>
            <w:vMerge w:val="continue"/>
            <w:tcBorders>
              <w:top w:val="single" w:color="000000" w:sz="4" w:space="0"/>
              <w:left w:val="single" w:color="000000" w:sz="4" w:space="0"/>
              <w:bottom w:val="nil"/>
              <w:right w:val="nil"/>
            </w:tcBorders>
            <w:shd w:val="clear" w:color="auto" w:fill="auto"/>
            <w:vAlign w:val="center"/>
          </w:tcPr>
          <w:p w14:paraId="0D00EE5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C52B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921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印制两个责任台账</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3F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9E6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F3E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626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≤20000本</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48D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584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AAB2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516C7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7D4A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78" w:type="pct"/>
            <w:vMerge w:val="continue"/>
            <w:tcBorders>
              <w:top w:val="single" w:color="000000" w:sz="4" w:space="0"/>
              <w:left w:val="single" w:color="000000" w:sz="4" w:space="0"/>
              <w:bottom w:val="nil"/>
              <w:right w:val="nil"/>
            </w:tcBorders>
            <w:shd w:val="clear" w:color="auto" w:fill="auto"/>
            <w:vAlign w:val="center"/>
          </w:tcPr>
          <w:p w14:paraId="005EE37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10EF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D67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每月开展食品等领域监督检查</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3A7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209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E5B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4E9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≥50次/月</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C5D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298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7795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4851B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16B2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78" w:type="pct"/>
            <w:vMerge w:val="continue"/>
            <w:tcBorders>
              <w:top w:val="single" w:color="000000" w:sz="4" w:space="0"/>
              <w:left w:val="single" w:color="000000" w:sz="4" w:space="0"/>
              <w:bottom w:val="nil"/>
              <w:right w:val="nil"/>
            </w:tcBorders>
            <w:shd w:val="clear" w:color="auto" w:fill="auto"/>
            <w:vAlign w:val="center"/>
          </w:tcPr>
          <w:p w14:paraId="178AAFF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255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5A4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食品安全员考试覆盖率</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5F7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D94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0C0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C1C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C56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B81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76D1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1B4E6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07BF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78" w:type="pct"/>
            <w:vMerge w:val="continue"/>
            <w:tcBorders>
              <w:top w:val="single" w:color="000000" w:sz="4" w:space="0"/>
              <w:left w:val="single" w:color="000000" w:sz="4" w:space="0"/>
              <w:bottom w:val="nil"/>
              <w:right w:val="nil"/>
            </w:tcBorders>
            <w:shd w:val="clear" w:color="auto" w:fill="auto"/>
            <w:vAlign w:val="center"/>
          </w:tcPr>
          <w:p w14:paraId="3E09ED1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33AB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6D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食品等领域监管检查覆盖率</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2B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9D1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752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91C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C5E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AE6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1BD7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4C946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7CBB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78" w:type="pct"/>
            <w:vMerge w:val="continue"/>
            <w:tcBorders>
              <w:top w:val="single" w:color="000000" w:sz="4" w:space="0"/>
              <w:left w:val="single" w:color="000000" w:sz="4" w:space="0"/>
              <w:bottom w:val="nil"/>
              <w:right w:val="nil"/>
            </w:tcBorders>
            <w:shd w:val="clear" w:color="auto" w:fill="auto"/>
            <w:vAlign w:val="center"/>
          </w:tcPr>
          <w:p w14:paraId="62F9436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D75B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97C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食品风险分级覆盖率</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30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815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646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3E5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832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6E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0D83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30303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B973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78" w:type="pct"/>
            <w:vMerge w:val="continue"/>
            <w:tcBorders>
              <w:top w:val="single" w:color="000000" w:sz="4" w:space="0"/>
              <w:left w:val="single" w:color="000000" w:sz="4" w:space="0"/>
              <w:bottom w:val="nil"/>
              <w:right w:val="nil"/>
            </w:tcBorders>
            <w:shd w:val="clear" w:color="auto" w:fill="auto"/>
            <w:vAlign w:val="center"/>
          </w:tcPr>
          <w:p w14:paraId="6E1785C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4C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5F4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开展食品等安全监管月数（个月）</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6EB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A8E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12个月</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D266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98B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12个月</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444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D01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1E4B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0BD7C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C035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78" w:type="pct"/>
            <w:vMerge w:val="continue"/>
            <w:tcBorders>
              <w:top w:val="single" w:color="000000" w:sz="4" w:space="0"/>
              <w:left w:val="single" w:color="000000" w:sz="4" w:space="0"/>
              <w:bottom w:val="nil"/>
              <w:right w:val="nil"/>
            </w:tcBorders>
            <w:shd w:val="clear" w:color="auto" w:fill="auto"/>
            <w:vAlign w:val="center"/>
          </w:tcPr>
          <w:p w14:paraId="67F454A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8E1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6EE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食品等安全宣传</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801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EC7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0EA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元/年</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DAC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≤50000元/年</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29D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E6C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385E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560CE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E9FE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78" w:type="pct"/>
            <w:vMerge w:val="continue"/>
            <w:tcBorders>
              <w:top w:val="single" w:color="000000" w:sz="4" w:space="0"/>
              <w:left w:val="single" w:color="000000" w:sz="4" w:space="0"/>
              <w:bottom w:val="nil"/>
              <w:right w:val="nil"/>
            </w:tcBorders>
            <w:shd w:val="clear" w:color="auto" w:fill="auto"/>
            <w:vAlign w:val="center"/>
          </w:tcPr>
          <w:p w14:paraId="52F9AC1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6676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D17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食品等安全监督检查</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DCC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AA9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023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元/人·次</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B7A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≤200元/人.次</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B48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B07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52A1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03A00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9549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78" w:type="pct"/>
            <w:vMerge w:val="continue"/>
            <w:tcBorders>
              <w:top w:val="single" w:color="000000" w:sz="4" w:space="0"/>
              <w:left w:val="single" w:color="000000" w:sz="4" w:space="0"/>
              <w:bottom w:val="nil"/>
              <w:right w:val="nil"/>
            </w:tcBorders>
            <w:shd w:val="clear" w:color="auto" w:fill="auto"/>
            <w:vAlign w:val="center"/>
          </w:tcPr>
          <w:p w14:paraId="0EBD9F8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5D9C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DEA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食品风险分级等印刷费</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AC9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F12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C0D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元/年</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899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≤10万元/年</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631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285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63D7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5618B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C406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78" w:type="pct"/>
            <w:vMerge w:val="continue"/>
            <w:tcBorders>
              <w:top w:val="single" w:color="000000" w:sz="4" w:space="0"/>
              <w:left w:val="single" w:color="000000" w:sz="4" w:space="0"/>
              <w:bottom w:val="nil"/>
              <w:right w:val="nil"/>
            </w:tcBorders>
            <w:shd w:val="clear" w:color="auto" w:fill="auto"/>
            <w:vAlign w:val="center"/>
          </w:tcPr>
          <w:p w14:paraId="46AA671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FD51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113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规范打造小作坊、餐饮后厨、农贸市场等三防设施</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33A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DE6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80000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96F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元/年</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CE1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≤8万元/年</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E25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E20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B6F4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6C7E2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95CC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A7D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02F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经济效益指标</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095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反餐饮浪费</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1E2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06D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不断普及提高节约意识</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A59E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A82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不断普及提高节约意识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995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3D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E0E1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3FB0E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B8B6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3AFC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243B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5FB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食品安全</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D2A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C09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不断提高</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491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75F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不断提高</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AC5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A5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58B2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0EDD1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972D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ECB9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A70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038D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AFDD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0DD4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2257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B602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1C8A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9C9D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3ECF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42390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C111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7566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E3A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生态效益指标</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CEBA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C428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2A45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0912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26FE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6DC2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FA7D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E7B9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6B544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D2A4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A0CC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B61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可持续影响指标</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A626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542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7923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A368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5A1A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7517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E87E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AE63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720BB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5ADF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50A3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41A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EA6B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8FE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2D81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AFA9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8862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4ABD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B844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8003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7D059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EBC2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90A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90AB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185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食品安全满意度</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5E3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EFD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D7F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6D2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lang w:val="en-US"/>
              </w:rPr>
            </w:pPr>
            <w:r>
              <w:rPr>
                <w:rFonts w:hint="eastAsia" w:cs="Times New Roman"/>
                <w:i w:val="0"/>
                <w:iCs w:val="0"/>
                <w:color w:val="000000"/>
                <w:kern w:val="0"/>
                <w:sz w:val="18"/>
                <w:szCs w:val="18"/>
                <w:u w:val="none"/>
                <w:lang w:val="en-US" w:eastAsia="zh-CN" w:bidi="ar"/>
              </w:rPr>
              <w:t>84.12%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A97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41C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8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E9E9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3E2B8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AC04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0C76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61E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497C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A81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A2F8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9EAE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5A29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956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8F54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B564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47A3A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pct"/>
          <w:trHeight w:val="286" w:hRule="atLeast"/>
        </w:trPr>
        <w:tc>
          <w:tcPr>
            <w:tcW w:w="353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0CDE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69E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E70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99</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3DF89">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r>
      <w:tr w14:paraId="7B451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pct"/>
          <w:trHeight w:val="603"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DA0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91CB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严格执行项目资金的使用，对预算执行进度和绩效目标实现程度实行双监控，自评得分99分</w:t>
            </w:r>
            <w:r>
              <w:rPr>
                <w:rFonts w:hint="default" w:ascii="Times New Roman" w:hAnsi="Times New Roman" w:eastAsia="宋体" w:cs="Times New Roman"/>
                <w:i w:val="0"/>
                <w:iCs w:val="0"/>
                <w:color w:val="000000"/>
                <w:kern w:val="0"/>
                <w:sz w:val="16"/>
                <w:szCs w:val="16"/>
                <w:u w:val="none"/>
                <w:lang w:val="en-US" w:eastAsia="zh-CN" w:bidi="ar"/>
              </w:rPr>
              <w:t>。</w:t>
            </w:r>
          </w:p>
        </w:tc>
      </w:tr>
      <w:tr w14:paraId="208FA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pct"/>
          <w:trHeight w:val="572"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46C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9C3A5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43116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pct"/>
          <w:trHeight w:val="633"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7B5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1A64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559D3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pct"/>
          <w:trHeight w:val="620" w:hRule="atLeast"/>
        </w:trPr>
        <w:tc>
          <w:tcPr>
            <w:tcW w:w="23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429C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项目负责人：张飞飞</w:t>
            </w:r>
          </w:p>
        </w:tc>
        <w:tc>
          <w:tcPr>
            <w:tcW w:w="253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63F5F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财务负责人：龚大举</w:t>
            </w:r>
          </w:p>
        </w:tc>
      </w:tr>
    </w:tbl>
    <w:p w14:paraId="523BC697">
      <w:pPr>
        <w:keepNext w:val="0"/>
        <w:keepLines w:val="0"/>
        <w:pageBreakBefore w:val="0"/>
        <w:kinsoku/>
        <w:wordWrap/>
        <w:overflowPunct/>
        <w:topLinePunct w:val="0"/>
        <w:autoSpaceDE/>
        <w:autoSpaceDN/>
        <w:bidi w:val="0"/>
        <w:adjustRightInd/>
        <w:snapToGrid/>
        <w:spacing w:line="280" w:lineRule="exact"/>
        <w:jc w:val="center"/>
        <w:outlineLvl w:val="0"/>
        <w:rPr>
          <w:rFonts w:hint="default" w:ascii="Times New Roman" w:hAnsi="Times New Roman" w:eastAsia="黑体" w:cs="Times New Roman"/>
          <w:color w:val="auto"/>
          <w:sz w:val="44"/>
          <w:szCs w:val="44"/>
          <w:highlight w:val="none"/>
        </w:rPr>
      </w:pPr>
    </w:p>
    <w:p w14:paraId="173EF023">
      <w:pPr>
        <w:keepNext w:val="0"/>
        <w:keepLines w:val="0"/>
        <w:pageBreakBefore w:val="0"/>
        <w:kinsoku/>
        <w:wordWrap/>
        <w:overflowPunct/>
        <w:topLinePunct w:val="0"/>
        <w:autoSpaceDE/>
        <w:autoSpaceDN/>
        <w:bidi w:val="0"/>
        <w:adjustRightInd/>
        <w:snapToGrid/>
        <w:spacing w:line="280" w:lineRule="exact"/>
        <w:jc w:val="center"/>
        <w:outlineLvl w:val="0"/>
        <w:rPr>
          <w:rFonts w:hint="default" w:ascii="Times New Roman" w:hAnsi="Times New Roman" w:eastAsia="黑体" w:cs="Times New Roman"/>
          <w:color w:val="auto"/>
          <w:sz w:val="44"/>
          <w:szCs w:val="44"/>
          <w:highlight w:val="none"/>
        </w:rPr>
      </w:pPr>
    </w:p>
    <w:p w14:paraId="11B13785">
      <w:pPr>
        <w:keepNext w:val="0"/>
        <w:keepLines w:val="0"/>
        <w:pageBreakBefore w:val="0"/>
        <w:kinsoku/>
        <w:wordWrap/>
        <w:overflowPunct/>
        <w:topLinePunct w:val="0"/>
        <w:autoSpaceDE/>
        <w:autoSpaceDN/>
        <w:bidi w:val="0"/>
        <w:adjustRightInd/>
        <w:snapToGrid/>
        <w:spacing w:line="280" w:lineRule="exact"/>
        <w:jc w:val="center"/>
        <w:outlineLvl w:val="0"/>
        <w:rPr>
          <w:rFonts w:hint="default" w:ascii="Times New Roman" w:hAnsi="Times New Roman" w:eastAsia="黑体" w:cs="Times New Roman"/>
          <w:color w:val="auto"/>
          <w:sz w:val="44"/>
          <w:szCs w:val="44"/>
          <w:highlight w:val="none"/>
        </w:rPr>
      </w:pPr>
    </w:p>
    <w:p w14:paraId="2F0CAB15">
      <w:pPr>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rPr>
        <w:br w:type="page"/>
      </w:r>
    </w:p>
    <w:tbl>
      <w:tblPr>
        <w:tblStyle w:val="20"/>
        <w:tblW w:w="508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5"/>
        <w:gridCol w:w="1163"/>
        <w:gridCol w:w="1012"/>
        <w:gridCol w:w="1208"/>
        <w:gridCol w:w="398"/>
        <w:gridCol w:w="762"/>
        <w:gridCol w:w="548"/>
        <w:gridCol w:w="1125"/>
        <w:gridCol w:w="485"/>
        <w:gridCol w:w="396"/>
        <w:gridCol w:w="1629"/>
        <w:gridCol w:w="52"/>
      </w:tblGrid>
      <w:tr w14:paraId="443AB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2"/>
            <w:tcBorders>
              <w:top w:val="nil"/>
              <w:left w:val="nil"/>
              <w:bottom w:val="nil"/>
              <w:right w:val="nil"/>
            </w:tcBorders>
            <w:shd w:val="clear" w:color="auto" w:fill="auto"/>
            <w:vAlign w:val="center"/>
          </w:tcPr>
          <w:p w14:paraId="272CE8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40"/>
                <w:szCs w:val="40"/>
                <w:u w:val="none"/>
              </w:rPr>
            </w:pPr>
            <w:r>
              <w:rPr>
                <w:rFonts w:hint="eastAsia" w:ascii="黑体" w:hAnsi="黑体" w:eastAsia="黑体" w:cs="黑体"/>
                <w:b w:val="0"/>
                <w:bCs w:val="0"/>
                <w:i w:val="0"/>
                <w:iCs w:val="0"/>
                <w:color w:val="000000"/>
                <w:kern w:val="0"/>
                <w:sz w:val="32"/>
                <w:szCs w:val="32"/>
                <w:u w:val="none"/>
                <w:lang w:val="en-US" w:eastAsia="zh-CN" w:bidi="ar"/>
              </w:rPr>
              <w:t>部门预算项目支出绩效自评表</w:t>
            </w:r>
          </w:p>
        </w:tc>
      </w:tr>
      <w:tr w14:paraId="264C8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76A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7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DA7EC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食品监督抽检</w:t>
            </w:r>
          </w:p>
        </w:tc>
      </w:tr>
      <w:tr w14:paraId="4784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00D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0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CF193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遂宁市安居区财政局</w:t>
            </w:r>
          </w:p>
        </w:tc>
        <w:tc>
          <w:tcPr>
            <w:tcW w:w="601" w:type="pct"/>
            <w:tcBorders>
              <w:top w:val="nil"/>
              <w:left w:val="nil"/>
              <w:bottom w:val="nil"/>
              <w:right w:val="nil"/>
            </w:tcBorders>
            <w:shd w:val="clear" w:color="auto" w:fill="auto"/>
            <w:vAlign w:val="center"/>
          </w:tcPr>
          <w:p w14:paraId="56CB45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实施单位 </w:t>
            </w:r>
          </w:p>
        </w:tc>
        <w:tc>
          <w:tcPr>
            <w:tcW w:w="13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FD4F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遂宁市安居区市场监督管理局</w:t>
            </w:r>
          </w:p>
        </w:tc>
      </w:tr>
      <w:tr w14:paraId="318E6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D06C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D01E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0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13E9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9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10C2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年度目标完成情况</w:t>
            </w:r>
          </w:p>
        </w:tc>
      </w:tr>
      <w:tr w14:paraId="23410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C5166">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582B6">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c>
          <w:tcPr>
            <w:tcW w:w="20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F3409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1.完成全年均衡抽检；2.完成食品安全抽检问题发现率3%以上；3.完成食品抽检问题核查处置率100%；4.完成食品抽检结果公示率100%；5.完成食品抽检进行风险分析评估等工作。</w:t>
            </w:r>
          </w:p>
        </w:tc>
        <w:tc>
          <w:tcPr>
            <w:tcW w:w="197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4E14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制定了年度抽检计划，按照抽检计划开展均衡抽检，完成年度抽检任务875批次，其中食用农产品抽检300批次，自主抽检575批次。对学校食堂、食品再生产企业实现全覆盖。根据食品抽检结果形成风险分析报告，为日常监管和下年食品抽检提供科学依据。</w:t>
            </w:r>
          </w:p>
        </w:tc>
      </w:tr>
      <w:tr w14:paraId="4B78C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F241D">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3E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7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C490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安居区市场监督管理局组织实施了食品安全监督抽检工作，共计875批次覆盖食品生产、流通、餐饮等多个环节。通过严格的抽检和检测，能及时发现食品安全风险问题并同时降低部分食品安全风险隐患，有效维护食品安全市场秩序。</w:t>
            </w:r>
          </w:p>
        </w:tc>
      </w:tr>
      <w:tr w14:paraId="3DD19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325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DE7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   （万元）</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381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952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9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BBC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83A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E37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443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8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C78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4301C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D47D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B95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A63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75.00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E00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9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282D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1AA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BE5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E50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9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494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953E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6A86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1D3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5AD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75.00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A6A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9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D629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692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73B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78A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5FA50">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黑体" w:cs="Times New Roman"/>
                <w:i w:val="0"/>
                <w:iCs w:val="0"/>
                <w:color w:val="000000"/>
                <w:sz w:val="16"/>
                <w:szCs w:val="16"/>
                <w:u w:val="none"/>
              </w:rPr>
            </w:pPr>
          </w:p>
        </w:tc>
      </w:tr>
      <w:tr w14:paraId="4D75D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FD6B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8C2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财政专户管理资金</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D076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576E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0EFB2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E2A6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4B9A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A20A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C903A">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黑体" w:cs="Times New Roman"/>
                <w:i w:val="0"/>
                <w:iCs w:val="0"/>
                <w:color w:val="000000"/>
                <w:sz w:val="16"/>
                <w:szCs w:val="16"/>
                <w:u w:val="none"/>
              </w:rPr>
            </w:pPr>
          </w:p>
        </w:tc>
      </w:tr>
      <w:tr w14:paraId="1D8CC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0788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EE9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0125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E251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0F0C1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4DDE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CF4C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48AC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E2F54">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黑体" w:cs="Times New Roman"/>
                <w:i w:val="0"/>
                <w:iCs w:val="0"/>
                <w:color w:val="000000"/>
                <w:sz w:val="16"/>
                <w:szCs w:val="16"/>
                <w:u w:val="none"/>
              </w:rPr>
            </w:pPr>
          </w:p>
        </w:tc>
      </w:tr>
      <w:tr w14:paraId="4689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82AD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B44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0431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41BE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9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8684E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2665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E0BC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C076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1BB0A">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黑体" w:cs="Times New Roman"/>
                <w:i w:val="0"/>
                <w:iCs w:val="0"/>
                <w:color w:val="000000"/>
                <w:sz w:val="16"/>
                <w:szCs w:val="16"/>
                <w:u w:val="none"/>
              </w:rPr>
            </w:pPr>
          </w:p>
        </w:tc>
      </w:tr>
      <w:tr w14:paraId="7217A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pct"/>
          <w:trHeight w:val="400" w:hRule="atLeast"/>
        </w:trPr>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E9A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557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4B0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A6B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746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D64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A09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BD9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59F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D26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6D2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10265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pct"/>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FA71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AD3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5FB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70E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食品抽检批次</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6AF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E9E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332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批次</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CD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875批次</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7E6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F22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1037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50F16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pct"/>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A18D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C941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55C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89F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检测结果信息公示率</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80F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2D8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AA6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631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F8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A98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CC9F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02CDC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pct"/>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CC32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7664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D145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39A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抽检不合格产品处置率</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F0F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37C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CF5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5BE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645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1F6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DF41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404B5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pct"/>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CB59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60A8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C42F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4A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抽检结果信息系统录入率</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BDE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2BA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4A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955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6B8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8B1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2661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3205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pct"/>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4541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A502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81A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9EF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抽检完成时间</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618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9AC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0B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天</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25A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≤180天</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9A5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2DB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0F9A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5619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pct"/>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EB60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B48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006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501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食品安全质量</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1D1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74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不断提高</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C25F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9F9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不断提高</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AFF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BCD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96C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55F5D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pct"/>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356A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87F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254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A4C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人民群众对食品安全满意度</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E0D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2BF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A90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7B0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84.12%</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BAC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3A2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FE3B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070A6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pct"/>
          <w:trHeight w:val="400" w:hRule="atLeast"/>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B0F2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612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6B7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6F4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每批次抽检成本</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9CB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A49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8BE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元</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93E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800元</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6D3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FB5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7E0B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45D8F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3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5CC3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B6F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F99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99</w:t>
            </w:r>
          </w:p>
        </w:tc>
        <w:tc>
          <w:tcPr>
            <w:tcW w:w="8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070A0">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r>
      <w:tr w14:paraId="4966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164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9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5AFE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严格执行项目资金的使用，对预算执行进度和绩效目标实现程度实行双监控，自评得分99分。</w:t>
            </w:r>
          </w:p>
        </w:tc>
      </w:tr>
      <w:tr w14:paraId="340B0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175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9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BDAF2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1F959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9E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9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8CE7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08959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D277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项目负责人：张飞飞</w:t>
            </w:r>
          </w:p>
        </w:tc>
        <w:tc>
          <w:tcPr>
            <w:tcW w:w="267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80063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财务负责人：龚大举</w:t>
            </w:r>
          </w:p>
        </w:tc>
      </w:tr>
    </w:tbl>
    <w:p w14:paraId="4459FF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黑体" w:cs="Times New Roman"/>
          <w:color w:val="auto"/>
          <w:sz w:val="44"/>
          <w:szCs w:val="44"/>
          <w:highlight w:val="none"/>
        </w:rPr>
      </w:pPr>
    </w:p>
    <w:p w14:paraId="7354A57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黑体" w:cs="Times New Roman"/>
          <w:color w:val="auto"/>
          <w:sz w:val="44"/>
          <w:szCs w:val="44"/>
          <w:highlight w:val="none"/>
        </w:rPr>
      </w:pPr>
    </w:p>
    <w:p w14:paraId="6CE98F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黑体" w:cs="Times New Roman"/>
          <w:color w:val="auto"/>
          <w:sz w:val="44"/>
          <w:szCs w:val="44"/>
          <w:highlight w:val="none"/>
        </w:rPr>
      </w:pPr>
    </w:p>
    <w:p w14:paraId="62122C56">
      <w:pPr>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rPr>
        <w:br w:type="page"/>
      </w:r>
    </w:p>
    <w:tbl>
      <w:tblPr>
        <w:tblStyle w:val="20"/>
        <w:tblW w:w="516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4"/>
        <w:gridCol w:w="1163"/>
        <w:gridCol w:w="1014"/>
        <w:gridCol w:w="1210"/>
        <w:gridCol w:w="397"/>
        <w:gridCol w:w="778"/>
        <w:gridCol w:w="599"/>
        <w:gridCol w:w="989"/>
        <w:gridCol w:w="464"/>
        <w:gridCol w:w="485"/>
        <w:gridCol w:w="1558"/>
        <w:gridCol w:w="264"/>
      </w:tblGrid>
      <w:tr w14:paraId="24468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5000" w:type="pct"/>
            <w:gridSpan w:val="12"/>
            <w:tcBorders>
              <w:top w:val="nil"/>
              <w:left w:val="nil"/>
              <w:bottom w:val="nil"/>
              <w:right w:val="nil"/>
            </w:tcBorders>
            <w:shd w:val="clear" w:color="auto" w:fill="auto"/>
            <w:vAlign w:val="center"/>
          </w:tcPr>
          <w:p w14:paraId="4D28C1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40"/>
                <w:szCs w:val="40"/>
                <w:u w:val="none"/>
              </w:rPr>
            </w:pPr>
            <w:r>
              <w:rPr>
                <w:rFonts w:hint="eastAsia" w:ascii="黑体" w:hAnsi="黑体" w:eastAsia="黑体" w:cs="黑体"/>
                <w:b w:val="0"/>
                <w:bCs w:val="0"/>
                <w:i w:val="0"/>
                <w:iCs w:val="0"/>
                <w:color w:val="000000"/>
                <w:kern w:val="0"/>
                <w:sz w:val="32"/>
                <w:szCs w:val="32"/>
                <w:u w:val="none"/>
                <w:lang w:val="en-US" w:eastAsia="zh-CN" w:bidi="ar"/>
              </w:rPr>
              <w:t>部门预算项目支出绩效自评表</w:t>
            </w:r>
          </w:p>
        </w:tc>
      </w:tr>
      <w:tr w14:paraId="2DD08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E8F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8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B6E43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派出机构堡坎排危项目资金</w:t>
            </w:r>
          </w:p>
        </w:tc>
      </w:tr>
      <w:tr w14:paraId="1B70B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A3B9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10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DBF8A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遂宁市安居区财政局</w:t>
            </w:r>
          </w:p>
        </w:tc>
        <w:tc>
          <w:tcPr>
            <w:tcW w:w="520" w:type="pct"/>
            <w:tcBorders>
              <w:top w:val="nil"/>
              <w:left w:val="nil"/>
              <w:bottom w:val="nil"/>
              <w:right w:val="nil"/>
            </w:tcBorders>
            <w:shd w:val="clear" w:color="auto" w:fill="auto"/>
            <w:vAlign w:val="center"/>
          </w:tcPr>
          <w:p w14:paraId="6B7E5A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实施单位</w:t>
            </w:r>
          </w:p>
        </w:tc>
        <w:tc>
          <w:tcPr>
            <w:tcW w:w="14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39CD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遂宁市安居区市场监督管理局</w:t>
            </w:r>
          </w:p>
        </w:tc>
      </w:tr>
      <w:tr w14:paraId="49C43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7E2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7ABA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10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AB84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19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17BF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年度目标完成情况</w:t>
            </w:r>
          </w:p>
        </w:tc>
      </w:tr>
      <w:tr w14:paraId="4748D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1696A">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72451">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c>
          <w:tcPr>
            <w:tcW w:w="210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1F09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保障办公环境安全，杜绝安全事故的发生，保护群众生命财产安全</w:t>
            </w:r>
          </w:p>
        </w:tc>
        <w:tc>
          <w:tcPr>
            <w:tcW w:w="19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CBEB2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已对办公环境进行维修维护，保障了人民的生命财产安全</w:t>
            </w:r>
          </w:p>
        </w:tc>
      </w:tr>
      <w:tr w14:paraId="34DC0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C8779">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A66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408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0CEC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通过政府采购网，对基层市场监管所办公区域进行维修维护，竣工验收等，保障一切安全。</w:t>
            </w:r>
          </w:p>
        </w:tc>
      </w:tr>
      <w:tr w14:paraId="38AA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621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E20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   （万元）</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CE9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17F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EC2B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9C9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8FD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A9B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16D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02A0F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28C9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85C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1BC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CCB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31.00</w:t>
            </w:r>
          </w:p>
        </w:tc>
        <w:tc>
          <w:tcPr>
            <w:tcW w:w="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2FEE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31.00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4A8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D06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FA1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5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1C6B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黑体" w:cs="Times New Roman"/>
                <w:i w:val="0"/>
                <w:iCs w:val="0"/>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8806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3A67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19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F77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C14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31.00</w:t>
            </w:r>
          </w:p>
        </w:tc>
        <w:tc>
          <w:tcPr>
            <w:tcW w:w="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7AF0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31.00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373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85A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732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26D04">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黑体" w:cs="Times New Roman"/>
                <w:i w:val="0"/>
                <w:iCs w:val="0"/>
                <w:color w:val="000000"/>
                <w:sz w:val="16"/>
                <w:szCs w:val="16"/>
                <w:u w:val="none"/>
              </w:rPr>
            </w:pPr>
          </w:p>
        </w:tc>
      </w:tr>
      <w:tr w14:paraId="20ADE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0C81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2F8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4528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4BD2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2C4A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8334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1685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22E0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DE449">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黑体" w:cs="Times New Roman"/>
                <w:i w:val="0"/>
                <w:iCs w:val="0"/>
                <w:color w:val="000000"/>
                <w:sz w:val="16"/>
                <w:szCs w:val="16"/>
                <w:u w:val="none"/>
              </w:rPr>
            </w:pPr>
          </w:p>
        </w:tc>
      </w:tr>
      <w:tr w14:paraId="214D7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36C6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47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55B8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1B04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B922B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2395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B3A7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558E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0EE81">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黑体" w:cs="Times New Roman"/>
                <w:i w:val="0"/>
                <w:iCs w:val="0"/>
                <w:color w:val="000000"/>
                <w:sz w:val="16"/>
                <w:szCs w:val="16"/>
                <w:u w:val="none"/>
              </w:rPr>
            </w:pPr>
          </w:p>
        </w:tc>
      </w:tr>
      <w:tr w14:paraId="5F6AB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A702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147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E6C7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9F93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4919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9E5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4D7F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182C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95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05615">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黑体" w:cs="Times New Roman"/>
                <w:i w:val="0"/>
                <w:iCs w:val="0"/>
                <w:color w:val="000000"/>
                <w:sz w:val="16"/>
                <w:szCs w:val="16"/>
                <w:u w:val="none"/>
              </w:rPr>
            </w:pPr>
          </w:p>
        </w:tc>
      </w:tr>
      <w:tr w14:paraId="4CE21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 w:type="pct"/>
          <w:trHeight w:val="620" w:hRule="atLeast"/>
        </w:trPr>
        <w:tc>
          <w:tcPr>
            <w:tcW w:w="3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E94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01E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97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C71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03A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207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D4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FBE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6C4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FA3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28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3B4CA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 w:type="pct"/>
          <w:trHeight w:val="58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E95E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E22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7B9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1C5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排危基层所个数</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AC6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2E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7E2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0DC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4D7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AE8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5528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15FE5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 w:type="pct"/>
          <w:trHeight w:val="64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6B86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03B4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D4A3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C719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9039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9F11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1F7C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55D7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3AB6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7CD6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C3B7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38F29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 w:type="pct"/>
          <w:trHeight w:val="4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44DD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FA3E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135F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3C99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BF80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39FD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A7FB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6062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6A65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9920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C61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5B8A8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 w:type="pct"/>
          <w:trHeight w:val="4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4EC0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A424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E42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501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工程量变化幅度</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576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3EE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2B7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D7B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2A9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D13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39A0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643E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 w:type="pct"/>
          <w:trHeight w:val="4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A48A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6EAF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94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544C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8AA2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FE27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08F9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383C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5F6A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7BE9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3D72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78154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 w:type="pct"/>
          <w:trHeight w:val="4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97A4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8C8B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BB1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A90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建设总成本</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16B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522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6B6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DA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31万元</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740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EE0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335C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06A22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 w:type="pct"/>
          <w:trHeight w:val="4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A281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E68F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ACA5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1336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A4CE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6756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55C0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0E2E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AAC9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A708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BDFC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4B5FA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 w:type="pct"/>
          <w:trHeight w:val="4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1ED4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0F3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78C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经济效益指标</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0FC3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9FD6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0854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6CC5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9DA1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81FF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411E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C3ED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130A7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 w:type="pct"/>
          <w:trHeight w:val="4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33FD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B923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F6E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C74B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7BD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7935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7E2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3948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3C12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F386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8A45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714E0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 w:type="pct"/>
          <w:trHeight w:val="4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23E4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53CA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28E7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19B3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2554D">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DE92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F0F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E285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D4BE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A870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9438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4BACD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 w:type="pct"/>
          <w:trHeight w:val="4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185E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5F06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7EE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生态效益指标</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A9AD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EEA0F">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0D80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947E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B080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AFF0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82B1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C9614">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2C2E3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 w:type="pct"/>
          <w:trHeight w:val="4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4C00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7FD7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77F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可持续影响指标</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EC7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设施使用年限</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1F7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01E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F49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05D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≥10年</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3DB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435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9283B">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2D0F6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 w:type="pct"/>
          <w:trHeight w:val="4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2B0B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3D9B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2E5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5C14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10CF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5659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2BEC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E18BE">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4F9D2">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EC655">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E4BFA">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0A86C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 w:type="pct"/>
          <w:trHeight w:val="5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E698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CC8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A08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022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70C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879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7BE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22A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B35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ABB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1557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618EB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9" w:type="pct"/>
          <w:trHeight w:val="400" w:hRule="atLeast"/>
        </w:trPr>
        <w:tc>
          <w:tcPr>
            <w:tcW w:w="3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A698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2D083">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203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227E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2047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7C650">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00878">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78751">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FF0000"/>
                <w:sz w:val="16"/>
                <w:szCs w:val="16"/>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74E06">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462C7">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B703C">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微软雅黑" w:cs="Times New Roman"/>
                <w:i/>
                <w:iCs/>
                <w:color w:val="000000"/>
                <w:sz w:val="16"/>
                <w:szCs w:val="16"/>
                <w:u w:val="none"/>
              </w:rPr>
            </w:pPr>
          </w:p>
        </w:tc>
      </w:tr>
      <w:tr w14:paraId="787CB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F5EC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D83B9">
            <w:pPr>
              <w:keepNext w:val="0"/>
              <w:keepLines w:val="0"/>
              <w:pageBreakBefore w:val="0"/>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sz w:val="18"/>
                <w:szCs w:val="18"/>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8BA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0EB48">
            <w:pPr>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eastAsia="宋体" w:cs="Times New Roman"/>
                <w:i w:val="0"/>
                <w:iCs w:val="0"/>
                <w:color w:val="000000"/>
                <w:sz w:val="18"/>
                <w:szCs w:val="18"/>
                <w:u w:val="none"/>
              </w:rPr>
            </w:pPr>
          </w:p>
        </w:tc>
      </w:tr>
      <w:tr w14:paraId="125A9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A03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469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9EB5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严格执行项目资金的使用，使资金效益达到最大化，</w:t>
            </w:r>
            <w:r>
              <w:rPr>
                <w:rFonts w:hint="eastAsia" w:cs="Times New Roman"/>
                <w:i w:val="0"/>
                <w:iCs w:val="0"/>
                <w:color w:val="000000"/>
                <w:kern w:val="0"/>
                <w:sz w:val="18"/>
                <w:szCs w:val="18"/>
                <w:u w:val="none"/>
                <w:lang w:val="en-US" w:eastAsia="zh-CN" w:bidi="ar"/>
              </w:rPr>
              <w:t>更好地为</w:t>
            </w:r>
            <w:r>
              <w:rPr>
                <w:rFonts w:hint="default" w:ascii="Times New Roman" w:hAnsi="Times New Roman" w:eastAsia="宋体" w:cs="Times New Roman"/>
                <w:i w:val="0"/>
                <w:iCs w:val="0"/>
                <w:color w:val="000000"/>
                <w:kern w:val="0"/>
                <w:sz w:val="18"/>
                <w:szCs w:val="18"/>
                <w:u w:val="none"/>
                <w:lang w:val="en-US" w:eastAsia="zh-CN" w:bidi="ar"/>
              </w:rPr>
              <w:t>人民服务，自评得分100分。</w:t>
            </w:r>
          </w:p>
        </w:tc>
      </w:tr>
      <w:tr w14:paraId="4EA12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A95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469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34787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41A00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30E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469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81A5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微软雅黑" w:cs="Times New Roman"/>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36716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29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F781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项目负责人：李凤</w:t>
            </w:r>
          </w:p>
        </w:tc>
        <w:tc>
          <w:tcPr>
            <w:tcW w:w="270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6C01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财务负责人：龚大举</w:t>
            </w:r>
          </w:p>
        </w:tc>
      </w:tr>
    </w:tbl>
    <w:p w14:paraId="062898A1">
      <w:pPr>
        <w:spacing w:line="600" w:lineRule="exact"/>
        <w:jc w:val="center"/>
        <w:outlineLvl w:val="0"/>
        <w:rPr>
          <w:rFonts w:hint="default" w:ascii="Times New Roman" w:hAnsi="Times New Roman" w:eastAsia="黑体" w:cs="Times New Roman"/>
          <w:color w:val="auto"/>
          <w:sz w:val="44"/>
          <w:szCs w:val="44"/>
          <w:highlight w:val="none"/>
        </w:rPr>
      </w:pPr>
    </w:p>
    <w:p w14:paraId="14189A64">
      <w:pPr>
        <w:spacing w:line="600" w:lineRule="exact"/>
        <w:jc w:val="center"/>
        <w:outlineLvl w:val="0"/>
        <w:rPr>
          <w:rFonts w:hint="default" w:ascii="Times New Roman" w:hAnsi="Times New Roman" w:eastAsia="黑体" w:cs="Times New Roman"/>
          <w:color w:val="auto"/>
          <w:sz w:val="44"/>
          <w:szCs w:val="44"/>
          <w:highlight w:val="none"/>
        </w:rPr>
      </w:pPr>
    </w:p>
    <w:p w14:paraId="4D27B1C9">
      <w:pPr>
        <w:spacing w:line="600" w:lineRule="exact"/>
        <w:jc w:val="center"/>
        <w:outlineLvl w:val="0"/>
        <w:rPr>
          <w:rFonts w:hint="default" w:ascii="Times New Roman" w:hAnsi="Times New Roman" w:eastAsia="黑体" w:cs="Times New Roman"/>
          <w:color w:val="auto"/>
          <w:sz w:val="44"/>
          <w:szCs w:val="44"/>
          <w:highlight w:val="none"/>
        </w:rPr>
      </w:pPr>
    </w:p>
    <w:p w14:paraId="5E30817C">
      <w:pPr>
        <w:pStyle w:val="26"/>
        <w:rPr>
          <w:rFonts w:hint="default" w:ascii="Times New Roman" w:hAnsi="Times New Roman" w:eastAsia="黑体" w:cs="Times New Roman"/>
          <w:color w:val="auto"/>
          <w:sz w:val="44"/>
          <w:szCs w:val="44"/>
          <w:highlight w:val="none"/>
        </w:rPr>
      </w:pPr>
    </w:p>
    <w:p w14:paraId="26F1F6BA">
      <w:pPr>
        <w:pStyle w:val="26"/>
        <w:rPr>
          <w:rFonts w:hint="default" w:ascii="Times New Roman" w:hAnsi="Times New Roman" w:eastAsia="黑体" w:cs="Times New Roman"/>
          <w:color w:val="auto"/>
          <w:sz w:val="44"/>
          <w:szCs w:val="44"/>
          <w:highlight w:val="none"/>
        </w:rPr>
      </w:pPr>
    </w:p>
    <w:p w14:paraId="0AC86788">
      <w:pPr>
        <w:pStyle w:val="26"/>
        <w:rPr>
          <w:rFonts w:hint="default" w:ascii="Times New Roman" w:hAnsi="Times New Roman" w:eastAsia="黑体" w:cs="Times New Roman"/>
          <w:color w:val="auto"/>
          <w:sz w:val="44"/>
          <w:szCs w:val="44"/>
          <w:highlight w:val="none"/>
        </w:rPr>
      </w:pPr>
    </w:p>
    <w:p w14:paraId="7739CA94">
      <w:pPr>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rPr>
        <w:br w:type="page"/>
      </w:r>
    </w:p>
    <w:p w14:paraId="1BB64201">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附件2</w:t>
      </w:r>
    </w:p>
    <w:p w14:paraId="0B958BFE">
      <w:pPr>
        <w:keepNext w:val="0"/>
        <w:keepLines w:val="0"/>
        <w:pageBreakBefore w:val="0"/>
        <w:kinsoku/>
        <w:wordWrap/>
        <w:overflowPunct/>
        <w:topLinePunct w:val="0"/>
        <w:autoSpaceDE/>
        <w:autoSpaceDN/>
        <w:bidi w:val="0"/>
        <w:spacing w:line="572" w:lineRule="exact"/>
        <w:jc w:val="center"/>
        <w:textAlignment w:val="auto"/>
        <w:outlineLvl w:val="0"/>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lang w:val="en-US" w:eastAsia="zh-CN"/>
        </w:rPr>
        <w:t>专项预算项目绩效评价报告</w:t>
      </w:r>
    </w:p>
    <w:p w14:paraId="328846E6">
      <w:pPr>
        <w:keepNext w:val="0"/>
        <w:keepLines w:val="0"/>
        <w:pageBreakBefore w:val="0"/>
        <w:kinsoku/>
        <w:wordWrap/>
        <w:overflowPunct/>
        <w:topLinePunct w:val="0"/>
        <w:autoSpaceDE/>
        <w:autoSpaceDN/>
        <w:bidi w:val="0"/>
        <w:spacing w:line="572" w:lineRule="exact"/>
        <w:jc w:val="center"/>
        <w:textAlignment w:val="auto"/>
        <w:outlineLvl w:val="0"/>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lang w:val="en-US" w:eastAsia="zh-CN"/>
        </w:rPr>
        <w:t>（2023年市场监管专项资金项目）</w:t>
      </w:r>
    </w:p>
    <w:p w14:paraId="3CD61F32">
      <w:pPr>
        <w:pStyle w:val="26"/>
        <w:rPr>
          <w:rFonts w:hint="default" w:ascii="Times New Roman" w:hAnsi="Times New Roman" w:cs="Times New Roman"/>
          <w:lang w:val="en-US" w:eastAsia="zh-CN"/>
        </w:rPr>
      </w:pPr>
    </w:p>
    <w:p w14:paraId="316F62F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Times New Roman" w:hAnsi="Times New Roman" w:eastAsia="黑体" w:cs="Times New Roman"/>
          <w:color w:val="000000"/>
          <w:kern w:val="0"/>
          <w:sz w:val="32"/>
          <w:szCs w:val="48"/>
          <w:shd w:val="clear" w:color="auto" w:fill="FFFFFF"/>
          <w:lang w:val="zh-CN"/>
        </w:rPr>
      </w:pPr>
      <w:r>
        <w:rPr>
          <w:rFonts w:hint="default" w:ascii="Times New Roman" w:hAnsi="Times New Roman" w:eastAsia="黑体" w:cs="Times New Roman"/>
          <w:color w:val="000000"/>
          <w:kern w:val="0"/>
          <w:sz w:val="32"/>
          <w:szCs w:val="48"/>
          <w:shd w:val="clear" w:color="auto" w:fill="FFFFFF"/>
        </w:rPr>
        <w:t>一、</w:t>
      </w:r>
      <w:r>
        <w:rPr>
          <w:rFonts w:hint="default" w:ascii="Times New Roman" w:hAnsi="Times New Roman" w:eastAsia="黑体" w:cs="Times New Roman"/>
          <w:color w:val="000000"/>
          <w:kern w:val="0"/>
          <w:sz w:val="32"/>
          <w:szCs w:val="48"/>
          <w:shd w:val="clear" w:color="auto" w:fill="FFFFFF"/>
          <w:lang w:val="zh-CN"/>
        </w:rPr>
        <w:t>项目概况</w:t>
      </w:r>
    </w:p>
    <w:p w14:paraId="32D10A60">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（一）项目资金申报及批复情况</w:t>
      </w:r>
    </w:p>
    <w:p w14:paraId="22BDC2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2023年度安居区市场监督管理局申请2023年市场监管专项资金68万元，符合资金管理办法等相关规定。</w:t>
      </w:r>
    </w:p>
    <w:p w14:paraId="477D5193">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（二）项目绩效目标</w:t>
      </w:r>
    </w:p>
    <w:p w14:paraId="113A42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市场监管专项资金主要用于基层市场监管局（所）标准化建设、企业信息公示抽查、“小个专”暨外卖送餐员群体党建工作、食品安全示范县创建、市场主体监管及商事制度改革、放心舒心消费示范单元提质升级，不断提高市场监管综合业务，强化市场监管保障，提升服务质量，提高群众满意率。</w:t>
      </w:r>
    </w:p>
    <w:p w14:paraId="5446CE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定性和定量目标如下：</w:t>
      </w:r>
    </w:p>
    <w:p w14:paraId="11B383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仿宋" w:cs="Times New Roman"/>
          <w:color w:val="auto"/>
          <w:kern w:val="0"/>
          <w:sz w:val="32"/>
          <w:szCs w:val="32"/>
          <w:highlight w:val="none"/>
          <w:lang w:val="en-US" w:eastAsia="zh-CN" w:bidi="ar-SA"/>
        </w:rPr>
        <w:t>数量指标：“双随机”抽查企业比率≥3%，企业年报公示率≥85%，基层市场监管局（所）标准化规范化示范创建局≥1个、所≥1个，开展第四批四川省食品安全示范县创建工作，建立“小个专”工作领导小组100%，党建工作指导站≥85%，完成对放心舒心示范店现场核查数量≥12个，建立放心舒心消费维权服务站≥5个，开展“一照多址”跨县区改革、破解改革制度障碍。</w:t>
      </w:r>
    </w:p>
    <w:p w14:paraId="14FDFD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质量指标：基层市场监管局（所）标准化规范化创建完成率100%，“小个专”党建工作指导站完成率100%，食品安全示范县创建示范街和示范景区打造完成率100%。</w:t>
      </w:r>
    </w:p>
    <w:p w14:paraId="01EB74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时间指标：项目完成时间2023年12月31日前。</w:t>
      </w:r>
    </w:p>
    <w:p w14:paraId="79DC43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成本指标：每户企业信息公示抽查成本≤1600元/户，基层市场监管局（所）标准化规范化建设成本≤30万元，打造“小个专”党建工作指导站建设≤4万元，消费维权服务站≤0.4万元/个。</w:t>
      </w:r>
    </w:p>
    <w:p w14:paraId="3D2F8E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社会效益指标：公平竞争的市场秩序稳中向好，辖区内与补助资金相关的重大食品安全监管责任事故发生数0次，进一步深化商事登记制度改革稳中向好趋势。</w:t>
      </w:r>
    </w:p>
    <w:p w14:paraId="774182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可持续指标：通过监督检查、风险监测、证后监管等保障人民生命财产健康安全，长期严守食品安全底线。</w:t>
      </w:r>
    </w:p>
    <w:p w14:paraId="77572D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仿宋" w:cs="Times New Roman"/>
          <w:color w:val="auto"/>
          <w:kern w:val="0"/>
          <w:sz w:val="32"/>
          <w:szCs w:val="32"/>
          <w:highlight w:val="none"/>
          <w:lang w:val="en-US" w:eastAsia="zh-CN" w:bidi="ar-SA"/>
        </w:rPr>
        <w:t>满意度指标：公众对食品安全的满意度≥75分。</w:t>
      </w:r>
    </w:p>
    <w:p w14:paraId="6E0C5373">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（三）项目资金申报相符性</w:t>
      </w:r>
    </w:p>
    <w:p w14:paraId="0C3A3B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市场监管专项资金申报内容均紧紧围绕省局、市局确定的年度重点工作，开展基层所（局）建设、企业信息公示抽查，打造“小个专”党建工作指导站、消费维权服务站及食品安全示范县等，全面提升全区市场监管能力，提高综合行政执法水平。</w:t>
      </w:r>
    </w:p>
    <w:p w14:paraId="23179F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zh-CN" w:eastAsia="zh-CN" w:bidi="ar-SA"/>
        </w:rPr>
      </w:pPr>
      <w:r>
        <w:rPr>
          <w:rFonts w:hint="default" w:ascii="Times New Roman" w:hAnsi="Times New Roman" w:eastAsia="仿宋" w:cs="Times New Roman"/>
          <w:color w:val="auto"/>
          <w:kern w:val="0"/>
          <w:sz w:val="32"/>
          <w:szCs w:val="32"/>
          <w:highlight w:val="none"/>
          <w:lang w:val="en-US" w:eastAsia="zh-CN" w:bidi="ar-SA"/>
        </w:rPr>
        <w:t>项目资金申报合理，与实施内容相符。决策程序严密，规划合理，科学可行。</w:t>
      </w:r>
    </w:p>
    <w:p w14:paraId="57E388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黑体" w:cs="Times New Roman"/>
          <w:color w:val="000000"/>
          <w:kern w:val="0"/>
          <w:sz w:val="32"/>
          <w:szCs w:val="48"/>
          <w:shd w:val="clear" w:color="auto" w:fill="FFFFFF"/>
          <w:lang w:val="en-US" w:eastAsia="zh-CN"/>
        </w:rPr>
        <w:t>二、项目实施及管理情况</w:t>
      </w:r>
    </w:p>
    <w:p w14:paraId="7944789A">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（一）资金计划、到位及使用情况</w:t>
      </w:r>
    </w:p>
    <w:p w14:paraId="3F0722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zh-CN" w:eastAsia="zh-CN" w:bidi="ar-SA"/>
        </w:rPr>
      </w:pPr>
      <w:r>
        <w:rPr>
          <w:rFonts w:hint="default" w:ascii="Times New Roman" w:hAnsi="Times New Roman" w:eastAsia="仿宋" w:cs="Times New Roman"/>
          <w:color w:val="auto"/>
          <w:kern w:val="0"/>
          <w:sz w:val="32"/>
          <w:szCs w:val="32"/>
          <w:highlight w:val="none"/>
          <w:lang w:val="zh-CN" w:eastAsia="zh-CN" w:bidi="ar-SA"/>
        </w:rPr>
        <w:t>1.资金计划及到位。</w:t>
      </w:r>
      <w:r>
        <w:rPr>
          <w:rFonts w:hint="default" w:ascii="Times New Roman" w:hAnsi="Times New Roman" w:eastAsia="仿宋" w:cs="Times New Roman"/>
          <w:color w:val="auto"/>
          <w:kern w:val="0"/>
          <w:sz w:val="32"/>
          <w:szCs w:val="32"/>
          <w:highlight w:val="none"/>
          <w:lang w:val="en-US" w:eastAsia="zh-CN" w:bidi="ar-SA"/>
        </w:rPr>
        <w:t>市场监管专项资金计划68万元，根据《遂宁市财政局关于提前下达2023年市场监管专项资金预算的通知》（遂财行〔2023〕41号）文件下达资金30万元，《遂宁市财政局关于下达2023年市场监管专项资金预算的通知》（遂财行〔2023〕61号）文件下达资金38万元，截止评价时点，资金到位率100%。</w:t>
      </w:r>
    </w:p>
    <w:p w14:paraId="37A003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2.</w:t>
      </w:r>
      <w:r>
        <w:rPr>
          <w:rFonts w:hint="default" w:ascii="Times New Roman" w:hAnsi="Times New Roman" w:eastAsia="仿宋" w:cs="Times New Roman"/>
          <w:color w:val="auto"/>
          <w:kern w:val="0"/>
          <w:sz w:val="32"/>
          <w:szCs w:val="32"/>
          <w:highlight w:val="none"/>
          <w:lang w:val="zh-CN" w:eastAsia="zh-CN" w:bidi="ar-SA"/>
        </w:rPr>
        <w:t>资金使用。截止评价时点，</w:t>
      </w:r>
      <w:r>
        <w:rPr>
          <w:rFonts w:hint="default" w:ascii="Times New Roman" w:hAnsi="Times New Roman" w:eastAsia="仿宋" w:cs="Times New Roman"/>
          <w:color w:val="auto"/>
          <w:kern w:val="0"/>
          <w:sz w:val="32"/>
          <w:szCs w:val="32"/>
          <w:highlight w:val="none"/>
          <w:lang w:val="en-US" w:eastAsia="zh-CN" w:bidi="ar-SA"/>
        </w:rPr>
        <w:t>市场监管专项资金2023年支付24.21万元、2024年度支付43.79万元，总计支出68万元，</w:t>
      </w:r>
      <w:r>
        <w:rPr>
          <w:rFonts w:hint="default" w:ascii="Times New Roman" w:hAnsi="Times New Roman" w:eastAsia="仿宋" w:cs="Times New Roman"/>
          <w:color w:val="auto"/>
          <w:kern w:val="0"/>
          <w:sz w:val="32"/>
          <w:szCs w:val="32"/>
          <w:highlight w:val="none"/>
          <w:lang w:val="zh-CN" w:eastAsia="zh-CN" w:bidi="ar-SA"/>
        </w:rPr>
        <w:t>资金执行率</w:t>
      </w:r>
      <w:r>
        <w:rPr>
          <w:rFonts w:hint="default" w:ascii="Times New Roman" w:hAnsi="Times New Roman" w:eastAsia="仿宋" w:cs="Times New Roman"/>
          <w:color w:val="auto"/>
          <w:kern w:val="0"/>
          <w:sz w:val="32"/>
          <w:szCs w:val="32"/>
          <w:highlight w:val="none"/>
          <w:lang w:val="en-US" w:eastAsia="zh-CN" w:bidi="ar-SA"/>
        </w:rPr>
        <w:t>100</w:t>
      </w:r>
      <w:r>
        <w:rPr>
          <w:rFonts w:hint="default" w:ascii="Times New Roman" w:hAnsi="Times New Roman" w:eastAsia="仿宋" w:cs="Times New Roman"/>
          <w:color w:val="auto"/>
          <w:kern w:val="0"/>
          <w:sz w:val="32"/>
          <w:szCs w:val="32"/>
          <w:highlight w:val="none"/>
          <w:lang w:val="zh-CN" w:eastAsia="zh-CN" w:bidi="ar-SA"/>
        </w:rPr>
        <w:t>%。</w:t>
      </w:r>
      <w:r>
        <w:rPr>
          <w:rFonts w:hint="default" w:ascii="Times New Roman" w:hAnsi="Times New Roman" w:eastAsia="仿宋" w:cs="Times New Roman"/>
          <w:color w:val="auto"/>
          <w:kern w:val="0"/>
          <w:sz w:val="32"/>
          <w:szCs w:val="32"/>
          <w:highlight w:val="none"/>
          <w:lang w:val="en-US" w:eastAsia="zh-CN" w:bidi="ar-SA"/>
        </w:rPr>
        <w:t>该项目资金主要</w:t>
      </w:r>
      <w:r>
        <w:rPr>
          <w:rFonts w:hint="default" w:ascii="Times New Roman" w:hAnsi="Times New Roman" w:eastAsia="仿宋" w:cs="Times New Roman"/>
          <w:color w:val="auto"/>
          <w:kern w:val="0"/>
          <w:sz w:val="32"/>
          <w:szCs w:val="32"/>
          <w:highlight w:val="none"/>
          <w:lang w:val="zh-CN" w:eastAsia="zh-CN" w:bidi="ar-SA"/>
        </w:rPr>
        <w:t>用于开展基层市场监管所（</w:t>
      </w:r>
      <w:r>
        <w:rPr>
          <w:rFonts w:hint="default" w:ascii="Times New Roman" w:hAnsi="Times New Roman" w:eastAsia="仿宋" w:cs="Times New Roman"/>
          <w:color w:val="auto"/>
          <w:kern w:val="0"/>
          <w:sz w:val="32"/>
          <w:szCs w:val="32"/>
          <w:highlight w:val="none"/>
          <w:lang w:val="en-US" w:eastAsia="zh-CN" w:bidi="ar-SA"/>
        </w:rPr>
        <w:t>局</w:t>
      </w:r>
      <w:r>
        <w:rPr>
          <w:rFonts w:hint="default" w:ascii="Times New Roman" w:hAnsi="Times New Roman" w:eastAsia="仿宋" w:cs="Times New Roman"/>
          <w:color w:val="auto"/>
          <w:kern w:val="0"/>
          <w:sz w:val="32"/>
          <w:szCs w:val="32"/>
          <w:highlight w:val="none"/>
          <w:lang w:val="zh-CN" w:eastAsia="zh-CN" w:bidi="ar-SA"/>
        </w:rPr>
        <w:t>）标准化</w:t>
      </w:r>
      <w:r>
        <w:rPr>
          <w:rFonts w:hint="default" w:ascii="Times New Roman" w:hAnsi="Times New Roman" w:eastAsia="仿宋" w:cs="Times New Roman"/>
          <w:color w:val="auto"/>
          <w:kern w:val="0"/>
          <w:sz w:val="32"/>
          <w:szCs w:val="32"/>
          <w:highlight w:val="none"/>
          <w:lang w:val="en-US" w:eastAsia="zh-CN" w:bidi="ar-SA"/>
        </w:rPr>
        <w:t>规范化</w:t>
      </w:r>
      <w:r>
        <w:rPr>
          <w:rFonts w:hint="default" w:ascii="Times New Roman" w:hAnsi="Times New Roman" w:eastAsia="仿宋" w:cs="Times New Roman"/>
          <w:color w:val="auto"/>
          <w:kern w:val="0"/>
          <w:sz w:val="32"/>
          <w:szCs w:val="32"/>
          <w:highlight w:val="none"/>
          <w:lang w:val="zh-CN" w:eastAsia="zh-CN" w:bidi="ar-SA"/>
        </w:rPr>
        <w:t>建设，打造省级示范</w:t>
      </w:r>
      <w:r>
        <w:rPr>
          <w:rFonts w:hint="default" w:ascii="Times New Roman" w:hAnsi="Times New Roman" w:eastAsia="仿宋" w:cs="Times New Roman"/>
          <w:color w:val="auto"/>
          <w:kern w:val="0"/>
          <w:sz w:val="32"/>
          <w:szCs w:val="32"/>
          <w:highlight w:val="none"/>
          <w:lang w:val="en-US" w:eastAsia="zh-CN" w:bidi="ar-SA"/>
        </w:rPr>
        <w:t>局</w:t>
      </w:r>
      <w:r>
        <w:rPr>
          <w:rFonts w:hint="default" w:ascii="Times New Roman" w:hAnsi="Times New Roman" w:eastAsia="仿宋" w:cs="Times New Roman"/>
          <w:color w:val="auto"/>
          <w:kern w:val="0"/>
          <w:sz w:val="32"/>
          <w:szCs w:val="32"/>
          <w:highlight w:val="none"/>
          <w:lang w:val="zh-CN" w:eastAsia="zh-CN" w:bidi="ar-SA"/>
        </w:rPr>
        <w:t>（所）建设试点单位；开展“双随机、一公开”工作，全面实现市场监管系统双随机抽查任务100%完成、抽查结果100%公开；</w:t>
      </w:r>
      <w:r>
        <w:rPr>
          <w:rFonts w:hint="default" w:ascii="Times New Roman" w:hAnsi="Times New Roman" w:eastAsia="仿宋" w:cs="Times New Roman"/>
          <w:color w:val="auto"/>
          <w:kern w:val="0"/>
          <w:sz w:val="32"/>
          <w:szCs w:val="32"/>
          <w:highlight w:val="none"/>
          <w:lang w:val="en-US" w:eastAsia="zh-CN" w:bidi="ar-SA"/>
        </w:rPr>
        <w:t>打造</w:t>
      </w:r>
      <w:r>
        <w:rPr>
          <w:rFonts w:hint="default" w:ascii="Times New Roman" w:hAnsi="Times New Roman" w:eastAsia="仿宋" w:cs="Times New Roman"/>
          <w:color w:val="auto"/>
          <w:kern w:val="0"/>
          <w:sz w:val="32"/>
          <w:szCs w:val="32"/>
          <w:highlight w:val="none"/>
          <w:lang w:val="zh-CN" w:eastAsia="zh-CN" w:bidi="ar-SA"/>
        </w:rPr>
        <w:t>“小个专”</w:t>
      </w:r>
      <w:r>
        <w:rPr>
          <w:rFonts w:hint="default" w:ascii="Times New Roman" w:hAnsi="Times New Roman" w:eastAsia="仿宋" w:cs="Times New Roman"/>
          <w:color w:val="auto"/>
          <w:kern w:val="0"/>
          <w:sz w:val="32"/>
          <w:szCs w:val="32"/>
          <w:highlight w:val="none"/>
          <w:lang w:val="en-US" w:eastAsia="zh-CN" w:bidi="ar-SA"/>
        </w:rPr>
        <w:t>党建工作指导站</w:t>
      </w:r>
      <w:r>
        <w:rPr>
          <w:rFonts w:hint="default" w:ascii="Times New Roman" w:hAnsi="Times New Roman" w:eastAsia="仿宋" w:cs="Times New Roman"/>
          <w:color w:val="auto"/>
          <w:kern w:val="0"/>
          <w:sz w:val="32"/>
          <w:szCs w:val="32"/>
          <w:highlight w:val="none"/>
          <w:lang w:val="zh-CN" w:eastAsia="zh-CN" w:bidi="ar-SA"/>
        </w:rPr>
        <w:t>，推进党的组织和党的工作全覆盖，不断提高“小个专”党建工作质量；</w:t>
      </w:r>
      <w:r>
        <w:rPr>
          <w:rFonts w:hint="default" w:ascii="Times New Roman" w:hAnsi="Times New Roman" w:eastAsia="仿宋" w:cs="Times New Roman"/>
          <w:color w:val="auto"/>
          <w:kern w:val="0"/>
          <w:sz w:val="32"/>
          <w:szCs w:val="32"/>
          <w:highlight w:val="none"/>
          <w:lang w:val="en-US" w:eastAsia="zh-CN" w:bidi="ar-SA"/>
        </w:rPr>
        <w:t>推进食品安全示范县创建，打造示范街示范景区，开展食品安全应急演练，加强食品安全宣传，增强食品安全意识；开展市场主体监管及商事制度改革；打造放心舒心消费示范单元，建立消费维权服务站</w:t>
      </w:r>
      <w:r>
        <w:rPr>
          <w:rFonts w:hint="default" w:ascii="Times New Roman" w:hAnsi="Times New Roman" w:eastAsia="仿宋" w:cs="Times New Roman"/>
          <w:color w:val="auto"/>
          <w:kern w:val="0"/>
          <w:sz w:val="32"/>
          <w:szCs w:val="32"/>
          <w:highlight w:val="none"/>
          <w:lang w:val="zh-CN" w:eastAsia="zh-CN" w:bidi="ar-SA"/>
        </w:rPr>
        <w:t>。</w:t>
      </w:r>
    </w:p>
    <w:p w14:paraId="4CCF48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zh-CN" w:eastAsia="zh-CN" w:bidi="ar-SA"/>
        </w:rPr>
      </w:pPr>
      <w:r>
        <w:rPr>
          <w:rFonts w:hint="default" w:ascii="Times New Roman" w:hAnsi="Times New Roman" w:eastAsia="仿宋" w:cs="Times New Roman"/>
          <w:color w:val="auto"/>
          <w:kern w:val="0"/>
          <w:sz w:val="32"/>
          <w:szCs w:val="32"/>
          <w:highlight w:val="none"/>
          <w:lang w:val="zh-CN" w:eastAsia="zh-CN" w:bidi="ar-SA"/>
        </w:rPr>
        <w:t>专项工作开展均严格按照《四川省财政厅</w:t>
      </w:r>
      <w:r>
        <w:rPr>
          <w:rFonts w:hint="default" w:ascii="Times New Roman" w:hAnsi="Times New Roman" w:eastAsia="仿宋" w:cs="Times New Roman"/>
          <w:color w:val="auto"/>
          <w:kern w:val="0"/>
          <w:sz w:val="32"/>
          <w:szCs w:val="32"/>
          <w:highlight w:val="none"/>
          <w:lang w:val="en-US" w:eastAsia="zh-CN" w:bidi="ar-SA"/>
        </w:rPr>
        <w:t xml:space="preserve"> 四川省市场监督管理局关于印发〈</w:t>
      </w:r>
      <w:r>
        <w:rPr>
          <w:rFonts w:hint="default" w:ascii="Times New Roman" w:hAnsi="Times New Roman" w:eastAsia="仿宋" w:cs="Times New Roman"/>
          <w:color w:val="auto"/>
          <w:kern w:val="0"/>
          <w:sz w:val="32"/>
          <w:szCs w:val="32"/>
          <w:highlight w:val="none"/>
          <w:lang w:val="zh-CN" w:eastAsia="zh-CN" w:bidi="ar-SA"/>
        </w:rPr>
        <w:t>四川省市场监管专项资金管理办法</w:t>
      </w:r>
      <w:r>
        <w:rPr>
          <w:rFonts w:hint="default" w:ascii="Times New Roman" w:hAnsi="Times New Roman" w:eastAsia="仿宋" w:cs="Times New Roman"/>
          <w:color w:val="auto"/>
          <w:kern w:val="0"/>
          <w:sz w:val="32"/>
          <w:szCs w:val="32"/>
          <w:highlight w:val="none"/>
          <w:lang w:val="en-US" w:eastAsia="zh-CN" w:bidi="ar-SA"/>
        </w:rPr>
        <w:t>〉的通知</w:t>
      </w:r>
      <w:r>
        <w:rPr>
          <w:rFonts w:hint="default" w:ascii="Times New Roman" w:hAnsi="Times New Roman" w:eastAsia="仿宋" w:cs="Times New Roman"/>
          <w:color w:val="auto"/>
          <w:kern w:val="0"/>
          <w:sz w:val="32"/>
          <w:szCs w:val="32"/>
          <w:highlight w:val="none"/>
          <w:lang w:val="zh-CN" w:eastAsia="zh-CN" w:bidi="ar-SA"/>
        </w:rPr>
        <w:t>》（川财行〔</w:t>
      </w:r>
      <w:r>
        <w:rPr>
          <w:rFonts w:hint="default" w:ascii="Times New Roman" w:hAnsi="Times New Roman" w:eastAsia="仿宋" w:cs="Times New Roman"/>
          <w:color w:val="auto"/>
          <w:kern w:val="0"/>
          <w:sz w:val="32"/>
          <w:szCs w:val="32"/>
          <w:highlight w:val="none"/>
          <w:lang w:val="en-US" w:eastAsia="zh-CN" w:bidi="ar-SA"/>
        </w:rPr>
        <w:t>2019</w:t>
      </w:r>
      <w:r>
        <w:rPr>
          <w:rFonts w:hint="default" w:ascii="Times New Roman" w:hAnsi="Times New Roman" w:eastAsia="仿宋" w:cs="Times New Roman"/>
          <w:color w:val="auto"/>
          <w:kern w:val="0"/>
          <w:sz w:val="32"/>
          <w:szCs w:val="32"/>
          <w:highlight w:val="none"/>
          <w:lang w:val="zh-CN" w:eastAsia="zh-CN" w:bidi="ar-SA"/>
        </w:rPr>
        <w:t>〕</w:t>
      </w:r>
      <w:r>
        <w:rPr>
          <w:rFonts w:hint="default" w:ascii="Times New Roman" w:hAnsi="Times New Roman" w:eastAsia="仿宋" w:cs="Times New Roman"/>
          <w:color w:val="auto"/>
          <w:kern w:val="0"/>
          <w:sz w:val="32"/>
          <w:szCs w:val="32"/>
          <w:highlight w:val="none"/>
          <w:lang w:val="en-US" w:eastAsia="zh-CN" w:bidi="ar-SA"/>
        </w:rPr>
        <w:t>74号）文件要求，合规合法确定</w:t>
      </w:r>
      <w:r>
        <w:rPr>
          <w:rFonts w:hint="default" w:ascii="Times New Roman" w:hAnsi="Times New Roman" w:eastAsia="仿宋" w:cs="Times New Roman"/>
          <w:color w:val="auto"/>
          <w:kern w:val="0"/>
          <w:sz w:val="32"/>
          <w:szCs w:val="32"/>
          <w:highlight w:val="none"/>
          <w:lang w:val="zh-CN" w:eastAsia="zh-CN" w:bidi="ar-SA"/>
        </w:rPr>
        <w:t>资金开支范围、标准及支付进度等，资金支付与预算相符。</w:t>
      </w:r>
    </w:p>
    <w:p w14:paraId="1EE6BEC4">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（二）项目财务管理情况</w:t>
      </w:r>
    </w:p>
    <w:p w14:paraId="20AE9B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zh-CN" w:eastAsia="zh-CN" w:bidi="ar-SA"/>
        </w:rPr>
      </w:pPr>
      <w:r>
        <w:rPr>
          <w:rFonts w:hint="default" w:ascii="Times New Roman" w:hAnsi="Times New Roman" w:eastAsia="仿宋" w:cs="Times New Roman"/>
          <w:color w:val="auto"/>
          <w:kern w:val="0"/>
          <w:sz w:val="32"/>
          <w:szCs w:val="32"/>
          <w:highlight w:val="none"/>
          <w:lang w:val="zh-CN" w:eastAsia="zh-CN" w:bidi="ar-SA"/>
        </w:rPr>
        <w:t>我局认真落实科学监管理念，严格管理，合理安排，不断健全完善财务管理制度、内控制度。</w:t>
      </w:r>
      <w:r>
        <w:rPr>
          <w:rFonts w:hint="default" w:ascii="Times New Roman" w:hAnsi="Times New Roman" w:eastAsia="仿宋" w:cs="Times New Roman"/>
          <w:color w:val="auto"/>
          <w:kern w:val="0"/>
          <w:sz w:val="32"/>
          <w:szCs w:val="32"/>
          <w:highlight w:val="none"/>
          <w:lang w:val="en-US" w:eastAsia="zh-CN" w:bidi="ar-SA"/>
        </w:rPr>
        <w:t>项目支出均</w:t>
      </w:r>
      <w:r>
        <w:rPr>
          <w:rFonts w:hint="default" w:ascii="Times New Roman" w:hAnsi="Times New Roman" w:eastAsia="仿宋" w:cs="Times New Roman"/>
          <w:color w:val="auto"/>
          <w:kern w:val="0"/>
          <w:sz w:val="32"/>
          <w:szCs w:val="32"/>
          <w:highlight w:val="none"/>
          <w:lang w:val="zh-CN" w:eastAsia="zh-CN" w:bidi="ar-SA"/>
        </w:rPr>
        <w:t>严格遵守《四川省市场监管专项资金管理办法》规定，项目支出严格按照报销程序审批，使用规范，会计核算结果真实、准确，未截留、挤占、挪用项目资金，确保了财政资金专款专用，切实提高了资金使用效益。</w:t>
      </w:r>
    </w:p>
    <w:p w14:paraId="09D1EB7B">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（三）项目组织实施情况</w:t>
      </w:r>
    </w:p>
    <w:p w14:paraId="1EFF7B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zh-CN" w:eastAsia="zh-CN" w:bidi="ar-SA"/>
        </w:rPr>
      </w:pPr>
      <w:r>
        <w:rPr>
          <w:rFonts w:hint="default" w:ascii="Times New Roman" w:hAnsi="Times New Roman" w:eastAsia="仿宋" w:cs="Times New Roman"/>
          <w:color w:val="auto"/>
          <w:kern w:val="0"/>
          <w:sz w:val="32"/>
          <w:szCs w:val="32"/>
          <w:highlight w:val="none"/>
          <w:lang w:val="zh-CN" w:eastAsia="zh-CN" w:bidi="ar-SA"/>
        </w:rPr>
        <w:t>我局按照资金下达文件及《四川省财政厅</w:t>
      </w:r>
      <w:r>
        <w:rPr>
          <w:rFonts w:hint="default" w:ascii="Times New Roman" w:hAnsi="Times New Roman" w:eastAsia="仿宋" w:cs="Times New Roman"/>
          <w:color w:val="auto"/>
          <w:kern w:val="0"/>
          <w:sz w:val="32"/>
          <w:szCs w:val="32"/>
          <w:highlight w:val="none"/>
          <w:lang w:val="en-US" w:eastAsia="zh-CN" w:bidi="ar-SA"/>
        </w:rPr>
        <w:t xml:space="preserve"> 四川省市场监督管理局关于印发〈</w:t>
      </w:r>
      <w:r>
        <w:rPr>
          <w:rFonts w:hint="default" w:ascii="Times New Roman" w:hAnsi="Times New Roman" w:eastAsia="仿宋" w:cs="Times New Roman"/>
          <w:color w:val="auto"/>
          <w:kern w:val="0"/>
          <w:sz w:val="32"/>
          <w:szCs w:val="32"/>
          <w:highlight w:val="none"/>
          <w:lang w:val="zh-CN" w:eastAsia="zh-CN" w:bidi="ar-SA"/>
        </w:rPr>
        <w:t>四川省市场监管专项资金管理办法</w:t>
      </w:r>
      <w:r>
        <w:rPr>
          <w:rFonts w:hint="default" w:ascii="Times New Roman" w:hAnsi="Times New Roman" w:eastAsia="仿宋" w:cs="Times New Roman"/>
          <w:color w:val="auto"/>
          <w:kern w:val="0"/>
          <w:sz w:val="32"/>
          <w:szCs w:val="32"/>
          <w:highlight w:val="none"/>
          <w:lang w:val="en-US" w:eastAsia="zh-CN" w:bidi="ar-SA"/>
        </w:rPr>
        <w:t>〉的通知</w:t>
      </w:r>
      <w:r>
        <w:rPr>
          <w:rFonts w:hint="default" w:ascii="Times New Roman" w:hAnsi="Times New Roman" w:eastAsia="仿宋" w:cs="Times New Roman"/>
          <w:color w:val="auto"/>
          <w:kern w:val="0"/>
          <w:sz w:val="32"/>
          <w:szCs w:val="32"/>
          <w:highlight w:val="none"/>
          <w:lang w:val="zh-CN" w:eastAsia="zh-CN" w:bidi="ar-SA"/>
        </w:rPr>
        <w:t>》（川财行〔</w:t>
      </w:r>
      <w:r>
        <w:rPr>
          <w:rFonts w:hint="default" w:ascii="Times New Roman" w:hAnsi="Times New Roman" w:eastAsia="仿宋" w:cs="Times New Roman"/>
          <w:color w:val="auto"/>
          <w:kern w:val="0"/>
          <w:sz w:val="32"/>
          <w:szCs w:val="32"/>
          <w:highlight w:val="none"/>
          <w:lang w:val="en-US" w:eastAsia="zh-CN" w:bidi="ar-SA"/>
        </w:rPr>
        <w:t>2019</w:t>
      </w:r>
      <w:r>
        <w:rPr>
          <w:rFonts w:hint="default" w:ascii="Times New Roman" w:hAnsi="Times New Roman" w:eastAsia="仿宋" w:cs="Times New Roman"/>
          <w:color w:val="auto"/>
          <w:kern w:val="0"/>
          <w:sz w:val="32"/>
          <w:szCs w:val="32"/>
          <w:highlight w:val="none"/>
          <w:lang w:val="zh-CN" w:eastAsia="zh-CN" w:bidi="ar-SA"/>
        </w:rPr>
        <w:t>〕</w:t>
      </w:r>
      <w:r>
        <w:rPr>
          <w:rFonts w:hint="default" w:ascii="Times New Roman" w:hAnsi="Times New Roman" w:eastAsia="仿宋" w:cs="Times New Roman"/>
          <w:color w:val="auto"/>
          <w:kern w:val="0"/>
          <w:sz w:val="32"/>
          <w:szCs w:val="32"/>
          <w:highlight w:val="none"/>
          <w:lang w:val="en-US" w:eastAsia="zh-CN" w:bidi="ar-SA"/>
        </w:rPr>
        <w:t>74号）</w:t>
      </w:r>
      <w:r>
        <w:rPr>
          <w:rFonts w:hint="default" w:ascii="Times New Roman" w:hAnsi="Times New Roman" w:eastAsia="仿宋" w:cs="Times New Roman"/>
          <w:color w:val="auto"/>
          <w:kern w:val="0"/>
          <w:sz w:val="32"/>
          <w:szCs w:val="32"/>
          <w:highlight w:val="none"/>
          <w:lang w:val="zh-CN" w:eastAsia="zh-CN" w:bidi="ar-SA"/>
        </w:rPr>
        <w:t>等文件要求，结合年度重点工作安排，及时制定并印发专项资金实施方案。方案明确了项目目标、项目内容、项目范围和实施单位、项目组织实施、项目执行时间、项目监督与评估</w:t>
      </w:r>
      <w:r>
        <w:rPr>
          <w:rFonts w:hint="default" w:ascii="Times New Roman" w:hAnsi="Times New Roman" w:eastAsia="仿宋" w:cs="Times New Roman"/>
          <w:color w:val="auto"/>
          <w:kern w:val="0"/>
          <w:sz w:val="32"/>
          <w:szCs w:val="32"/>
          <w:highlight w:val="none"/>
          <w:lang w:val="en-US" w:eastAsia="zh-CN" w:bidi="ar-SA"/>
        </w:rPr>
        <w:t>等</w:t>
      </w:r>
      <w:r>
        <w:rPr>
          <w:rFonts w:hint="default" w:ascii="Times New Roman" w:hAnsi="Times New Roman" w:eastAsia="仿宋" w:cs="Times New Roman"/>
          <w:color w:val="auto"/>
          <w:kern w:val="0"/>
          <w:sz w:val="32"/>
          <w:szCs w:val="32"/>
          <w:highlight w:val="none"/>
          <w:lang w:val="zh-CN" w:eastAsia="zh-CN" w:bidi="ar-SA"/>
        </w:rPr>
        <w:t>。按照实施方案着力推进项目开展，责任股室负责项目的组织实施、管理、绩效评价工作，财务监督项目资金使用</w:t>
      </w:r>
      <w:r>
        <w:rPr>
          <w:rFonts w:hint="default" w:ascii="Times New Roman" w:hAnsi="Times New Roman" w:eastAsia="仿宋" w:cs="Times New Roman"/>
          <w:color w:val="auto"/>
          <w:kern w:val="0"/>
          <w:sz w:val="32"/>
          <w:szCs w:val="32"/>
          <w:highlight w:val="none"/>
          <w:lang w:val="en-US" w:eastAsia="zh-CN" w:bidi="ar-SA"/>
        </w:rPr>
        <w:t>并</w:t>
      </w:r>
      <w:r>
        <w:rPr>
          <w:rFonts w:hint="default" w:ascii="Times New Roman" w:hAnsi="Times New Roman" w:eastAsia="仿宋" w:cs="Times New Roman"/>
          <w:color w:val="auto"/>
          <w:kern w:val="0"/>
          <w:sz w:val="32"/>
          <w:szCs w:val="32"/>
          <w:highlight w:val="none"/>
          <w:lang w:val="zh-CN" w:eastAsia="zh-CN" w:bidi="ar-SA"/>
        </w:rPr>
        <w:t>会同责任股室组织项目绩效评价。</w:t>
      </w:r>
    </w:p>
    <w:p w14:paraId="30B987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zh-CN" w:eastAsia="zh-CN" w:bidi="ar-SA"/>
        </w:rPr>
      </w:pPr>
      <w:r>
        <w:rPr>
          <w:rFonts w:hint="default" w:ascii="Times New Roman" w:hAnsi="Times New Roman" w:eastAsia="仿宋" w:cs="Times New Roman"/>
          <w:color w:val="auto"/>
          <w:kern w:val="0"/>
          <w:sz w:val="32"/>
          <w:szCs w:val="32"/>
          <w:highlight w:val="none"/>
          <w:lang w:val="zh-CN" w:eastAsia="zh-CN" w:bidi="ar-SA"/>
        </w:rPr>
        <w:t>项目资金实行专款专用，专项核算，未列支与项目内容无关的费用，切实做好绩效监控和绩效评价，确保资金安全，提高财政资金使用效率。</w:t>
      </w:r>
    </w:p>
    <w:p w14:paraId="0261B16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Times New Roman" w:hAnsi="Times New Roman" w:eastAsia="黑体" w:cs="Times New Roman"/>
          <w:color w:val="000000"/>
          <w:kern w:val="0"/>
          <w:sz w:val="32"/>
          <w:szCs w:val="48"/>
          <w:shd w:val="clear" w:color="auto" w:fill="FFFFFF"/>
          <w:lang w:val="en-US" w:eastAsia="zh-CN"/>
        </w:rPr>
      </w:pPr>
      <w:r>
        <w:rPr>
          <w:rFonts w:hint="default" w:ascii="Times New Roman" w:hAnsi="Times New Roman" w:eastAsia="黑体" w:cs="Times New Roman"/>
          <w:color w:val="000000"/>
          <w:kern w:val="0"/>
          <w:sz w:val="32"/>
          <w:szCs w:val="48"/>
          <w:shd w:val="clear" w:color="auto" w:fill="FFFFFF"/>
          <w:lang w:val="en-US" w:eastAsia="zh-CN"/>
        </w:rPr>
        <w:t>三、项目绩效情况</w:t>
      </w:r>
      <w:r>
        <w:rPr>
          <w:rFonts w:hint="default" w:ascii="Times New Roman" w:hAnsi="Times New Roman" w:eastAsia="黑体" w:cs="Times New Roman"/>
          <w:color w:val="000000"/>
          <w:kern w:val="0"/>
          <w:sz w:val="32"/>
          <w:szCs w:val="48"/>
          <w:shd w:val="clear" w:color="auto" w:fill="FFFFFF"/>
          <w:lang w:val="en-US" w:eastAsia="zh-CN"/>
        </w:rPr>
        <w:tab/>
      </w:r>
    </w:p>
    <w:p w14:paraId="3EB70CAC">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（一）项目完成情况</w:t>
      </w:r>
    </w:p>
    <w:p w14:paraId="4866B3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数量指标：“双随机”抽查企业比率≥3%，企业年报公示率≥85%，基层市场监管局（所）标准化规范化示范创建局≥1个、所≥1个，开展第四批四川省食品安全示范县创建工作，建立“小个专”工作领导小组100%，党建工作指导站≥85%，完成对放心舒心示范店现场核查数量≥12个，建立放心舒心消费维权服务站≥5个，开展“一照多址”跨县区改革、破解改革制度障碍。实际完成情况：企业信息公示抽查企业数完成≥3%，企业年报公示率≥90%，基层市场监管局（所）标准化规范化建设各1个，建立“小个专”工作领导小组100%，党建工作指导站建设完成100%，完成对放心舒心示范店现场核查数量≥15个，建立放心舒心消费维权服务站5个，完成了“一照多址”跨县区改革、破解改革制度障碍。</w:t>
      </w:r>
    </w:p>
    <w:p w14:paraId="758D4E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质量指标：基层市场监管局（所）标准化规范化创建完成率100%，“小个专”党建工作指导站完成率100%，食品安全示范县创建示范街和示范景区打造完成率100%。实际完成情况：基层市场监管所（局）标准化规范化创建完成率100%，“小个专”党建工作指导站完成率100%，食品安全示范县创建示范街和示范景区打造完成率100%。</w:t>
      </w:r>
    </w:p>
    <w:p w14:paraId="65FEFF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时间指标：项目完成时间2023年12月31日前。实际完成情况：2023年12月31日前相关项目已完工。</w:t>
      </w:r>
    </w:p>
    <w:p w14:paraId="24C931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仿宋" w:cs="Times New Roman"/>
          <w:color w:val="auto"/>
          <w:kern w:val="0"/>
          <w:sz w:val="32"/>
          <w:szCs w:val="32"/>
          <w:highlight w:val="none"/>
          <w:lang w:val="en-US" w:eastAsia="zh-CN" w:bidi="ar-SA"/>
        </w:rPr>
        <w:t>成本指标：每户企业信息公示抽查成本≤1600元/户，基层市场监管所（局）标准化规范化建设成本≤30万元，打造“小个专”党建工作指导站建设≤4万元，消费维权服务站≤0.4万元/个。实际完成情况：每户企业信息公示抽查成本960元/户，基层市场监管所（局）标准化规范化建设成本≤30万元，打造“小个专”党建工作指导站建设≤4万元，消费维权服务站≤0.4万元/个。</w:t>
      </w:r>
    </w:p>
    <w:p w14:paraId="378C5F40">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（二）项目效益情况</w:t>
      </w:r>
    </w:p>
    <w:p w14:paraId="7BCF0E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社会效益指标：公平竞争的市场秩序稳中向好趋势，辖区内与补助资金相关的重大食品安全监管责任事故发生数0次，进一步深化商事登记制度改革稳中向好趋势。</w:t>
      </w:r>
    </w:p>
    <w:p w14:paraId="15286B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可持续指标：通过监督检查、风险监测、证后监管等保障人民生命财产健康安全，严守食品安全。</w:t>
      </w:r>
    </w:p>
    <w:p w14:paraId="674218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满意度指标：公众对食品安全的满意度≥85分。</w:t>
      </w:r>
    </w:p>
    <w:p w14:paraId="7F9F26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黑体" w:cs="Times New Roman"/>
          <w:color w:val="000000"/>
          <w:kern w:val="0"/>
          <w:sz w:val="32"/>
          <w:szCs w:val="48"/>
          <w:shd w:val="clear" w:color="auto" w:fill="FFFFFF"/>
          <w:lang w:val="en-US" w:eastAsia="zh-CN"/>
        </w:rPr>
        <w:t>四、问题及建议</w:t>
      </w:r>
    </w:p>
    <w:p w14:paraId="3D9DC8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zh-CN" w:eastAsia="zh-CN" w:bidi="ar-SA"/>
        </w:rPr>
      </w:pPr>
      <w:r>
        <w:rPr>
          <w:rFonts w:hint="default" w:ascii="Times New Roman" w:hAnsi="Times New Roman" w:eastAsia="仿宋" w:cs="Times New Roman"/>
          <w:color w:val="auto"/>
          <w:kern w:val="0"/>
          <w:sz w:val="32"/>
          <w:szCs w:val="32"/>
          <w:highlight w:val="none"/>
          <w:lang w:val="zh-CN" w:eastAsia="zh-CN" w:bidi="ar-SA"/>
        </w:rPr>
        <w:t>无。</w:t>
      </w:r>
    </w:p>
    <w:p w14:paraId="651B2040">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default" w:ascii="Times New Roman" w:hAnsi="Times New Roman" w:eastAsia="方正仿宋简体" w:cs="Times New Roman"/>
          <w:sz w:val="32"/>
          <w:szCs w:val="32"/>
          <w:lang w:val="en-US" w:eastAsia="zh-CN"/>
        </w:rPr>
        <w:sectPr>
          <w:footerReference r:id="rId11" w:type="default"/>
          <w:pgSz w:w="11906" w:h="16838"/>
          <w:pgMar w:top="1157" w:right="1463" w:bottom="1157" w:left="1463" w:header="851" w:footer="992" w:gutter="0"/>
          <w:pgNumType w:fmt="decimal"/>
          <w:cols w:space="425" w:num="1"/>
          <w:docGrid w:type="lines" w:linePitch="312" w:charSpace="0"/>
        </w:sectPr>
      </w:pPr>
      <w:r>
        <w:rPr>
          <w:rFonts w:hint="default" w:ascii="Times New Roman" w:hAnsi="Times New Roman" w:eastAsia="仿宋" w:cs="Times New Roman"/>
          <w:color w:val="auto"/>
          <w:kern w:val="0"/>
          <w:sz w:val="32"/>
          <w:szCs w:val="32"/>
          <w:highlight w:val="none"/>
          <w:lang w:val="en-US" w:eastAsia="zh-CN" w:bidi="ar-SA"/>
        </w:rPr>
        <w:t>附表：2023年市场监管专项资金项目绩效自评表（不含应急部分）</w:t>
      </w:r>
    </w:p>
    <w:tbl>
      <w:tblPr>
        <w:tblStyle w:val="20"/>
        <w:tblW w:w="50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696"/>
        <w:gridCol w:w="526"/>
        <w:gridCol w:w="523"/>
        <w:gridCol w:w="523"/>
        <w:gridCol w:w="837"/>
        <w:gridCol w:w="833"/>
        <w:gridCol w:w="640"/>
        <w:gridCol w:w="585"/>
        <w:gridCol w:w="689"/>
        <w:gridCol w:w="571"/>
        <w:gridCol w:w="540"/>
        <w:gridCol w:w="1079"/>
        <w:gridCol w:w="1906"/>
        <w:gridCol w:w="450"/>
        <w:gridCol w:w="547"/>
        <w:gridCol w:w="308"/>
        <w:gridCol w:w="173"/>
        <w:gridCol w:w="481"/>
        <w:gridCol w:w="378"/>
        <w:gridCol w:w="385"/>
        <w:gridCol w:w="378"/>
        <w:gridCol w:w="389"/>
        <w:gridCol w:w="479"/>
        <w:gridCol w:w="410"/>
      </w:tblGrid>
      <w:tr w14:paraId="1B6DA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638" w:type="pct"/>
            <w:gridSpan w:val="3"/>
            <w:tcBorders>
              <w:top w:val="nil"/>
              <w:left w:val="nil"/>
              <w:bottom w:val="nil"/>
              <w:right w:val="nil"/>
            </w:tcBorders>
            <w:shd w:val="clear" w:color="auto" w:fill="auto"/>
            <w:vAlign w:val="center"/>
          </w:tcPr>
          <w:p w14:paraId="4407962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黑体" w:hAnsi="黑体" w:eastAsia="黑体" w:cs="黑体"/>
                <w:b w:val="0"/>
                <w:bCs w:val="0"/>
                <w:i w:val="0"/>
                <w:iCs w:val="0"/>
                <w:color w:val="000000"/>
                <w:sz w:val="32"/>
                <w:szCs w:val="32"/>
                <w:u w:val="none"/>
                <w:lang w:val="en-US" w:eastAsia="zh-CN"/>
              </w:rPr>
            </w:pPr>
            <w:r>
              <w:rPr>
                <w:rFonts w:hint="eastAsia" w:ascii="黑体" w:hAnsi="黑体" w:eastAsia="黑体" w:cs="黑体"/>
                <w:b w:val="0"/>
                <w:bCs w:val="0"/>
                <w:i w:val="0"/>
                <w:iCs w:val="0"/>
                <w:color w:val="000000"/>
                <w:kern w:val="0"/>
                <w:sz w:val="32"/>
                <w:szCs w:val="32"/>
                <w:u w:val="none"/>
                <w:lang w:val="en-US" w:eastAsia="zh-CN" w:bidi="ar"/>
              </w:rPr>
              <w:t>附表</w:t>
            </w:r>
          </w:p>
        </w:tc>
        <w:tc>
          <w:tcPr>
            <w:tcW w:w="173" w:type="pct"/>
            <w:tcBorders>
              <w:top w:val="nil"/>
              <w:left w:val="nil"/>
              <w:bottom w:val="nil"/>
              <w:right w:val="nil"/>
            </w:tcBorders>
            <w:shd w:val="clear" w:color="auto" w:fill="auto"/>
            <w:vAlign w:val="center"/>
          </w:tcPr>
          <w:p w14:paraId="7C2D2844">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b w:val="0"/>
                <w:bCs w:val="0"/>
                <w:i w:val="0"/>
                <w:iCs w:val="0"/>
                <w:color w:val="000000"/>
                <w:sz w:val="32"/>
                <w:szCs w:val="32"/>
                <w:u w:val="none"/>
              </w:rPr>
            </w:pPr>
          </w:p>
        </w:tc>
        <w:tc>
          <w:tcPr>
            <w:tcW w:w="173" w:type="pct"/>
            <w:tcBorders>
              <w:top w:val="nil"/>
              <w:left w:val="nil"/>
              <w:bottom w:val="nil"/>
              <w:right w:val="nil"/>
            </w:tcBorders>
            <w:shd w:val="clear" w:color="auto" w:fill="auto"/>
            <w:vAlign w:val="center"/>
          </w:tcPr>
          <w:p w14:paraId="31F196AA">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b w:val="0"/>
                <w:bCs w:val="0"/>
                <w:i w:val="0"/>
                <w:iCs w:val="0"/>
                <w:color w:val="000000"/>
                <w:sz w:val="32"/>
                <w:szCs w:val="32"/>
                <w:u w:val="none"/>
              </w:rPr>
            </w:pPr>
          </w:p>
        </w:tc>
        <w:tc>
          <w:tcPr>
            <w:tcW w:w="278" w:type="pct"/>
            <w:tcBorders>
              <w:top w:val="nil"/>
              <w:left w:val="nil"/>
              <w:bottom w:val="nil"/>
              <w:right w:val="nil"/>
            </w:tcBorders>
            <w:shd w:val="clear" w:color="auto" w:fill="auto"/>
            <w:vAlign w:val="center"/>
          </w:tcPr>
          <w:p w14:paraId="496A2164">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b w:val="0"/>
                <w:bCs w:val="0"/>
                <w:i w:val="0"/>
                <w:iCs w:val="0"/>
                <w:color w:val="000000"/>
                <w:sz w:val="32"/>
                <w:szCs w:val="32"/>
                <w:u w:val="none"/>
              </w:rPr>
            </w:pPr>
          </w:p>
        </w:tc>
        <w:tc>
          <w:tcPr>
            <w:tcW w:w="277" w:type="pct"/>
            <w:tcBorders>
              <w:top w:val="nil"/>
              <w:left w:val="nil"/>
              <w:bottom w:val="nil"/>
              <w:right w:val="nil"/>
            </w:tcBorders>
            <w:shd w:val="clear" w:color="auto" w:fill="auto"/>
            <w:vAlign w:val="center"/>
          </w:tcPr>
          <w:p w14:paraId="393D0EDC">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b w:val="0"/>
                <w:bCs w:val="0"/>
                <w:i w:val="0"/>
                <w:iCs w:val="0"/>
                <w:color w:val="000000"/>
                <w:sz w:val="32"/>
                <w:szCs w:val="32"/>
                <w:u w:val="none"/>
              </w:rPr>
            </w:pPr>
          </w:p>
        </w:tc>
        <w:tc>
          <w:tcPr>
            <w:tcW w:w="212" w:type="pct"/>
            <w:tcBorders>
              <w:top w:val="nil"/>
              <w:left w:val="nil"/>
              <w:bottom w:val="nil"/>
              <w:right w:val="nil"/>
            </w:tcBorders>
            <w:shd w:val="clear" w:color="auto" w:fill="auto"/>
            <w:vAlign w:val="center"/>
          </w:tcPr>
          <w:p w14:paraId="0D24ABF7">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b w:val="0"/>
                <w:bCs w:val="0"/>
                <w:i w:val="0"/>
                <w:iCs w:val="0"/>
                <w:color w:val="000000"/>
                <w:sz w:val="32"/>
                <w:szCs w:val="32"/>
                <w:u w:val="none"/>
              </w:rPr>
            </w:pPr>
          </w:p>
        </w:tc>
        <w:tc>
          <w:tcPr>
            <w:tcW w:w="194" w:type="pct"/>
            <w:tcBorders>
              <w:top w:val="nil"/>
              <w:left w:val="nil"/>
              <w:bottom w:val="nil"/>
              <w:right w:val="nil"/>
            </w:tcBorders>
            <w:shd w:val="clear" w:color="auto" w:fill="auto"/>
            <w:vAlign w:val="center"/>
          </w:tcPr>
          <w:p w14:paraId="7560370C">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b w:val="0"/>
                <w:bCs w:val="0"/>
                <w:i w:val="0"/>
                <w:iCs w:val="0"/>
                <w:color w:val="000000"/>
                <w:sz w:val="32"/>
                <w:szCs w:val="32"/>
                <w:u w:val="none"/>
              </w:rPr>
            </w:pPr>
          </w:p>
        </w:tc>
        <w:tc>
          <w:tcPr>
            <w:tcW w:w="229" w:type="pct"/>
            <w:tcBorders>
              <w:top w:val="nil"/>
              <w:left w:val="nil"/>
              <w:bottom w:val="nil"/>
              <w:right w:val="nil"/>
            </w:tcBorders>
            <w:shd w:val="clear" w:color="auto" w:fill="auto"/>
            <w:vAlign w:val="center"/>
          </w:tcPr>
          <w:p w14:paraId="0198DC0F">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b w:val="0"/>
                <w:bCs w:val="0"/>
                <w:i w:val="0"/>
                <w:iCs w:val="0"/>
                <w:color w:val="000000"/>
                <w:sz w:val="32"/>
                <w:szCs w:val="32"/>
                <w:u w:val="none"/>
              </w:rPr>
            </w:pPr>
          </w:p>
        </w:tc>
        <w:tc>
          <w:tcPr>
            <w:tcW w:w="189" w:type="pct"/>
            <w:tcBorders>
              <w:top w:val="nil"/>
              <w:left w:val="nil"/>
              <w:bottom w:val="nil"/>
              <w:right w:val="nil"/>
            </w:tcBorders>
            <w:shd w:val="clear" w:color="auto" w:fill="auto"/>
            <w:vAlign w:val="center"/>
          </w:tcPr>
          <w:p w14:paraId="6C39CA8B">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b w:val="0"/>
                <w:bCs w:val="0"/>
                <w:i w:val="0"/>
                <w:iCs w:val="0"/>
                <w:color w:val="000000"/>
                <w:sz w:val="32"/>
                <w:szCs w:val="32"/>
                <w:u w:val="none"/>
              </w:rPr>
            </w:pPr>
          </w:p>
        </w:tc>
        <w:tc>
          <w:tcPr>
            <w:tcW w:w="179" w:type="pct"/>
            <w:tcBorders>
              <w:top w:val="nil"/>
              <w:left w:val="nil"/>
              <w:bottom w:val="nil"/>
              <w:right w:val="nil"/>
            </w:tcBorders>
            <w:shd w:val="clear" w:color="auto" w:fill="auto"/>
            <w:vAlign w:val="center"/>
          </w:tcPr>
          <w:p w14:paraId="6A267B39">
            <w:pPr>
              <w:keepNext w:val="0"/>
              <w:keepLines w:val="0"/>
              <w:pageBreakBefore w:val="0"/>
              <w:widowControl/>
              <w:kinsoku/>
              <w:wordWrap/>
              <w:overflowPunct/>
              <w:topLinePunct w:val="0"/>
              <w:autoSpaceDE/>
              <w:autoSpaceDN/>
              <w:bidi w:val="0"/>
              <w:adjustRightInd/>
              <w:snapToGrid/>
              <w:spacing w:line="400" w:lineRule="exact"/>
              <w:jc w:val="left"/>
              <w:rPr>
                <w:rFonts w:hint="eastAsia" w:ascii="黑体" w:hAnsi="黑体" w:eastAsia="黑体" w:cs="黑体"/>
                <w:b w:val="0"/>
                <w:bCs w:val="0"/>
                <w:i w:val="0"/>
                <w:iCs w:val="0"/>
                <w:color w:val="000000"/>
                <w:sz w:val="32"/>
                <w:szCs w:val="32"/>
                <w:u w:val="none"/>
              </w:rPr>
            </w:pPr>
          </w:p>
        </w:tc>
        <w:tc>
          <w:tcPr>
            <w:tcW w:w="359" w:type="pct"/>
            <w:tcBorders>
              <w:top w:val="nil"/>
              <w:left w:val="nil"/>
              <w:bottom w:val="nil"/>
              <w:right w:val="nil"/>
            </w:tcBorders>
            <w:shd w:val="clear" w:color="auto" w:fill="auto"/>
            <w:vAlign w:val="center"/>
          </w:tcPr>
          <w:p w14:paraId="7F7CF4F2">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b w:val="0"/>
                <w:bCs w:val="0"/>
                <w:i w:val="0"/>
                <w:iCs w:val="0"/>
                <w:color w:val="000000"/>
                <w:sz w:val="32"/>
                <w:szCs w:val="32"/>
                <w:u w:val="none"/>
              </w:rPr>
            </w:pPr>
          </w:p>
        </w:tc>
        <w:tc>
          <w:tcPr>
            <w:tcW w:w="634" w:type="pct"/>
            <w:tcBorders>
              <w:top w:val="nil"/>
              <w:left w:val="nil"/>
              <w:bottom w:val="nil"/>
              <w:right w:val="nil"/>
            </w:tcBorders>
            <w:shd w:val="clear" w:color="auto" w:fill="auto"/>
            <w:vAlign w:val="center"/>
          </w:tcPr>
          <w:p w14:paraId="7A9882FF">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b w:val="0"/>
                <w:bCs w:val="0"/>
                <w:i w:val="0"/>
                <w:iCs w:val="0"/>
                <w:color w:val="000000"/>
                <w:sz w:val="32"/>
                <w:szCs w:val="32"/>
                <w:u w:val="none"/>
              </w:rPr>
            </w:pPr>
          </w:p>
        </w:tc>
        <w:tc>
          <w:tcPr>
            <w:tcW w:w="149" w:type="pct"/>
            <w:tcBorders>
              <w:top w:val="nil"/>
              <w:left w:val="nil"/>
              <w:bottom w:val="nil"/>
              <w:right w:val="nil"/>
            </w:tcBorders>
            <w:shd w:val="clear" w:color="auto" w:fill="auto"/>
            <w:vAlign w:val="center"/>
          </w:tcPr>
          <w:p w14:paraId="245F7DFB">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b w:val="0"/>
                <w:bCs w:val="0"/>
                <w:i w:val="0"/>
                <w:iCs w:val="0"/>
                <w:color w:val="000000"/>
                <w:sz w:val="32"/>
                <w:szCs w:val="32"/>
                <w:u w:val="none"/>
              </w:rPr>
            </w:pPr>
          </w:p>
        </w:tc>
        <w:tc>
          <w:tcPr>
            <w:tcW w:w="181" w:type="pct"/>
            <w:tcBorders>
              <w:top w:val="nil"/>
              <w:left w:val="nil"/>
              <w:bottom w:val="nil"/>
              <w:right w:val="nil"/>
            </w:tcBorders>
            <w:shd w:val="clear" w:color="auto" w:fill="auto"/>
            <w:vAlign w:val="center"/>
          </w:tcPr>
          <w:p w14:paraId="2D2AD84D">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b w:val="0"/>
                <w:bCs w:val="0"/>
                <w:i w:val="0"/>
                <w:iCs w:val="0"/>
                <w:color w:val="000000"/>
                <w:sz w:val="32"/>
                <w:szCs w:val="32"/>
                <w:u w:val="none"/>
              </w:rPr>
            </w:pPr>
          </w:p>
        </w:tc>
        <w:tc>
          <w:tcPr>
            <w:tcW w:w="160" w:type="pct"/>
            <w:gridSpan w:val="2"/>
            <w:tcBorders>
              <w:top w:val="nil"/>
              <w:left w:val="nil"/>
              <w:bottom w:val="nil"/>
              <w:right w:val="nil"/>
            </w:tcBorders>
            <w:shd w:val="clear" w:color="auto" w:fill="auto"/>
            <w:vAlign w:val="center"/>
          </w:tcPr>
          <w:p w14:paraId="16FDB197">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b w:val="0"/>
                <w:bCs w:val="0"/>
                <w:i w:val="0"/>
                <w:iCs w:val="0"/>
                <w:color w:val="000000"/>
                <w:sz w:val="32"/>
                <w:szCs w:val="32"/>
                <w:u w:val="none"/>
              </w:rPr>
            </w:pPr>
          </w:p>
        </w:tc>
        <w:tc>
          <w:tcPr>
            <w:tcW w:w="160" w:type="pct"/>
            <w:tcBorders>
              <w:top w:val="nil"/>
              <w:left w:val="nil"/>
              <w:bottom w:val="nil"/>
              <w:right w:val="nil"/>
            </w:tcBorders>
            <w:shd w:val="clear" w:color="auto" w:fill="auto"/>
            <w:vAlign w:val="center"/>
          </w:tcPr>
          <w:p w14:paraId="329391E5">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b w:val="0"/>
                <w:bCs w:val="0"/>
                <w:i w:val="0"/>
                <w:iCs w:val="0"/>
                <w:color w:val="000000"/>
                <w:sz w:val="32"/>
                <w:szCs w:val="32"/>
                <w:u w:val="none"/>
              </w:rPr>
            </w:pPr>
          </w:p>
        </w:tc>
        <w:tc>
          <w:tcPr>
            <w:tcW w:w="125" w:type="pct"/>
            <w:tcBorders>
              <w:top w:val="nil"/>
              <w:left w:val="nil"/>
              <w:bottom w:val="nil"/>
              <w:right w:val="nil"/>
            </w:tcBorders>
            <w:shd w:val="clear" w:color="auto" w:fill="auto"/>
            <w:vAlign w:val="center"/>
          </w:tcPr>
          <w:p w14:paraId="04703DF5">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b w:val="0"/>
                <w:bCs w:val="0"/>
                <w:i w:val="0"/>
                <w:iCs w:val="0"/>
                <w:color w:val="000000"/>
                <w:sz w:val="32"/>
                <w:szCs w:val="32"/>
                <w:u w:val="none"/>
              </w:rPr>
            </w:pPr>
          </w:p>
        </w:tc>
        <w:tc>
          <w:tcPr>
            <w:tcW w:w="128" w:type="pct"/>
            <w:tcBorders>
              <w:top w:val="nil"/>
              <w:left w:val="nil"/>
              <w:bottom w:val="nil"/>
              <w:right w:val="nil"/>
            </w:tcBorders>
            <w:shd w:val="clear" w:color="auto" w:fill="auto"/>
            <w:vAlign w:val="center"/>
          </w:tcPr>
          <w:p w14:paraId="5124809F">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b w:val="0"/>
                <w:bCs w:val="0"/>
                <w:i w:val="0"/>
                <w:iCs w:val="0"/>
                <w:color w:val="000000"/>
                <w:sz w:val="32"/>
                <w:szCs w:val="32"/>
                <w:u w:val="none"/>
              </w:rPr>
            </w:pPr>
          </w:p>
        </w:tc>
        <w:tc>
          <w:tcPr>
            <w:tcW w:w="125" w:type="pct"/>
            <w:tcBorders>
              <w:top w:val="nil"/>
              <w:left w:val="nil"/>
              <w:bottom w:val="nil"/>
              <w:right w:val="nil"/>
            </w:tcBorders>
            <w:shd w:val="clear" w:color="auto" w:fill="auto"/>
            <w:vAlign w:val="center"/>
          </w:tcPr>
          <w:p w14:paraId="0DF9D4C9">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b w:val="0"/>
                <w:bCs w:val="0"/>
                <w:i w:val="0"/>
                <w:iCs w:val="0"/>
                <w:color w:val="000000"/>
                <w:sz w:val="32"/>
                <w:szCs w:val="32"/>
                <w:u w:val="none"/>
              </w:rPr>
            </w:pPr>
          </w:p>
        </w:tc>
        <w:tc>
          <w:tcPr>
            <w:tcW w:w="129" w:type="pct"/>
            <w:tcBorders>
              <w:top w:val="nil"/>
              <w:left w:val="nil"/>
              <w:bottom w:val="nil"/>
              <w:right w:val="nil"/>
            </w:tcBorders>
            <w:shd w:val="clear" w:color="auto" w:fill="auto"/>
            <w:vAlign w:val="center"/>
          </w:tcPr>
          <w:p w14:paraId="06E68804">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b w:val="0"/>
                <w:bCs w:val="0"/>
                <w:i w:val="0"/>
                <w:iCs w:val="0"/>
                <w:color w:val="000000"/>
                <w:sz w:val="32"/>
                <w:szCs w:val="32"/>
                <w:u w:val="none"/>
              </w:rPr>
            </w:pPr>
          </w:p>
        </w:tc>
        <w:tc>
          <w:tcPr>
            <w:tcW w:w="159" w:type="pct"/>
            <w:tcBorders>
              <w:top w:val="nil"/>
              <w:left w:val="nil"/>
              <w:bottom w:val="nil"/>
              <w:right w:val="nil"/>
            </w:tcBorders>
            <w:shd w:val="clear" w:color="auto" w:fill="auto"/>
            <w:vAlign w:val="center"/>
          </w:tcPr>
          <w:p w14:paraId="20F94E0C">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b w:val="0"/>
                <w:bCs w:val="0"/>
                <w:i w:val="0"/>
                <w:iCs w:val="0"/>
                <w:color w:val="000000"/>
                <w:sz w:val="32"/>
                <w:szCs w:val="32"/>
                <w:u w:val="none"/>
              </w:rPr>
            </w:pPr>
          </w:p>
        </w:tc>
        <w:tc>
          <w:tcPr>
            <w:tcW w:w="136" w:type="pct"/>
            <w:tcBorders>
              <w:top w:val="nil"/>
              <w:left w:val="nil"/>
              <w:bottom w:val="nil"/>
              <w:right w:val="nil"/>
            </w:tcBorders>
            <w:shd w:val="clear" w:color="auto" w:fill="auto"/>
            <w:vAlign w:val="center"/>
          </w:tcPr>
          <w:p w14:paraId="6C206BA1">
            <w:pPr>
              <w:keepNext w:val="0"/>
              <w:keepLines w:val="0"/>
              <w:pageBreakBefore w:val="0"/>
              <w:widowControl/>
              <w:kinsoku/>
              <w:wordWrap/>
              <w:overflowPunct/>
              <w:topLinePunct w:val="0"/>
              <w:autoSpaceDE/>
              <w:autoSpaceDN/>
              <w:bidi w:val="0"/>
              <w:adjustRightInd/>
              <w:snapToGrid/>
              <w:spacing w:line="400" w:lineRule="exact"/>
              <w:jc w:val="center"/>
              <w:rPr>
                <w:rFonts w:hint="eastAsia" w:ascii="黑体" w:hAnsi="黑体" w:eastAsia="黑体" w:cs="黑体"/>
                <w:b w:val="0"/>
                <w:bCs w:val="0"/>
                <w:i w:val="0"/>
                <w:iCs w:val="0"/>
                <w:color w:val="000000"/>
                <w:sz w:val="32"/>
                <w:szCs w:val="32"/>
                <w:u w:val="none"/>
              </w:rPr>
            </w:pPr>
          </w:p>
        </w:tc>
      </w:tr>
      <w:tr w14:paraId="71A1C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000" w:type="pct"/>
            <w:gridSpan w:val="25"/>
            <w:tcBorders>
              <w:top w:val="nil"/>
              <w:left w:val="nil"/>
              <w:bottom w:val="single" w:color="000000" w:sz="4" w:space="0"/>
              <w:right w:val="nil"/>
            </w:tcBorders>
            <w:shd w:val="clear" w:color="auto" w:fill="auto"/>
            <w:vAlign w:val="center"/>
          </w:tcPr>
          <w:p w14:paraId="179200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2023年市场监管专项资金项目绩效自评表</w:t>
            </w:r>
          </w:p>
          <w:p w14:paraId="207133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（不含应急部分）</w:t>
            </w:r>
          </w:p>
        </w:tc>
      </w:tr>
      <w:tr w14:paraId="196D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0DF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分值权重（分值）</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FB2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宋体" w:cs="Times New Roman"/>
                <w:i w:val="0"/>
                <w:iCs w:val="0"/>
                <w:color w:val="000000"/>
                <w:kern w:val="0"/>
                <w:sz w:val="18"/>
                <w:szCs w:val="18"/>
                <w:u w:val="none"/>
                <w:lang w:val="en-US" w:eastAsia="zh-CN" w:bidi="ar"/>
              </w:rPr>
              <w:t>分配权重（分值</w:t>
            </w:r>
            <w:r>
              <w:rPr>
                <w:rFonts w:hint="default" w:ascii="Times New Roman" w:hAnsi="Times New Roman" w:eastAsia="方正仿宋简体" w:cs="Times New Roman"/>
                <w:b/>
                <w:bCs/>
                <w:i w:val="0"/>
                <w:iCs w:val="0"/>
                <w:color w:val="000000"/>
                <w:kern w:val="0"/>
                <w:sz w:val="21"/>
                <w:szCs w:val="21"/>
                <w:u w:val="none"/>
                <w:lang w:val="en-US" w:eastAsia="zh-CN" w:bidi="ar"/>
              </w:rPr>
              <w:t>）</w:t>
            </w:r>
          </w:p>
        </w:tc>
        <w:tc>
          <w:tcPr>
            <w:tcW w:w="801" w:type="pct"/>
            <w:gridSpan w:val="4"/>
            <w:vMerge w:val="restart"/>
            <w:tcBorders>
              <w:top w:val="single" w:color="000000" w:sz="4" w:space="0"/>
              <w:left w:val="single" w:color="000000" w:sz="4" w:space="0"/>
              <w:bottom w:val="nil"/>
              <w:right w:val="single" w:color="000000" w:sz="4" w:space="0"/>
            </w:tcBorders>
            <w:shd w:val="clear" w:color="auto" w:fill="auto"/>
            <w:vAlign w:val="center"/>
          </w:tcPr>
          <w:p w14:paraId="668E54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宋体" w:cs="Times New Roman"/>
                <w:i w:val="0"/>
                <w:iCs w:val="0"/>
                <w:color w:val="000000"/>
                <w:kern w:val="0"/>
                <w:sz w:val="18"/>
                <w:szCs w:val="18"/>
                <w:u w:val="none"/>
                <w:lang w:val="en-US" w:eastAsia="zh-CN" w:bidi="ar"/>
              </w:rPr>
              <w:t>分层分类指标</w:t>
            </w:r>
          </w:p>
        </w:tc>
        <w:tc>
          <w:tcPr>
            <w:tcW w:w="1284" w:type="pct"/>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66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宋体" w:cs="Times New Roman"/>
                <w:i w:val="0"/>
                <w:iCs w:val="0"/>
                <w:color w:val="000000"/>
                <w:kern w:val="0"/>
                <w:sz w:val="18"/>
                <w:szCs w:val="18"/>
                <w:u w:val="none"/>
                <w:lang w:val="en-US" w:eastAsia="zh-CN" w:bidi="ar"/>
              </w:rPr>
              <w:t>评分方法</w:t>
            </w:r>
          </w:p>
        </w:tc>
        <w:tc>
          <w:tcPr>
            <w:tcW w:w="99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520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宋体" w:cs="Times New Roman"/>
                <w:i w:val="0"/>
                <w:iCs w:val="0"/>
                <w:color w:val="000000"/>
                <w:kern w:val="0"/>
                <w:sz w:val="18"/>
                <w:szCs w:val="18"/>
                <w:u w:val="none"/>
                <w:lang w:val="en-US" w:eastAsia="zh-CN" w:bidi="ar"/>
              </w:rPr>
              <w:t>评价要点及说明</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F5E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284" w:type="pct"/>
            <w:gridSpan w:val="2"/>
            <w:vMerge w:val="restart"/>
            <w:tcBorders>
              <w:top w:val="single" w:color="000000" w:sz="4" w:space="0"/>
              <w:left w:val="nil"/>
              <w:bottom w:val="single" w:color="000000" w:sz="4" w:space="0"/>
              <w:right w:val="nil"/>
            </w:tcBorders>
            <w:shd w:val="clear" w:color="auto" w:fill="auto"/>
            <w:vAlign w:val="center"/>
          </w:tcPr>
          <w:p w14:paraId="6078DF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评价方式</w:t>
            </w:r>
          </w:p>
        </w:tc>
        <w:tc>
          <w:tcPr>
            <w:tcW w:w="34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FFB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评价属性</w:t>
            </w:r>
          </w:p>
        </w:tc>
        <w:tc>
          <w:tcPr>
            <w:tcW w:w="679"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504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定量评价标准</w:t>
            </w:r>
          </w:p>
        </w:tc>
      </w:tr>
      <w:tr w14:paraId="67710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E607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D7F4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801" w:type="pct"/>
            <w:gridSpan w:val="4"/>
            <w:vMerge w:val="continue"/>
            <w:tcBorders>
              <w:top w:val="single" w:color="000000" w:sz="4" w:space="0"/>
              <w:left w:val="single" w:color="000000" w:sz="4" w:space="0"/>
              <w:bottom w:val="nil"/>
              <w:right w:val="single" w:color="000000" w:sz="4" w:space="0"/>
            </w:tcBorders>
            <w:shd w:val="clear" w:color="auto" w:fill="auto"/>
            <w:vAlign w:val="center"/>
          </w:tcPr>
          <w:p w14:paraId="4E54252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1284"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E780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9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8AD0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002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84" w:type="pct"/>
            <w:gridSpan w:val="2"/>
            <w:vMerge w:val="continue"/>
            <w:tcBorders>
              <w:top w:val="single" w:color="000000" w:sz="4" w:space="0"/>
              <w:left w:val="nil"/>
              <w:bottom w:val="single" w:color="000000" w:sz="4" w:space="0"/>
              <w:right w:val="nil"/>
            </w:tcBorders>
            <w:shd w:val="clear" w:color="auto" w:fill="auto"/>
            <w:vAlign w:val="center"/>
          </w:tcPr>
          <w:p w14:paraId="4F465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4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1E825">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简体" w:cs="Times New Roman"/>
                <w:b/>
                <w:bCs/>
                <w:i w:val="0"/>
                <w:iCs w:val="0"/>
                <w:color w:val="000000"/>
                <w:sz w:val="21"/>
                <w:szCs w:val="21"/>
                <w:u w:val="none"/>
              </w:rPr>
            </w:pPr>
          </w:p>
        </w:tc>
        <w:tc>
          <w:tcPr>
            <w:tcW w:w="679"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B0239">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简体" w:cs="Times New Roman"/>
                <w:b/>
                <w:bCs/>
                <w:i w:val="0"/>
                <w:iCs w:val="0"/>
                <w:color w:val="000000"/>
                <w:sz w:val="21"/>
                <w:szCs w:val="21"/>
                <w:u w:val="none"/>
              </w:rPr>
            </w:pPr>
          </w:p>
        </w:tc>
      </w:tr>
      <w:tr w14:paraId="3CF98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2467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AB8F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1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590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分层</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指标</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C90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19C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EC1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2D4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方法归类</w:t>
            </w:r>
          </w:p>
        </w:tc>
        <w:tc>
          <w:tcPr>
            <w:tcW w:w="10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D1D2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宋体" w:cs="Times New Roman"/>
                <w:i w:val="0"/>
                <w:iCs w:val="0"/>
                <w:color w:val="000000"/>
                <w:kern w:val="0"/>
                <w:sz w:val="18"/>
                <w:szCs w:val="18"/>
                <w:u w:val="none"/>
                <w:lang w:val="en-US" w:eastAsia="zh-CN" w:bidi="ar"/>
              </w:rPr>
              <w:t>计算公式（得分比例）</w:t>
            </w:r>
          </w:p>
        </w:tc>
        <w:tc>
          <w:tcPr>
            <w:tcW w:w="9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0AA4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07F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81" w:type="pct"/>
            <w:vMerge w:val="restart"/>
            <w:tcBorders>
              <w:top w:val="single" w:color="000000" w:sz="4" w:space="0"/>
              <w:left w:val="nil"/>
              <w:bottom w:val="single" w:color="000000" w:sz="4" w:space="0"/>
              <w:right w:val="single" w:color="000000" w:sz="4" w:space="0"/>
            </w:tcBorders>
            <w:shd w:val="clear" w:color="auto" w:fill="auto"/>
            <w:vAlign w:val="center"/>
          </w:tcPr>
          <w:p w14:paraId="399857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整体评价</w:t>
            </w:r>
          </w:p>
        </w:tc>
        <w:tc>
          <w:tcPr>
            <w:tcW w:w="16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377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样本评价</w:t>
            </w:r>
          </w:p>
        </w:tc>
        <w:tc>
          <w:tcPr>
            <w:tcW w:w="1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956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定性评价</w:t>
            </w:r>
          </w:p>
        </w:tc>
        <w:tc>
          <w:tcPr>
            <w:tcW w:w="1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23C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定量评价</w:t>
            </w:r>
          </w:p>
        </w:tc>
        <w:tc>
          <w:tcPr>
            <w:tcW w:w="1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717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国家标准</w:t>
            </w:r>
          </w:p>
        </w:tc>
        <w:tc>
          <w:tcPr>
            <w:tcW w:w="1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9FF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行业标准</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7AF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地方标准</w:t>
            </w:r>
          </w:p>
        </w:tc>
        <w:tc>
          <w:tcPr>
            <w:tcW w:w="1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ABD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申报标准</w:t>
            </w:r>
          </w:p>
        </w:tc>
        <w:tc>
          <w:tcPr>
            <w:tcW w:w="1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788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历史均值</w:t>
            </w:r>
          </w:p>
        </w:tc>
      </w:tr>
      <w:tr w14:paraId="0229E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A2C4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3507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1A70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3F29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AE9E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B794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1CC7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75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A56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0.3</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EEA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0.6</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1C2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0.8</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058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9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3517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7984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181" w:type="pct"/>
            <w:vMerge w:val="continue"/>
            <w:tcBorders>
              <w:top w:val="single" w:color="000000" w:sz="4" w:space="0"/>
              <w:left w:val="nil"/>
              <w:bottom w:val="single" w:color="000000" w:sz="4" w:space="0"/>
              <w:right w:val="single" w:color="000000" w:sz="4" w:space="0"/>
            </w:tcBorders>
            <w:shd w:val="clear" w:color="auto" w:fill="auto"/>
            <w:vAlign w:val="center"/>
          </w:tcPr>
          <w:p w14:paraId="09CB09A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1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014D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7FC1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0496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1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69BD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EE2D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E28E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1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D03E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1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B2FF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r>
      <w:tr w14:paraId="1C67C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914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31" w:type="pct"/>
            <w:tcBorders>
              <w:top w:val="single" w:color="000000" w:sz="4" w:space="0"/>
              <w:left w:val="single" w:color="000000" w:sz="4" w:space="0"/>
              <w:bottom w:val="nil"/>
              <w:right w:val="single" w:color="000000" w:sz="4" w:space="0"/>
            </w:tcBorders>
            <w:shd w:val="clear" w:color="auto" w:fill="auto"/>
            <w:vAlign w:val="center"/>
          </w:tcPr>
          <w:p w14:paraId="377187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FC6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通用</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指标</w:t>
            </w:r>
          </w:p>
        </w:tc>
        <w:tc>
          <w:tcPr>
            <w:tcW w:w="173" w:type="pct"/>
            <w:vMerge w:val="restart"/>
            <w:tcBorders>
              <w:top w:val="single" w:color="000000" w:sz="4" w:space="0"/>
              <w:left w:val="single" w:color="000000" w:sz="4" w:space="0"/>
              <w:bottom w:val="nil"/>
              <w:right w:val="single" w:color="000000" w:sz="4" w:space="0"/>
            </w:tcBorders>
            <w:shd w:val="clear" w:color="auto" w:fill="auto"/>
            <w:vAlign w:val="center"/>
          </w:tcPr>
          <w:p w14:paraId="107BF7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项目决策</w:t>
            </w:r>
          </w:p>
        </w:tc>
        <w:tc>
          <w:tcPr>
            <w:tcW w:w="173" w:type="pct"/>
            <w:vMerge w:val="restart"/>
            <w:tcBorders>
              <w:top w:val="single" w:color="000000" w:sz="4" w:space="0"/>
              <w:left w:val="single" w:color="000000" w:sz="4" w:space="0"/>
              <w:bottom w:val="single" w:color="000000" w:sz="4" w:space="0"/>
              <w:right w:val="nil"/>
            </w:tcBorders>
            <w:shd w:val="clear" w:color="auto" w:fill="auto"/>
            <w:vAlign w:val="center"/>
          </w:tcPr>
          <w:p w14:paraId="13850A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程序严密</w:t>
            </w:r>
          </w:p>
        </w:tc>
        <w:tc>
          <w:tcPr>
            <w:tcW w:w="278" w:type="pct"/>
            <w:tcBorders>
              <w:top w:val="single" w:color="000000" w:sz="4" w:space="0"/>
              <w:left w:val="single" w:color="000000" w:sz="4" w:space="0"/>
              <w:bottom w:val="single" w:color="000000" w:sz="4" w:space="0"/>
              <w:right w:val="nil"/>
            </w:tcBorders>
            <w:shd w:val="clear" w:color="auto" w:fill="auto"/>
            <w:vAlign w:val="center"/>
          </w:tcPr>
          <w:p w14:paraId="21309A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设立论证规范性</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957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分级评分法</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28D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不规范</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6C5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90B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较规范</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F09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0C9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规范</w:t>
            </w:r>
          </w:p>
        </w:tc>
        <w:tc>
          <w:tcPr>
            <w:tcW w:w="99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BEF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主要查看专项项目设立是否经过事前评估或可行性论证，是否符合专项设立的基本规范和程序要求。项目设立是否属于部门职责相符，是否属于公共财政支持范围，符合地方事权支出责任划分原则，是否与相关部门同类项目或部门内部相关项目重复。存在一项不符合的为较完善，存在两项及两项以上不符合的为不完善。</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53E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F2C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6F59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972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F094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86C1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67E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293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2E85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AD3B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r>
      <w:tr w14:paraId="5F867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95A7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231" w:type="pct"/>
            <w:tcBorders>
              <w:top w:val="single" w:color="000000" w:sz="4" w:space="0"/>
              <w:left w:val="single" w:color="000000" w:sz="4" w:space="0"/>
              <w:bottom w:val="nil"/>
              <w:right w:val="single" w:color="000000" w:sz="4" w:space="0"/>
            </w:tcBorders>
            <w:shd w:val="clear" w:color="auto" w:fill="auto"/>
            <w:vAlign w:val="center"/>
          </w:tcPr>
          <w:p w14:paraId="55A3DA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C3F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nil"/>
              <w:right w:val="single" w:color="000000" w:sz="4" w:space="0"/>
            </w:tcBorders>
            <w:shd w:val="clear" w:color="auto" w:fill="auto"/>
            <w:vAlign w:val="center"/>
          </w:tcPr>
          <w:p w14:paraId="5B0473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single" w:color="000000" w:sz="4" w:space="0"/>
              <w:right w:val="nil"/>
            </w:tcBorders>
            <w:shd w:val="clear" w:color="auto" w:fill="auto"/>
            <w:vAlign w:val="center"/>
          </w:tcPr>
          <w:p w14:paraId="52F887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78" w:type="pct"/>
            <w:tcBorders>
              <w:top w:val="single" w:color="000000" w:sz="4" w:space="0"/>
              <w:left w:val="single" w:color="000000" w:sz="4" w:space="0"/>
              <w:bottom w:val="single" w:color="000000" w:sz="4" w:space="0"/>
              <w:right w:val="nil"/>
            </w:tcBorders>
            <w:shd w:val="clear" w:color="auto" w:fill="auto"/>
            <w:vAlign w:val="center"/>
          </w:tcPr>
          <w:p w14:paraId="740CB2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部门职责相符性</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B08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分级评分法</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05D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不相符</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ECA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1FE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较相符</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34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AE9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相符</w:t>
            </w:r>
          </w:p>
        </w:tc>
        <w:tc>
          <w:tcPr>
            <w:tcW w:w="9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AA0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555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E518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0E22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911C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3BE4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1A29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1DE1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F252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F3B5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4BD7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r>
      <w:tr w14:paraId="5BC21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6A2C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231" w:type="pct"/>
            <w:tcBorders>
              <w:top w:val="single" w:color="000000" w:sz="4" w:space="0"/>
              <w:left w:val="single" w:color="000000" w:sz="4" w:space="0"/>
              <w:bottom w:val="nil"/>
              <w:right w:val="single" w:color="000000" w:sz="4" w:space="0"/>
            </w:tcBorders>
            <w:shd w:val="clear" w:color="auto" w:fill="auto"/>
            <w:vAlign w:val="center"/>
          </w:tcPr>
          <w:p w14:paraId="330F11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F80C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173" w:type="pct"/>
            <w:vMerge w:val="continue"/>
            <w:tcBorders>
              <w:top w:val="single" w:color="000000" w:sz="4" w:space="0"/>
              <w:left w:val="single" w:color="000000" w:sz="4" w:space="0"/>
              <w:bottom w:val="nil"/>
              <w:right w:val="single" w:color="000000" w:sz="4" w:space="0"/>
            </w:tcBorders>
            <w:shd w:val="clear" w:color="auto" w:fill="auto"/>
            <w:vAlign w:val="center"/>
          </w:tcPr>
          <w:p w14:paraId="7B2E95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single" w:color="000000" w:sz="4" w:space="0"/>
              <w:right w:val="nil"/>
            </w:tcBorders>
            <w:shd w:val="clear" w:color="auto" w:fill="auto"/>
            <w:vAlign w:val="center"/>
          </w:tcPr>
          <w:p w14:paraId="0017E6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78" w:type="pct"/>
            <w:tcBorders>
              <w:top w:val="single" w:color="000000" w:sz="4" w:space="0"/>
              <w:left w:val="single" w:color="000000" w:sz="4" w:space="0"/>
              <w:bottom w:val="single" w:color="000000" w:sz="4" w:space="0"/>
              <w:right w:val="nil"/>
            </w:tcBorders>
            <w:shd w:val="clear" w:color="auto" w:fill="auto"/>
            <w:vAlign w:val="center"/>
          </w:tcPr>
          <w:p w14:paraId="4811E6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项目设立非重复性</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B9C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分级评分法</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344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重复</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A86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A8D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部分重复</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3A5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6DD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不重复</w:t>
            </w:r>
          </w:p>
        </w:tc>
        <w:tc>
          <w:tcPr>
            <w:tcW w:w="9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A5D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E14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E3D6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9C5F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11BF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FEE1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65AD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FF0C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2C56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FDC2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21FF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r>
      <w:tr w14:paraId="33C17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D35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31" w:type="pct"/>
            <w:tcBorders>
              <w:top w:val="single" w:color="000000" w:sz="4" w:space="0"/>
              <w:left w:val="single" w:color="000000" w:sz="4" w:space="0"/>
              <w:bottom w:val="nil"/>
              <w:right w:val="single" w:color="000000" w:sz="4" w:space="0"/>
            </w:tcBorders>
            <w:shd w:val="clear" w:color="auto" w:fill="auto"/>
            <w:vAlign w:val="center"/>
          </w:tcPr>
          <w:p w14:paraId="2F013B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1645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173" w:type="pct"/>
            <w:vMerge w:val="continue"/>
            <w:tcBorders>
              <w:top w:val="single" w:color="000000" w:sz="4" w:space="0"/>
              <w:left w:val="single" w:color="000000" w:sz="4" w:space="0"/>
              <w:bottom w:val="nil"/>
              <w:right w:val="single" w:color="000000" w:sz="4" w:space="0"/>
            </w:tcBorders>
            <w:shd w:val="clear" w:color="auto" w:fill="auto"/>
            <w:vAlign w:val="center"/>
          </w:tcPr>
          <w:p w14:paraId="5B463C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818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规划合理★</w:t>
            </w:r>
          </w:p>
        </w:tc>
        <w:tc>
          <w:tcPr>
            <w:tcW w:w="278" w:type="pct"/>
            <w:tcBorders>
              <w:top w:val="single" w:color="000000" w:sz="4" w:space="0"/>
              <w:left w:val="single" w:color="000000" w:sz="4" w:space="0"/>
              <w:bottom w:val="single" w:color="000000" w:sz="4" w:space="0"/>
              <w:right w:val="nil"/>
            </w:tcBorders>
            <w:shd w:val="clear" w:color="auto" w:fill="auto"/>
            <w:vAlign w:val="center"/>
          </w:tcPr>
          <w:p w14:paraId="093D9D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设立依据充分性</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7E5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分级评分法</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200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不充分</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450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D35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较充分</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FE4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786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充分</w:t>
            </w:r>
          </w:p>
        </w:tc>
        <w:tc>
          <w:tcPr>
            <w:tcW w:w="99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D50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主要查看项目设立依据是否充分，符合省委、省政府重大决策部署和宏观政策规划，项目年度绩效目标与中长期规划是否一致。样本评价中，规划是否与现实需求匹配，是否存在因规划不够合理导致项目效益欠佳的情况。</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1FD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481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D0D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CC5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DC7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20F5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D1C4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7F7A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93F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B3A5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r>
      <w:tr w14:paraId="75264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97D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1" w:type="pct"/>
            <w:tcBorders>
              <w:top w:val="single" w:color="000000" w:sz="4" w:space="0"/>
              <w:left w:val="single" w:color="000000" w:sz="4" w:space="0"/>
              <w:bottom w:val="nil"/>
              <w:right w:val="single" w:color="000000" w:sz="4" w:space="0"/>
            </w:tcBorders>
            <w:shd w:val="clear" w:color="auto" w:fill="auto"/>
            <w:vAlign w:val="center"/>
          </w:tcPr>
          <w:p w14:paraId="3501A7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7E1F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173" w:type="pct"/>
            <w:vMerge w:val="continue"/>
            <w:tcBorders>
              <w:top w:val="single" w:color="000000" w:sz="4" w:space="0"/>
              <w:left w:val="single" w:color="000000" w:sz="4" w:space="0"/>
              <w:bottom w:val="nil"/>
              <w:right w:val="single" w:color="000000" w:sz="4" w:space="0"/>
            </w:tcBorders>
            <w:shd w:val="clear" w:color="auto" w:fill="auto"/>
            <w:vAlign w:val="center"/>
          </w:tcPr>
          <w:p w14:paraId="6F610D9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15D0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278" w:type="pct"/>
            <w:tcBorders>
              <w:top w:val="single" w:color="000000" w:sz="4" w:space="0"/>
              <w:left w:val="single" w:color="000000" w:sz="4" w:space="0"/>
              <w:bottom w:val="single" w:color="000000" w:sz="4" w:space="0"/>
              <w:right w:val="nil"/>
            </w:tcBorders>
            <w:shd w:val="clear" w:color="auto" w:fill="auto"/>
            <w:vAlign w:val="center"/>
          </w:tcPr>
          <w:p w14:paraId="1C26B8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年度目标相符性</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B43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分级评分法</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7C3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不相符</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758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B9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较相符</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0D3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246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相符</w:t>
            </w:r>
          </w:p>
        </w:tc>
        <w:tc>
          <w:tcPr>
            <w:tcW w:w="9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2C4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95B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1</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4E3F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BDC1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C326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77FE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922D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EB4B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1176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913F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E694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r>
      <w:tr w14:paraId="09047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95A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31" w:type="pct"/>
            <w:tcBorders>
              <w:top w:val="single" w:color="000000" w:sz="4" w:space="0"/>
              <w:left w:val="single" w:color="000000" w:sz="4" w:space="0"/>
              <w:bottom w:val="nil"/>
              <w:right w:val="single" w:color="000000" w:sz="4" w:space="0"/>
            </w:tcBorders>
            <w:shd w:val="clear" w:color="auto" w:fill="auto"/>
            <w:vAlign w:val="center"/>
          </w:tcPr>
          <w:p w14:paraId="7D7B32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60F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nil"/>
              <w:right w:val="single" w:color="000000" w:sz="4" w:space="0"/>
            </w:tcBorders>
            <w:shd w:val="clear" w:color="auto" w:fill="auto"/>
            <w:vAlign w:val="center"/>
          </w:tcPr>
          <w:p w14:paraId="3478D1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tcBorders>
              <w:top w:val="single" w:color="000000" w:sz="4" w:space="0"/>
              <w:left w:val="single" w:color="000000" w:sz="4" w:space="0"/>
              <w:bottom w:val="single" w:color="000000" w:sz="4" w:space="0"/>
              <w:right w:val="nil"/>
            </w:tcBorders>
            <w:shd w:val="clear" w:color="auto" w:fill="auto"/>
            <w:vAlign w:val="center"/>
          </w:tcPr>
          <w:p w14:paraId="1CC9FD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制度完备</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FC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管理制度机制完善性</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2B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缺（错）项扣分法</w:t>
            </w:r>
          </w:p>
        </w:tc>
        <w:tc>
          <w:tcPr>
            <w:tcW w:w="10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449B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发现一处扣0.5分，直至扣完</w:t>
            </w: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798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主要查看项目的相关管理制度机制是否健全完善，在项目执行过程中，是否存在管理制度有悖于实际的情况，是否存在难以操作、无法落地、执行不畅的情况，是否存在不能满足实际需求，未及时动态调整的情况。</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8FF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F3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01F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371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0DE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21E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0CF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1EC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CE6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CA3F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r>
      <w:tr w14:paraId="0AE5C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202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231" w:type="pct"/>
            <w:tcBorders>
              <w:top w:val="single" w:color="000000" w:sz="4" w:space="0"/>
              <w:left w:val="single" w:color="000000" w:sz="4" w:space="0"/>
              <w:bottom w:val="nil"/>
              <w:right w:val="single" w:color="000000" w:sz="4" w:space="0"/>
            </w:tcBorders>
            <w:shd w:val="clear" w:color="auto" w:fill="auto"/>
            <w:vAlign w:val="center"/>
          </w:tcPr>
          <w:p w14:paraId="423871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DF0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B2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项目实施</w:t>
            </w:r>
          </w:p>
        </w:tc>
        <w:tc>
          <w:tcPr>
            <w:tcW w:w="173" w:type="pct"/>
            <w:vMerge w:val="restart"/>
            <w:tcBorders>
              <w:top w:val="single" w:color="000000" w:sz="4" w:space="0"/>
              <w:left w:val="single" w:color="000000" w:sz="4" w:space="0"/>
              <w:bottom w:val="single" w:color="000000" w:sz="4" w:space="0"/>
              <w:right w:val="nil"/>
            </w:tcBorders>
            <w:shd w:val="clear" w:color="auto" w:fill="auto"/>
            <w:vAlign w:val="center"/>
          </w:tcPr>
          <w:p w14:paraId="01DCC2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分配合理★</w:t>
            </w:r>
          </w:p>
        </w:tc>
        <w:tc>
          <w:tcPr>
            <w:tcW w:w="278" w:type="pct"/>
            <w:tcBorders>
              <w:top w:val="single" w:color="000000" w:sz="4" w:space="0"/>
              <w:left w:val="single" w:color="000000" w:sz="4" w:space="0"/>
              <w:bottom w:val="single" w:color="000000" w:sz="4" w:space="0"/>
              <w:right w:val="nil"/>
            </w:tcBorders>
            <w:shd w:val="clear" w:color="auto" w:fill="auto"/>
            <w:vAlign w:val="center"/>
          </w:tcPr>
          <w:p w14:paraId="0B3D41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规划计划一致性</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4DB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是否评分法</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2F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563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3AC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081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B61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99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A86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按项目法分配的项目，以所有项目点实施完成情况与规划计划情况进行对比。按因素法分配的项目和据实据效分配的项目，将资金分配方向与规划计划支持方向进行对比；省级接到中央一般性转移支付和专项转移支付后，应当在30日内正式下达到本行政区域县级以上各级政府；县级以上地方各级预算安排对下级政府的一般性转移支付和专项转移支付，应当分别在本级人民代表大会批准预算后的30日和60日内正式下达；</w:t>
            </w:r>
            <w:r>
              <w:rPr>
                <w:rFonts w:hint="eastAsia" w:cs="Times New Roman"/>
                <w:i w:val="0"/>
                <w:iCs w:val="0"/>
                <w:color w:val="000000"/>
                <w:kern w:val="0"/>
                <w:sz w:val="18"/>
                <w:szCs w:val="18"/>
                <w:u w:val="none"/>
                <w:lang w:val="en-US" w:eastAsia="zh-CN" w:bidi="ar"/>
              </w:rPr>
              <w:t>《中华人民共和国预算法》</w:t>
            </w:r>
            <w:r>
              <w:rPr>
                <w:rFonts w:hint="default" w:ascii="Times New Roman" w:hAnsi="Times New Roman" w:eastAsia="宋体" w:cs="Times New Roman"/>
                <w:i w:val="0"/>
                <w:iCs w:val="0"/>
                <w:color w:val="000000"/>
                <w:kern w:val="0"/>
                <w:sz w:val="18"/>
                <w:szCs w:val="18"/>
                <w:u w:val="none"/>
                <w:lang w:val="en-US" w:eastAsia="zh-CN" w:bidi="ar"/>
              </w:rPr>
              <w:t>其他规定；分配依据充分的得分，明显不充分扣分。两种情况分值权重各占一半。</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877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D3D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B5E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9E0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B3F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38B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DDB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D2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F0A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E050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r>
      <w:tr w14:paraId="18E3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D9F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1" w:type="pct"/>
            <w:tcBorders>
              <w:top w:val="single" w:color="000000" w:sz="4" w:space="0"/>
              <w:left w:val="single" w:color="000000" w:sz="4" w:space="0"/>
              <w:bottom w:val="nil"/>
              <w:right w:val="single" w:color="000000" w:sz="4" w:space="0"/>
            </w:tcBorders>
            <w:shd w:val="clear" w:color="auto" w:fill="auto"/>
            <w:vAlign w:val="center"/>
          </w:tcPr>
          <w:p w14:paraId="4F207D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62C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EC6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single" w:color="000000" w:sz="4" w:space="0"/>
              <w:right w:val="nil"/>
            </w:tcBorders>
            <w:shd w:val="clear" w:color="auto" w:fill="auto"/>
            <w:vAlign w:val="center"/>
          </w:tcPr>
          <w:p w14:paraId="21F6BB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78" w:type="pct"/>
            <w:tcBorders>
              <w:top w:val="single" w:color="000000" w:sz="4" w:space="0"/>
              <w:left w:val="single" w:color="000000" w:sz="4" w:space="0"/>
              <w:bottom w:val="single" w:color="000000" w:sz="4" w:space="0"/>
              <w:right w:val="nil"/>
            </w:tcBorders>
            <w:shd w:val="clear" w:color="auto" w:fill="auto"/>
            <w:vAlign w:val="center"/>
          </w:tcPr>
          <w:p w14:paraId="133CF5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资金下拨及时性</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325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是否评分法</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ECE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ABF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80E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51A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F17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9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FE3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544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16B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1FD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39F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486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831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299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652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B8B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C78B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r>
      <w:tr w14:paraId="594F5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192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80E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F62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9C1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tcBorders>
              <w:top w:val="single" w:color="000000" w:sz="4" w:space="0"/>
              <w:left w:val="single" w:color="000000" w:sz="4" w:space="0"/>
              <w:bottom w:val="single" w:color="000000" w:sz="4" w:space="0"/>
              <w:right w:val="nil"/>
            </w:tcBorders>
            <w:shd w:val="clear" w:color="auto" w:fill="auto"/>
            <w:vAlign w:val="center"/>
          </w:tcPr>
          <w:p w14:paraId="36A294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使用合规</w:t>
            </w:r>
          </w:p>
        </w:tc>
        <w:tc>
          <w:tcPr>
            <w:tcW w:w="278" w:type="pct"/>
            <w:tcBorders>
              <w:top w:val="single" w:color="000000" w:sz="4" w:space="0"/>
              <w:left w:val="single" w:color="000000" w:sz="4" w:space="0"/>
              <w:bottom w:val="single" w:color="000000" w:sz="4" w:space="0"/>
              <w:right w:val="nil"/>
            </w:tcBorders>
            <w:shd w:val="clear" w:color="auto" w:fill="auto"/>
            <w:vAlign w:val="center"/>
          </w:tcPr>
          <w:p w14:paraId="700FC0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资金使用合规性</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75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缺（错）项扣分法</w:t>
            </w:r>
          </w:p>
        </w:tc>
        <w:tc>
          <w:tcPr>
            <w:tcW w:w="10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E76F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发现一处扣0.5分，直至扣完</w:t>
            </w: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887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3F3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090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01D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1CE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B1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010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32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844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39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2E6E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r>
      <w:tr w14:paraId="3F925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7E2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B7A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FA1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C90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tcBorders>
              <w:top w:val="single" w:color="000000" w:sz="4" w:space="0"/>
              <w:left w:val="single" w:color="000000" w:sz="4" w:space="0"/>
              <w:bottom w:val="single" w:color="000000" w:sz="4" w:space="0"/>
              <w:right w:val="nil"/>
            </w:tcBorders>
            <w:shd w:val="clear" w:color="auto" w:fill="auto"/>
            <w:vAlign w:val="center"/>
          </w:tcPr>
          <w:p w14:paraId="08237C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执行有效</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553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项目实施规范性</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9E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缺（错）项扣分法</w:t>
            </w:r>
          </w:p>
        </w:tc>
        <w:tc>
          <w:tcPr>
            <w:tcW w:w="10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C501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发现一处扣0.5分，直至扣完</w:t>
            </w: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A94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77C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473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AB2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255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6B5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3D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D22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D5C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75E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D5D4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r>
      <w:tr w14:paraId="0197A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B83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FCD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422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44C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完成结果</w:t>
            </w:r>
          </w:p>
        </w:tc>
        <w:tc>
          <w:tcPr>
            <w:tcW w:w="173" w:type="pct"/>
            <w:tcBorders>
              <w:top w:val="single" w:color="000000" w:sz="4" w:space="0"/>
              <w:left w:val="single" w:color="000000" w:sz="4" w:space="0"/>
              <w:bottom w:val="nil"/>
              <w:right w:val="nil"/>
            </w:tcBorders>
            <w:shd w:val="clear" w:color="auto" w:fill="auto"/>
            <w:vAlign w:val="center"/>
          </w:tcPr>
          <w:p w14:paraId="699E25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预算完成★</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242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项目资金拨付率</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D84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10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0EAD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   指标得分=项目实际到位金额/承诺到位金额*100%*指标分值</w:t>
            </w: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DD8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主要查看项目资金拨付到人到户、到项目、到企业与资金总量的对比，配套预算到位率。</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1E4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37C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5F1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DCC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7C3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FBA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2F2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7F6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92F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4441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r>
      <w:tr w14:paraId="7BF8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A43F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F46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D7A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FFC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tcBorders>
              <w:top w:val="single" w:color="000000" w:sz="4" w:space="0"/>
              <w:left w:val="single" w:color="000000" w:sz="4" w:space="0"/>
              <w:bottom w:val="single" w:color="000000" w:sz="4" w:space="0"/>
              <w:right w:val="nil"/>
            </w:tcBorders>
            <w:shd w:val="clear" w:color="auto" w:fill="FFFFFF"/>
            <w:vAlign w:val="center"/>
          </w:tcPr>
          <w:p w14:paraId="0CBFC4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资金结余★</w:t>
            </w:r>
          </w:p>
        </w:tc>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5FE2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项目资金执行率</w:t>
            </w:r>
          </w:p>
        </w:tc>
        <w:tc>
          <w:tcPr>
            <w:tcW w:w="2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8D1A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1006"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176A65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指标得分=（1-结余率/0.2）*指标分值</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结余率大于等于0.2，指标得0分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结余率=结余金额/省级财政资金预算数×100%                                                                                                </w:t>
            </w: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2B3BD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结余资金是指项目实施周期已结束、项目目标完成或项目提前终止，尚未列支的项目支出预算资金；因项目实施计划调整，不需要继续支出的预算资金；预算批复后连续两年未用完的预算资金。</w:t>
            </w:r>
          </w:p>
        </w:tc>
        <w:tc>
          <w:tcPr>
            <w:tcW w:w="1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EE9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452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42589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F7C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870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A7A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B1F7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DDA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DFA7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A44BB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r>
      <w:tr w14:paraId="759EA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3E1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78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905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7B9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tcBorders>
              <w:top w:val="single" w:color="000000" w:sz="4" w:space="0"/>
              <w:left w:val="single" w:color="000000" w:sz="4" w:space="0"/>
              <w:bottom w:val="single" w:color="000000" w:sz="4" w:space="0"/>
              <w:right w:val="nil"/>
            </w:tcBorders>
            <w:shd w:val="clear" w:color="auto" w:fill="auto"/>
            <w:vAlign w:val="center"/>
          </w:tcPr>
          <w:p w14:paraId="189999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目标完成★</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468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预期目标实现率</w:t>
            </w:r>
          </w:p>
        </w:tc>
        <w:tc>
          <w:tcPr>
            <w:tcW w:w="277" w:type="pct"/>
            <w:tcBorders>
              <w:top w:val="single" w:color="000000" w:sz="4" w:space="0"/>
              <w:left w:val="single" w:color="000000" w:sz="4" w:space="0"/>
              <w:bottom w:val="single" w:color="000000" w:sz="4" w:space="0"/>
              <w:right w:val="nil"/>
            </w:tcBorders>
            <w:shd w:val="clear" w:color="auto" w:fill="auto"/>
            <w:vAlign w:val="center"/>
          </w:tcPr>
          <w:p w14:paraId="148EE1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212" w:type="pct"/>
            <w:tcBorders>
              <w:top w:val="single" w:color="000000" w:sz="4" w:space="0"/>
              <w:left w:val="single" w:color="000000" w:sz="4" w:space="0"/>
              <w:bottom w:val="single" w:color="000000" w:sz="4" w:space="0"/>
              <w:right w:val="nil"/>
            </w:tcBorders>
            <w:shd w:val="clear" w:color="auto" w:fill="auto"/>
            <w:vAlign w:val="center"/>
          </w:tcPr>
          <w:p w14:paraId="410C45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指标得分=实际实现的目标个数/设定的绩效目标总个数×100%*指标分值  </w:t>
            </w:r>
          </w:p>
        </w:tc>
        <w:tc>
          <w:tcPr>
            <w:tcW w:w="194" w:type="pct"/>
            <w:tcBorders>
              <w:top w:val="single" w:color="000000" w:sz="4" w:space="0"/>
              <w:left w:val="single" w:color="000000" w:sz="4" w:space="0"/>
              <w:bottom w:val="single" w:color="000000" w:sz="4" w:space="0"/>
              <w:right w:val="nil"/>
            </w:tcBorders>
            <w:shd w:val="clear" w:color="auto" w:fill="auto"/>
            <w:vAlign w:val="center"/>
          </w:tcPr>
          <w:p w14:paraId="613E4B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29" w:type="pct"/>
            <w:tcBorders>
              <w:top w:val="single" w:color="000000" w:sz="4" w:space="0"/>
              <w:left w:val="single" w:color="000000" w:sz="4" w:space="0"/>
              <w:bottom w:val="single" w:color="000000" w:sz="4" w:space="0"/>
              <w:right w:val="nil"/>
            </w:tcBorders>
            <w:shd w:val="clear" w:color="auto" w:fill="auto"/>
            <w:vAlign w:val="center"/>
          </w:tcPr>
          <w:p w14:paraId="09FD5D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89" w:type="pct"/>
            <w:tcBorders>
              <w:top w:val="single" w:color="000000" w:sz="4" w:space="0"/>
              <w:left w:val="single" w:color="000000" w:sz="4" w:space="0"/>
              <w:bottom w:val="single" w:color="000000" w:sz="4" w:space="0"/>
              <w:right w:val="nil"/>
            </w:tcBorders>
            <w:shd w:val="clear" w:color="auto" w:fill="auto"/>
            <w:vAlign w:val="center"/>
          </w:tcPr>
          <w:p w14:paraId="72D426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9" w:type="pct"/>
            <w:tcBorders>
              <w:top w:val="single" w:color="000000" w:sz="4" w:space="0"/>
              <w:left w:val="single" w:color="000000" w:sz="4" w:space="0"/>
              <w:bottom w:val="single" w:color="000000" w:sz="4" w:space="0"/>
              <w:right w:val="nil"/>
            </w:tcBorders>
            <w:shd w:val="clear" w:color="auto" w:fill="auto"/>
            <w:vAlign w:val="center"/>
          </w:tcPr>
          <w:p w14:paraId="1A58F9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59" w:type="pct"/>
            <w:tcBorders>
              <w:top w:val="single" w:color="000000" w:sz="4" w:space="0"/>
              <w:left w:val="single" w:color="000000" w:sz="4" w:space="0"/>
              <w:bottom w:val="single" w:color="000000" w:sz="4" w:space="0"/>
              <w:right w:val="nil"/>
            </w:tcBorders>
            <w:shd w:val="clear" w:color="auto" w:fill="auto"/>
            <w:vAlign w:val="center"/>
          </w:tcPr>
          <w:p w14:paraId="6885E0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主要查看项目实施后绩效目标完成的总体情况。</w:t>
            </w:r>
          </w:p>
        </w:tc>
        <w:tc>
          <w:tcPr>
            <w:tcW w:w="634" w:type="pct"/>
            <w:tcBorders>
              <w:top w:val="single" w:color="000000" w:sz="4" w:space="0"/>
              <w:left w:val="single" w:color="000000" w:sz="4" w:space="0"/>
              <w:bottom w:val="single" w:color="000000" w:sz="4" w:space="0"/>
              <w:right w:val="nil"/>
            </w:tcBorders>
            <w:shd w:val="clear" w:color="auto" w:fill="auto"/>
            <w:vAlign w:val="center"/>
          </w:tcPr>
          <w:p w14:paraId="092BEC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F19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5A6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40D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086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8A3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3AB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520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F82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FD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E848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r>
      <w:tr w14:paraId="2FA0F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9ED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A68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C03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A7D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tcBorders>
              <w:top w:val="single" w:color="000000" w:sz="4" w:space="0"/>
              <w:left w:val="single" w:color="000000" w:sz="4" w:space="0"/>
              <w:bottom w:val="single" w:color="000000" w:sz="4" w:space="0"/>
              <w:right w:val="nil"/>
            </w:tcBorders>
            <w:shd w:val="clear" w:color="auto" w:fill="auto"/>
            <w:vAlign w:val="center"/>
          </w:tcPr>
          <w:p w14:paraId="4001A6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完成及时</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AC7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完成时效及时性</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C70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10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AA87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指标得分=1-(实际完成时间-计划完成时间/计划完成时间)×100%*指标分值  </w:t>
            </w: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BF0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主要查看项目实际计划完成时间情况，一般以天数、月数或年数为单位。当实际完成时间-计划完成时间小于等于0时得满分；实际完成时间超过计划完成时间1倍时得0分。</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276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69B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84D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CA0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B0C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48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6E14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2B7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9B2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3CF3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r>
      <w:tr w14:paraId="66606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42D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1F9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67E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088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tcBorders>
              <w:top w:val="single" w:color="000000" w:sz="4" w:space="0"/>
              <w:left w:val="single" w:color="000000" w:sz="4" w:space="0"/>
              <w:bottom w:val="single" w:color="000000" w:sz="4" w:space="0"/>
              <w:right w:val="nil"/>
            </w:tcBorders>
            <w:shd w:val="clear" w:color="auto" w:fill="auto"/>
            <w:vAlign w:val="center"/>
          </w:tcPr>
          <w:p w14:paraId="390988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违规记录</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7F7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项目管理合规性</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ECA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分级评分法</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1A8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不合规</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DE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3处及以上不合规</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B3F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2处不合规</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123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1处不合规</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168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合规</w:t>
            </w: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A29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根据审计监督、财政检查结果反映专项管理是否合规。</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0F8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4F0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9CA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D7C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F1D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D31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082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w:t>
            </w: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A48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BE63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59F8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r>
      <w:tr w14:paraId="724F9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1" w:type="pct"/>
            <w:tcBorders>
              <w:top w:val="single" w:color="000000" w:sz="4" w:space="0"/>
              <w:left w:val="single" w:color="000000" w:sz="4" w:space="0"/>
              <w:bottom w:val="nil"/>
              <w:right w:val="single" w:color="000000" w:sz="4" w:space="0"/>
            </w:tcBorders>
            <w:shd w:val="clear" w:color="auto" w:fill="auto"/>
            <w:vAlign w:val="center"/>
          </w:tcPr>
          <w:p w14:paraId="1E266B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31" w:type="pct"/>
            <w:tcBorders>
              <w:top w:val="single" w:color="000000" w:sz="4" w:space="0"/>
              <w:left w:val="single" w:color="000000" w:sz="4" w:space="0"/>
              <w:bottom w:val="nil"/>
              <w:right w:val="single" w:color="000000" w:sz="4" w:space="0"/>
            </w:tcBorders>
            <w:shd w:val="clear" w:color="auto" w:fill="auto"/>
            <w:vAlign w:val="center"/>
          </w:tcPr>
          <w:p w14:paraId="4122C3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942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共性</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指标</w:t>
            </w:r>
          </w:p>
        </w:tc>
        <w:tc>
          <w:tcPr>
            <w:tcW w:w="173" w:type="pct"/>
            <w:vMerge w:val="restart"/>
            <w:tcBorders>
              <w:top w:val="nil"/>
              <w:left w:val="single" w:color="000000" w:sz="4" w:space="0"/>
              <w:bottom w:val="nil"/>
              <w:right w:val="single" w:color="000000" w:sz="4" w:space="0"/>
            </w:tcBorders>
            <w:shd w:val="clear" w:color="auto" w:fill="auto"/>
            <w:vAlign w:val="center"/>
          </w:tcPr>
          <w:p w14:paraId="24E93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项目效果</w:t>
            </w:r>
          </w:p>
        </w:tc>
        <w:tc>
          <w:tcPr>
            <w:tcW w:w="173" w:type="pct"/>
            <w:tcBorders>
              <w:top w:val="single" w:color="000000" w:sz="4" w:space="0"/>
              <w:left w:val="single" w:color="000000" w:sz="4" w:space="0"/>
              <w:bottom w:val="single" w:color="000000" w:sz="4" w:space="0"/>
              <w:right w:val="nil"/>
            </w:tcBorders>
            <w:shd w:val="clear" w:color="auto" w:fill="auto"/>
            <w:vAlign w:val="center"/>
          </w:tcPr>
          <w:p w14:paraId="3D8772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区域均衡性</w:t>
            </w:r>
          </w:p>
        </w:tc>
        <w:tc>
          <w:tcPr>
            <w:tcW w:w="278" w:type="pct"/>
            <w:tcBorders>
              <w:top w:val="single" w:color="000000" w:sz="4" w:space="0"/>
              <w:left w:val="single" w:color="000000" w:sz="4" w:space="0"/>
              <w:bottom w:val="nil"/>
              <w:right w:val="nil"/>
            </w:tcBorders>
            <w:shd w:val="clear" w:color="auto" w:fill="auto"/>
            <w:vAlign w:val="center"/>
          </w:tcPr>
          <w:p w14:paraId="4CABB4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分配方案科学性</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8A7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分级评分法</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3F5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不均衡</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4B8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679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较均衡</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CA6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00B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均衡</w:t>
            </w:r>
          </w:p>
        </w:tc>
        <w:tc>
          <w:tcPr>
            <w:tcW w:w="993" w:type="pct"/>
            <w:gridSpan w:val="2"/>
            <w:tcBorders>
              <w:top w:val="single" w:color="000000" w:sz="4" w:space="0"/>
              <w:left w:val="single" w:color="000000" w:sz="4" w:space="0"/>
              <w:bottom w:val="nil"/>
              <w:right w:val="single" w:color="000000" w:sz="4" w:space="0"/>
            </w:tcBorders>
            <w:shd w:val="clear" w:color="auto" w:fill="auto"/>
            <w:vAlign w:val="center"/>
          </w:tcPr>
          <w:p w14:paraId="6A8E64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按实际分配结果选择客观因素测算验证资金分配方法制定、分配要素设定、基础数据应用、测算依据选取等是否科学合理。</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454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FDC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0B6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EA8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13D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87B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EF43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EBC5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215F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5432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r>
      <w:tr w14:paraId="19FC2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31" w:type="pct"/>
            <w:tcBorders>
              <w:top w:val="single" w:color="000000" w:sz="4" w:space="0"/>
              <w:left w:val="single" w:color="000000" w:sz="4" w:space="0"/>
              <w:bottom w:val="nil"/>
              <w:right w:val="single" w:color="000000" w:sz="4" w:space="0"/>
            </w:tcBorders>
            <w:shd w:val="clear" w:color="auto" w:fill="auto"/>
            <w:vAlign w:val="center"/>
          </w:tcPr>
          <w:p w14:paraId="6A51BB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31" w:type="pct"/>
            <w:tcBorders>
              <w:top w:val="single" w:color="000000" w:sz="4" w:space="0"/>
              <w:left w:val="single" w:color="000000" w:sz="4" w:space="0"/>
              <w:bottom w:val="nil"/>
              <w:right w:val="single" w:color="000000" w:sz="4" w:space="0"/>
            </w:tcBorders>
            <w:shd w:val="clear" w:color="auto" w:fill="auto"/>
            <w:vAlign w:val="center"/>
          </w:tcPr>
          <w:p w14:paraId="578EF9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001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nil"/>
              <w:left w:val="single" w:color="000000" w:sz="4" w:space="0"/>
              <w:bottom w:val="nil"/>
              <w:right w:val="single" w:color="000000" w:sz="4" w:space="0"/>
            </w:tcBorders>
            <w:shd w:val="clear" w:color="auto" w:fill="auto"/>
            <w:vAlign w:val="center"/>
          </w:tcPr>
          <w:p w14:paraId="44AE35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tcBorders>
              <w:top w:val="single" w:color="000000" w:sz="4" w:space="0"/>
              <w:left w:val="single" w:color="000000" w:sz="4" w:space="0"/>
              <w:bottom w:val="single" w:color="000000" w:sz="4" w:space="0"/>
              <w:right w:val="nil"/>
            </w:tcBorders>
            <w:shd w:val="clear" w:color="auto" w:fill="auto"/>
            <w:vAlign w:val="center"/>
          </w:tcPr>
          <w:p w14:paraId="48F8C0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对象公平性★</w:t>
            </w:r>
          </w:p>
        </w:tc>
        <w:tc>
          <w:tcPr>
            <w:tcW w:w="278" w:type="pct"/>
            <w:tcBorders>
              <w:top w:val="single" w:color="000000" w:sz="4" w:space="0"/>
              <w:left w:val="single" w:color="000000" w:sz="4" w:space="0"/>
              <w:bottom w:val="single" w:color="000000" w:sz="4" w:space="0"/>
              <w:right w:val="nil"/>
            </w:tcBorders>
            <w:shd w:val="clear" w:color="auto" w:fill="auto"/>
            <w:vAlign w:val="center"/>
          </w:tcPr>
          <w:p w14:paraId="742675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分配结果合理性</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5E9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分级评分法</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F78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不公平</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824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D44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一般</w:t>
            </w: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78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5C9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公平</w:t>
            </w: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C62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主要查看项目资金分配和实施结果是否体现公平公正性，在支持范围、标准、程序上是否存在明显的排他性和歧视性规定，是否做到大多数和少数的协调统一，统筹兼顾。标黑因素存在一项不公平的按一般档次计算分值，存在两项因素不公平的得0分。</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7D6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67C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020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2EE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32B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F6B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A65A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BDD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i w:val="0"/>
                <w:iCs w:val="0"/>
                <w:color w:val="000000"/>
                <w:sz w:val="21"/>
                <w:szCs w:val="21"/>
                <w:u w:val="none"/>
              </w:rPr>
            </w:pPr>
            <w:r>
              <w:rPr>
                <w:rFonts w:hint="default" w:ascii="Times New Roman" w:hAnsi="Times New Roman" w:eastAsia="方正仿宋简体" w:cs="Times New Roman"/>
                <w:i w:val="0"/>
                <w:iCs w:val="0"/>
                <w:color w:val="000000"/>
                <w:kern w:val="0"/>
                <w:sz w:val="21"/>
                <w:szCs w:val="21"/>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D135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DB91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i w:val="0"/>
                <w:iCs w:val="0"/>
                <w:color w:val="000000"/>
                <w:sz w:val="21"/>
                <w:szCs w:val="21"/>
                <w:u w:val="none"/>
              </w:rPr>
            </w:pPr>
          </w:p>
        </w:tc>
      </w:tr>
      <w:tr w14:paraId="77D54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31" w:type="pct"/>
            <w:tcBorders>
              <w:top w:val="single" w:color="000000" w:sz="4" w:space="0"/>
              <w:left w:val="single" w:color="000000" w:sz="4" w:space="0"/>
              <w:bottom w:val="nil"/>
              <w:right w:val="single" w:color="000000" w:sz="4" w:space="0"/>
            </w:tcBorders>
            <w:shd w:val="clear" w:color="auto" w:fill="auto"/>
            <w:vAlign w:val="center"/>
          </w:tcPr>
          <w:p w14:paraId="43DB15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1" w:type="pct"/>
            <w:tcBorders>
              <w:top w:val="single" w:color="000000" w:sz="4" w:space="0"/>
              <w:left w:val="single" w:color="000000" w:sz="4" w:space="0"/>
              <w:bottom w:val="nil"/>
              <w:right w:val="single" w:color="000000" w:sz="4" w:space="0"/>
            </w:tcBorders>
            <w:shd w:val="clear" w:color="auto" w:fill="auto"/>
            <w:vAlign w:val="center"/>
          </w:tcPr>
          <w:p w14:paraId="6ADB34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815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nil"/>
              <w:left w:val="single" w:color="000000" w:sz="4" w:space="0"/>
              <w:bottom w:val="nil"/>
              <w:right w:val="single" w:color="000000" w:sz="4" w:space="0"/>
            </w:tcBorders>
            <w:shd w:val="clear" w:color="auto" w:fill="auto"/>
            <w:vAlign w:val="center"/>
          </w:tcPr>
          <w:p w14:paraId="69AC4F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tcBorders>
              <w:top w:val="single" w:color="000000" w:sz="4" w:space="0"/>
              <w:left w:val="single" w:color="000000" w:sz="4" w:space="0"/>
              <w:bottom w:val="nil"/>
              <w:right w:val="nil"/>
            </w:tcBorders>
            <w:shd w:val="clear" w:color="auto" w:fill="auto"/>
            <w:vAlign w:val="center"/>
          </w:tcPr>
          <w:p w14:paraId="41CC68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社会满意度</w:t>
            </w:r>
          </w:p>
        </w:tc>
        <w:tc>
          <w:tcPr>
            <w:tcW w:w="278" w:type="pct"/>
            <w:tcBorders>
              <w:top w:val="single" w:color="000000" w:sz="4" w:space="0"/>
              <w:left w:val="single" w:color="000000" w:sz="4" w:space="0"/>
              <w:bottom w:val="nil"/>
              <w:right w:val="nil"/>
            </w:tcBorders>
            <w:shd w:val="clear" w:color="auto" w:fill="auto"/>
            <w:vAlign w:val="center"/>
          </w:tcPr>
          <w:p w14:paraId="3EEDC1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公众对食品安全满意度</w:t>
            </w:r>
          </w:p>
        </w:tc>
        <w:tc>
          <w:tcPr>
            <w:tcW w:w="277" w:type="pct"/>
            <w:tcBorders>
              <w:top w:val="single" w:color="000000" w:sz="4" w:space="0"/>
              <w:left w:val="single" w:color="000000" w:sz="4" w:space="0"/>
              <w:bottom w:val="nil"/>
              <w:right w:val="single" w:color="000000" w:sz="4" w:space="0"/>
            </w:tcBorders>
            <w:shd w:val="clear" w:color="auto" w:fill="auto"/>
            <w:vAlign w:val="center"/>
          </w:tcPr>
          <w:p w14:paraId="2E2649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1006" w:type="pct"/>
            <w:gridSpan w:val="5"/>
            <w:tcBorders>
              <w:top w:val="single" w:color="000000" w:sz="4" w:space="0"/>
              <w:left w:val="single" w:color="000000" w:sz="4" w:space="0"/>
              <w:bottom w:val="nil"/>
              <w:right w:val="single" w:color="000000" w:sz="4" w:space="0"/>
            </w:tcBorders>
            <w:shd w:val="clear" w:color="auto" w:fill="auto"/>
            <w:vAlign w:val="center"/>
          </w:tcPr>
          <w:p w14:paraId="5CA46D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指标得分=实际满意度/满意度目标设定值×100%*指标分值  </w:t>
            </w:r>
          </w:p>
        </w:tc>
        <w:tc>
          <w:tcPr>
            <w:tcW w:w="993" w:type="pct"/>
            <w:gridSpan w:val="2"/>
            <w:tcBorders>
              <w:top w:val="single" w:color="000000" w:sz="4" w:space="0"/>
              <w:left w:val="single" w:color="000000" w:sz="4" w:space="0"/>
              <w:bottom w:val="nil"/>
              <w:right w:val="single" w:color="000000" w:sz="4" w:space="0"/>
            </w:tcBorders>
            <w:shd w:val="clear" w:color="auto" w:fill="auto"/>
            <w:vAlign w:val="center"/>
          </w:tcPr>
          <w:p w14:paraId="48ABCA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主要调研政策和项目相关方在政策实施过程中的满意值，通过不满意情况汇总分析政策在顶层设计、制度构建、管理实施及成效各环节的情况。实际满意度/满意度目标设定值&gt;1时按1计算。</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2EB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C6C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7EB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084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7CF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79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878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913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402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7AF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891D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231" w:type="pct"/>
            <w:vMerge w:val="restart"/>
            <w:tcBorders>
              <w:top w:val="single" w:color="000000" w:sz="4" w:space="0"/>
              <w:left w:val="single" w:color="000000" w:sz="4" w:space="0"/>
              <w:bottom w:val="nil"/>
              <w:right w:val="single" w:color="000000" w:sz="4" w:space="0"/>
            </w:tcBorders>
            <w:shd w:val="clear" w:color="auto" w:fill="auto"/>
            <w:vAlign w:val="center"/>
          </w:tcPr>
          <w:p w14:paraId="39F368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E71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w:t>
            </w:r>
          </w:p>
        </w:tc>
        <w:tc>
          <w:tcPr>
            <w:tcW w:w="1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52F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特性</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指标</w:t>
            </w:r>
          </w:p>
        </w:tc>
        <w:tc>
          <w:tcPr>
            <w:tcW w:w="173" w:type="pct"/>
            <w:vMerge w:val="restart"/>
            <w:tcBorders>
              <w:top w:val="single" w:color="000000" w:sz="4" w:space="0"/>
              <w:left w:val="single" w:color="000000" w:sz="4" w:space="0"/>
              <w:bottom w:val="nil"/>
              <w:right w:val="nil"/>
            </w:tcBorders>
            <w:shd w:val="clear" w:color="auto" w:fill="auto"/>
            <w:vAlign w:val="center"/>
          </w:tcPr>
          <w:p w14:paraId="41F7D1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基础管理</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7B5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完成数量</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09F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省级食品抽检监测任务</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批次 </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F8E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1006" w:type="pct"/>
            <w:gridSpan w:val="5"/>
            <w:vMerge w:val="restart"/>
            <w:tcBorders>
              <w:top w:val="single" w:color="000000" w:sz="4" w:space="0"/>
              <w:left w:val="single" w:color="000000" w:sz="4" w:space="0"/>
              <w:bottom w:val="nil"/>
              <w:right w:val="single" w:color="000000" w:sz="4" w:space="0"/>
            </w:tcBorders>
            <w:shd w:val="clear" w:color="auto" w:fill="auto"/>
            <w:vAlign w:val="center"/>
          </w:tcPr>
          <w:p w14:paraId="0F45BD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指标得分=项目实际产出/项目计划产出*指标分值×100%</w:t>
            </w:r>
          </w:p>
        </w:tc>
        <w:tc>
          <w:tcPr>
            <w:tcW w:w="359" w:type="pct"/>
            <w:vMerge w:val="restart"/>
            <w:tcBorders>
              <w:top w:val="single" w:color="000000" w:sz="4" w:space="0"/>
              <w:left w:val="single" w:color="000000" w:sz="4" w:space="0"/>
              <w:bottom w:val="nil"/>
              <w:right w:val="single" w:color="000000" w:sz="4" w:space="0"/>
            </w:tcBorders>
            <w:shd w:val="clear" w:color="auto" w:fill="auto"/>
            <w:vAlign w:val="center"/>
          </w:tcPr>
          <w:p w14:paraId="26AB0C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考察项目实际完成数量与目标数量之间的差异情况。项目实际产出/项目计划产出&gt;1时按1计算。</w:t>
            </w:r>
          </w:p>
        </w:tc>
        <w:tc>
          <w:tcPr>
            <w:tcW w:w="634" w:type="pct"/>
            <w:vMerge w:val="restart"/>
            <w:tcBorders>
              <w:top w:val="single" w:color="000000" w:sz="4" w:space="0"/>
              <w:left w:val="single" w:color="000000" w:sz="4" w:space="0"/>
              <w:bottom w:val="nil"/>
              <w:right w:val="single" w:color="000000" w:sz="4" w:space="0"/>
            </w:tcBorders>
            <w:shd w:val="clear" w:color="auto" w:fill="auto"/>
            <w:vAlign w:val="center"/>
          </w:tcPr>
          <w:p w14:paraId="562CD8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由自评单位根据其绩效目标下达情况对涉及的三级指标合理分配指标权重（分值）并评分，各三级指标权重总和不超过25%。自评单位下达绩效目标未涉及的三级指标无需设定权重或评分。</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89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E54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D35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476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C5A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C74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1C3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5D4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A13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D5F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B65B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1" w:type="pct"/>
            <w:vMerge w:val="continue"/>
            <w:tcBorders>
              <w:top w:val="single" w:color="000000" w:sz="4" w:space="0"/>
              <w:left w:val="single" w:color="000000" w:sz="4" w:space="0"/>
              <w:bottom w:val="nil"/>
              <w:right w:val="single" w:color="000000" w:sz="4" w:space="0"/>
            </w:tcBorders>
            <w:shd w:val="clear" w:color="auto" w:fill="auto"/>
            <w:vAlign w:val="center"/>
          </w:tcPr>
          <w:p w14:paraId="4056A6D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763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60C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nil"/>
              <w:right w:val="nil"/>
            </w:tcBorders>
            <w:shd w:val="clear" w:color="auto" w:fill="auto"/>
            <w:vAlign w:val="center"/>
          </w:tcPr>
          <w:p w14:paraId="5D1666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AA8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EDE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工业产品质量监督</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抽查及风险监测批次</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4B0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1006"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426642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59" w:type="pct"/>
            <w:vMerge w:val="continue"/>
            <w:tcBorders>
              <w:top w:val="single" w:color="000000" w:sz="4" w:space="0"/>
              <w:left w:val="single" w:color="000000" w:sz="4" w:space="0"/>
              <w:bottom w:val="nil"/>
              <w:right w:val="single" w:color="000000" w:sz="4" w:space="0"/>
            </w:tcBorders>
            <w:shd w:val="clear" w:color="auto" w:fill="auto"/>
            <w:vAlign w:val="center"/>
          </w:tcPr>
          <w:p w14:paraId="1C8C61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34" w:type="pct"/>
            <w:vMerge w:val="continue"/>
            <w:tcBorders>
              <w:top w:val="single" w:color="000000" w:sz="4" w:space="0"/>
              <w:left w:val="single" w:color="000000" w:sz="4" w:space="0"/>
              <w:bottom w:val="nil"/>
              <w:right w:val="single" w:color="000000" w:sz="4" w:space="0"/>
            </w:tcBorders>
            <w:shd w:val="clear" w:color="auto" w:fill="auto"/>
            <w:vAlign w:val="center"/>
          </w:tcPr>
          <w:p w14:paraId="6BBFC9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224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3B3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86C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A42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2C1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710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359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B61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665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79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0229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31" w:type="pct"/>
            <w:vMerge w:val="continue"/>
            <w:tcBorders>
              <w:top w:val="single" w:color="000000" w:sz="4" w:space="0"/>
              <w:left w:val="single" w:color="000000" w:sz="4" w:space="0"/>
              <w:bottom w:val="nil"/>
              <w:right w:val="single" w:color="000000" w:sz="4" w:space="0"/>
            </w:tcBorders>
            <w:shd w:val="clear" w:color="auto" w:fill="auto"/>
            <w:vAlign w:val="center"/>
          </w:tcPr>
          <w:p w14:paraId="23C5145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78B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049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nil"/>
              <w:right w:val="nil"/>
            </w:tcBorders>
            <w:shd w:val="clear" w:color="auto" w:fill="auto"/>
            <w:vAlign w:val="center"/>
          </w:tcPr>
          <w:p w14:paraId="6C5064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42E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A8B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“双随机”抽查比例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43D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1006"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66E873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59" w:type="pct"/>
            <w:vMerge w:val="continue"/>
            <w:tcBorders>
              <w:top w:val="single" w:color="000000" w:sz="4" w:space="0"/>
              <w:left w:val="single" w:color="000000" w:sz="4" w:space="0"/>
              <w:bottom w:val="nil"/>
              <w:right w:val="single" w:color="000000" w:sz="4" w:space="0"/>
            </w:tcBorders>
            <w:shd w:val="clear" w:color="auto" w:fill="auto"/>
            <w:vAlign w:val="center"/>
          </w:tcPr>
          <w:p w14:paraId="394F6F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34" w:type="pct"/>
            <w:vMerge w:val="continue"/>
            <w:tcBorders>
              <w:top w:val="single" w:color="000000" w:sz="4" w:space="0"/>
              <w:left w:val="single" w:color="000000" w:sz="4" w:space="0"/>
              <w:bottom w:val="nil"/>
              <w:right w:val="single" w:color="000000" w:sz="4" w:space="0"/>
            </w:tcBorders>
            <w:shd w:val="clear" w:color="auto" w:fill="auto"/>
            <w:vAlign w:val="center"/>
          </w:tcPr>
          <w:p w14:paraId="1A2375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E31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C9A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A62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EC9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2D1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990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D57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183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338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CE8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708D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31" w:type="pct"/>
            <w:vMerge w:val="continue"/>
            <w:tcBorders>
              <w:top w:val="single" w:color="000000" w:sz="4" w:space="0"/>
              <w:left w:val="single" w:color="000000" w:sz="4" w:space="0"/>
              <w:bottom w:val="nil"/>
              <w:right w:val="single" w:color="000000" w:sz="4" w:space="0"/>
            </w:tcBorders>
            <w:shd w:val="clear" w:color="auto" w:fill="auto"/>
            <w:vAlign w:val="center"/>
          </w:tcPr>
          <w:p w14:paraId="7E75174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7F9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ED0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nil"/>
              <w:right w:val="nil"/>
            </w:tcBorders>
            <w:shd w:val="clear" w:color="auto" w:fill="auto"/>
            <w:vAlign w:val="center"/>
          </w:tcPr>
          <w:p w14:paraId="2D1289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F57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35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年报率</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B20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1006"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0F4A2F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59" w:type="pct"/>
            <w:vMerge w:val="continue"/>
            <w:tcBorders>
              <w:top w:val="single" w:color="000000" w:sz="4" w:space="0"/>
              <w:left w:val="single" w:color="000000" w:sz="4" w:space="0"/>
              <w:bottom w:val="nil"/>
              <w:right w:val="single" w:color="000000" w:sz="4" w:space="0"/>
            </w:tcBorders>
            <w:shd w:val="clear" w:color="auto" w:fill="auto"/>
            <w:vAlign w:val="center"/>
          </w:tcPr>
          <w:p w14:paraId="423A40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34" w:type="pct"/>
            <w:vMerge w:val="continue"/>
            <w:tcBorders>
              <w:top w:val="single" w:color="000000" w:sz="4" w:space="0"/>
              <w:left w:val="single" w:color="000000" w:sz="4" w:space="0"/>
              <w:bottom w:val="nil"/>
              <w:right w:val="single" w:color="000000" w:sz="4" w:space="0"/>
            </w:tcBorders>
            <w:shd w:val="clear" w:color="auto" w:fill="auto"/>
            <w:vAlign w:val="center"/>
          </w:tcPr>
          <w:p w14:paraId="71ECCF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41F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9FE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4FF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FD0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9BF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8C7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FAF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FB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6A1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0EA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B0A9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31" w:type="pct"/>
            <w:vMerge w:val="continue"/>
            <w:tcBorders>
              <w:top w:val="single" w:color="000000" w:sz="4" w:space="0"/>
              <w:left w:val="single" w:color="000000" w:sz="4" w:space="0"/>
              <w:bottom w:val="nil"/>
              <w:right w:val="single" w:color="000000" w:sz="4" w:space="0"/>
            </w:tcBorders>
            <w:shd w:val="clear" w:color="auto" w:fill="auto"/>
            <w:vAlign w:val="center"/>
          </w:tcPr>
          <w:p w14:paraId="6EFAE5F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DCE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40C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nil"/>
              <w:right w:val="nil"/>
            </w:tcBorders>
            <w:shd w:val="clear" w:color="auto" w:fill="auto"/>
            <w:vAlign w:val="center"/>
          </w:tcPr>
          <w:p w14:paraId="47263C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3D2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886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补助国家(行业、地方)标准</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9A9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1006"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35FF07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59" w:type="pct"/>
            <w:vMerge w:val="continue"/>
            <w:tcBorders>
              <w:top w:val="single" w:color="000000" w:sz="4" w:space="0"/>
              <w:left w:val="single" w:color="000000" w:sz="4" w:space="0"/>
              <w:bottom w:val="nil"/>
              <w:right w:val="single" w:color="000000" w:sz="4" w:space="0"/>
            </w:tcBorders>
            <w:shd w:val="clear" w:color="auto" w:fill="auto"/>
            <w:vAlign w:val="center"/>
          </w:tcPr>
          <w:p w14:paraId="3F7247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34" w:type="pct"/>
            <w:vMerge w:val="continue"/>
            <w:tcBorders>
              <w:top w:val="single" w:color="000000" w:sz="4" w:space="0"/>
              <w:left w:val="single" w:color="000000" w:sz="4" w:space="0"/>
              <w:bottom w:val="nil"/>
              <w:right w:val="single" w:color="000000" w:sz="4" w:space="0"/>
            </w:tcBorders>
            <w:shd w:val="clear" w:color="auto" w:fill="auto"/>
            <w:vAlign w:val="center"/>
          </w:tcPr>
          <w:p w14:paraId="6DA201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722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772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C1D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FD0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EE2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24B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F33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7AD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3C4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723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51DF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1" w:type="pct"/>
            <w:vMerge w:val="continue"/>
            <w:tcBorders>
              <w:top w:val="single" w:color="000000" w:sz="4" w:space="0"/>
              <w:left w:val="single" w:color="000000" w:sz="4" w:space="0"/>
              <w:bottom w:val="nil"/>
              <w:right w:val="single" w:color="000000" w:sz="4" w:space="0"/>
            </w:tcBorders>
            <w:shd w:val="clear" w:color="auto" w:fill="auto"/>
            <w:vAlign w:val="center"/>
          </w:tcPr>
          <w:p w14:paraId="2E65292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A7B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B47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nil"/>
              <w:right w:val="nil"/>
            </w:tcBorders>
            <w:shd w:val="clear" w:color="auto" w:fill="auto"/>
            <w:vAlign w:val="center"/>
          </w:tcPr>
          <w:p w14:paraId="415081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B0C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C6E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基层市场监管局（所）标准化规范化建设示范创建个数</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14F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1006"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6709A3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59" w:type="pct"/>
            <w:vMerge w:val="continue"/>
            <w:tcBorders>
              <w:top w:val="single" w:color="000000" w:sz="4" w:space="0"/>
              <w:left w:val="single" w:color="000000" w:sz="4" w:space="0"/>
              <w:bottom w:val="nil"/>
              <w:right w:val="single" w:color="000000" w:sz="4" w:space="0"/>
            </w:tcBorders>
            <w:shd w:val="clear" w:color="auto" w:fill="auto"/>
            <w:vAlign w:val="center"/>
          </w:tcPr>
          <w:p w14:paraId="66D1B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34" w:type="pct"/>
            <w:vMerge w:val="continue"/>
            <w:tcBorders>
              <w:top w:val="single" w:color="000000" w:sz="4" w:space="0"/>
              <w:left w:val="single" w:color="000000" w:sz="4" w:space="0"/>
              <w:bottom w:val="nil"/>
              <w:right w:val="single" w:color="000000" w:sz="4" w:space="0"/>
            </w:tcBorders>
            <w:shd w:val="clear" w:color="auto" w:fill="auto"/>
            <w:vAlign w:val="center"/>
          </w:tcPr>
          <w:p w14:paraId="155304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7D9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C6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57F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12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F3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7AD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EE8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27F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954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3A4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505A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231" w:type="pct"/>
            <w:vMerge w:val="continue"/>
            <w:tcBorders>
              <w:top w:val="single" w:color="000000" w:sz="4" w:space="0"/>
              <w:left w:val="single" w:color="000000" w:sz="4" w:space="0"/>
              <w:bottom w:val="nil"/>
              <w:right w:val="single" w:color="000000" w:sz="4" w:space="0"/>
            </w:tcBorders>
            <w:shd w:val="clear" w:color="auto" w:fill="auto"/>
            <w:vAlign w:val="center"/>
          </w:tcPr>
          <w:p w14:paraId="385B5FE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AD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BD0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nil"/>
              <w:right w:val="nil"/>
            </w:tcBorders>
            <w:shd w:val="clear" w:color="auto" w:fill="auto"/>
            <w:vAlign w:val="center"/>
          </w:tcPr>
          <w:p w14:paraId="102C09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CDA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EE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定量、过度包装监督抽查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批次</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1DB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1006" w:type="pct"/>
            <w:gridSpan w:val="5"/>
            <w:vMerge w:val="continue"/>
            <w:tcBorders>
              <w:top w:val="single" w:color="000000" w:sz="4" w:space="0"/>
              <w:left w:val="single" w:color="000000" w:sz="4" w:space="0"/>
              <w:bottom w:val="nil"/>
              <w:right w:val="single" w:color="000000" w:sz="4" w:space="0"/>
            </w:tcBorders>
            <w:shd w:val="clear" w:color="auto" w:fill="auto"/>
            <w:vAlign w:val="center"/>
          </w:tcPr>
          <w:p w14:paraId="452DDB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59" w:type="pct"/>
            <w:vMerge w:val="continue"/>
            <w:tcBorders>
              <w:top w:val="single" w:color="000000" w:sz="4" w:space="0"/>
              <w:left w:val="single" w:color="000000" w:sz="4" w:space="0"/>
              <w:bottom w:val="nil"/>
              <w:right w:val="single" w:color="000000" w:sz="4" w:space="0"/>
            </w:tcBorders>
            <w:shd w:val="clear" w:color="auto" w:fill="auto"/>
            <w:vAlign w:val="center"/>
          </w:tcPr>
          <w:p w14:paraId="4AF3CF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34" w:type="pct"/>
            <w:vMerge w:val="continue"/>
            <w:tcBorders>
              <w:top w:val="single" w:color="000000" w:sz="4" w:space="0"/>
              <w:left w:val="single" w:color="000000" w:sz="4" w:space="0"/>
              <w:bottom w:val="nil"/>
              <w:right w:val="single" w:color="000000" w:sz="4" w:space="0"/>
            </w:tcBorders>
            <w:shd w:val="clear" w:color="auto" w:fill="auto"/>
            <w:vAlign w:val="center"/>
          </w:tcPr>
          <w:p w14:paraId="61CF24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92B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5AD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CE8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D0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E4B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B71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6B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227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B95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DCF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37F0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31" w:type="pct"/>
            <w:vMerge w:val="continue"/>
            <w:tcBorders>
              <w:top w:val="single" w:color="000000" w:sz="4" w:space="0"/>
              <w:left w:val="single" w:color="000000" w:sz="4" w:space="0"/>
              <w:bottom w:val="nil"/>
              <w:right w:val="single" w:color="000000" w:sz="4" w:space="0"/>
            </w:tcBorders>
            <w:shd w:val="clear" w:color="auto" w:fill="auto"/>
            <w:vAlign w:val="center"/>
          </w:tcPr>
          <w:p w14:paraId="194C9D9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893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2CA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nil"/>
              <w:right w:val="nil"/>
            </w:tcBorders>
            <w:shd w:val="clear" w:color="auto" w:fill="auto"/>
            <w:vAlign w:val="center"/>
          </w:tcPr>
          <w:p w14:paraId="76483A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restart"/>
            <w:tcBorders>
              <w:top w:val="single" w:color="000000" w:sz="4" w:space="0"/>
              <w:left w:val="single" w:color="000000" w:sz="4" w:space="0"/>
              <w:bottom w:val="nil"/>
              <w:right w:val="single" w:color="000000" w:sz="4" w:space="0"/>
            </w:tcBorders>
            <w:shd w:val="clear" w:color="auto" w:fill="auto"/>
            <w:vAlign w:val="center"/>
          </w:tcPr>
          <w:p w14:paraId="08C275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完成质量</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298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抽检不合格食品核查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处置率</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203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是否评分法</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1E2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否：低于100%</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FA2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012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162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8D9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是：≥100%</w:t>
            </w:r>
          </w:p>
        </w:tc>
        <w:tc>
          <w:tcPr>
            <w:tcW w:w="359" w:type="pct"/>
            <w:vMerge w:val="restart"/>
            <w:tcBorders>
              <w:top w:val="single" w:color="000000" w:sz="4" w:space="0"/>
              <w:left w:val="single" w:color="000000" w:sz="4" w:space="0"/>
              <w:bottom w:val="nil"/>
              <w:right w:val="single" w:color="000000" w:sz="4" w:space="0"/>
            </w:tcBorders>
            <w:shd w:val="clear" w:color="auto" w:fill="auto"/>
            <w:vAlign w:val="center"/>
          </w:tcPr>
          <w:p w14:paraId="024DE5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考察项目质量目标是否符合预期目标。</w:t>
            </w:r>
          </w:p>
        </w:tc>
        <w:tc>
          <w:tcPr>
            <w:tcW w:w="634" w:type="pct"/>
            <w:vMerge w:val="continue"/>
            <w:tcBorders>
              <w:top w:val="single" w:color="000000" w:sz="4" w:space="0"/>
              <w:left w:val="single" w:color="000000" w:sz="4" w:space="0"/>
              <w:bottom w:val="nil"/>
              <w:right w:val="single" w:color="000000" w:sz="4" w:space="0"/>
            </w:tcBorders>
            <w:shd w:val="clear" w:color="auto" w:fill="auto"/>
            <w:vAlign w:val="center"/>
          </w:tcPr>
          <w:p w14:paraId="1ED9EA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E0C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81C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CEF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F46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5A3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432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B52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6F4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5CE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282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58A6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31" w:type="pct"/>
            <w:vMerge w:val="continue"/>
            <w:tcBorders>
              <w:top w:val="single" w:color="000000" w:sz="4" w:space="0"/>
              <w:left w:val="single" w:color="000000" w:sz="4" w:space="0"/>
              <w:bottom w:val="nil"/>
              <w:right w:val="single" w:color="000000" w:sz="4" w:space="0"/>
            </w:tcBorders>
            <w:shd w:val="clear" w:color="auto" w:fill="auto"/>
            <w:vAlign w:val="center"/>
          </w:tcPr>
          <w:p w14:paraId="63908F1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376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AB7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nil"/>
              <w:right w:val="nil"/>
            </w:tcBorders>
            <w:shd w:val="clear" w:color="auto" w:fill="auto"/>
            <w:vAlign w:val="center"/>
          </w:tcPr>
          <w:p w14:paraId="4A5007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nil"/>
              <w:right w:val="single" w:color="000000" w:sz="4" w:space="0"/>
            </w:tcBorders>
            <w:shd w:val="clear" w:color="auto" w:fill="auto"/>
            <w:vAlign w:val="center"/>
          </w:tcPr>
          <w:p w14:paraId="45E647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166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食品抽检应公布信息</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公布率</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560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是否评分法</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F86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否：低于100%</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7B9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9A3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D34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B8B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是：≥100%</w:t>
            </w:r>
          </w:p>
        </w:tc>
        <w:tc>
          <w:tcPr>
            <w:tcW w:w="359" w:type="pct"/>
            <w:vMerge w:val="continue"/>
            <w:tcBorders>
              <w:top w:val="single" w:color="000000" w:sz="4" w:space="0"/>
              <w:left w:val="single" w:color="000000" w:sz="4" w:space="0"/>
              <w:bottom w:val="nil"/>
              <w:right w:val="single" w:color="000000" w:sz="4" w:space="0"/>
            </w:tcBorders>
            <w:shd w:val="clear" w:color="auto" w:fill="auto"/>
            <w:vAlign w:val="center"/>
          </w:tcPr>
          <w:p w14:paraId="34D00E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34" w:type="pct"/>
            <w:vMerge w:val="continue"/>
            <w:tcBorders>
              <w:top w:val="single" w:color="000000" w:sz="4" w:space="0"/>
              <w:left w:val="single" w:color="000000" w:sz="4" w:space="0"/>
              <w:bottom w:val="nil"/>
              <w:right w:val="single" w:color="000000" w:sz="4" w:space="0"/>
            </w:tcBorders>
            <w:shd w:val="clear" w:color="auto" w:fill="auto"/>
            <w:vAlign w:val="center"/>
          </w:tcPr>
          <w:p w14:paraId="1E66A7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87F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423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9C9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5D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4BE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44D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F81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45A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9C0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0B5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63BC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31" w:type="pct"/>
            <w:vMerge w:val="continue"/>
            <w:tcBorders>
              <w:top w:val="single" w:color="000000" w:sz="4" w:space="0"/>
              <w:left w:val="single" w:color="000000" w:sz="4" w:space="0"/>
              <w:bottom w:val="nil"/>
              <w:right w:val="single" w:color="000000" w:sz="4" w:space="0"/>
            </w:tcBorders>
            <w:shd w:val="clear" w:color="auto" w:fill="auto"/>
            <w:vAlign w:val="center"/>
          </w:tcPr>
          <w:p w14:paraId="7677D35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277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68D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nil"/>
              <w:right w:val="nil"/>
            </w:tcBorders>
            <w:shd w:val="clear" w:color="auto" w:fill="auto"/>
            <w:vAlign w:val="center"/>
          </w:tcPr>
          <w:p w14:paraId="0B6778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nil"/>
              <w:right w:val="single" w:color="000000" w:sz="4" w:space="0"/>
            </w:tcBorders>
            <w:shd w:val="clear" w:color="auto" w:fill="auto"/>
            <w:vAlign w:val="center"/>
          </w:tcPr>
          <w:p w14:paraId="70D839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32A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生产环节抽查合格率</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1B2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是否评分法</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79A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否：低于90%</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62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E28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204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F2B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是：≥90%</w:t>
            </w:r>
          </w:p>
        </w:tc>
        <w:tc>
          <w:tcPr>
            <w:tcW w:w="359" w:type="pct"/>
            <w:vMerge w:val="continue"/>
            <w:tcBorders>
              <w:top w:val="single" w:color="000000" w:sz="4" w:space="0"/>
              <w:left w:val="single" w:color="000000" w:sz="4" w:space="0"/>
              <w:bottom w:val="nil"/>
              <w:right w:val="single" w:color="000000" w:sz="4" w:space="0"/>
            </w:tcBorders>
            <w:shd w:val="clear" w:color="auto" w:fill="auto"/>
            <w:vAlign w:val="center"/>
          </w:tcPr>
          <w:p w14:paraId="6902CD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34" w:type="pct"/>
            <w:vMerge w:val="continue"/>
            <w:tcBorders>
              <w:top w:val="single" w:color="000000" w:sz="4" w:space="0"/>
              <w:left w:val="single" w:color="000000" w:sz="4" w:space="0"/>
              <w:bottom w:val="nil"/>
              <w:right w:val="single" w:color="000000" w:sz="4" w:space="0"/>
            </w:tcBorders>
            <w:shd w:val="clear" w:color="auto" w:fill="auto"/>
            <w:vAlign w:val="center"/>
          </w:tcPr>
          <w:p w14:paraId="6CFD47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611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BB2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F55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739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F25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699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EF4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F86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9DB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150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38CD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31" w:type="pct"/>
            <w:vMerge w:val="continue"/>
            <w:tcBorders>
              <w:top w:val="single" w:color="000000" w:sz="4" w:space="0"/>
              <w:left w:val="single" w:color="000000" w:sz="4" w:space="0"/>
              <w:bottom w:val="nil"/>
              <w:right w:val="single" w:color="000000" w:sz="4" w:space="0"/>
            </w:tcBorders>
            <w:shd w:val="clear" w:color="auto" w:fill="auto"/>
            <w:vAlign w:val="center"/>
          </w:tcPr>
          <w:p w14:paraId="1A6054C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4D3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80D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nil"/>
              <w:right w:val="nil"/>
            </w:tcBorders>
            <w:shd w:val="clear" w:color="auto" w:fill="auto"/>
            <w:vAlign w:val="center"/>
          </w:tcPr>
          <w:p w14:paraId="23525D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nil"/>
              <w:right w:val="single" w:color="000000" w:sz="4" w:space="0"/>
            </w:tcBorders>
            <w:shd w:val="clear" w:color="auto" w:fill="auto"/>
            <w:vAlign w:val="center"/>
          </w:tcPr>
          <w:p w14:paraId="69F17D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A84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定量包装和过度包装监督抽查不合格后处理率</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6A2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是否评分法</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961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否：低于100%</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8B1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0A7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095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6BE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是：≥100%</w:t>
            </w:r>
          </w:p>
        </w:tc>
        <w:tc>
          <w:tcPr>
            <w:tcW w:w="359" w:type="pct"/>
            <w:vMerge w:val="continue"/>
            <w:tcBorders>
              <w:top w:val="single" w:color="000000" w:sz="4" w:space="0"/>
              <w:left w:val="single" w:color="000000" w:sz="4" w:space="0"/>
              <w:bottom w:val="nil"/>
              <w:right w:val="single" w:color="000000" w:sz="4" w:space="0"/>
            </w:tcBorders>
            <w:shd w:val="clear" w:color="auto" w:fill="auto"/>
            <w:vAlign w:val="center"/>
          </w:tcPr>
          <w:p w14:paraId="65C0B2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34" w:type="pct"/>
            <w:vMerge w:val="continue"/>
            <w:tcBorders>
              <w:top w:val="single" w:color="000000" w:sz="4" w:space="0"/>
              <w:left w:val="single" w:color="000000" w:sz="4" w:space="0"/>
              <w:bottom w:val="nil"/>
              <w:right w:val="single" w:color="000000" w:sz="4" w:space="0"/>
            </w:tcBorders>
            <w:shd w:val="clear" w:color="auto" w:fill="auto"/>
            <w:vAlign w:val="center"/>
          </w:tcPr>
          <w:p w14:paraId="525C03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F7E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CA9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9B2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B65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B77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F30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12C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0E5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6A7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FCA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B10D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31" w:type="pct"/>
            <w:vMerge w:val="continue"/>
            <w:tcBorders>
              <w:top w:val="single" w:color="000000" w:sz="4" w:space="0"/>
              <w:left w:val="single" w:color="000000" w:sz="4" w:space="0"/>
              <w:bottom w:val="nil"/>
              <w:right w:val="single" w:color="000000" w:sz="4" w:space="0"/>
            </w:tcBorders>
            <w:shd w:val="clear" w:color="auto" w:fill="auto"/>
            <w:vAlign w:val="center"/>
          </w:tcPr>
          <w:p w14:paraId="021A71D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FA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D6C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nil"/>
              <w:right w:val="nil"/>
            </w:tcBorders>
            <w:shd w:val="clear" w:color="auto" w:fill="auto"/>
            <w:vAlign w:val="center"/>
          </w:tcPr>
          <w:p w14:paraId="40049A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F07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完成成本</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400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食品抽检监测成本</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24F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是否评分法</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28B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否：高于预期成本</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CE0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9FC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726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651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是：≤预期成本</w:t>
            </w:r>
          </w:p>
        </w:tc>
        <w:tc>
          <w:tcPr>
            <w:tcW w:w="359" w:type="pct"/>
            <w:vMerge w:val="restart"/>
            <w:tcBorders>
              <w:top w:val="single" w:color="000000" w:sz="4" w:space="0"/>
              <w:left w:val="single" w:color="000000" w:sz="4" w:space="0"/>
              <w:bottom w:val="nil"/>
              <w:right w:val="single" w:color="000000" w:sz="4" w:space="0"/>
            </w:tcBorders>
            <w:shd w:val="clear" w:color="auto" w:fill="auto"/>
            <w:vAlign w:val="center"/>
          </w:tcPr>
          <w:p w14:paraId="2F1FAE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考察项目成本目标是否符合预期目标。</w:t>
            </w:r>
          </w:p>
        </w:tc>
        <w:tc>
          <w:tcPr>
            <w:tcW w:w="634" w:type="pct"/>
            <w:vMerge w:val="continue"/>
            <w:tcBorders>
              <w:top w:val="single" w:color="000000" w:sz="4" w:space="0"/>
              <w:left w:val="single" w:color="000000" w:sz="4" w:space="0"/>
              <w:bottom w:val="nil"/>
              <w:right w:val="single" w:color="000000" w:sz="4" w:space="0"/>
            </w:tcBorders>
            <w:shd w:val="clear" w:color="auto" w:fill="auto"/>
            <w:vAlign w:val="center"/>
          </w:tcPr>
          <w:p w14:paraId="038330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4C5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5E3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865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A55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325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DE8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0C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F10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F18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1B7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038E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31" w:type="pct"/>
            <w:vMerge w:val="continue"/>
            <w:tcBorders>
              <w:top w:val="single" w:color="000000" w:sz="4" w:space="0"/>
              <w:left w:val="single" w:color="000000" w:sz="4" w:space="0"/>
              <w:bottom w:val="nil"/>
              <w:right w:val="single" w:color="000000" w:sz="4" w:space="0"/>
            </w:tcBorders>
            <w:shd w:val="clear" w:color="auto" w:fill="auto"/>
            <w:vAlign w:val="center"/>
          </w:tcPr>
          <w:p w14:paraId="631A9F5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4F7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DC5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nil"/>
              <w:right w:val="nil"/>
            </w:tcBorders>
            <w:shd w:val="clear" w:color="auto" w:fill="auto"/>
            <w:vAlign w:val="center"/>
          </w:tcPr>
          <w:p w14:paraId="271DAB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E47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7A9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春雷行动成本</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EB3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是否评分法</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C90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否：高于预期成本</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721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570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599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072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是：≤预期成本</w:t>
            </w:r>
          </w:p>
        </w:tc>
        <w:tc>
          <w:tcPr>
            <w:tcW w:w="359" w:type="pct"/>
            <w:vMerge w:val="continue"/>
            <w:tcBorders>
              <w:top w:val="single" w:color="000000" w:sz="4" w:space="0"/>
              <w:left w:val="single" w:color="000000" w:sz="4" w:space="0"/>
              <w:bottom w:val="nil"/>
              <w:right w:val="single" w:color="000000" w:sz="4" w:space="0"/>
            </w:tcBorders>
            <w:shd w:val="clear" w:color="auto" w:fill="auto"/>
            <w:vAlign w:val="center"/>
          </w:tcPr>
          <w:p w14:paraId="59324A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34" w:type="pct"/>
            <w:vMerge w:val="continue"/>
            <w:tcBorders>
              <w:top w:val="single" w:color="000000" w:sz="4" w:space="0"/>
              <w:left w:val="single" w:color="000000" w:sz="4" w:space="0"/>
              <w:bottom w:val="nil"/>
              <w:right w:val="single" w:color="000000" w:sz="4" w:space="0"/>
            </w:tcBorders>
            <w:shd w:val="clear" w:color="auto" w:fill="auto"/>
            <w:vAlign w:val="center"/>
          </w:tcPr>
          <w:p w14:paraId="7A3131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786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713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F7A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257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8A5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130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78C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240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4DE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1E3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DD5B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31" w:type="pct"/>
            <w:vMerge w:val="continue"/>
            <w:tcBorders>
              <w:top w:val="single" w:color="000000" w:sz="4" w:space="0"/>
              <w:left w:val="single" w:color="000000" w:sz="4" w:space="0"/>
              <w:bottom w:val="nil"/>
              <w:right w:val="single" w:color="000000" w:sz="4" w:space="0"/>
            </w:tcBorders>
            <w:shd w:val="clear" w:color="auto" w:fill="auto"/>
            <w:vAlign w:val="center"/>
          </w:tcPr>
          <w:p w14:paraId="1ECB802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A1D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034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nil"/>
              <w:right w:val="nil"/>
            </w:tcBorders>
            <w:shd w:val="clear" w:color="auto" w:fill="auto"/>
            <w:vAlign w:val="center"/>
          </w:tcPr>
          <w:p w14:paraId="7B375C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491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4DE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定量、过度包装监督</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抽查成本</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E90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是否评分法</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BDA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否：高于预期成本</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C2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61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F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65B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是：≤预期成本</w:t>
            </w:r>
          </w:p>
        </w:tc>
        <w:tc>
          <w:tcPr>
            <w:tcW w:w="359" w:type="pct"/>
            <w:vMerge w:val="continue"/>
            <w:tcBorders>
              <w:top w:val="single" w:color="000000" w:sz="4" w:space="0"/>
              <w:left w:val="single" w:color="000000" w:sz="4" w:space="0"/>
              <w:bottom w:val="nil"/>
              <w:right w:val="single" w:color="000000" w:sz="4" w:space="0"/>
            </w:tcBorders>
            <w:shd w:val="clear" w:color="auto" w:fill="auto"/>
            <w:vAlign w:val="center"/>
          </w:tcPr>
          <w:p w14:paraId="13DC9E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34" w:type="pct"/>
            <w:vMerge w:val="continue"/>
            <w:tcBorders>
              <w:top w:val="single" w:color="000000" w:sz="4" w:space="0"/>
              <w:left w:val="single" w:color="000000" w:sz="4" w:space="0"/>
              <w:bottom w:val="nil"/>
              <w:right w:val="single" w:color="000000" w:sz="4" w:space="0"/>
            </w:tcBorders>
            <w:shd w:val="clear" w:color="auto" w:fill="auto"/>
            <w:vAlign w:val="center"/>
          </w:tcPr>
          <w:p w14:paraId="28EF9C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4C3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D4F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7B2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693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8D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CF4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F9E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487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983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856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05B9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1" w:type="pct"/>
            <w:vMerge w:val="restart"/>
            <w:tcBorders>
              <w:top w:val="single" w:color="000000" w:sz="4" w:space="0"/>
              <w:left w:val="single" w:color="000000" w:sz="4" w:space="0"/>
              <w:bottom w:val="nil"/>
              <w:right w:val="single" w:color="000000" w:sz="4" w:space="0"/>
            </w:tcBorders>
            <w:shd w:val="clear" w:color="auto" w:fill="auto"/>
            <w:vAlign w:val="center"/>
          </w:tcPr>
          <w:p w14:paraId="379B98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8%</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3F3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161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169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975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社会效益</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C49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公平竞争的市场秩序</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9A5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是否评分法</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9C3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否：没有变化或退化</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EB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EFB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B54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BBD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是：稳中向好趋势</w:t>
            </w:r>
          </w:p>
        </w:tc>
        <w:tc>
          <w:tcPr>
            <w:tcW w:w="359" w:type="pct"/>
            <w:tcBorders>
              <w:top w:val="single" w:color="000000" w:sz="4" w:space="0"/>
              <w:left w:val="single" w:color="000000" w:sz="4" w:space="0"/>
              <w:bottom w:val="single" w:color="000000" w:sz="4" w:space="0"/>
              <w:right w:val="nil"/>
            </w:tcBorders>
            <w:shd w:val="clear" w:color="auto" w:fill="auto"/>
            <w:vAlign w:val="center"/>
          </w:tcPr>
          <w:p w14:paraId="5CD602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主要考察项目实施对市场秩序的促进作用。</w:t>
            </w: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D92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由自评单位根据其绩效目标下达情况对涉及的三级指标合理分配指标权重（分值）并评分，各三级指标权重总和不超过8%。自评单位下达绩效目标未涉及的三级指标无需设定权重或评分。</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950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272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258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52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DF5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800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B72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3FE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4ED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43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DBDA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1" w:type="pct"/>
            <w:vMerge w:val="continue"/>
            <w:tcBorders>
              <w:top w:val="single" w:color="000000" w:sz="4" w:space="0"/>
              <w:left w:val="single" w:color="000000" w:sz="4" w:space="0"/>
              <w:bottom w:val="nil"/>
              <w:right w:val="single" w:color="000000" w:sz="4" w:space="0"/>
            </w:tcBorders>
            <w:shd w:val="clear" w:color="auto" w:fill="auto"/>
            <w:vAlign w:val="center"/>
          </w:tcPr>
          <w:p w14:paraId="0E5B10F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112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AA9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780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7DA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58E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辖区内与补助资金相关的重大食品安全监管责任事故发生数</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BCC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是否评分法</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B33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否：0次</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8D2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B7B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B5C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8C8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是：≥1次</w:t>
            </w:r>
          </w:p>
        </w:tc>
        <w:tc>
          <w:tcPr>
            <w:tcW w:w="359" w:type="pct"/>
            <w:tcBorders>
              <w:top w:val="single" w:color="000000" w:sz="4" w:space="0"/>
              <w:left w:val="single" w:color="000000" w:sz="4" w:space="0"/>
              <w:bottom w:val="single" w:color="000000" w:sz="4" w:space="0"/>
              <w:right w:val="nil"/>
            </w:tcBorders>
            <w:shd w:val="clear" w:color="auto" w:fill="auto"/>
            <w:vAlign w:val="center"/>
          </w:tcPr>
          <w:p w14:paraId="3AEF91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主要考察项目实施对商事登记制度的促进作用。</w:t>
            </w: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C62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18F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CF1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005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F4D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98D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AFC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69C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B23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F79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87B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8C53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1" w:type="pct"/>
            <w:vMerge w:val="continue"/>
            <w:tcBorders>
              <w:top w:val="single" w:color="000000" w:sz="4" w:space="0"/>
              <w:left w:val="single" w:color="000000" w:sz="4" w:space="0"/>
              <w:bottom w:val="nil"/>
              <w:right w:val="single" w:color="000000" w:sz="4" w:space="0"/>
            </w:tcBorders>
            <w:shd w:val="clear" w:color="auto" w:fill="auto"/>
            <w:vAlign w:val="center"/>
          </w:tcPr>
          <w:p w14:paraId="3B696E4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C9D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8BC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9C8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344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E7F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2022至2023年度总局本级食品安全承检机构综合考核前三名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4FA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是否评分法</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16C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否：低于前三名</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33E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2A5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D52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398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是：前三名</w:t>
            </w:r>
          </w:p>
        </w:tc>
        <w:tc>
          <w:tcPr>
            <w:tcW w:w="359" w:type="pct"/>
            <w:tcBorders>
              <w:top w:val="single" w:color="000000" w:sz="4" w:space="0"/>
              <w:left w:val="single" w:color="000000" w:sz="4" w:space="0"/>
              <w:bottom w:val="single" w:color="000000" w:sz="4" w:space="0"/>
              <w:right w:val="nil"/>
            </w:tcBorders>
            <w:shd w:val="clear" w:color="auto" w:fill="auto"/>
            <w:vAlign w:val="center"/>
          </w:tcPr>
          <w:p w14:paraId="00F067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222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2A1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399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B69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FB0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86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5C8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140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911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767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6EB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678A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1" w:type="pct"/>
            <w:vMerge w:val="continue"/>
            <w:tcBorders>
              <w:top w:val="single" w:color="000000" w:sz="4" w:space="0"/>
              <w:left w:val="single" w:color="000000" w:sz="4" w:space="0"/>
              <w:bottom w:val="nil"/>
              <w:right w:val="single" w:color="000000" w:sz="4" w:space="0"/>
            </w:tcBorders>
            <w:shd w:val="clear" w:color="auto" w:fill="auto"/>
            <w:vAlign w:val="center"/>
          </w:tcPr>
          <w:p w14:paraId="54BB023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904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AD3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9F2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F93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4ED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进一步深化商事登记制度改革</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B9C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是否评分法</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6F0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否：没有变化或退化</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C71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6DA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40E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6F1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是：稳中向好趋势</w:t>
            </w:r>
          </w:p>
        </w:tc>
        <w:tc>
          <w:tcPr>
            <w:tcW w:w="359" w:type="pct"/>
            <w:tcBorders>
              <w:top w:val="single" w:color="000000" w:sz="4" w:space="0"/>
              <w:left w:val="single" w:color="000000" w:sz="4" w:space="0"/>
              <w:bottom w:val="single" w:color="000000" w:sz="4" w:space="0"/>
              <w:right w:val="nil"/>
            </w:tcBorders>
            <w:shd w:val="clear" w:color="auto" w:fill="auto"/>
            <w:vAlign w:val="center"/>
          </w:tcPr>
          <w:p w14:paraId="3A0344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5B1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981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77D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851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2A8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ED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C62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076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1A4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B0B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979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D176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31" w:type="pct"/>
            <w:vMerge w:val="restart"/>
            <w:tcBorders>
              <w:top w:val="single" w:color="000000" w:sz="4" w:space="0"/>
              <w:left w:val="single" w:color="000000" w:sz="4" w:space="0"/>
              <w:bottom w:val="nil"/>
              <w:right w:val="single" w:color="000000" w:sz="4" w:space="0"/>
            </w:tcBorders>
            <w:shd w:val="clear" w:color="auto" w:fill="auto"/>
            <w:vAlign w:val="center"/>
          </w:tcPr>
          <w:p w14:paraId="2B69AC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0E5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C3C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703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70F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可持续影响力</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510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通过监督抽查、风险监测、证后监管等保障人民生命财产健康安全</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CBE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是否评分法</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F52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否：不具有持续影响</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AA2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1B5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447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A1C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是：持续影响</w:t>
            </w:r>
          </w:p>
        </w:tc>
        <w:tc>
          <w:tcPr>
            <w:tcW w:w="359" w:type="pct"/>
            <w:tcBorders>
              <w:top w:val="single" w:color="000000" w:sz="4" w:space="0"/>
              <w:left w:val="single" w:color="000000" w:sz="4" w:space="0"/>
              <w:bottom w:val="single" w:color="000000" w:sz="4" w:space="0"/>
              <w:right w:val="nil"/>
            </w:tcBorders>
            <w:shd w:val="clear" w:color="auto" w:fill="auto"/>
            <w:vAlign w:val="center"/>
          </w:tcPr>
          <w:p w14:paraId="37550F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主要考察项目实施对人民生命财产健康安全的持续有效性。</w:t>
            </w: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69D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由自评单位根据其绩效目标下达情况对涉及的三级指标合理分配指标权重（分值）并评分，各三级指标权重总和不超过7%。自评单位下达绩效目标未涉及的三级指标无需设定权重或评分。</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33D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9F5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B56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DEC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96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057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51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CDE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E0C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201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008C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31" w:type="pct"/>
            <w:vMerge w:val="continue"/>
            <w:tcBorders>
              <w:top w:val="single" w:color="000000" w:sz="4" w:space="0"/>
              <w:left w:val="single" w:color="000000" w:sz="4" w:space="0"/>
              <w:bottom w:val="nil"/>
              <w:right w:val="single" w:color="000000" w:sz="4" w:space="0"/>
            </w:tcBorders>
            <w:shd w:val="clear" w:color="auto" w:fill="auto"/>
            <w:vAlign w:val="center"/>
          </w:tcPr>
          <w:p w14:paraId="02C88F6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简体" w:cs="Times New Roman"/>
                <w:b/>
                <w:bCs/>
                <w:i w:val="0"/>
                <w:iCs w:val="0"/>
                <w:color w:val="000000"/>
                <w:sz w:val="21"/>
                <w:szCs w:val="21"/>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57A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w:t>
            </w:r>
          </w:p>
        </w:tc>
        <w:tc>
          <w:tcPr>
            <w:tcW w:w="1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5E3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667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0FB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F74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严守食品安全、工业产品安全、特种设备安全底线</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22F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是否评分法</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F7F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否：不具有长期效应</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B87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FCE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31D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26E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是：长期</w:t>
            </w:r>
          </w:p>
        </w:tc>
        <w:tc>
          <w:tcPr>
            <w:tcW w:w="359" w:type="pct"/>
            <w:tcBorders>
              <w:top w:val="single" w:color="000000" w:sz="4" w:space="0"/>
              <w:left w:val="single" w:color="000000" w:sz="4" w:space="0"/>
              <w:bottom w:val="single" w:color="000000" w:sz="4" w:space="0"/>
              <w:right w:val="nil"/>
            </w:tcBorders>
            <w:shd w:val="clear" w:color="auto" w:fill="auto"/>
            <w:vAlign w:val="center"/>
          </w:tcPr>
          <w:p w14:paraId="7C5AE8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主要考察项目实施对食品安全、工业产品安全、特种设备安全的长期保障作用。</w:t>
            </w: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675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5FE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FFD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3CD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94D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65E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73D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DB0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532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87D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18E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BA69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79B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10分</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EF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6E10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扣分项</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7A2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被评价单位配合评价工作情况</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20C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缺（错）项扣分法</w:t>
            </w:r>
          </w:p>
        </w:tc>
        <w:tc>
          <w:tcPr>
            <w:tcW w:w="3458"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61C3A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评价工作开展过程中，评价组发现被评价对象拖延推诿、提交资料不及时等拒不配合评价工作的，经报财政厅复核确认后按0.5分/次予以扣分，最高扣10分（此为财政重点绩效评价计分标准，部门参照该标准对部门及下属单位计分）。</w:t>
            </w:r>
          </w:p>
        </w:tc>
      </w:tr>
    </w:tbl>
    <w:p w14:paraId="1DBF9DDF">
      <w:pPr>
        <w:spacing w:line="600" w:lineRule="exact"/>
        <w:jc w:val="center"/>
        <w:outlineLvl w:val="0"/>
        <w:rPr>
          <w:rFonts w:hint="default" w:ascii="Times New Roman" w:hAnsi="Times New Roman" w:eastAsia="黑体" w:cs="Times New Roman"/>
          <w:color w:val="auto"/>
          <w:sz w:val="44"/>
          <w:szCs w:val="44"/>
          <w:highlight w:val="none"/>
        </w:rPr>
        <w:sectPr>
          <w:footerReference r:id="rId12" w:type="default"/>
          <w:pgSz w:w="16838" w:h="11906" w:orient="landscape"/>
          <w:pgMar w:top="1463" w:right="1157" w:bottom="1463" w:left="1157" w:header="851" w:footer="992" w:gutter="0"/>
          <w:pgNumType w:fmt="decimal"/>
          <w:cols w:space="425" w:num="1"/>
          <w:docGrid w:type="lines" w:linePitch="312" w:charSpace="0"/>
        </w:sectPr>
      </w:pPr>
    </w:p>
    <w:p w14:paraId="1F860DBA">
      <w:pPr>
        <w:keepNext w:val="0"/>
        <w:keepLines w:val="0"/>
        <w:pageBreakBefore w:val="0"/>
        <w:kinsoku/>
        <w:wordWrap/>
        <w:overflowPunct/>
        <w:topLinePunct w:val="0"/>
        <w:autoSpaceDE/>
        <w:autoSpaceDN/>
        <w:bidi w:val="0"/>
        <w:spacing w:line="572" w:lineRule="exact"/>
        <w:jc w:val="center"/>
        <w:textAlignment w:val="auto"/>
        <w:outlineLvl w:val="0"/>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lang w:val="en-US" w:eastAsia="zh-CN"/>
        </w:rPr>
        <w:t>专项预算项目绩效评价报告</w:t>
      </w:r>
    </w:p>
    <w:p w14:paraId="3F8D6764">
      <w:pPr>
        <w:spacing w:line="600" w:lineRule="exact"/>
        <w:jc w:val="center"/>
        <w:outlineLvl w:val="0"/>
        <w:rPr>
          <w:rFonts w:hint="eastAsia" w:ascii="方正小标宋简体" w:hAnsi="方正小标宋简体" w:eastAsia="方正小标宋简体" w:cs="方正小标宋简体"/>
          <w:color w:val="auto"/>
          <w:w w:val="70"/>
          <w:sz w:val="40"/>
          <w:szCs w:val="40"/>
          <w:highlight w:val="none"/>
          <w:lang w:val="en-US" w:eastAsia="zh-CN"/>
        </w:rPr>
      </w:pPr>
      <w:r>
        <w:rPr>
          <w:rFonts w:hint="eastAsia" w:ascii="方正小标宋简体" w:hAnsi="方正小标宋简体" w:eastAsia="方正小标宋简体" w:cs="方正小标宋简体"/>
          <w:color w:val="auto"/>
          <w:w w:val="70"/>
          <w:sz w:val="40"/>
          <w:szCs w:val="40"/>
          <w:highlight w:val="none"/>
          <w:lang w:val="en-US" w:eastAsia="zh-CN"/>
        </w:rPr>
        <w:t>（2023年食品药品及农产品安全、放心舒心消费城市建设专项资金）</w:t>
      </w:r>
    </w:p>
    <w:p w14:paraId="39B0A16F">
      <w:pPr>
        <w:pStyle w:val="26"/>
        <w:rPr>
          <w:rFonts w:hint="default" w:ascii="Times New Roman" w:hAnsi="Times New Roman" w:cs="Times New Roman"/>
          <w:lang w:val="en-US" w:eastAsia="zh-CN"/>
        </w:rPr>
      </w:pPr>
    </w:p>
    <w:p w14:paraId="54016C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zh-CN" w:eastAsia="zh-CN"/>
        </w:rPr>
      </w:pPr>
      <w:r>
        <w:rPr>
          <w:rFonts w:hint="default" w:ascii="Times New Roman" w:hAnsi="Times New Roman" w:eastAsia="黑体" w:cs="Times New Roman"/>
          <w:color w:val="000000"/>
          <w:kern w:val="0"/>
          <w:sz w:val="32"/>
          <w:szCs w:val="48"/>
          <w:shd w:val="clear" w:color="auto" w:fill="FFFFFF"/>
          <w:lang w:val="en-US" w:eastAsia="zh-CN"/>
        </w:rPr>
        <w:t>一、</w:t>
      </w:r>
      <w:r>
        <w:rPr>
          <w:rFonts w:hint="default" w:ascii="Times New Roman" w:hAnsi="Times New Roman" w:eastAsia="黑体" w:cs="Times New Roman"/>
          <w:color w:val="000000"/>
          <w:kern w:val="0"/>
          <w:sz w:val="32"/>
          <w:szCs w:val="48"/>
          <w:shd w:val="clear" w:color="auto" w:fill="FFFFFF"/>
          <w:lang w:val="zh-CN" w:eastAsia="zh-CN"/>
        </w:rPr>
        <w:t>项目概况</w:t>
      </w:r>
    </w:p>
    <w:p w14:paraId="57DC371D">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（一）设立背景及基本情况</w:t>
      </w:r>
    </w:p>
    <w:p w14:paraId="3B01B537">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根据《遂宁市人民政府办公室关于印发&lt;遂宁市市本级财政性</w:t>
      </w:r>
    </w:p>
    <w:p w14:paraId="634DF38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kern w:val="0"/>
          <w:sz w:val="32"/>
          <w:szCs w:val="32"/>
          <w:highlight w:val="none"/>
          <w:lang w:val="zh-CN" w:eastAsia="zh-CN" w:bidi="ar-SA"/>
        </w:rPr>
      </w:pPr>
      <w:r>
        <w:rPr>
          <w:rFonts w:hint="default" w:ascii="Times New Roman" w:hAnsi="Times New Roman" w:eastAsia="仿宋" w:cs="Times New Roman"/>
          <w:color w:val="auto"/>
          <w:kern w:val="0"/>
          <w:sz w:val="32"/>
          <w:szCs w:val="32"/>
          <w:highlight w:val="none"/>
          <w:lang w:val="en-US" w:eastAsia="zh-CN" w:bidi="ar-SA"/>
        </w:rPr>
        <w:t>资金管理决策程序规定（试行）的通知》（遂府办发〔2021〕14号）的文件要求，为完成省级食品安全示范县创建工作，特申报该项资金</w:t>
      </w:r>
      <w:r>
        <w:rPr>
          <w:rFonts w:hint="default" w:ascii="Times New Roman" w:hAnsi="Times New Roman" w:eastAsia="仿宋" w:cs="Times New Roman"/>
          <w:color w:val="auto"/>
          <w:kern w:val="0"/>
          <w:sz w:val="32"/>
          <w:szCs w:val="32"/>
          <w:highlight w:val="none"/>
          <w:lang w:val="zh-CN" w:eastAsia="zh-CN" w:bidi="ar-SA"/>
        </w:rPr>
        <w:t>。</w:t>
      </w:r>
    </w:p>
    <w:p w14:paraId="1EBD75A5">
      <w:pPr>
        <w:spacing w:line="600" w:lineRule="exact"/>
        <w:ind w:firstLine="640"/>
        <w:outlineLvl w:val="2"/>
        <w:rPr>
          <w:rFonts w:hint="default" w:ascii="楷体_GB2312" w:hAnsi="楷体_GB2312" w:eastAsia="楷体_GB2312" w:cs="楷体_GB2312"/>
          <w:b/>
          <w:color w:val="auto"/>
          <w:sz w:val="32"/>
          <w:szCs w:val="32"/>
          <w:highlight w:val="none"/>
          <w:lang w:val="en-US" w:eastAsia="zh-CN"/>
        </w:rPr>
      </w:pPr>
      <w:r>
        <w:rPr>
          <w:rFonts w:hint="default" w:ascii="楷体_GB2312" w:hAnsi="楷体_GB2312" w:eastAsia="楷体_GB2312" w:cs="楷体_GB2312"/>
          <w:b/>
          <w:color w:val="auto"/>
          <w:sz w:val="32"/>
          <w:szCs w:val="32"/>
          <w:highlight w:val="none"/>
          <w:lang w:val="en-US" w:eastAsia="zh-CN"/>
        </w:rPr>
        <w:t>（二）实施目的及支持方向</w:t>
      </w:r>
    </w:p>
    <w:p w14:paraId="4AC41A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zh-CN" w:eastAsia="zh-CN"/>
        </w:rPr>
      </w:pPr>
      <w:r>
        <w:rPr>
          <w:rFonts w:hint="default" w:ascii="Times New Roman" w:hAnsi="Times New Roman" w:eastAsia="仿宋" w:cs="Times New Roman"/>
          <w:color w:val="auto"/>
          <w:kern w:val="0"/>
          <w:sz w:val="32"/>
          <w:szCs w:val="32"/>
          <w:highlight w:val="none"/>
          <w:lang w:val="en-US" w:eastAsia="zh-CN" w:bidi="ar-SA"/>
        </w:rPr>
        <w:t>紧紧围绕省局、市局确定的年度重点工作，深化落实食品安全“两个责任”，持续深入开展食品及相关产品监督检查，强化学校、养老机构等重点领域食品安全监管水平，不断夯实监管人员能力，创新开展智慧监管，加大宣传影响力度，提升社会各界食品安全意识，全面提升食品质量安全和安全生产水平，努力实现食品安全提质晋位，确保老百姓“舌尖上的安全”。</w:t>
      </w:r>
    </w:p>
    <w:p w14:paraId="1BADE220">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en-US" w:eastAsia="zh-CN"/>
        </w:rPr>
        <w:t>（三）预算安排及分配管理</w:t>
      </w:r>
    </w:p>
    <w:p w14:paraId="16ADD8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zh-CN" w:eastAsia="zh-CN" w:bidi="ar-SA"/>
        </w:rPr>
      </w:pPr>
      <w:r>
        <w:rPr>
          <w:rFonts w:hint="default" w:ascii="Times New Roman" w:hAnsi="Times New Roman" w:eastAsia="仿宋" w:cs="Times New Roman"/>
          <w:color w:val="auto"/>
          <w:kern w:val="0"/>
          <w:sz w:val="32"/>
          <w:szCs w:val="32"/>
          <w:highlight w:val="none"/>
          <w:lang w:val="en-US" w:eastAsia="zh-CN" w:bidi="ar-SA"/>
        </w:rPr>
        <w:t>按照“统筹兼顾、重点突出、钱随事走、据实据效”的基本原则，《遂宁市财政局关于拨付2023年食品药品及农产品安全、放心舒心消费城市建设专项资金的通知》（遂财行〔2023〕87号</w:t>
      </w:r>
      <w:r>
        <w:rPr>
          <w:rFonts w:hint="default" w:ascii="Times New Roman" w:hAnsi="Times New Roman" w:eastAsia="仿宋" w:cs="Times New Roman"/>
          <w:color w:val="auto"/>
          <w:kern w:val="0"/>
          <w:sz w:val="32"/>
          <w:szCs w:val="32"/>
          <w:highlight w:val="none"/>
          <w:lang w:val="zh-CN" w:eastAsia="zh-CN" w:bidi="ar-SA"/>
        </w:rPr>
        <w:t>预算安排</w:t>
      </w:r>
      <w:r>
        <w:rPr>
          <w:rFonts w:hint="default" w:ascii="Times New Roman" w:hAnsi="Times New Roman" w:eastAsia="仿宋" w:cs="Times New Roman"/>
          <w:color w:val="auto"/>
          <w:kern w:val="0"/>
          <w:sz w:val="32"/>
          <w:szCs w:val="32"/>
          <w:highlight w:val="none"/>
          <w:lang w:val="en-US" w:eastAsia="zh-CN" w:bidi="ar-SA"/>
        </w:rPr>
        <w:t>资金22万元，主要用于支持省级食品安全示范县创建工作</w:t>
      </w:r>
      <w:r>
        <w:rPr>
          <w:rFonts w:hint="default" w:ascii="Times New Roman" w:hAnsi="Times New Roman" w:eastAsia="仿宋" w:cs="Times New Roman"/>
          <w:color w:val="auto"/>
          <w:kern w:val="0"/>
          <w:sz w:val="32"/>
          <w:szCs w:val="32"/>
          <w:highlight w:val="none"/>
          <w:lang w:val="zh-CN" w:eastAsia="zh-CN" w:bidi="ar-SA"/>
        </w:rPr>
        <w:t>。</w:t>
      </w:r>
    </w:p>
    <w:p w14:paraId="3301129F">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en-US" w:eastAsia="zh-CN"/>
        </w:rPr>
        <w:t>（四）</w:t>
      </w:r>
      <w:r>
        <w:rPr>
          <w:rFonts w:hint="default" w:ascii="楷体_GB2312" w:hAnsi="楷体_GB2312" w:eastAsia="楷体_GB2312" w:cs="楷体_GB2312"/>
          <w:b/>
          <w:color w:val="auto"/>
          <w:sz w:val="32"/>
          <w:szCs w:val="32"/>
          <w:highlight w:val="none"/>
          <w:lang w:val="zh-CN" w:eastAsia="zh-CN"/>
        </w:rPr>
        <w:t>项目绩效目标设置</w:t>
      </w:r>
    </w:p>
    <w:p w14:paraId="236CA6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zh-CN" w:eastAsia="zh-CN"/>
        </w:rPr>
      </w:pPr>
      <w:r>
        <w:rPr>
          <w:rFonts w:hint="default" w:ascii="Times New Roman" w:hAnsi="Times New Roman" w:eastAsia="仿宋" w:cs="Times New Roman"/>
          <w:color w:val="auto"/>
          <w:kern w:val="0"/>
          <w:sz w:val="32"/>
          <w:szCs w:val="32"/>
          <w:highlight w:val="none"/>
          <w:lang w:val="en-US" w:eastAsia="zh-CN" w:bidi="ar-SA"/>
        </w:rPr>
        <w:t>项目整体目标：成功创建食品安全示范县，提高营商环境，</w:t>
      </w:r>
      <w:r>
        <w:rPr>
          <w:rFonts w:hint="default" w:ascii="Times New Roman" w:hAnsi="Times New Roman" w:eastAsia="仿宋" w:cs="Times New Roman"/>
          <w:color w:val="auto"/>
          <w:kern w:val="0"/>
          <w:sz w:val="32"/>
          <w:szCs w:val="32"/>
          <w:highlight w:val="none"/>
          <w:lang w:val="zh-CN" w:eastAsia="zh-CN" w:bidi="ar-SA"/>
        </w:rPr>
        <w:t>深化落实食品安全“两个责任”。</w:t>
      </w:r>
    </w:p>
    <w:p w14:paraId="54CE1D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zh-CN" w:eastAsia="zh-CN" w:bidi="ar-SA"/>
        </w:rPr>
        <w:t>区域和具体绩效目标</w:t>
      </w:r>
      <w:r>
        <w:rPr>
          <w:rFonts w:hint="default" w:ascii="Times New Roman" w:hAnsi="Times New Roman" w:eastAsia="仿宋" w:cs="Times New Roman"/>
          <w:color w:val="auto"/>
          <w:kern w:val="0"/>
          <w:sz w:val="32"/>
          <w:szCs w:val="32"/>
          <w:highlight w:val="none"/>
          <w:lang w:val="en-US" w:eastAsia="zh-CN" w:bidi="ar-SA"/>
        </w:rPr>
        <w:t>设置：</w:t>
      </w:r>
    </w:p>
    <w:p w14:paraId="349898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数量指标：“两个责任”公示牌≥3000个，制作食品安全信息公示栏≥1000份，印制食品安全宣传资料≥20000份。</w:t>
      </w:r>
    </w:p>
    <w:p w14:paraId="32D119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质量指标：培训合格率≥90%，食品安全信息公示栏更新率≥80%。</w:t>
      </w:r>
    </w:p>
    <w:p w14:paraId="27D7F2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时效指标：项目完成时间2024年。</w:t>
      </w:r>
    </w:p>
    <w:p w14:paraId="4B9705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成本指标：食品安全宣传费≤3万元/次。</w:t>
      </w:r>
    </w:p>
    <w:p w14:paraId="0157C5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社会效益指标：食品安全水平不断提高，食品安全监管能力不断提升，营商环境不断优化，辖区内与补助资金相关的重大食品安全监管责任事故发生数0次。</w:t>
      </w:r>
    </w:p>
    <w:p w14:paraId="38290E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服务对象满意度指标：公众对省级食品安全满意度测评得分≥80分。</w:t>
      </w:r>
    </w:p>
    <w:p w14:paraId="2A1EDC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kern w:val="0"/>
          <w:sz w:val="32"/>
          <w:szCs w:val="48"/>
          <w:shd w:val="clear" w:color="auto" w:fill="FFFFFF"/>
          <w:lang w:val="en-US" w:eastAsia="zh-CN"/>
        </w:rPr>
      </w:pPr>
      <w:r>
        <w:rPr>
          <w:rFonts w:hint="default" w:ascii="Times New Roman" w:hAnsi="Times New Roman" w:eastAsia="黑体" w:cs="Times New Roman"/>
          <w:color w:val="000000"/>
          <w:kern w:val="0"/>
          <w:sz w:val="32"/>
          <w:szCs w:val="48"/>
          <w:shd w:val="clear" w:color="auto" w:fill="FFFFFF"/>
          <w:lang w:val="en-US" w:eastAsia="zh-CN"/>
        </w:rPr>
        <w:t>二、评价实施</w:t>
      </w:r>
    </w:p>
    <w:p w14:paraId="306152B3">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（一）评价目的</w:t>
      </w:r>
    </w:p>
    <w:p w14:paraId="6FCA30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全面、科学的评估2023年食品药品及农产品安全、放心舒心消费城市建设专项资金使用效益，总结经验，查找存在的问题，为后续资金管理和决策提供有力依据，进一步规范财政资金的管理，强化财政支出绩效理念，提升单位责任意识，提高资金使用效益。</w:t>
      </w:r>
    </w:p>
    <w:p w14:paraId="65E75EE8">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w:t>
      </w:r>
      <w:r>
        <w:rPr>
          <w:rFonts w:hint="default" w:ascii="楷体_GB2312" w:hAnsi="楷体_GB2312" w:eastAsia="楷体_GB2312" w:cs="楷体_GB2312"/>
          <w:b/>
          <w:color w:val="auto"/>
          <w:sz w:val="32"/>
          <w:szCs w:val="32"/>
          <w:highlight w:val="none"/>
          <w:lang w:val="en-US" w:eastAsia="zh-CN"/>
        </w:rPr>
        <w:t>二</w:t>
      </w:r>
      <w:r>
        <w:rPr>
          <w:rFonts w:hint="default" w:ascii="楷体_GB2312" w:hAnsi="楷体_GB2312" w:eastAsia="楷体_GB2312" w:cs="楷体_GB2312"/>
          <w:b/>
          <w:color w:val="auto"/>
          <w:sz w:val="32"/>
          <w:szCs w:val="32"/>
          <w:highlight w:val="none"/>
          <w:lang w:val="zh-CN" w:eastAsia="zh-CN"/>
        </w:rPr>
        <w:t>）预设问题及评价重点</w:t>
      </w:r>
    </w:p>
    <w:p w14:paraId="1EDA93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1.资金使用是否符合预算安排和资金管理办法。</w:t>
      </w:r>
    </w:p>
    <w:p w14:paraId="781232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2.项目是否按时完成，目标是否达成。</w:t>
      </w:r>
    </w:p>
    <w:p w14:paraId="620409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仿宋" w:cs="Times New Roman"/>
          <w:color w:val="auto"/>
          <w:kern w:val="0"/>
          <w:sz w:val="32"/>
          <w:szCs w:val="32"/>
          <w:highlight w:val="none"/>
          <w:lang w:val="en-US" w:eastAsia="zh-CN" w:bidi="ar-SA"/>
        </w:rPr>
        <w:t>3.公众对食品安全工作的满意度是否达到预期。</w:t>
      </w:r>
    </w:p>
    <w:p w14:paraId="568097DB">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（三）评价选点</w:t>
      </w:r>
    </w:p>
    <w:p w14:paraId="683531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zh-CN" w:eastAsia="zh-CN"/>
        </w:rPr>
      </w:pPr>
      <w:r>
        <w:rPr>
          <w:rFonts w:hint="default" w:ascii="Times New Roman" w:hAnsi="Times New Roman" w:eastAsia="仿宋" w:cs="Times New Roman"/>
          <w:color w:val="auto"/>
          <w:kern w:val="0"/>
          <w:sz w:val="32"/>
          <w:szCs w:val="32"/>
          <w:highlight w:val="none"/>
          <w:lang w:val="zh-CN" w:eastAsia="zh-CN" w:bidi="ar-SA"/>
        </w:rPr>
        <w:t>项目绩效自评所抽样点位遂宁市安居区市场监督管理局，覆盖食品药品及农产品。</w:t>
      </w:r>
    </w:p>
    <w:p w14:paraId="0799B00C">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（四）评价方法</w:t>
      </w:r>
    </w:p>
    <w:p w14:paraId="510968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仿宋" w:cs="Times New Roman"/>
          <w:color w:val="auto"/>
          <w:kern w:val="0"/>
          <w:sz w:val="32"/>
          <w:szCs w:val="32"/>
          <w:highlight w:val="none"/>
          <w:lang w:val="en-US" w:eastAsia="zh-CN" w:bidi="ar-SA"/>
        </w:rPr>
        <w:t>该项目主要是通过单位自评法进行评价。</w:t>
      </w:r>
    </w:p>
    <w:p w14:paraId="29C8FA46">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w:t>
      </w:r>
      <w:r>
        <w:rPr>
          <w:rFonts w:hint="default" w:ascii="楷体_GB2312" w:hAnsi="楷体_GB2312" w:eastAsia="楷体_GB2312" w:cs="楷体_GB2312"/>
          <w:b/>
          <w:color w:val="auto"/>
          <w:sz w:val="32"/>
          <w:szCs w:val="32"/>
          <w:highlight w:val="none"/>
          <w:lang w:val="en-US" w:eastAsia="zh-CN"/>
        </w:rPr>
        <w:t>五</w:t>
      </w:r>
      <w:r>
        <w:rPr>
          <w:rFonts w:hint="default" w:ascii="楷体_GB2312" w:hAnsi="楷体_GB2312" w:eastAsia="楷体_GB2312" w:cs="楷体_GB2312"/>
          <w:b/>
          <w:color w:val="auto"/>
          <w:sz w:val="32"/>
          <w:szCs w:val="32"/>
          <w:highlight w:val="none"/>
          <w:lang w:val="zh-CN" w:eastAsia="zh-CN"/>
        </w:rPr>
        <w:t>）评价组织</w:t>
      </w:r>
    </w:p>
    <w:p w14:paraId="60988B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zh-CN" w:eastAsia="zh-CN"/>
        </w:rPr>
      </w:pPr>
      <w:r>
        <w:rPr>
          <w:rFonts w:hint="default" w:ascii="Times New Roman" w:hAnsi="Times New Roman" w:eastAsia="仿宋" w:cs="Times New Roman"/>
          <w:color w:val="auto"/>
          <w:kern w:val="0"/>
          <w:sz w:val="32"/>
          <w:szCs w:val="32"/>
          <w:highlight w:val="none"/>
          <w:lang w:val="zh-CN" w:eastAsia="zh-CN" w:bidi="ar-SA"/>
        </w:rPr>
        <w:t>评价组人员主要由相关股室、办公室人员构成，相关股室负责项目的实施、绩效评价，办公室负责项目的监管。</w:t>
      </w:r>
    </w:p>
    <w:p w14:paraId="5D1639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kern w:val="0"/>
          <w:sz w:val="32"/>
          <w:szCs w:val="48"/>
          <w:shd w:val="clear" w:color="auto" w:fill="FFFFFF"/>
          <w:lang w:val="zh-CN" w:eastAsia="zh-CN"/>
        </w:rPr>
      </w:pPr>
      <w:r>
        <w:rPr>
          <w:rFonts w:hint="default" w:ascii="Times New Roman" w:hAnsi="Times New Roman" w:eastAsia="黑体" w:cs="Times New Roman"/>
          <w:color w:val="000000"/>
          <w:kern w:val="0"/>
          <w:sz w:val="32"/>
          <w:szCs w:val="48"/>
          <w:shd w:val="clear" w:color="auto" w:fill="FFFFFF"/>
          <w:lang w:val="en-US" w:eastAsia="zh-CN"/>
        </w:rPr>
        <w:t>三、绩效分析</w:t>
      </w:r>
      <w:r>
        <w:rPr>
          <w:rFonts w:hint="default" w:ascii="Times New Roman" w:hAnsi="Times New Roman" w:eastAsia="黑体" w:cs="Times New Roman"/>
          <w:color w:val="000000"/>
          <w:kern w:val="0"/>
          <w:sz w:val="32"/>
          <w:szCs w:val="48"/>
          <w:shd w:val="clear" w:color="auto" w:fill="FFFFFF"/>
          <w:lang w:val="zh-CN" w:eastAsia="zh-CN"/>
        </w:rPr>
        <w:tab/>
      </w:r>
    </w:p>
    <w:p w14:paraId="42D7A5BE">
      <w:pPr>
        <w:spacing w:line="600" w:lineRule="exact"/>
        <w:ind w:firstLine="640"/>
        <w:outlineLvl w:val="2"/>
        <w:rPr>
          <w:rFonts w:hint="default" w:ascii="楷体_GB2312" w:hAnsi="楷体_GB2312" w:eastAsia="楷体_GB2312" w:cs="楷体_GB2312"/>
          <w:b/>
          <w:color w:val="auto"/>
          <w:sz w:val="32"/>
          <w:szCs w:val="32"/>
          <w:highlight w:val="none"/>
          <w:lang w:val="en-US" w:eastAsia="zh-CN"/>
        </w:rPr>
      </w:pPr>
      <w:r>
        <w:rPr>
          <w:rFonts w:hint="default" w:ascii="楷体_GB2312" w:hAnsi="楷体_GB2312" w:eastAsia="楷体_GB2312" w:cs="楷体_GB2312"/>
          <w:b/>
          <w:color w:val="auto"/>
          <w:sz w:val="32"/>
          <w:szCs w:val="32"/>
          <w:highlight w:val="none"/>
          <w:lang w:val="zh-CN" w:eastAsia="zh-CN"/>
        </w:rPr>
        <w:t>（一）</w:t>
      </w:r>
      <w:r>
        <w:rPr>
          <w:rFonts w:hint="default" w:ascii="楷体_GB2312" w:hAnsi="楷体_GB2312" w:eastAsia="楷体_GB2312" w:cs="楷体_GB2312"/>
          <w:b/>
          <w:color w:val="auto"/>
          <w:sz w:val="32"/>
          <w:szCs w:val="32"/>
          <w:highlight w:val="none"/>
          <w:lang w:val="en-US" w:eastAsia="zh-CN"/>
        </w:rPr>
        <w:t>通用指标</w:t>
      </w:r>
      <w:r>
        <w:rPr>
          <w:rFonts w:hint="default" w:ascii="楷体_GB2312" w:hAnsi="楷体_GB2312" w:eastAsia="楷体_GB2312" w:cs="楷体_GB2312"/>
          <w:b/>
          <w:color w:val="auto"/>
          <w:sz w:val="32"/>
          <w:szCs w:val="32"/>
          <w:highlight w:val="none"/>
          <w:lang w:val="zh-CN" w:eastAsia="zh-CN"/>
        </w:rPr>
        <w:t>绩效分析</w:t>
      </w:r>
    </w:p>
    <w:p w14:paraId="5853E5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1. 项目决策。项目决策程序严密，符合资金管理基本规范和决策程序要求。项目规划符合</w:t>
      </w:r>
      <w:r>
        <w:rPr>
          <w:rFonts w:hint="eastAsia" w:eastAsia="仿宋" w:cs="Times New Roman"/>
          <w:color w:val="auto"/>
          <w:kern w:val="0"/>
          <w:sz w:val="32"/>
          <w:szCs w:val="32"/>
          <w:highlight w:val="none"/>
          <w:lang w:val="en-US" w:eastAsia="zh-CN" w:bidi="ar-SA"/>
        </w:rPr>
        <w:t>中央、省委</w:t>
      </w:r>
      <w:r>
        <w:rPr>
          <w:rFonts w:hint="default" w:ascii="Times New Roman" w:hAnsi="Times New Roman" w:eastAsia="仿宋" w:cs="Times New Roman"/>
          <w:color w:val="auto"/>
          <w:kern w:val="0"/>
          <w:sz w:val="32"/>
          <w:szCs w:val="32"/>
          <w:highlight w:val="none"/>
          <w:lang w:val="en-US" w:eastAsia="zh-CN" w:bidi="ar-SA"/>
        </w:rPr>
        <w:t>市要求，绩效目标设置科学合理，资金投向符合本地实际，符合政府支持范围和财政事权支出责任划分规定</w:t>
      </w:r>
    </w:p>
    <w:p w14:paraId="6ACD15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2. 项目管理。紧紧围绕财经法规和内部财务管理制度的规定开支，资金支付有完整的审批程序和手续，做到专款专用，保证资金使用合规性，资金使用无截留、挤占、挪用、虚列支出等，全过程实行绩效监控，确保项目顺利完成。</w:t>
      </w:r>
    </w:p>
    <w:p w14:paraId="7BB394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3. 项目实施。项目资金财政拨付及时，资金使用和项目实施符合规定，单位执行到位</w:t>
      </w:r>
    </w:p>
    <w:p w14:paraId="4BC329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4. 项目结果。项目目标基本达成，实施结果与绩效目标相匹配。</w:t>
      </w:r>
    </w:p>
    <w:p w14:paraId="6D092FEF">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（二）</w:t>
      </w:r>
      <w:r>
        <w:rPr>
          <w:rFonts w:hint="default" w:ascii="楷体_GB2312" w:hAnsi="楷体_GB2312" w:eastAsia="楷体_GB2312" w:cs="楷体_GB2312"/>
          <w:b/>
          <w:color w:val="auto"/>
          <w:sz w:val="32"/>
          <w:szCs w:val="32"/>
          <w:highlight w:val="none"/>
          <w:lang w:val="en-US" w:eastAsia="zh-CN"/>
        </w:rPr>
        <w:t>专用指标</w:t>
      </w:r>
      <w:r>
        <w:rPr>
          <w:rFonts w:hint="default" w:ascii="楷体_GB2312" w:hAnsi="楷体_GB2312" w:eastAsia="楷体_GB2312" w:cs="楷体_GB2312"/>
          <w:b/>
          <w:color w:val="auto"/>
          <w:sz w:val="32"/>
          <w:szCs w:val="32"/>
          <w:highlight w:val="none"/>
          <w:lang w:val="zh-CN" w:eastAsia="zh-CN"/>
        </w:rPr>
        <w:t>绩效分析</w:t>
      </w:r>
    </w:p>
    <w:p w14:paraId="3C0C6A2A">
      <w:pPr>
        <w:spacing w:line="600" w:lineRule="exact"/>
        <w:ind w:firstLine="640"/>
        <w:outlineLvl w:val="2"/>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zh-CN" w:eastAsia="zh-CN" w:bidi="ar-SA"/>
        </w:rPr>
        <w:t>该项目属于行政运转</w:t>
      </w:r>
      <w:r>
        <w:rPr>
          <w:rFonts w:hint="default" w:ascii="Times New Roman" w:hAnsi="Times New Roman" w:eastAsia="仿宋" w:cs="Times New Roman"/>
          <w:color w:val="auto"/>
          <w:kern w:val="0"/>
          <w:sz w:val="32"/>
          <w:szCs w:val="32"/>
          <w:highlight w:val="none"/>
          <w:lang w:val="en-US" w:eastAsia="zh-CN" w:bidi="ar-SA"/>
        </w:rPr>
        <w:t>类</w:t>
      </w:r>
      <w:r>
        <w:rPr>
          <w:rFonts w:hint="default" w:ascii="Times New Roman" w:hAnsi="Times New Roman" w:eastAsia="仿宋" w:cs="Times New Roman"/>
          <w:color w:val="auto"/>
          <w:kern w:val="0"/>
          <w:sz w:val="32"/>
          <w:szCs w:val="32"/>
          <w:highlight w:val="none"/>
          <w:lang w:val="zh-CN" w:eastAsia="zh-CN" w:bidi="ar-SA"/>
        </w:rPr>
        <w:t>。项目</w:t>
      </w:r>
      <w:r>
        <w:rPr>
          <w:rFonts w:hint="default" w:ascii="Times New Roman" w:hAnsi="Times New Roman" w:eastAsia="仿宋" w:cs="Times New Roman"/>
          <w:color w:val="auto"/>
          <w:kern w:val="0"/>
          <w:sz w:val="32"/>
          <w:szCs w:val="32"/>
          <w:highlight w:val="none"/>
          <w:lang w:val="en-US" w:eastAsia="zh-CN" w:bidi="ar-SA"/>
        </w:rPr>
        <w:t>资金用于食品药品安全，符合规定，审批程序合规，满意度评价达95%。</w:t>
      </w:r>
    </w:p>
    <w:p w14:paraId="1D392686">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（三）</w:t>
      </w:r>
      <w:r>
        <w:rPr>
          <w:rFonts w:hint="default" w:ascii="楷体_GB2312" w:hAnsi="楷体_GB2312" w:eastAsia="楷体_GB2312" w:cs="楷体_GB2312"/>
          <w:b/>
          <w:color w:val="auto"/>
          <w:sz w:val="32"/>
          <w:szCs w:val="32"/>
          <w:highlight w:val="none"/>
          <w:lang w:val="en-US" w:eastAsia="zh-CN"/>
        </w:rPr>
        <w:t>个性指标</w:t>
      </w:r>
      <w:r>
        <w:rPr>
          <w:rFonts w:hint="default" w:ascii="楷体_GB2312" w:hAnsi="楷体_GB2312" w:eastAsia="楷体_GB2312" w:cs="楷体_GB2312"/>
          <w:b/>
          <w:color w:val="auto"/>
          <w:sz w:val="32"/>
          <w:szCs w:val="32"/>
          <w:highlight w:val="none"/>
          <w:lang w:val="zh-CN" w:eastAsia="zh-CN"/>
        </w:rPr>
        <w:t>绩效分析</w:t>
      </w:r>
    </w:p>
    <w:p w14:paraId="54F899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zh-CN" w:eastAsia="zh-CN" w:bidi="ar-SA"/>
        </w:rPr>
      </w:pPr>
      <w:r>
        <w:rPr>
          <w:rFonts w:hint="default" w:ascii="Times New Roman" w:hAnsi="Times New Roman" w:eastAsia="仿宋" w:cs="Times New Roman"/>
          <w:color w:val="auto"/>
          <w:kern w:val="0"/>
          <w:sz w:val="32"/>
          <w:szCs w:val="32"/>
          <w:highlight w:val="none"/>
          <w:lang w:val="zh-CN" w:eastAsia="zh-CN" w:bidi="ar-SA"/>
        </w:rPr>
        <w:t>（1）数量指标：</w:t>
      </w:r>
      <w:r>
        <w:rPr>
          <w:rFonts w:hint="default" w:ascii="Times New Roman" w:hAnsi="Times New Roman" w:eastAsia="仿宋" w:cs="Times New Roman"/>
          <w:color w:val="auto"/>
          <w:kern w:val="0"/>
          <w:sz w:val="32"/>
          <w:szCs w:val="32"/>
          <w:highlight w:val="none"/>
          <w:lang w:val="en-US" w:eastAsia="zh-CN" w:bidi="ar-SA"/>
        </w:rPr>
        <w:t>“两个责任”公示牌≥3000个，</w:t>
      </w:r>
      <w:r>
        <w:rPr>
          <w:rFonts w:hint="default" w:ascii="Times New Roman" w:hAnsi="Times New Roman" w:eastAsia="仿宋" w:cs="Times New Roman"/>
          <w:color w:val="auto"/>
          <w:kern w:val="0"/>
          <w:sz w:val="32"/>
          <w:szCs w:val="32"/>
          <w:highlight w:val="none"/>
          <w:lang w:val="zh-CN" w:eastAsia="zh-CN" w:bidi="ar-SA"/>
        </w:rPr>
        <w:t>制作食品安全信息公示栏≥</w:t>
      </w:r>
      <w:r>
        <w:rPr>
          <w:rFonts w:hint="default" w:ascii="Times New Roman" w:hAnsi="Times New Roman" w:eastAsia="仿宋" w:cs="Times New Roman"/>
          <w:color w:val="auto"/>
          <w:kern w:val="0"/>
          <w:sz w:val="32"/>
          <w:szCs w:val="32"/>
          <w:highlight w:val="none"/>
          <w:lang w:val="en-US" w:eastAsia="zh-CN" w:bidi="ar-SA"/>
        </w:rPr>
        <w:t>1000份，印制食品安全宣传资料</w:t>
      </w:r>
      <w:r>
        <w:rPr>
          <w:rFonts w:hint="default" w:ascii="Times New Roman" w:hAnsi="Times New Roman" w:eastAsia="仿宋" w:cs="Times New Roman"/>
          <w:color w:val="auto"/>
          <w:kern w:val="0"/>
          <w:sz w:val="32"/>
          <w:szCs w:val="32"/>
          <w:highlight w:val="none"/>
          <w:lang w:val="zh-CN" w:eastAsia="zh-CN" w:bidi="ar-SA"/>
        </w:rPr>
        <w:t>≥</w:t>
      </w:r>
      <w:r>
        <w:rPr>
          <w:rFonts w:hint="default" w:ascii="Times New Roman" w:hAnsi="Times New Roman" w:eastAsia="仿宋" w:cs="Times New Roman"/>
          <w:color w:val="auto"/>
          <w:kern w:val="0"/>
          <w:sz w:val="32"/>
          <w:szCs w:val="32"/>
          <w:highlight w:val="none"/>
          <w:lang w:val="en-US" w:eastAsia="zh-CN" w:bidi="ar-SA"/>
        </w:rPr>
        <w:t>20000份，</w:t>
      </w:r>
      <w:r>
        <w:rPr>
          <w:rFonts w:hint="default" w:ascii="Times New Roman" w:hAnsi="Times New Roman" w:eastAsia="仿宋" w:cs="Times New Roman"/>
          <w:color w:val="auto"/>
          <w:kern w:val="0"/>
          <w:sz w:val="32"/>
          <w:szCs w:val="32"/>
          <w:highlight w:val="none"/>
          <w:lang w:val="zh-CN" w:eastAsia="zh-CN" w:bidi="ar-SA"/>
        </w:rPr>
        <w:t>完成情况：</w:t>
      </w:r>
      <w:r>
        <w:rPr>
          <w:rFonts w:hint="default" w:ascii="Times New Roman" w:hAnsi="Times New Roman" w:eastAsia="仿宋" w:cs="Times New Roman"/>
          <w:color w:val="auto"/>
          <w:kern w:val="0"/>
          <w:sz w:val="32"/>
          <w:szCs w:val="32"/>
          <w:highlight w:val="none"/>
          <w:lang w:val="en-US" w:eastAsia="zh-CN" w:bidi="ar-SA"/>
        </w:rPr>
        <w:t>“两个责任”公示牌3200个，</w:t>
      </w:r>
      <w:r>
        <w:rPr>
          <w:rFonts w:hint="default" w:ascii="Times New Roman" w:hAnsi="Times New Roman" w:eastAsia="仿宋" w:cs="Times New Roman"/>
          <w:color w:val="auto"/>
          <w:kern w:val="0"/>
          <w:sz w:val="32"/>
          <w:szCs w:val="32"/>
          <w:highlight w:val="none"/>
          <w:lang w:val="zh-CN" w:eastAsia="zh-CN" w:bidi="ar-SA"/>
        </w:rPr>
        <w:t>制作食品安全信息公示栏</w:t>
      </w:r>
      <w:r>
        <w:rPr>
          <w:rFonts w:hint="default" w:ascii="Times New Roman" w:hAnsi="Times New Roman" w:eastAsia="仿宋" w:cs="Times New Roman"/>
          <w:color w:val="auto"/>
          <w:kern w:val="0"/>
          <w:sz w:val="32"/>
          <w:szCs w:val="32"/>
          <w:highlight w:val="none"/>
          <w:lang w:val="en-US" w:eastAsia="zh-CN" w:bidi="ar-SA"/>
        </w:rPr>
        <w:t>1100份，印制食品安全宣传资料32000份</w:t>
      </w:r>
      <w:r>
        <w:rPr>
          <w:rFonts w:hint="default" w:ascii="Times New Roman" w:hAnsi="Times New Roman" w:eastAsia="仿宋" w:cs="Times New Roman"/>
          <w:color w:val="auto"/>
          <w:kern w:val="0"/>
          <w:sz w:val="32"/>
          <w:szCs w:val="32"/>
          <w:highlight w:val="none"/>
          <w:lang w:val="zh-CN" w:eastAsia="zh-CN" w:bidi="ar-SA"/>
        </w:rPr>
        <w:t>。</w:t>
      </w:r>
    </w:p>
    <w:p w14:paraId="1A68C4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（2）质量指标：培训合格率</w:t>
      </w:r>
      <w:r>
        <w:rPr>
          <w:rFonts w:hint="default" w:ascii="Times New Roman" w:hAnsi="Times New Roman" w:eastAsia="仿宋" w:cs="Times New Roman"/>
          <w:color w:val="auto"/>
          <w:kern w:val="0"/>
          <w:sz w:val="32"/>
          <w:szCs w:val="32"/>
          <w:highlight w:val="none"/>
          <w:lang w:val="zh-CN" w:eastAsia="zh-CN" w:bidi="ar-SA"/>
        </w:rPr>
        <w:t>≥</w:t>
      </w:r>
      <w:r>
        <w:rPr>
          <w:rFonts w:hint="default" w:ascii="Times New Roman" w:hAnsi="Times New Roman" w:eastAsia="仿宋" w:cs="Times New Roman"/>
          <w:color w:val="auto"/>
          <w:kern w:val="0"/>
          <w:sz w:val="32"/>
          <w:szCs w:val="32"/>
          <w:highlight w:val="none"/>
          <w:lang w:val="en-US" w:eastAsia="zh-CN" w:bidi="ar-SA"/>
        </w:rPr>
        <w:t>90%，食品安全信息公示栏更新率</w:t>
      </w:r>
      <w:r>
        <w:rPr>
          <w:rFonts w:hint="default" w:ascii="Times New Roman" w:hAnsi="Times New Roman" w:eastAsia="仿宋" w:cs="Times New Roman"/>
          <w:color w:val="auto"/>
          <w:kern w:val="0"/>
          <w:sz w:val="32"/>
          <w:szCs w:val="32"/>
          <w:highlight w:val="none"/>
          <w:lang w:val="zh-CN" w:eastAsia="zh-CN" w:bidi="ar-SA"/>
        </w:rPr>
        <w:t>≥</w:t>
      </w:r>
      <w:r>
        <w:rPr>
          <w:rFonts w:hint="default" w:ascii="Times New Roman" w:hAnsi="Times New Roman" w:eastAsia="仿宋" w:cs="Times New Roman"/>
          <w:color w:val="auto"/>
          <w:kern w:val="0"/>
          <w:sz w:val="32"/>
          <w:szCs w:val="32"/>
          <w:highlight w:val="none"/>
          <w:lang w:val="en-US" w:eastAsia="zh-CN" w:bidi="ar-SA"/>
        </w:rPr>
        <w:t>80%，完成情况：培训合格率95%，食品安全信息公示栏更新率90%。</w:t>
      </w:r>
    </w:p>
    <w:p w14:paraId="6B00A9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（3）时间指标。项目完成时间2024年。完成情况：项目完成时间2024年。</w:t>
      </w:r>
    </w:p>
    <w:p w14:paraId="4C6037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（4）成本指标。每次食品安全宣传费≤3万元。完成情况：每次食品安全宣传费≤3万元。</w:t>
      </w:r>
    </w:p>
    <w:p w14:paraId="309E36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5）社会效益指标。食品安全水平不断提高，食品安全监管能力不断提升，营商环境不断优化，辖区内与补助资金相关的重大食品安全监管责任事故发生数0次，营商环境不断优化。完成情况：食品安全水平不断提高，食品安全监管能力不断提升，营商环境不断优化，辖区内与补助资金相关的重大食品安全监管责任事故发生数0次，营商环境不断优化。</w:t>
      </w:r>
    </w:p>
    <w:p w14:paraId="345DB6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仿宋" w:cs="Times New Roman"/>
          <w:color w:val="auto"/>
          <w:kern w:val="0"/>
          <w:sz w:val="32"/>
          <w:szCs w:val="32"/>
          <w:highlight w:val="none"/>
          <w:lang w:val="en-US" w:eastAsia="zh-CN" w:bidi="ar-SA"/>
        </w:rPr>
        <w:t>（6）满意度指标。公众对省级食品安全满意度测评得分≥80分。完成情况：公众对省级食品安全满意度测评得分84.12分。</w:t>
      </w:r>
    </w:p>
    <w:p w14:paraId="778422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黑体" w:cs="Times New Roman"/>
          <w:color w:val="000000"/>
          <w:kern w:val="0"/>
          <w:sz w:val="32"/>
          <w:szCs w:val="48"/>
          <w:shd w:val="clear" w:color="auto" w:fill="FFFFFF"/>
          <w:lang w:val="en-US" w:eastAsia="zh-CN"/>
        </w:rPr>
        <w:t>四、评价结论</w:t>
      </w:r>
    </w:p>
    <w:p w14:paraId="3CC5A7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仿宋" w:cs="Times New Roman"/>
          <w:color w:val="auto"/>
          <w:kern w:val="0"/>
          <w:sz w:val="32"/>
          <w:szCs w:val="32"/>
          <w:highlight w:val="none"/>
          <w:lang w:val="en-US" w:eastAsia="zh-CN" w:bidi="ar-SA"/>
        </w:rPr>
        <w:t>食品药品及农产品专项项目实施情况良好，资金使用合规，目标达成率高，公众满意度达到预期。绩效自评总体得分为100分，评价结果为优。</w:t>
      </w:r>
    </w:p>
    <w:p w14:paraId="1B900E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kern w:val="0"/>
          <w:sz w:val="32"/>
          <w:szCs w:val="48"/>
          <w:shd w:val="clear" w:color="auto" w:fill="FFFFFF"/>
          <w:lang w:val="en-US" w:eastAsia="zh-CN"/>
        </w:rPr>
      </w:pPr>
      <w:r>
        <w:rPr>
          <w:rFonts w:hint="default" w:ascii="Times New Roman" w:hAnsi="Times New Roman" w:eastAsia="黑体" w:cs="Times New Roman"/>
          <w:color w:val="000000"/>
          <w:kern w:val="0"/>
          <w:sz w:val="32"/>
          <w:szCs w:val="48"/>
          <w:shd w:val="clear" w:color="auto" w:fill="FFFFFF"/>
          <w:lang w:val="en-US" w:eastAsia="zh-CN"/>
        </w:rPr>
        <w:t>五、存在主要问题</w:t>
      </w:r>
    </w:p>
    <w:p w14:paraId="736829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r>
        <w:rPr>
          <w:rFonts w:hint="default" w:ascii="Times New Roman" w:hAnsi="Times New Roman" w:eastAsia="仿宋" w:cs="Times New Roman"/>
          <w:color w:val="auto"/>
          <w:kern w:val="0"/>
          <w:sz w:val="32"/>
          <w:szCs w:val="32"/>
          <w:highlight w:val="none"/>
          <w:lang w:val="en-US" w:eastAsia="zh-CN" w:bidi="ar-SA"/>
        </w:rPr>
        <w:t>无。</w:t>
      </w:r>
    </w:p>
    <w:p w14:paraId="001D09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kern w:val="0"/>
          <w:sz w:val="32"/>
          <w:szCs w:val="48"/>
          <w:shd w:val="clear" w:color="auto" w:fill="FFFFFF"/>
          <w:lang w:val="zh-CN" w:eastAsia="zh-CN"/>
        </w:rPr>
      </w:pPr>
      <w:r>
        <w:rPr>
          <w:rFonts w:hint="default" w:ascii="Times New Roman" w:hAnsi="Times New Roman" w:eastAsia="黑体" w:cs="Times New Roman"/>
          <w:color w:val="000000"/>
          <w:kern w:val="0"/>
          <w:sz w:val="32"/>
          <w:szCs w:val="48"/>
          <w:shd w:val="clear" w:color="auto" w:fill="FFFFFF"/>
          <w:lang w:val="zh-CN" w:eastAsia="zh-CN"/>
        </w:rPr>
        <w:t>六、改进建议</w:t>
      </w:r>
    </w:p>
    <w:p w14:paraId="316C31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en-US" w:eastAsia="zh-CN" w:bidi="ar-SA"/>
        </w:rPr>
      </w:pPr>
      <w:bookmarkStart w:id="55" w:name="_Hlk110546638"/>
      <w:r>
        <w:rPr>
          <w:rFonts w:hint="default" w:ascii="Times New Roman" w:hAnsi="Times New Roman" w:eastAsia="仿宋" w:cs="Times New Roman"/>
          <w:color w:val="auto"/>
          <w:kern w:val="0"/>
          <w:sz w:val="32"/>
          <w:szCs w:val="32"/>
          <w:highlight w:val="none"/>
          <w:lang w:val="en-US" w:eastAsia="zh-CN" w:bidi="ar-SA"/>
        </w:rPr>
        <w:t>无。</w:t>
      </w:r>
      <w:bookmarkEnd w:id="55"/>
    </w:p>
    <w:p w14:paraId="5FB917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val="zh-CN" w:eastAsia="zh-CN" w:bidi="ar-SA"/>
        </w:rPr>
      </w:pPr>
    </w:p>
    <w:p w14:paraId="054149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仿宋" w:cs="Times New Roman"/>
          <w:color w:val="auto"/>
          <w:kern w:val="0"/>
          <w:sz w:val="32"/>
          <w:szCs w:val="32"/>
          <w:highlight w:val="none"/>
          <w:lang w:val="en-US" w:eastAsia="zh-CN" w:bidi="ar-SA"/>
        </w:rPr>
        <w:t>附表：专项资金绩效目标完成情况自评表</w:t>
      </w:r>
    </w:p>
    <w:p w14:paraId="3429218E">
      <w:pPr>
        <w:pStyle w:val="28"/>
        <w:rPr>
          <w:rFonts w:hint="default" w:ascii="Times New Roman" w:hAnsi="Times New Roman" w:cs="Times New Roman"/>
          <w:color w:val="000000"/>
          <w:kern w:val="0"/>
          <w:szCs w:val="32"/>
          <w:highlight w:val="none"/>
          <w:shd w:val="clear" w:color="auto" w:fill="FFFFFF"/>
          <w:lang w:val="en-US" w:eastAsia="zh-CN"/>
        </w:rPr>
      </w:pPr>
    </w:p>
    <w:p w14:paraId="14F8A86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default" w:ascii="Times New Roman" w:hAnsi="Times New Roman" w:eastAsia="黑体" w:cs="Times New Roman"/>
          <w:b w:val="0"/>
          <w:bCs w:val="0"/>
          <w:color w:val="auto"/>
          <w:kern w:val="0"/>
          <w:sz w:val="40"/>
          <w:szCs w:val="40"/>
          <w:highlight w:val="none"/>
          <w:u w:val="none"/>
          <w:shd w:val="clear" w:color="auto" w:fill="FFFFFF"/>
          <w:lang w:val="zh-CN" w:eastAsia="zh-CN"/>
        </w:rPr>
      </w:pPr>
    </w:p>
    <w:p w14:paraId="6EE6D3E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default" w:ascii="Times New Roman" w:hAnsi="Times New Roman" w:eastAsia="黑体" w:cs="Times New Roman"/>
          <w:b w:val="0"/>
          <w:bCs w:val="0"/>
          <w:color w:val="auto"/>
          <w:kern w:val="0"/>
          <w:sz w:val="40"/>
          <w:szCs w:val="40"/>
          <w:highlight w:val="none"/>
          <w:u w:val="none"/>
          <w:shd w:val="clear" w:color="auto" w:fill="FFFFFF"/>
          <w:lang w:val="zh-CN" w:eastAsia="zh-CN"/>
        </w:rPr>
      </w:pPr>
    </w:p>
    <w:p w14:paraId="165C92E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default" w:ascii="Times New Roman" w:hAnsi="Times New Roman" w:eastAsia="黑体" w:cs="Times New Roman"/>
          <w:b w:val="0"/>
          <w:bCs w:val="0"/>
          <w:color w:val="auto"/>
          <w:kern w:val="0"/>
          <w:sz w:val="40"/>
          <w:szCs w:val="40"/>
          <w:highlight w:val="none"/>
          <w:u w:val="none"/>
          <w:shd w:val="clear" w:color="auto" w:fill="FFFFFF"/>
          <w:lang w:val="zh-CN" w:eastAsia="zh-CN"/>
        </w:rPr>
      </w:pPr>
    </w:p>
    <w:p w14:paraId="49F0268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default" w:ascii="Times New Roman" w:hAnsi="Times New Roman" w:eastAsia="黑体" w:cs="Times New Roman"/>
          <w:b w:val="0"/>
          <w:bCs w:val="0"/>
          <w:color w:val="auto"/>
          <w:kern w:val="0"/>
          <w:sz w:val="40"/>
          <w:szCs w:val="40"/>
          <w:highlight w:val="none"/>
          <w:u w:val="none"/>
          <w:shd w:val="clear" w:color="auto" w:fill="FFFFFF"/>
          <w:lang w:val="zh-CN" w:eastAsia="zh-CN"/>
        </w:rPr>
      </w:pPr>
    </w:p>
    <w:p w14:paraId="11A5229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default" w:ascii="Times New Roman" w:hAnsi="Times New Roman" w:eastAsia="黑体" w:cs="Times New Roman"/>
          <w:b w:val="0"/>
          <w:bCs w:val="0"/>
          <w:color w:val="auto"/>
          <w:kern w:val="0"/>
          <w:sz w:val="40"/>
          <w:szCs w:val="40"/>
          <w:highlight w:val="none"/>
          <w:u w:val="none"/>
          <w:shd w:val="clear" w:color="auto" w:fill="FFFFFF"/>
          <w:lang w:val="zh-CN" w:eastAsia="zh-CN"/>
        </w:rPr>
      </w:pPr>
    </w:p>
    <w:p w14:paraId="78D0C98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default" w:ascii="Times New Roman" w:hAnsi="Times New Roman" w:eastAsia="黑体" w:cs="Times New Roman"/>
          <w:b w:val="0"/>
          <w:bCs w:val="0"/>
          <w:color w:val="auto"/>
          <w:kern w:val="0"/>
          <w:sz w:val="40"/>
          <w:szCs w:val="40"/>
          <w:highlight w:val="none"/>
          <w:u w:val="none"/>
          <w:shd w:val="clear" w:color="auto" w:fill="FFFFFF"/>
          <w:lang w:val="zh-CN" w:eastAsia="zh-CN"/>
        </w:rPr>
      </w:pPr>
    </w:p>
    <w:p w14:paraId="2548320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default" w:ascii="Times New Roman" w:hAnsi="Times New Roman" w:eastAsia="黑体" w:cs="Times New Roman"/>
          <w:b w:val="0"/>
          <w:bCs w:val="0"/>
          <w:color w:val="auto"/>
          <w:kern w:val="0"/>
          <w:sz w:val="40"/>
          <w:szCs w:val="40"/>
          <w:highlight w:val="none"/>
          <w:u w:val="none"/>
          <w:shd w:val="clear" w:color="auto" w:fill="FFFFFF"/>
          <w:lang w:val="zh-CN" w:eastAsia="zh-CN"/>
        </w:rPr>
      </w:pPr>
    </w:p>
    <w:p w14:paraId="69F251F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default" w:ascii="Times New Roman" w:hAnsi="Times New Roman" w:eastAsia="黑体" w:cs="Times New Roman"/>
          <w:b w:val="0"/>
          <w:bCs w:val="0"/>
          <w:color w:val="auto"/>
          <w:kern w:val="0"/>
          <w:sz w:val="40"/>
          <w:szCs w:val="40"/>
          <w:highlight w:val="none"/>
          <w:u w:val="none"/>
          <w:shd w:val="clear" w:color="auto" w:fill="FFFFFF"/>
          <w:lang w:val="zh-CN" w:eastAsia="zh-CN"/>
        </w:rPr>
      </w:pPr>
    </w:p>
    <w:p w14:paraId="1A8A20D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default" w:ascii="Times New Roman" w:hAnsi="Times New Roman" w:eastAsia="黑体" w:cs="Times New Roman"/>
          <w:b w:val="0"/>
          <w:bCs w:val="0"/>
          <w:color w:val="auto"/>
          <w:kern w:val="0"/>
          <w:sz w:val="40"/>
          <w:szCs w:val="40"/>
          <w:highlight w:val="none"/>
          <w:u w:val="none"/>
          <w:shd w:val="clear" w:color="auto" w:fill="FFFFFF"/>
          <w:lang w:val="zh-CN" w:eastAsia="zh-CN"/>
        </w:rPr>
      </w:pPr>
    </w:p>
    <w:p w14:paraId="1CEF315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default" w:ascii="Times New Roman" w:hAnsi="Times New Roman" w:eastAsia="黑体" w:cs="Times New Roman"/>
          <w:b w:val="0"/>
          <w:bCs w:val="0"/>
          <w:color w:val="auto"/>
          <w:kern w:val="0"/>
          <w:sz w:val="40"/>
          <w:szCs w:val="40"/>
          <w:highlight w:val="none"/>
          <w:u w:val="none"/>
          <w:shd w:val="clear" w:color="auto" w:fill="FFFFFF"/>
          <w:lang w:val="zh-CN" w:eastAsia="zh-CN"/>
        </w:rPr>
      </w:pPr>
    </w:p>
    <w:p w14:paraId="6B2F56A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default" w:ascii="Times New Roman" w:hAnsi="Times New Roman" w:eastAsia="黑体" w:cs="Times New Roman"/>
          <w:b w:val="0"/>
          <w:bCs w:val="0"/>
          <w:color w:val="auto"/>
          <w:kern w:val="0"/>
          <w:sz w:val="40"/>
          <w:szCs w:val="40"/>
          <w:highlight w:val="none"/>
          <w:u w:val="none"/>
          <w:shd w:val="clear" w:color="auto" w:fill="FFFFFF"/>
          <w:lang w:val="zh-CN" w:eastAsia="zh-CN"/>
        </w:rPr>
      </w:pPr>
    </w:p>
    <w:p w14:paraId="06932B3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default" w:ascii="Times New Roman" w:hAnsi="Times New Roman" w:eastAsia="黑体" w:cs="Times New Roman"/>
          <w:b w:val="0"/>
          <w:bCs w:val="0"/>
          <w:color w:val="auto"/>
          <w:kern w:val="0"/>
          <w:sz w:val="40"/>
          <w:szCs w:val="40"/>
          <w:highlight w:val="none"/>
          <w:u w:val="none"/>
          <w:shd w:val="clear" w:color="auto" w:fill="FFFFFF"/>
          <w:lang w:val="zh-CN" w:eastAsia="zh-CN"/>
        </w:rPr>
      </w:pPr>
    </w:p>
    <w:p w14:paraId="5E14A2A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default" w:ascii="Times New Roman" w:hAnsi="Times New Roman" w:eastAsia="黑体" w:cs="Times New Roman"/>
          <w:b w:val="0"/>
          <w:bCs w:val="0"/>
          <w:color w:val="auto"/>
          <w:kern w:val="0"/>
          <w:sz w:val="40"/>
          <w:szCs w:val="40"/>
          <w:highlight w:val="none"/>
          <w:u w:val="none"/>
          <w:shd w:val="clear" w:color="auto" w:fill="FFFFFF"/>
          <w:lang w:val="zh-CN" w:eastAsia="zh-CN"/>
        </w:rPr>
      </w:pPr>
    </w:p>
    <w:p w14:paraId="78C16B4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default" w:ascii="Times New Roman" w:hAnsi="Times New Roman" w:eastAsia="黑体" w:cs="Times New Roman"/>
          <w:b w:val="0"/>
          <w:bCs w:val="0"/>
          <w:color w:val="auto"/>
          <w:kern w:val="0"/>
          <w:sz w:val="40"/>
          <w:szCs w:val="40"/>
          <w:highlight w:val="none"/>
          <w:u w:val="none"/>
          <w:shd w:val="clear" w:color="auto" w:fill="FFFFFF"/>
          <w:lang w:val="zh-CN" w:eastAsia="zh-CN"/>
        </w:rPr>
      </w:pPr>
    </w:p>
    <w:p w14:paraId="6A2DEF0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default" w:ascii="Times New Roman" w:hAnsi="Times New Roman" w:eastAsia="黑体" w:cs="Times New Roman"/>
          <w:b w:val="0"/>
          <w:bCs w:val="0"/>
          <w:color w:val="auto"/>
          <w:kern w:val="0"/>
          <w:sz w:val="40"/>
          <w:szCs w:val="40"/>
          <w:highlight w:val="none"/>
          <w:u w:val="none"/>
          <w:shd w:val="clear" w:color="auto" w:fill="FFFFFF"/>
          <w:lang w:val="zh-CN" w:eastAsia="zh-CN"/>
        </w:rPr>
      </w:pPr>
    </w:p>
    <w:p w14:paraId="26A8423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default" w:ascii="Times New Roman" w:hAnsi="Times New Roman" w:eastAsia="黑体" w:cs="Times New Roman"/>
          <w:b w:val="0"/>
          <w:bCs w:val="0"/>
          <w:color w:val="auto"/>
          <w:kern w:val="0"/>
          <w:sz w:val="40"/>
          <w:szCs w:val="40"/>
          <w:highlight w:val="none"/>
          <w:u w:val="none"/>
          <w:shd w:val="clear" w:color="auto" w:fill="FFFFFF"/>
          <w:lang w:val="zh-CN" w:eastAsia="zh-CN"/>
        </w:rPr>
      </w:pPr>
    </w:p>
    <w:p w14:paraId="7676EEF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default" w:ascii="Times New Roman" w:hAnsi="Times New Roman" w:eastAsia="黑体" w:cs="Times New Roman"/>
          <w:b w:val="0"/>
          <w:bCs w:val="0"/>
          <w:color w:val="auto"/>
          <w:kern w:val="0"/>
          <w:sz w:val="40"/>
          <w:szCs w:val="40"/>
          <w:highlight w:val="none"/>
          <w:u w:val="none"/>
          <w:shd w:val="clear" w:color="auto" w:fill="FFFFFF"/>
          <w:lang w:val="zh-CN" w:eastAsia="zh-CN"/>
        </w:rPr>
      </w:pPr>
    </w:p>
    <w:p w14:paraId="620588A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default" w:ascii="Times New Roman" w:hAnsi="Times New Roman" w:eastAsia="黑体" w:cs="Times New Roman"/>
          <w:b w:val="0"/>
          <w:bCs w:val="0"/>
          <w:color w:val="auto"/>
          <w:kern w:val="0"/>
          <w:sz w:val="40"/>
          <w:szCs w:val="40"/>
          <w:highlight w:val="none"/>
          <w:u w:val="none"/>
          <w:shd w:val="clear" w:color="auto" w:fill="FFFFFF"/>
          <w:lang w:val="zh-CN" w:eastAsia="zh-CN"/>
        </w:rPr>
      </w:pPr>
    </w:p>
    <w:p w14:paraId="7B0F27B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pPr>
      <w:r>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t>附表</w:t>
      </w:r>
    </w:p>
    <w:tbl>
      <w:tblPr>
        <w:tblStyle w:val="2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73"/>
        <w:gridCol w:w="951"/>
        <w:gridCol w:w="1099"/>
        <w:gridCol w:w="1157"/>
        <w:gridCol w:w="991"/>
        <w:gridCol w:w="852"/>
        <w:gridCol w:w="935"/>
        <w:gridCol w:w="824"/>
        <w:gridCol w:w="1628"/>
      </w:tblGrid>
      <w:tr w14:paraId="3980B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jc w:val="center"/>
        </w:trPr>
        <w:tc>
          <w:tcPr>
            <w:tcW w:w="5000" w:type="pct"/>
            <w:gridSpan w:val="9"/>
            <w:shd w:val="clear" w:color="auto" w:fill="auto"/>
            <w:vAlign w:val="center"/>
          </w:tcPr>
          <w:p w14:paraId="461EE2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i w:val="0"/>
                <w:iCs w:val="0"/>
                <w:color w:val="000000"/>
                <w:kern w:val="0"/>
                <w:sz w:val="32"/>
                <w:szCs w:val="32"/>
                <w:u w:val="none"/>
                <w:lang w:val="en-US" w:eastAsia="zh-CN" w:bidi="ar"/>
              </w:rPr>
            </w:pPr>
            <w:r>
              <w:rPr>
                <w:rFonts w:hint="default" w:ascii="Times New Roman" w:hAnsi="Times New Roman" w:eastAsia="黑体" w:cs="Times New Roman"/>
                <w:i w:val="0"/>
                <w:iCs w:val="0"/>
                <w:color w:val="000000"/>
                <w:kern w:val="0"/>
                <w:sz w:val="32"/>
                <w:szCs w:val="32"/>
                <w:u w:val="none"/>
                <w:lang w:val="en-US" w:eastAsia="zh-CN" w:bidi="ar"/>
              </w:rPr>
              <w:t>专项资金绩效目标完成情况自评表</w:t>
            </w:r>
          </w:p>
          <w:p w14:paraId="62DD5F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32"/>
                <w:szCs w:val="32"/>
                <w:u w:val="none"/>
                <w:lang w:val="en-US" w:eastAsia="zh-CN" w:bidi="ar"/>
              </w:rPr>
            </w:pPr>
          </w:p>
        </w:tc>
      </w:tr>
      <w:tr w14:paraId="4926E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0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64E4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29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1C61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2023年食品药品及农产品安全、放心舒心消费城市建设专项资金</w:t>
            </w:r>
          </w:p>
        </w:tc>
      </w:tr>
      <w:tr w14:paraId="5ECD3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0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2ECD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预算单位</w:t>
            </w:r>
          </w:p>
        </w:tc>
        <w:tc>
          <w:tcPr>
            <w:tcW w:w="29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92F1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遂宁市安居区市场监督管理局</w:t>
            </w:r>
          </w:p>
        </w:tc>
      </w:tr>
      <w:tr w14:paraId="5E622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0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E0DC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项目类型</w:t>
            </w:r>
          </w:p>
        </w:tc>
        <w:tc>
          <w:tcPr>
            <w:tcW w:w="29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0DA8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市级专项</w:t>
            </w:r>
          </w:p>
        </w:tc>
      </w:tr>
      <w:tr w14:paraId="4BE25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315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 概况</w:t>
            </w:r>
          </w:p>
        </w:tc>
        <w:tc>
          <w:tcPr>
            <w:tcW w:w="17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F33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中长期规划（名称、文号，仅指常年项目）</w:t>
            </w:r>
          </w:p>
        </w:tc>
        <w:tc>
          <w:tcPr>
            <w:tcW w:w="29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4CC0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《遂宁市人民政府办公室关于印发&lt;遂宁市本级财政性资金管理决策程序规定（试行）&gt;的通知》遂府办发[2021]14号</w:t>
            </w:r>
          </w:p>
        </w:tc>
      </w:tr>
      <w:tr w14:paraId="41D83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DFA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6EB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资金管理办法（名称、文号）</w:t>
            </w:r>
          </w:p>
        </w:tc>
        <w:tc>
          <w:tcPr>
            <w:tcW w:w="29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A4A3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《遂宁市人民政府办公室关于印发&lt;遂宁市本级财政性资金管理决策程序规定（试行）&gt;的通知》遂府办发[2021]14号</w:t>
            </w:r>
          </w:p>
        </w:tc>
      </w:tr>
      <w:tr w14:paraId="21A38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FDE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0986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绩效分配方式</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C50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sym w:font="Wingdings 2" w:char="00A3"/>
            </w:r>
            <w:r>
              <w:rPr>
                <w:rFonts w:hint="default" w:ascii="Times New Roman" w:hAnsi="Times New Roman" w:eastAsia="宋体" w:cs="Times New Roman"/>
                <w:i w:val="0"/>
                <w:iCs w:val="0"/>
                <w:color w:val="000000"/>
                <w:kern w:val="0"/>
                <w:sz w:val="18"/>
                <w:szCs w:val="18"/>
                <w:u w:val="none"/>
                <w:lang w:val="en-US" w:eastAsia="zh-CN" w:bidi="ar"/>
              </w:rPr>
              <w:t>因素法</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000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√项目法</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DC9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√据实据效</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87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£因素法与项目法相结合</w:t>
            </w:r>
          </w:p>
        </w:tc>
      </w:tr>
      <w:tr w14:paraId="04799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545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96A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立项依据</w:t>
            </w:r>
          </w:p>
        </w:tc>
        <w:tc>
          <w:tcPr>
            <w:tcW w:w="29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7EC3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遂财行[2023]87号关于拨付2023年食品药品及农产品安全、放心舒心消费城市建设专项资金的通知</w:t>
            </w:r>
          </w:p>
        </w:tc>
      </w:tr>
      <w:tr w14:paraId="2E9E2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8E0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ACF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使用范围</w:t>
            </w:r>
          </w:p>
        </w:tc>
        <w:tc>
          <w:tcPr>
            <w:tcW w:w="29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DCE6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食品、药品及农产品安全</w:t>
            </w:r>
          </w:p>
        </w:tc>
      </w:tr>
      <w:tr w14:paraId="49313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6DA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311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申报（补助）条件</w:t>
            </w:r>
          </w:p>
        </w:tc>
        <w:tc>
          <w:tcPr>
            <w:tcW w:w="29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CA13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紧紧围绕食品、药品及农产品安全，开展相关工作</w:t>
            </w:r>
          </w:p>
        </w:tc>
      </w:tr>
      <w:tr w14:paraId="5A465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A3D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4739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项目起止年限</w:t>
            </w:r>
          </w:p>
        </w:tc>
        <w:tc>
          <w:tcPr>
            <w:tcW w:w="29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6D80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2023年-2024年</w:t>
            </w:r>
          </w:p>
        </w:tc>
      </w:tr>
      <w:tr w14:paraId="0D3C0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75A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项目资金</w:t>
            </w:r>
          </w:p>
          <w:p w14:paraId="1C0D64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2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881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  年度资金总额：</w:t>
            </w:r>
          </w:p>
        </w:tc>
        <w:tc>
          <w:tcPr>
            <w:tcW w:w="29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5C18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22</w:t>
            </w:r>
          </w:p>
        </w:tc>
      </w:tr>
      <w:tr w14:paraId="09A9C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7CA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838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      其中：财政拨款</w:t>
            </w:r>
          </w:p>
        </w:tc>
        <w:tc>
          <w:tcPr>
            <w:tcW w:w="29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65DB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22</w:t>
            </w:r>
          </w:p>
        </w:tc>
      </w:tr>
      <w:tr w14:paraId="2B205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5" w:hRule="atLeast"/>
          <w:jc w:val="center"/>
        </w:trPr>
        <w:tc>
          <w:tcPr>
            <w:tcW w:w="8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B95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2BD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            其他资金</w:t>
            </w:r>
          </w:p>
        </w:tc>
        <w:tc>
          <w:tcPr>
            <w:tcW w:w="29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3E74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5B45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7D8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总体 目标</w:t>
            </w:r>
          </w:p>
        </w:tc>
        <w:tc>
          <w:tcPr>
            <w:tcW w:w="468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49B0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年度目标</w:t>
            </w:r>
          </w:p>
        </w:tc>
      </w:tr>
      <w:tr w14:paraId="1DF22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BEB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68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BE53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紧紧围绕省局、市局确定的年度重点工作，深化落实食品安全“两个责任”，持续深入开展食品及相关产品监督检查，强化学校、养老机构等重点领域食品安全监管水平，不断夯实监管人员能力，创新开展智慧监管，加大宣传影响力度，提升社会各界食品安全意识，全面提升食品质量安全和安全生产水平，努力实现食品安全提质晋位，确保老百姓“舌尖上的安全”。</w:t>
            </w:r>
          </w:p>
        </w:tc>
      </w:tr>
      <w:tr w14:paraId="7B4E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18" w:type="pct"/>
            <w:vMerge w:val="restart"/>
            <w:tcBorders>
              <w:top w:val="single" w:color="000000" w:sz="4" w:space="0"/>
              <w:left w:val="single" w:color="000000" w:sz="4" w:space="0"/>
              <w:bottom w:val="single" w:color="000000" w:sz="4" w:space="0"/>
            </w:tcBorders>
            <w:shd w:val="clear" w:color="auto" w:fill="auto"/>
            <w:vAlign w:val="center"/>
          </w:tcPr>
          <w:p w14:paraId="189807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绩效 指标</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69A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CF0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AC2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D27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725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BC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3AC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FCC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实际完成指标值</w:t>
            </w:r>
          </w:p>
        </w:tc>
      </w:tr>
      <w:tr w14:paraId="3AAFB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18" w:type="pct"/>
            <w:vMerge w:val="continue"/>
            <w:tcBorders>
              <w:top w:val="single" w:color="000000" w:sz="4" w:space="0"/>
              <w:left w:val="single" w:color="000000" w:sz="4" w:space="0"/>
              <w:bottom w:val="single" w:color="000000" w:sz="4" w:space="0"/>
            </w:tcBorders>
            <w:shd w:val="clear" w:color="auto" w:fill="auto"/>
            <w:vAlign w:val="center"/>
          </w:tcPr>
          <w:p w14:paraId="30B5BD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27" w:type="pct"/>
            <w:vMerge w:val="restart"/>
            <w:tcBorders>
              <w:top w:val="single" w:color="000000" w:sz="4" w:space="0"/>
              <w:left w:val="single" w:color="000000" w:sz="4" w:space="0"/>
              <w:right w:val="single" w:color="000000" w:sz="4" w:space="0"/>
            </w:tcBorders>
            <w:shd w:val="clear" w:color="auto" w:fill="auto"/>
            <w:vAlign w:val="center"/>
          </w:tcPr>
          <w:p w14:paraId="451C1A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610" w:type="pct"/>
            <w:vMerge w:val="restart"/>
            <w:tcBorders>
              <w:top w:val="single" w:color="000000" w:sz="4" w:space="0"/>
              <w:left w:val="single" w:color="000000" w:sz="4" w:space="0"/>
              <w:right w:val="single" w:color="000000" w:sz="4" w:space="0"/>
            </w:tcBorders>
            <w:shd w:val="clear" w:color="auto" w:fill="auto"/>
            <w:vAlign w:val="center"/>
          </w:tcPr>
          <w:p w14:paraId="296F5F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046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“两个责任”公示牌</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4AD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7D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61D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624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928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3200个</w:t>
            </w:r>
          </w:p>
        </w:tc>
      </w:tr>
      <w:tr w14:paraId="2A4F6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18" w:type="pct"/>
            <w:vMerge w:val="continue"/>
            <w:tcBorders>
              <w:top w:val="single" w:color="000000" w:sz="4" w:space="0"/>
              <w:left w:val="single" w:color="000000" w:sz="4" w:space="0"/>
              <w:bottom w:val="single" w:color="000000" w:sz="4" w:space="0"/>
            </w:tcBorders>
            <w:shd w:val="clear" w:color="auto" w:fill="auto"/>
            <w:vAlign w:val="center"/>
          </w:tcPr>
          <w:p w14:paraId="762918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27" w:type="pct"/>
            <w:vMerge w:val="continue"/>
            <w:tcBorders>
              <w:left w:val="single" w:color="000000" w:sz="4" w:space="0"/>
              <w:right w:val="single" w:color="000000" w:sz="4" w:space="0"/>
            </w:tcBorders>
            <w:shd w:val="clear" w:color="auto" w:fill="auto"/>
            <w:vAlign w:val="center"/>
          </w:tcPr>
          <w:p w14:paraId="2240C1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10" w:type="pct"/>
            <w:vMerge w:val="continue"/>
            <w:tcBorders>
              <w:left w:val="single" w:color="000000" w:sz="4" w:space="0"/>
              <w:right w:val="single" w:color="000000" w:sz="4" w:space="0"/>
            </w:tcBorders>
            <w:shd w:val="clear" w:color="auto" w:fill="auto"/>
            <w:vAlign w:val="center"/>
          </w:tcPr>
          <w:p w14:paraId="7B997C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2B4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制作食品安全信息公示栏</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491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638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320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份</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57E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CF3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1100份</w:t>
            </w:r>
          </w:p>
        </w:tc>
      </w:tr>
      <w:tr w14:paraId="4A9F1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18" w:type="pct"/>
            <w:vMerge w:val="continue"/>
            <w:tcBorders>
              <w:top w:val="single" w:color="000000" w:sz="4" w:space="0"/>
              <w:left w:val="single" w:color="000000" w:sz="4" w:space="0"/>
              <w:bottom w:val="single" w:color="000000" w:sz="4" w:space="0"/>
            </w:tcBorders>
            <w:shd w:val="clear" w:color="auto" w:fill="auto"/>
            <w:vAlign w:val="center"/>
          </w:tcPr>
          <w:p w14:paraId="3A3132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27" w:type="pct"/>
            <w:vMerge w:val="continue"/>
            <w:tcBorders>
              <w:left w:val="single" w:color="000000" w:sz="4" w:space="0"/>
              <w:right w:val="single" w:color="000000" w:sz="4" w:space="0"/>
            </w:tcBorders>
            <w:shd w:val="clear" w:color="auto" w:fill="auto"/>
            <w:vAlign w:val="center"/>
          </w:tcPr>
          <w:p w14:paraId="65A409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10" w:type="pct"/>
            <w:vMerge w:val="continue"/>
            <w:tcBorders>
              <w:left w:val="single" w:color="000000" w:sz="4" w:space="0"/>
              <w:bottom w:val="single" w:color="000000" w:sz="4" w:space="0"/>
              <w:right w:val="single" w:color="000000" w:sz="4" w:space="0"/>
            </w:tcBorders>
            <w:shd w:val="clear" w:color="auto" w:fill="auto"/>
            <w:vAlign w:val="center"/>
          </w:tcPr>
          <w:p w14:paraId="145DCF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786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印制食品安全宣传资料</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F42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776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20000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462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份</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622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C16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32000份</w:t>
            </w:r>
          </w:p>
        </w:tc>
      </w:tr>
      <w:tr w14:paraId="10050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18" w:type="pct"/>
            <w:vMerge w:val="continue"/>
            <w:tcBorders>
              <w:top w:val="single" w:color="000000" w:sz="4" w:space="0"/>
              <w:left w:val="single" w:color="000000" w:sz="4" w:space="0"/>
              <w:bottom w:val="single" w:color="000000" w:sz="4" w:space="0"/>
            </w:tcBorders>
            <w:shd w:val="clear" w:color="auto" w:fill="auto"/>
            <w:vAlign w:val="center"/>
          </w:tcPr>
          <w:p w14:paraId="641341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27" w:type="pct"/>
            <w:vMerge w:val="continue"/>
            <w:tcBorders>
              <w:left w:val="single" w:color="000000" w:sz="4" w:space="0"/>
              <w:right w:val="single" w:color="000000" w:sz="4" w:space="0"/>
            </w:tcBorders>
            <w:shd w:val="clear" w:color="auto" w:fill="auto"/>
            <w:vAlign w:val="center"/>
          </w:tcPr>
          <w:p w14:paraId="2245ED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10" w:type="pct"/>
            <w:vMerge w:val="restart"/>
            <w:tcBorders>
              <w:top w:val="single" w:color="000000" w:sz="4" w:space="0"/>
              <w:left w:val="single" w:color="000000" w:sz="4" w:space="0"/>
              <w:right w:val="single" w:color="000000" w:sz="4" w:space="0"/>
            </w:tcBorders>
            <w:shd w:val="clear" w:color="auto" w:fill="auto"/>
            <w:vAlign w:val="center"/>
          </w:tcPr>
          <w:p w14:paraId="38E7BE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0DB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培训合格率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B99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5F9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833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720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BBC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95%</w:t>
            </w:r>
          </w:p>
        </w:tc>
      </w:tr>
      <w:tr w14:paraId="612ED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18" w:type="pct"/>
            <w:vMerge w:val="continue"/>
            <w:tcBorders>
              <w:top w:val="single" w:color="000000" w:sz="4" w:space="0"/>
              <w:left w:val="single" w:color="000000" w:sz="4" w:space="0"/>
              <w:bottom w:val="single" w:color="000000" w:sz="4" w:space="0"/>
            </w:tcBorders>
            <w:shd w:val="clear" w:color="auto" w:fill="auto"/>
            <w:vAlign w:val="center"/>
          </w:tcPr>
          <w:p w14:paraId="5D459A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27" w:type="pct"/>
            <w:vMerge w:val="continue"/>
            <w:tcBorders>
              <w:left w:val="single" w:color="000000" w:sz="4" w:space="0"/>
              <w:right w:val="single" w:color="000000" w:sz="4" w:space="0"/>
            </w:tcBorders>
            <w:shd w:val="clear" w:color="auto" w:fill="auto"/>
            <w:vAlign w:val="center"/>
          </w:tcPr>
          <w:p w14:paraId="0CA23F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10" w:type="pct"/>
            <w:vMerge w:val="continue"/>
            <w:tcBorders>
              <w:left w:val="single" w:color="000000" w:sz="4" w:space="0"/>
              <w:bottom w:val="single" w:color="000000" w:sz="4" w:space="0"/>
              <w:right w:val="single" w:color="000000" w:sz="4" w:space="0"/>
            </w:tcBorders>
            <w:shd w:val="clear" w:color="auto" w:fill="auto"/>
            <w:vAlign w:val="center"/>
          </w:tcPr>
          <w:p w14:paraId="2EDC44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7D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食品安全信息公示栏更新率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2EE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8FD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B7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CBE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38C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90</w:t>
            </w:r>
          </w:p>
        </w:tc>
      </w:tr>
      <w:tr w14:paraId="7BCB0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18" w:type="pct"/>
            <w:vMerge w:val="continue"/>
            <w:tcBorders>
              <w:top w:val="single" w:color="000000" w:sz="4" w:space="0"/>
              <w:left w:val="single" w:color="000000" w:sz="4" w:space="0"/>
              <w:bottom w:val="single" w:color="000000" w:sz="4" w:space="0"/>
            </w:tcBorders>
            <w:shd w:val="clear" w:color="auto" w:fill="auto"/>
            <w:vAlign w:val="center"/>
          </w:tcPr>
          <w:p w14:paraId="62368A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27" w:type="pct"/>
            <w:vMerge w:val="continue"/>
            <w:tcBorders>
              <w:left w:val="single" w:color="000000" w:sz="4" w:space="0"/>
              <w:bottom w:val="single" w:color="000000" w:sz="4" w:space="0"/>
              <w:right w:val="single" w:color="000000" w:sz="4" w:space="0"/>
            </w:tcBorders>
            <w:shd w:val="clear" w:color="auto" w:fill="auto"/>
            <w:vAlign w:val="center"/>
          </w:tcPr>
          <w:p w14:paraId="7EE0F6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F9E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F2A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.项目完成时间</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935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19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2024年</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7B0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79D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97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2024年</w:t>
            </w:r>
          </w:p>
        </w:tc>
      </w:tr>
      <w:tr w14:paraId="045C2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0" w:hRule="atLeast"/>
          <w:jc w:val="center"/>
        </w:trPr>
        <w:tc>
          <w:tcPr>
            <w:tcW w:w="318" w:type="pct"/>
            <w:vMerge w:val="continue"/>
            <w:tcBorders>
              <w:top w:val="single" w:color="000000" w:sz="4" w:space="0"/>
              <w:left w:val="single" w:color="000000" w:sz="4" w:space="0"/>
              <w:bottom w:val="single" w:color="000000" w:sz="4" w:space="0"/>
            </w:tcBorders>
            <w:shd w:val="clear" w:color="auto" w:fill="auto"/>
            <w:vAlign w:val="center"/>
          </w:tcPr>
          <w:p w14:paraId="1707E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37F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14E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经济效益</w:t>
            </w:r>
          </w:p>
          <w:p w14:paraId="4FFD50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482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F05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91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CFC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7FE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52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1CBB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18" w:type="pct"/>
            <w:vMerge w:val="continue"/>
            <w:tcBorders>
              <w:top w:val="single" w:color="000000" w:sz="4" w:space="0"/>
              <w:left w:val="single" w:color="000000" w:sz="4" w:space="0"/>
              <w:bottom w:val="single" w:color="000000" w:sz="4" w:space="0"/>
            </w:tcBorders>
            <w:shd w:val="clear" w:color="auto" w:fill="auto"/>
            <w:vAlign w:val="center"/>
          </w:tcPr>
          <w:p w14:paraId="4F3233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64F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10" w:type="pct"/>
            <w:vMerge w:val="restart"/>
            <w:tcBorders>
              <w:top w:val="single" w:color="000000" w:sz="4" w:space="0"/>
              <w:left w:val="single" w:color="000000" w:sz="4" w:space="0"/>
              <w:right w:val="single" w:color="000000" w:sz="4" w:space="0"/>
            </w:tcBorders>
            <w:shd w:val="clear" w:color="auto" w:fill="auto"/>
            <w:vAlign w:val="center"/>
          </w:tcPr>
          <w:p w14:paraId="76E1B5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社会效益</w:t>
            </w:r>
          </w:p>
          <w:p w14:paraId="6F0048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7B9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食品安全水平、监管能力</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DA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D9C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不断提升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FC7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97E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D4A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不断提升</w:t>
            </w:r>
          </w:p>
        </w:tc>
      </w:tr>
      <w:tr w14:paraId="3AA46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18" w:type="pct"/>
            <w:vMerge w:val="continue"/>
            <w:tcBorders>
              <w:top w:val="single" w:color="000000" w:sz="4" w:space="0"/>
              <w:left w:val="single" w:color="000000" w:sz="4" w:space="0"/>
              <w:bottom w:val="single" w:color="000000" w:sz="4" w:space="0"/>
            </w:tcBorders>
            <w:shd w:val="clear" w:color="auto" w:fill="auto"/>
            <w:vAlign w:val="center"/>
          </w:tcPr>
          <w:p w14:paraId="4D4992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227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10" w:type="pct"/>
            <w:vMerge w:val="continue"/>
            <w:tcBorders>
              <w:left w:val="single" w:color="000000" w:sz="4" w:space="0"/>
              <w:right w:val="single" w:color="000000" w:sz="4" w:space="0"/>
            </w:tcBorders>
            <w:shd w:val="clear" w:color="auto" w:fill="auto"/>
            <w:vAlign w:val="center"/>
          </w:tcPr>
          <w:p w14:paraId="5C53C9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2BB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营商环境</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EAB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9A9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不断优化</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D93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518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42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不断优化</w:t>
            </w:r>
          </w:p>
        </w:tc>
      </w:tr>
      <w:tr w14:paraId="49A8E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18" w:type="pct"/>
            <w:vMerge w:val="continue"/>
            <w:tcBorders>
              <w:top w:val="single" w:color="000000" w:sz="4" w:space="0"/>
              <w:left w:val="single" w:color="000000" w:sz="4" w:space="0"/>
              <w:bottom w:val="single" w:color="000000" w:sz="4" w:space="0"/>
            </w:tcBorders>
            <w:shd w:val="clear" w:color="auto" w:fill="auto"/>
            <w:vAlign w:val="center"/>
          </w:tcPr>
          <w:p w14:paraId="75C4E1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15A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10" w:type="pct"/>
            <w:vMerge w:val="continue"/>
            <w:tcBorders>
              <w:left w:val="single" w:color="000000" w:sz="4" w:space="0"/>
              <w:right w:val="single" w:color="000000" w:sz="4" w:space="0"/>
            </w:tcBorders>
            <w:shd w:val="clear" w:color="auto" w:fill="auto"/>
            <w:vAlign w:val="center"/>
          </w:tcPr>
          <w:p w14:paraId="6BDC88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2D1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辖区内与补助资金相关的重大食品安全监管责任事故发生数</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3D6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21A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0次</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6C2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7E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F8D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0次 </w:t>
            </w:r>
          </w:p>
        </w:tc>
      </w:tr>
      <w:tr w14:paraId="78A1D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18" w:type="pct"/>
            <w:vMerge w:val="continue"/>
            <w:tcBorders>
              <w:top w:val="single" w:color="000000" w:sz="4" w:space="0"/>
              <w:left w:val="single" w:color="000000" w:sz="4" w:space="0"/>
              <w:bottom w:val="single" w:color="000000" w:sz="4" w:space="0"/>
            </w:tcBorders>
            <w:shd w:val="clear" w:color="auto" w:fill="auto"/>
            <w:vAlign w:val="center"/>
          </w:tcPr>
          <w:p w14:paraId="170551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27" w:type="pct"/>
            <w:tcBorders>
              <w:top w:val="single" w:color="000000" w:sz="4" w:space="0"/>
              <w:left w:val="single" w:color="000000" w:sz="4" w:space="0"/>
              <w:right w:val="single" w:color="000000" w:sz="4" w:space="0"/>
            </w:tcBorders>
            <w:shd w:val="clear" w:color="auto" w:fill="auto"/>
            <w:vAlign w:val="center"/>
          </w:tcPr>
          <w:p w14:paraId="36121F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满意度</w:t>
            </w:r>
          </w:p>
          <w:p w14:paraId="6A8080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指标</w:t>
            </w:r>
          </w:p>
        </w:tc>
        <w:tc>
          <w:tcPr>
            <w:tcW w:w="610" w:type="pct"/>
            <w:tcBorders>
              <w:top w:val="single" w:color="000000" w:sz="4" w:space="0"/>
              <w:left w:val="single" w:color="000000" w:sz="4" w:space="0"/>
              <w:right w:val="single" w:color="000000" w:sz="4" w:space="0"/>
            </w:tcBorders>
            <w:shd w:val="clear" w:color="auto" w:fill="auto"/>
            <w:vAlign w:val="center"/>
          </w:tcPr>
          <w:p w14:paraId="4C62FE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服务对象</w:t>
            </w:r>
          </w:p>
          <w:p w14:paraId="7681F5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16A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公众对食品安全的满意度</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23E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4E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F61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分</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DEC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5B6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84.12分</w:t>
            </w:r>
          </w:p>
        </w:tc>
      </w:tr>
      <w:tr w14:paraId="27224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18" w:type="pct"/>
            <w:vMerge w:val="continue"/>
            <w:tcBorders>
              <w:top w:val="single" w:color="000000" w:sz="4" w:space="0"/>
              <w:left w:val="single" w:color="000000" w:sz="4" w:space="0"/>
              <w:bottom w:val="single" w:color="000000" w:sz="4" w:space="0"/>
            </w:tcBorders>
            <w:shd w:val="clear" w:color="auto" w:fill="auto"/>
            <w:vAlign w:val="center"/>
          </w:tcPr>
          <w:p w14:paraId="176C0B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286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E9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经济成本</w:t>
            </w:r>
          </w:p>
          <w:p w14:paraId="0C8BEC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指标</w:t>
            </w:r>
          </w:p>
        </w:tc>
        <w:tc>
          <w:tcPr>
            <w:tcW w:w="641" w:type="pct"/>
            <w:tcBorders>
              <w:top w:val="single" w:color="000000" w:sz="4" w:space="0"/>
              <w:bottom w:val="single" w:color="000000" w:sz="4" w:space="0"/>
              <w:right w:val="single" w:color="000000" w:sz="4" w:space="0"/>
            </w:tcBorders>
            <w:shd w:val="clear" w:color="auto" w:fill="auto"/>
            <w:vAlign w:val="center"/>
          </w:tcPr>
          <w:p w14:paraId="4EEF0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每次食品安全宣传费</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0B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01B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B5C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8A4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DD2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≤3万元/次</w:t>
            </w:r>
          </w:p>
        </w:tc>
      </w:tr>
    </w:tbl>
    <w:p w14:paraId="5F6E9EEE">
      <w:pPr>
        <w:pStyle w:val="19"/>
        <w:keepNext w:val="0"/>
        <w:keepLines w:val="0"/>
        <w:pageBreakBefore w:val="0"/>
        <w:kinsoku/>
        <w:wordWrap/>
        <w:overflowPunct/>
        <w:topLinePunct w:val="0"/>
        <w:autoSpaceDE/>
        <w:autoSpaceDN/>
        <w:bidi w:val="0"/>
        <w:spacing w:after="0" w:line="578" w:lineRule="exact"/>
        <w:ind w:left="0" w:leftChars="0" w:firstLine="0" w:firstLineChars="0"/>
        <w:rPr>
          <w:rFonts w:hint="default" w:ascii="Times New Roman" w:hAnsi="Times New Roman" w:eastAsia="黑体" w:cs="Times New Roman"/>
          <w:sz w:val="24"/>
          <w:szCs w:val="24"/>
          <w:highlight w:val="none"/>
          <w:lang w:val="en-US" w:eastAsia="zh-CN"/>
        </w:rPr>
      </w:pPr>
    </w:p>
    <w:p w14:paraId="40BF8D37">
      <w:pPr>
        <w:pStyle w:val="28"/>
        <w:rPr>
          <w:rFonts w:hint="default" w:ascii="Times New Roman" w:hAnsi="Times New Roman" w:cs="Times New Roman"/>
        </w:rPr>
      </w:pPr>
    </w:p>
    <w:p w14:paraId="6AA4CA6B">
      <w:pPr>
        <w:keepNext w:val="0"/>
        <w:keepLines w:val="0"/>
        <w:pageBreakBefore w:val="0"/>
        <w:kinsoku/>
        <w:wordWrap/>
        <w:overflowPunct/>
        <w:topLinePunct w:val="0"/>
        <w:autoSpaceDE/>
        <w:autoSpaceDN/>
        <w:bidi w:val="0"/>
        <w:spacing w:line="572" w:lineRule="exact"/>
        <w:jc w:val="center"/>
        <w:textAlignment w:val="auto"/>
        <w:outlineLvl w:val="0"/>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lang w:val="en-US" w:eastAsia="zh-CN"/>
        </w:rPr>
        <w:t>专项预算项目绩效评价报告</w:t>
      </w:r>
    </w:p>
    <w:p w14:paraId="0FE839E0">
      <w:pPr>
        <w:spacing w:line="600" w:lineRule="exact"/>
        <w:jc w:val="center"/>
        <w:outlineLvl w:val="0"/>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lang w:val="en-US" w:eastAsia="zh-CN"/>
        </w:rPr>
        <w:t>（2024年市场监管专项资金）</w:t>
      </w:r>
    </w:p>
    <w:p w14:paraId="7197BE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kern w:val="0"/>
          <w:sz w:val="32"/>
          <w:szCs w:val="48"/>
          <w:shd w:val="clear" w:color="auto" w:fill="FFFFFF"/>
          <w:lang w:val="zh-CN" w:eastAsia="zh-CN"/>
        </w:rPr>
      </w:pPr>
      <w:r>
        <w:rPr>
          <w:rFonts w:hint="default" w:ascii="Times New Roman" w:hAnsi="Times New Roman" w:eastAsia="黑体" w:cs="Times New Roman"/>
          <w:color w:val="000000"/>
          <w:kern w:val="0"/>
          <w:sz w:val="32"/>
          <w:szCs w:val="48"/>
          <w:shd w:val="clear" w:color="auto" w:fill="FFFFFF"/>
          <w:lang w:val="en-US" w:eastAsia="zh-CN"/>
        </w:rPr>
        <w:t>一、</w:t>
      </w:r>
      <w:r>
        <w:rPr>
          <w:rFonts w:hint="default" w:ascii="Times New Roman" w:hAnsi="Times New Roman" w:eastAsia="黑体" w:cs="Times New Roman"/>
          <w:color w:val="000000"/>
          <w:kern w:val="0"/>
          <w:sz w:val="32"/>
          <w:szCs w:val="48"/>
          <w:shd w:val="clear" w:color="auto" w:fill="FFFFFF"/>
          <w:lang w:val="zh-CN" w:eastAsia="zh-CN"/>
        </w:rPr>
        <w:t>项目概况</w:t>
      </w:r>
    </w:p>
    <w:p w14:paraId="5CEA2BDE">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（一）设立背景及基本情况</w:t>
      </w:r>
    </w:p>
    <w:p w14:paraId="168555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en-US" w:eastAsia="zh-CN"/>
        </w:rPr>
        <w:t>2024年省级财政安排下达市场监管专项资金（包含</w:t>
      </w:r>
      <w:r>
        <w:rPr>
          <w:rFonts w:hint="eastAsia" w:eastAsia="仿宋" w:cs="Times New Roman"/>
          <w:sz w:val="32"/>
          <w:szCs w:val="32"/>
          <w:lang w:val="en-US" w:eastAsia="zh-CN"/>
        </w:rPr>
        <w:t>2023年</w:t>
      </w:r>
      <w:r>
        <w:rPr>
          <w:rFonts w:hint="default" w:ascii="Times New Roman" w:hAnsi="Times New Roman" w:eastAsia="仿宋" w:cs="Times New Roman"/>
          <w:sz w:val="32"/>
          <w:szCs w:val="32"/>
          <w:lang w:val="en-US" w:eastAsia="zh-CN"/>
        </w:rPr>
        <w:t>应急部分），主要用于市、县两级市场监管部门依法履行职能职责，促进全区市场监管事业持续健康发展。</w:t>
      </w:r>
    </w:p>
    <w:p w14:paraId="2B47DCDA">
      <w:pPr>
        <w:spacing w:line="600" w:lineRule="exact"/>
        <w:ind w:firstLine="640"/>
        <w:outlineLvl w:val="2"/>
        <w:rPr>
          <w:rFonts w:hint="default" w:ascii="楷体_GB2312" w:hAnsi="楷体_GB2312" w:eastAsia="楷体_GB2312" w:cs="楷体_GB2312"/>
          <w:b/>
          <w:color w:val="auto"/>
          <w:sz w:val="32"/>
          <w:szCs w:val="32"/>
          <w:highlight w:val="none"/>
          <w:lang w:val="en-US" w:eastAsia="zh-CN"/>
        </w:rPr>
      </w:pPr>
      <w:r>
        <w:rPr>
          <w:rFonts w:hint="default" w:ascii="楷体_GB2312" w:hAnsi="楷体_GB2312" w:eastAsia="楷体_GB2312" w:cs="楷体_GB2312"/>
          <w:b/>
          <w:color w:val="auto"/>
          <w:sz w:val="32"/>
          <w:szCs w:val="32"/>
          <w:highlight w:val="none"/>
          <w:lang w:val="en-US" w:eastAsia="zh-CN"/>
        </w:rPr>
        <w:t>（二）实施目的及支持方向</w:t>
      </w:r>
    </w:p>
    <w:p w14:paraId="37C121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en-US" w:eastAsia="zh-CN"/>
        </w:rPr>
        <w:t>严格按照《四川省财政厅 四川省市场监督管理局关于印发〈四川省市场监督专项资金管理办法〉的通知》（川财行〔2019〕74号）要求，制定实施方案，加强监督、专款专用，强化消费引导、深入推动放心舒心消费环境建设，加强基层市场监管所标准化规范化建设，提高综合行政执法水平</w:t>
      </w:r>
      <w:r>
        <w:rPr>
          <w:rFonts w:hint="default" w:ascii="Times New Roman" w:hAnsi="Times New Roman" w:eastAsia="仿宋" w:cs="Times New Roman"/>
          <w:sz w:val="32"/>
          <w:szCs w:val="32"/>
          <w:lang w:val="zh-CN" w:eastAsia="zh-CN"/>
        </w:rPr>
        <w:t>。</w:t>
      </w:r>
    </w:p>
    <w:p w14:paraId="513D78E9">
      <w:pPr>
        <w:spacing w:line="600" w:lineRule="exact"/>
        <w:ind w:firstLine="640"/>
        <w:outlineLvl w:val="2"/>
        <w:rPr>
          <w:rFonts w:hint="default" w:ascii="楷体_GB2312" w:hAnsi="楷体_GB2312" w:eastAsia="楷体_GB2312" w:cs="楷体_GB2312"/>
          <w:b/>
          <w:color w:val="auto"/>
          <w:sz w:val="32"/>
          <w:szCs w:val="32"/>
          <w:highlight w:val="none"/>
          <w:lang w:val="en-US" w:eastAsia="zh-CN"/>
        </w:rPr>
      </w:pPr>
      <w:r>
        <w:rPr>
          <w:rFonts w:hint="default" w:ascii="楷体_GB2312" w:hAnsi="楷体_GB2312" w:eastAsia="楷体_GB2312" w:cs="楷体_GB2312"/>
          <w:b/>
          <w:color w:val="auto"/>
          <w:sz w:val="32"/>
          <w:szCs w:val="32"/>
          <w:highlight w:val="none"/>
          <w:lang w:val="en-US" w:eastAsia="zh-CN"/>
        </w:rPr>
        <w:t>（三）预算安排及分配管理</w:t>
      </w:r>
    </w:p>
    <w:p w14:paraId="4D4087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en-US" w:eastAsia="zh-CN"/>
        </w:rPr>
        <w:t>根据《遂宁市财政局 遂宁市市场监督管理局关于下达2024年市场监管专项资金的通知》（遂财行〔2024〕44号）文件，下达市场监管专项资金35万元，其中基层市场监管所标准化规范化建设15万元、企业公示信息双随机检查和年报工作3万元、“小个专”暨外卖送餐员群体党建1万元、放心舒心消费示范单元提质升级1万元。根据《遂宁市财政局关于下达2023年市场监管专项资金（应急部分）的通知》（遂财行〔2024〕27号）文件，下达市场监管专项资金（应急部分）10万元，主要用于特种设备安全示范创建工作。</w:t>
      </w:r>
    </w:p>
    <w:p w14:paraId="52C11480">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（四）项目绩效目标设置</w:t>
      </w:r>
    </w:p>
    <w:p w14:paraId="583E3A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val="zh-CN" w:eastAsia="zh-CN"/>
        </w:rPr>
        <w:t>项目整体目标</w:t>
      </w:r>
    </w:p>
    <w:p w14:paraId="6D34C5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紧紧围绕省局、市局确定的年度重点工作，强化消费引导、深入推动放心舒心消费环境建设，开展“铁拳”暨“春雷行动”，开展基层市场监管所标准化规范化建设，提高综合行政执法水平，提升特种设备安全监管能力水平，开展特种设备安全监管示范创建，切实治理消除重大安全隐患，坚决遏制重大事故发生。</w:t>
      </w:r>
    </w:p>
    <w:p w14:paraId="6C2BCE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val="zh-CN" w:eastAsia="zh-CN"/>
        </w:rPr>
        <w:t>区域和具体绩效目标设置情况</w:t>
      </w:r>
    </w:p>
    <w:p w14:paraId="4C776A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zh-CN" w:eastAsia="zh-CN"/>
        </w:rPr>
        <w:t>2024年市场监管专项资金（</w:t>
      </w:r>
      <w:r>
        <w:rPr>
          <w:rFonts w:hint="default" w:ascii="Times New Roman" w:hAnsi="Times New Roman" w:eastAsia="仿宋" w:cs="Times New Roman"/>
          <w:sz w:val="32"/>
          <w:szCs w:val="32"/>
          <w:lang w:val="en-US" w:eastAsia="zh-CN"/>
        </w:rPr>
        <w:t>包含应急部分</w:t>
      </w:r>
      <w:r>
        <w:rPr>
          <w:rFonts w:hint="default" w:ascii="Times New Roman" w:hAnsi="Times New Roman" w:eastAsia="仿宋" w:cs="Times New Roman"/>
          <w:sz w:val="32"/>
          <w:szCs w:val="32"/>
          <w:lang w:val="zh-CN" w:eastAsia="zh-CN"/>
        </w:rPr>
        <w:t>）：</w:t>
      </w:r>
    </w:p>
    <w:p w14:paraId="26BF0E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数量指标：基层市场监管所标准化规范化建设示范创建个数基层所≥3个，现场检查特种设备生产及使用单位覆盖率≥60家，完成对放心舒心消费单元现场督导个数≥15个，“铁拳”暨“春雷”行动全省覆盖率100%，“双随机”抽查企业比率≥3%，食品安全党政同责考评，辖区内外卖配送员党建数据完整度占比&gt;90%，建立“小个专”综合党委&gt;90%，辖区内形成各类特种设备安全监管试点≧1个。</w:t>
      </w:r>
    </w:p>
    <w:p w14:paraId="496647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质量指标：定量包装和过度包装监督抽查不合格后处理100%。</w:t>
      </w:r>
    </w:p>
    <w:p w14:paraId="6239DE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成本指标：“铁拳”暨“春雷”行动先进集体15万元。</w:t>
      </w:r>
    </w:p>
    <w:p w14:paraId="2E9B7C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时效指标：完成时间2024年12月31日前。</w:t>
      </w:r>
    </w:p>
    <w:p w14:paraId="7EF56B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效益指标：公平竞争的市场秩序稳中向好趋势，辖区内与补助资金相关的重大食品安全监督责任事故发生数0次，进一步深化商事登记制度改革稳中向好趋势，通过监督抽查、风险监测、证后监管等保障人民生命财产健康安全的持续有效，长期严守食品安全、工业产品安全、特种设备安全底线。</w:t>
      </w:r>
    </w:p>
    <w:p w14:paraId="21680A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满意度指标：公众对食品安全的满意度≥75分。</w:t>
      </w:r>
    </w:p>
    <w:p w14:paraId="07F0D4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zh-CN" w:eastAsia="zh-CN"/>
        </w:rPr>
        <w:t>项目自评工作开展情况</w:t>
      </w:r>
    </w:p>
    <w:p w14:paraId="201B38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zh-CN" w:eastAsia="zh-CN"/>
        </w:rPr>
        <w:t>我局按照</w:t>
      </w:r>
      <w:r>
        <w:rPr>
          <w:rFonts w:hint="default" w:ascii="Times New Roman" w:hAnsi="Times New Roman" w:eastAsia="仿宋" w:cs="Times New Roman"/>
          <w:sz w:val="32"/>
          <w:szCs w:val="32"/>
          <w:lang w:val="en-US" w:eastAsia="zh-CN"/>
        </w:rPr>
        <w:t>专项资金管理办法的</w:t>
      </w:r>
      <w:r>
        <w:rPr>
          <w:rFonts w:hint="default" w:ascii="Times New Roman" w:hAnsi="Times New Roman" w:eastAsia="仿宋" w:cs="Times New Roman"/>
          <w:sz w:val="32"/>
          <w:szCs w:val="32"/>
          <w:lang w:val="zh-CN" w:eastAsia="zh-CN"/>
        </w:rPr>
        <w:t>文件要求，结合年度重点工作安排，及时制定专项资金实施方案。方案明确了项目目标、项目内容、项目范围和实施单位、项目组织实施、项目执行时间、项目监督与评估</w:t>
      </w:r>
      <w:r>
        <w:rPr>
          <w:rFonts w:hint="default" w:ascii="Times New Roman" w:hAnsi="Times New Roman" w:eastAsia="仿宋" w:cs="Times New Roman"/>
          <w:sz w:val="32"/>
          <w:szCs w:val="32"/>
          <w:lang w:val="en-US" w:eastAsia="zh-CN"/>
        </w:rPr>
        <w:t>等</w:t>
      </w:r>
      <w:r>
        <w:rPr>
          <w:rFonts w:hint="default" w:ascii="Times New Roman" w:hAnsi="Times New Roman" w:eastAsia="仿宋" w:cs="Times New Roman"/>
          <w:sz w:val="32"/>
          <w:szCs w:val="32"/>
          <w:lang w:val="zh-CN" w:eastAsia="zh-CN"/>
        </w:rPr>
        <w:t>。按照实施方案着力推进项目开展，责任股室负责项目的组织实施、管理、绩效评价工作，</w:t>
      </w:r>
      <w:r>
        <w:rPr>
          <w:rFonts w:hint="default" w:ascii="Times New Roman" w:hAnsi="Times New Roman" w:eastAsia="仿宋" w:cs="Times New Roman"/>
          <w:sz w:val="32"/>
          <w:szCs w:val="32"/>
          <w:lang w:val="en-US" w:eastAsia="zh-CN"/>
        </w:rPr>
        <w:t>办公室</w:t>
      </w:r>
      <w:r>
        <w:rPr>
          <w:rFonts w:hint="default" w:ascii="Times New Roman" w:hAnsi="Times New Roman" w:eastAsia="仿宋" w:cs="Times New Roman"/>
          <w:sz w:val="32"/>
          <w:szCs w:val="32"/>
          <w:lang w:val="zh-CN" w:eastAsia="zh-CN"/>
        </w:rPr>
        <w:t>监督项目资金使用</w:t>
      </w:r>
      <w:r>
        <w:rPr>
          <w:rFonts w:hint="default" w:ascii="Times New Roman" w:hAnsi="Times New Roman" w:eastAsia="仿宋" w:cs="Times New Roman"/>
          <w:sz w:val="32"/>
          <w:szCs w:val="32"/>
          <w:lang w:val="en-US" w:eastAsia="zh-CN"/>
        </w:rPr>
        <w:t>并</w:t>
      </w:r>
      <w:r>
        <w:rPr>
          <w:rFonts w:hint="default" w:ascii="Times New Roman" w:hAnsi="Times New Roman" w:eastAsia="仿宋" w:cs="Times New Roman"/>
          <w:sz w:val="32"/>
          <w:szCs w:val="32"/>
          <w:lang w:val="zh-CN" w:eastAsia="zh-CN"/>
        </w:rPr>
        <w:t>会同责任股室组织项目绩效评价。</w:t>
      </w:r>
    </w:p>
    <w:p w14:paraId="34571B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zh-CN" w:eastAsia="zh-CN"/>
        </w:rPr>
        <w:t>项目资金实行专款专用，专项核算，未列支与项目内容无关的费用，切实做好绩效监控和绩效评价，确保资金安全，提高财政资金使用效率。</w:t>
      </w:r>
    </w:p>
    <w:p w14:paraId="247B3F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kern w:val="0"/>
          <w:sz w:val="32"/>
          <w:szCs w:val="48"/>
          <w:shd w:val="clear" w:color="auto" w:fill="FFFFFF"/>
          <w:lang w:val="en-US" w:eastAsia="zh-CN"/>
        </w:rPr>
      </w:pPr>
      <w:r>
        <w:rPr>
          <w:rFonts w:hint="default" w:ascii="Times New Roman" w:hAnsi="Times New Roman" w:eastAsia="黑体" w:cs="Times New Roman"/>
          <w:color w:val="000000"/>
          <w:kern w:val="0"/>
          <w:sz w:val="32"/>
          <w:szCs w:val="48"/>
          <w:shd w:val="clear" w:color="auto" w:fill="FFFFFF"/>
          <w:lang w:val="en-US" w:eastAsia="zh-CN"/>
        </w:rPr>
        <w:t>二、评价实施</w:t>
      </w:r>
    </w:p>
    <w:p w14:paraId="391D9C13">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（一）评价目的</w:t>
      </w:r>
    </w:p>
    <w:p w14:paraId="67CD3A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通过项目绩效自评更好的规划资金的使用方向，为下一步申请资金提供合理的预算，使项目实施更高效，资金效益最大化，更好的保障辖区市场秩序安全。</w:t>
      </w:r>
    </w:p>
    <w:p w14:paraId="75D1A27C">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（二）预设问题及评价重点</w:t>
      </w:r>
    </w:p>
    <w:p w14:paraId="61C22C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预设问题：</w:t>
      </w:r>
    </w:p>
    <w:p w14:paraId="7EEA89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1.资金使用是否制定实施方案和全过程监管。</w:t>
      </w:r>
    </w:p>
    <w:p w14:paraId="5784E7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2.项目是否按时完成，资金拨付是否到位。</w:t>
      </w:r>
    </w:p>
    <w:p w14:paraId="7A8353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评价重点：</w:t>
      </w:r>
    </w:p>
    <w:p w14:paraId="4140BD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仿宋" w:cs="Times New Roman"/>
          <w:sz w:val="32"/>
          <w:szCs w:val="32"/>
          <w:lang w:val="en-US" w:eastAsia="zh-CN"/>
        </w:rPr>
        <w:t>项目资金财政拨付、单位执行是否到位，实施结果与绩效目标是否相匹配。</w:t>
      </w:r>
    </w:p>
    <w:p w14:paraId="4D75E86F">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（三）评价方法</w:t>
      </w:r>
    </w:p>
    <w:p w14:paraId="1CB11D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仿宋" w:cs="Times New Roman"/>
          <w:sz w:val="32"/>
          <w:szCs w:val="32"/>
          <w:lang w:val="en-US" w:eastAsia="zh-CN"/>
        </w:rPr>
        <w:t>采用成本效益分析法和单位自评法，对市场监管专项资金进行绩效评价。</w:t>
      </w:r>
    </w:p>
    <w:p w14:paraId="3766BC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kern w:val="0"/>
          <w:sz w:val="32"/>
          <w:szCs w:val="48"/>
          <w:shd w:val="clear" w:color="auto" w:fill="FFFFFF"/>
          <w:lang w:val="zh-CN" w:eastAsia="zh-CN"/>
        </w:rPr>
      </w:pPr>
      <w:r>
        <w:rPr>
          <w:rFonts w:hint="default" w:ascii="Times New Roman" w:hAnsi="Times New Roman" w:eastAsia="黑体" w:cs="Times New Roman"/>
          <w:color w:val="000000"/>
          <w:kern w:val="0"/>
          <w:sz w:val="32"/>
          <w:szCs w:val="48"/>
          <w:shd w:val="clear" w:color="auto" w:fill="FFFFFF"/>
          <w:lang w:val="en-US" w:eastAsia="zh-CN"/>
        </w:rPr>
        <w:t>三、绩效分析</w:t>
      </w:r>
    </w:p>
    <w:p w14:paraId="76458FEF">
      <w:pPr>
        <w:spacing w:line="600" w:lineRule="exact"/>
        <w:ind w:firstLine="640"/>
        <w:outlineLvl w:val="2"/>
        <w:rPr>
          <w:rFonts w:hint="default" w:ascii="楷体_GB2312" w:hAnsi="楷体_GB2312" w:eastAsia="楷体_GB2312" w:cs="楷体_GB2312"/>
          <w:b/>
          <w:color w:val="auto"/>
          <w:sz w:val="32"/>
          <w:szCs w:val="32"/>
          <w:highlight w:val="none"/>
          <w:lang w:val="en-US" w:eastAsia="zh-CN"/>
        </w:rPr>
      </w:pPr>
      <w:r>
        <w:rPr>
          <w:rFonts w:hint="default" w:ascii="楷体_GB2312" w:hAnsi="楷体_GB2312" w:eastAsia="楷体_GB2312" w:cs="楷体_GB2312"/>
          <w:b/>
          <w:color w:val="auto"/>
          <w:sz w:val="32"/>
          <w:szCs w:val="32"/>
          <w:highlight w:val="none"/>
          <w:lang w:val="zh-CN" w:eastAsia="zh-CN"/>
        </w:rPr>
        <w:t>（一）</w:t>
      </w:r>
      <w:r>
        <w:rPr>
          <w:rFonts w:hint="default" w:ascii="楷体_GB2312" w:hAnsi="楷体_GB2312" w:eastAsia="楷体_GB2312" w:cs="楷体_GB2312"/>
          <w:b/>
          <w:color w:val="auto"/>
          <w:sz w:val="32"/>
          <w:szCs w:val="32"/>
          <w:highlight w:val="none"/>
          <w:lang w:val="en-US" w:eastAsia="zh-CN"/>
        </w:rPr>
        <w:t>通用指标</w:t>
      </w:r>
      <w:r>
        <w:rPr>
          <w:rFonts w:hint="default" w:ascii="楷体_GB2312" w:hAnsi="楷体_GB2312" w:eastAsia="楷体_GB2312" w:cs="楷体_GB2312"/>
          <w:b/>
          <w:color w:val="auto"/>
          <w:sz w:val="32"/>
          <w:szCs w:val="32"/>
          <w:highlight w:val="none"/>
          <w:lang w:val="zh-CN" w:eastAsia="zh-CN"/>
        </w:rPr>
        <w:t>绩效分析</w:t>
      </w:r>
    </w:p>
    <w:p w14:paraId="13ABEF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1.项目决策</w:t>
      </w:r>
    </w:p>
    <w:p w14:paraId="20E803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项目设立、调整延续等方面符合资金管理基本规范和决策程序要求，项目规划符合中央、省委、省政府有关决策部署安排，充分评估论证项目立项的必要性、前瞻性、合理性和可行性，项目总体绩效目标设置合理性的偏离度≤15%，属于政府支持范围，且符合财政事权支出责任划分规定，资金投向与项目总体规划、相关行业事业发展相匹配，聚焦重大任务、重点领域、重点环节和重点项目，体现“集中财力办大事”原则，避免“撒胡椒面”，未与其他同类项目或部门内部相关项目交叉重复，此项自评得分18分。</w:t>
      </w:r>
    </w:p>
    <w:p w14:paraId="44DE3A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2.项目管理</w:t>
      </w:r>
    </w:p>
    <w:p w14:paraId="1F36A5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资金管理办法等管理制度体系健全完善，不存在管理制度缺失、管理办法过期情况，资金分配因素选取充分考虑相关行业事业发展实际和发展需求，资金分配因素的权重设置有效突出项目实施重点，资金区域分布结果公平合理，资金分配严格按照管理办法执行，决策程序符合管理要求，及时高效，项目按</w:t>
      </w:r>
      <w:r>
        <w:rPr>
          <w:rFonts w:hint="eastAsia" w:eastAsia="仿宋" w:cs="Times New Roman"/>
          <w:sz w:val="32"/>
          <w:szCs w:val="32"/>
          <w:lang w:val="en-US" w:eastAsia="zh-CN"/>
        </w:rPr>
        <w:t>中央、省委</w:t>
      </w:r>
      <w:r>
        <w:rPr>
          <w:rFonts w:hint="default" w:ascii="Times New Roman" w:hAnsi="Times New Roman" w:eastAsia="仿宋" w:cs="Times New Roman"/>
          <w:sz w:val="32"/>
          <w:szCs w:val="32"/>
          <w:lang w:val="en-US" w:eastAsia="zh-CN"/>
        </w:rPr>
        <w:t>要求全面完成绩效目标（含事前评估）、绩效评价等预算绩效管理工作，市级部门对</w:t>
      </w:r>
      <w:r>
        <w:rPr>
          <w:rFonts w:hint="eastAsia" w:eastAsia="仿宋" w:cs="Times New Roman"/>
          <w:sz w:val="32"/>
          <w:szCs w:val="32"/>
          <w:lang w:val="en-US" w:eastAsia="zh-CN"/>
        </w:rPr>
        <w:t>区（县）</w:t>
      </w:r>
      <w:r>
        <w:rPr>
          <w:rFonts w:hint="default" w:ascii="Times New Roman" w:hAnsi="Times New Roman" w:eastAsia="仿宋" w:cs="Times New Roman"/>
          <w:sz w:val="32"/>
          <w:szCs w:val="32"/>
          <w:lang w:val="en-US" w:eastAsia="zh-CN"/>
        </w:rPr>
        <w:t>主管部门预算绩效管理要求到位，不存在对</w:t>
      </w:r>
      <w:r>
        <w:rPr>
          <w:rFonts w:hint="eastAsia" w:eastAsia="仿宋" w:cs="Times New Roman"/>
          <w:sz w:val="32"/>
          <w:szCs w:val="32"/>
          <w:lang w:val="en-US" w:eastAsia="zh-CN"/>
        </w:rPr>
        <w:t>区（县）</w:t>
      </w:r>
      <w:r>
        <w:rPr>
          <w:rFonts w:hint="default" w:ascii="Times New Roman" w:hAnsi="Times New Roman" w:eastAsia="仿宋" w:cs="Times New Roman"/>
          <w:sz w:val="32"/>
          <w:szCs w:val="32"/>
          <w:lang w:val="en-US" w:eastAsia="zh-CN"/>
        </w:rPr>
        <w:t>资金分配和项目管理指导力度不够的情况，对</w:t>
      </w:r>
      <w:r>
        <w:rPr>
          <w:rFonts w:hint="eastAsia" w:eastAsia="仿宋" w:cs="Times New Roman"/>
          <w:sz w:val="32"/>
          <w:szCs w:val="32"/>
          <w:lang w:val="en-US" w:eastAsia="zh-CN"/>
        </w:rPr>
        <w:t>区（县）</w:t>
      </w:r>
      <w:r>
        <w:rPr>
          <w:rFonts w:hint="default" w:ascii="Times New Roman" w:hAnsi="Times New Roman" w:eastAsia="仿宋" w:cs="Times New Roman"/>
          <w:sz w:val="32"/>
          <w:szCs w:val="32"/>
          <w:lang w:val="en-US" w:eastAsia="zh-CN"/>
        </w:rPr>
        <w:t>开展评价、监督、指导等工作，此项自评得分18分。</w:t>
      </w:r>
    </w:p>
    <w:p w14:paraId="321A85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3.项目实施</w:t>
      </w:r>
    </w:p>
    <w:p w14:paraId="23A9DC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省级市场监管专项资金预算45万元，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此项自评得分8.81分。</w:t>
      </w:r>
    </w:p>
    <w:p w14:paraId="1EFE89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4.项目结果</w:t>
      </w:r>
    </w:p>
    <w:p w14:paraId="13C8AB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zh-CN" w:eastAsia="zh-CN"/>
        </w:rPr>
        <w:t>通过绩效指标下达情况分析项目实施结果：</w:t>
      </w:r>
    </w:p>
    <w:p w14:paraId="0445B1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完成对西眉、三家、安居市场监管所标准化规范化建设示范创建，现场检查特种设备生产及使用单位覆盖率≥60家，完成对放心舒心消费单元现场督导个数≥15个。“铁拳”暨“春雷”行动全省覆盖率100%,“双随机”抽查企业比率≥3%，食品安全党政同责考评，辖区内外卖配送员党建数据完整度占比&gt;90%，建立“小个专”综合党委&gt;90%，辖区内形成特种设备安全监管试点1个；定量包装和过度包装监督抽查不合格后处理100%；“铁拳”暨“春雷”行动先进集体15万元；项目完成时间2024年12月31日前，截止2024年12月31日2023年市场监管专项资金（应急部分）执行金额10万元、执行率100%，2024年市场监管专项资金执行金额11.59万元、执行率33.11%，因当地财力紧张市场监管专项资金结转至2025年继续使用，综合以上截止评价时点2024年市场监管专项资金执行金额合计31.59万元，执行率90.26%。</w:t>
      </w:r>
    </w:p>
    <w:p w14:paraId="019E14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公平竞争的市场秩序稳中向好趋势，辖区内与补助资金相关的重大食品安全监督责任事故发生数0次，进一步深化商事登记制度改革稳中向好趋势，通过监督抽查、风险监测、证后监管等保障人民生命财产健康安全的持续影响，长期严守食品安全、工业产品安全、特种设备安全底线，公众对食品安全的满意度84.12分。</w:t>
      </w:r>
    </w:p>
    <w:p w14:paraId="457FEFB4">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（二）</w:t>
      </w:r>
      <w:r>
        <w:rPr>
          <w:rFonts w:hint="default" w:ascii="楷体_GB2312" w:hAnsi="楷体_GB2312" w:eastAsia="楷体_GB2312" w:cs="楷体_GB2312"/>
          <w:b/>
          <w:color w:val="auto"/>
          <w:sz w:val="32"/>
          <w:szCs w:val="32"/>
          <w:highlight w:val="none"/>
          <w:lang w:val="en-US" w:eastAsia="zh-CN"/>
        </w:rPr>
        <w:t>专用指标</w:t>
      </w:r>
      <w:r>
        <w:rPr>
          <w:rFonts w:hint="default" w:ascii="楷体_GB2312" w:hAnsi="楷体_GB2312" w:eastAsia="楷体_GB2312" w:cs="楷体_GB2312"/>
          <w:b/>
          <w:color w:val="auto"/>
          <w:sz w:val="32"/>
          <w:szCs w:val="32"/>
          <w:highlight w:val="none"/>
          <w:lang w:val="zh-CN" w:eastAsia="zh-CN"/>
        </w:rPr>
        <w:t>绩效分析</w:t>
      </w:r>
    </w:p>
    <w:p w14:paraId="502B8B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zh-CN" w:eastAsia="zh-CN"/>
        </w:rPr>
        <w:t>资金实际用途符合专项资金管理要求，资金管理程序符合专项资金管理要求，资金分配标准符合专项资金管理要求，</w:t>
      </w:r>
      <w:r>
        <w:rPr>
          <w:rFonts w:hint="default" w:ascii="Times New Roman" w:hAnsi="Times New Roman" w:eastAsia="仿宋" w:cs="Times New Roman"/>
          <w:sz w:val="32"/>
          <w:szCs w:val="32"/>
          <w:lang w:val="en-US" w:eastAsia="zh-CN"/>
        </w:rPr>
        <w:t>此项自评得分30分</w:t>
      </w:r>
      <w:r>
        <w:rPr>
          <w:rFonts w:hint="default" w:ascii="Times New Roman" w:hAnsi="Times New Roman" w:eastAsia="仿宋" w:cs="Times New Roman"/>
          <w:sz w:val="32"/>
          <w:szCs w:val="32"/>
          <w:lang w:val="zh-CN" w:eastAsia="zh-CN"/>
        </w:rPr>
        <w:t>。</w:t>
      </w:r>
    </w:p>
    <w:p w14:paraId="649FB489">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（三）</w:t>
      </w:r>
      <w:r>
        <w:rPr>
          <w:rFonts w:hint="default" w:ascii="楷体_GB2312" w:hAnsi="楷体_GB2312" w:eastAsia="楷体_GB2312" w:cs="楷体_GB2312"/>
          <w:b/>
          <w:color w:val="auto"/>
          <w:sz w:val="32"/>
          <w:szCs w:val="32"/>
          <w:highlight w:val="none"/>
          <w:lang w:val="en-US" w:eastAsia="zh-CN"/>
        </w:rPr>
        <w:t>个性指标</w:t>
      </w:r>
      <w:r>
        <w:rPr>
          <w:rFonts w:hint="default" w:ascii="楷体_GB2312" w:hAnsi="楷体_GB2312" w:eastAsia="楷体_GB2312" w:cs="楷体_GB2312"/>
          <w:b/>
          <w:color w:val="auto"/>
          <w:sz w:val="32"/>
          <w:szCs w:val="32"/>
          <w:highlight w:val="none"/>
          <w:lang w:val="zh-CN" w:eastAsia="zh-CN"/>
        </w:rPr>
        <w:t>绩效分析</w:t>
      </w:r>
    </w:p>
    <w:p w14:paraId="263DF1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zh-CN" w:eastAsia="zh-CN"/>
        </w:rPr>
        <w:t>省级下达数量指标完成率</w:t>
      </w:r>
      <w:r>
        <w:rPr>
          <w:rFonts w:hint="default" w:ascii="Times New Roman" w:hAnsi="Times New Roman" w:eastAsia="仿宋" w:cs="Times New Roman"/>
          <w:sz w:val="32"/>
          <w:szCs w:val="32"/>
          <w:lang w:val="en-US" w:eastAsia="zh-CN"/>
        </w:rPr>
        <w:t>100%，单位绩效目标数量指标完成率100%，省级下达质量达标率100%</w:t>
      </w:r>
      <w:r>
        <w:rPr>
          <w:rFonts w:hint="default" w:ascii="Times New Roman" w:hAnsi="Times New Roman" w:eastAsia="仿宋" w:cs="Times New Roman"/>
          <w:sz w:val="32"/>
          <w:szCs w:val="32"/>
          <w:lang w:val="zh-CN" w:eastAsia="zh-CN"/>
        </w:rPr>
        <w:t>。</w:t>
      </w:r>
    </w:p>
    <w:p w14:paraId="689076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黑体" w:cs="Times New Roman"/>
          <w:color w:val="000000"/>
          <w:kern w:val="0"/>
          <w:sz w:val="32"/>
          <w:szCs w:val="48"/>
          <w:shd w:val="clear" w:color="auto" w:fill="FFFFFF"/>
          <w:lang w:val="en-US" w:eastAsia="zh-CN"/>
        </w:rPr>
        <w:t>四、评价结论</w:t>
      </w:r>
    </w:p>
    <w:p w14:paraId="06C83F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仿宋" w:cs="Times New Roman"/>
          <w:sz w:val="32"/>
          <w:szCs w:val="32"/>
          <w:lang w:val="en-US" w:eastAsia="zh-CN"/>
        </w:rPr>
        <w:t>综合指标绩效分析，2024年市场监管专项资金（包含应急部分）自评得分99.81分。</w:t>
      </w:r>
    </w:p>
    <w:p w14:paraId="6624D3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黑体" w:cs="Times New Roman"/>
          <w:color w:val="000000"/>
          <w:kern w:val="0"/>
          <w:sz w:val="32"/>
          <w:szCs w:val="48"/>
          <w:shd w:val="clear" w:color="auto" w:fill="FFFFFF"/>
          <w:lang w:val="en-US" w:eastAsia="zh-CN"/>
        </w:rPr>
        <w:t>五、存在主要问题</w:t>
      </w:r>
    </w:p>
    <w:p w14:paraId="0A2065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无。</w:t>
      </w:r>
    </w:p>
    <w:p w14:paraId="5AFDF0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kern w:val="0"/>
          <w:sz w:val="32"/>
          <w:szCs w:val="48"/>
          <w:shd w:val="clear" w:color="auto" w:fill="FFFFFF"/>
          <w:lang w:val="zh-CN" w:eastAsia="zh-CN"/>
        </w:rPr>
      </w:pPr>
      <w:r>
        <w:rPr>
          <w:rFonts w:hint="default" w:ascii="Times New Roman" w:hAnsi="Times New Roman" w:eastAsia="黑体" w:cs="Times New Roman"/>
          <w:color w:val="000000"/>
          <w:kern w:val="0"/>
          <w:sz w:val="32"/>
          <w:szCs w:val="48"/>
          <w:shd w:val="clear" w:color="auto" w:fill="FFFFFF"/>
          <w:lang w:val="zh-CN" w:eastAsia="zh-CN"/>
        </w:rPr>
        <w:t>六、改进建议</w:t>
      </w:r>
    </w:p>
    <w:p w14:paraId="4D369C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无</w:t>
      </w:r>
      <w:r>
        <w:rPr>
          <w:rFonts w:hint="eastAsia" w:eastAsia="方正仿宋简体" w:cs="Times New Roman"/>
          <w:sz w:val="32"/>
          <w:szCs w:val="32"/>
          <w:lang w:val="en-US" w:eastAsia="zh-CN"/>
        </w:rPr>
        <w:t>。</w:t>
      </w:r>
    </w:p>
    <w:p w14:paraId="5ADEF3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简体" w:cs="Times New Roman"/>
          <w:sz w:val="32"/>
          <w:szCs w:val="32"/>
          <w:lang w:val="en-US" w:eastAsia="zh-CN"/>
        </w:rPr>
      </w:pPr>
    </w:p>
    <w:p w14:paraId="780D013C">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仿宋" w:cs="Times New Roman"/>
          <w:sz w:val="32"/>
          <w:szCs w:val="32"/>
          <w:lang w:val="en-US" w:eastAsia="zh-CN"/>
        </w:rPr>
        <w:t>附表：</w:t>
      </w:r>
      <w:r>
        <w:rPr>
          <w:rFonts w:hint="eastAsia" w:eastAsia="仿宋" w:cs="Times New Roman"/>
          <w:sz w:val="32"/>
          <w:szCs w:val="32"/>
          <w:lang w:val="en-US" w:eastAsia="zh-CN"/>
        </w:rPr>
        <w:t>1.</w:t>
      </w:r>
      <w:r>
        <w:rPr>
          <w:rFonts w:hint="default" w:ascii="Times New Roman" w:hAnsi="Times New Roman" w:eastAsia="仿宋" w:cs="Times New Roman"/>
          <w:sz w:val="32"/>
          <w:szCs w:val="32"/>
          <w:lang w:val="en-US" w:eastAsia="zh-CN"/>
        </w:rPr>
        <w:t>2024年省市场监管专项资金绩效目标完成情况自评表（不含应急机动部分）</w:t>
      </w:r>
    </w:p>
    <w:p w14:paraId="3169F2CE">
      <w:pPr>
        <w:keepNext w:val="0"/>
        <w:keepLines w:val="0"/>
        <w:pageBreakBefore w:val="0"/>
        <w:widowControl w:val="0"/>
        <w:kinsoku/>
        <w:wordWrap/>
        <w:overflowPunct/>
        <w:topLinePunct w:val="0"/>
        <w:autoSpaceDE/>
        <w:autoSpaceDN/>
        <w:bidi w:val="0"/>
        <w:adjustRightInd/>
        <w:snapToGrid/>
        <w:spacing w:line="600" w:lineRule="exact"/>
        <w:ind w:left="1596" w:leftChars="760" w:firstLine="0" w:firstLineChars="0"/>
        <w:textAlignment w:val="auto"/>
        <w:rPr>
          <w:rFonts w:hint="default"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2.2023年市场监管专项资金应急机动部分绩效目标完成情况自评表</w:t>
      </w:r>
    </w:p>
    <w:p w14:paraId="70D969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p>
    <w:p w14:paraId="4B7E5D06">
      <w:pPr>
        <w:pStyle w:val="26"/>
        <w:rPr>
          <w:rFonts w:hint="default" w:ascii="Times New Roman" w:hAnsi="Times New Roman" w:eastAsia="方正仿宋简体" w:cs="Times New Roman"/>
          <w:sz w:val="32"/>
          <w:szCs w:val="32"/>
          <w:lang w:val="en-US" w:eastAsia="zh-CN"/>
        </w:rPr>
      </w:pPr>
    </w:p>
    <w:tbl>
      <w:tblPr>
        <w:tblStyle w:val="2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75"/>
        <w:gridCol w:w="778"/>
        <w:gridCol w:w="1024"/>
        <w:gridCol w:w="2153"/>
        <w:gridCol w:w="550"/>
        <w:gridCol w:w="1584"/>
        <w:gridCol w:w="312"/>
        <w:gridCol w:w="182"/>
        <w:gridCol w:w="413"/>
        <w:gridCol w:w="1539"/>
      </w:tblGrid>
      <w:tr w14:paraId="7C70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0" w:hRule="atLeast"/>
          <w:jc w:val="center"/>
        </w:trPr>
        <w:tc>
          <w:tcPr>
            <w:tcW w:w="5000" w:type="pct"/>
            <w:gridSpan w:val="10"/>
            <w:noWrap w:val="0"/>
            <w:vAlign w:val="center"/>
          </w:tcPr>
          <w:p w14:paraId="3FC8397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黑体" w:hAnsi="黑体" w:eastAsia="黑体" w:cs="黑体"/>
                <w:sz w:val="32"/>
                <w:szCs w:val="32"/>
                <w:lang w:val="en-US" w:eastAsia="zh-CN"/>
              </w:rPr>
            </w:pPr>
            <w:r>
              <w:rPr>
                <w:rFonts w:hint="eastAsia" w:ascii="黑体" w:hAnsi="黑体" w:eastAsia="黑体" w:cs="黑体"/>
                <w:i w:val="0"/>
                <w:iCs w:val="0"/>
                <w:color w:val="000000"/>
                <w:w w:val="90"/>
                <w:kern w:val="0"/>
                <w:sz w:val="32"/>
                <w:szCs w:val="32"/>
                <w:u w:val="none"/>
                <w:lang w:val="en-US" w:eastAsia="zh-CN" w:bidi="ar"/>
              </w:rPr>
              <w:t>附表1</w:t>
            </w:r>
          </w:p>
          <w:p w14:paraId="48B1DC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iCs w:val="0"/>
                <w:color w:val="000000"/>
                <w:w w:val="90"/>
                <w:kern w:val="0"/>
                <w:sz w:val="32"/>
                <w:szCs w:val="32"/>
                <w:u w:val="none"/>
                <w:lang w:val="en-US" w:eastAsia="zh-CN" w:bidi="ar"/>
              </w:rPr>
            </w:pPr>
            <w:r>
              <w:rPr>
                <w:rFonts w:hint="eastAsia" w:ascii="黑体" w:hAnsi="黑体" w:eastAsia="黑体" w:cs="黑体"/>
                <w:i w:val="0"/>
                <w:iCs w:val="0"/>
                <w:color w:val="000000"/>
                <w:w w:val="90"/>
                <w:kern w:val="0"/>
                <w:sz w:val="32"/>
                <w:szCs w:val="32"/>
                <w:u w:val="none"/>
                <w:lang w:val="en-US" w:eastAsia="zh-CN" w:bidi="ar"/>
              </w:rPr>
              <w:t>2024年省市场监管专项资金绩效目标完成情况自评表</w:t>
            </w:r>
          </w:p>
          <w:p w14:paraId="2AB7FB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sz w:val="32"/>
                <w:szCs w:val="32"/>
                <w:lang w:val="en-US" w:eastAsia="zh-CN"/>
              </w:rPr>
            </w:pPr>
            <w:r>
              <w:rPr>
                <w:rFonts w:hint="eastAsia" w:ascii="黑体" w:hAnsi="黑体" w:eastAsia="黑体" w:cs="黑体"/>
                <w:i w:val="0"/>
                <w:iCs w:val="0"/>
                <w:color w:val="000000"/>
                <w:w w:val="90"/>
                <w:kern w:val="0"/>
                <w:sz w:val="32"/>
                <w:szCs w:val="32"/>
                <w:u w:val="none"/>
                <w:lang w:val="en-US" w:eastAsia="zh-CN" w:bidi="ar"/>
              </w:rPr>
              <w:t>（不含应急机动部分）</w:t>
            </w:r>
          </w:p>
        </w:tc>
      </w:tr>
      <w:tr w14:paraId="2488B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 w:hRule="atLeast"/>
          <w:jc w:val="center"/>
        </w:trPr>
        <w:tc>
          <w:tcPr>
            <w:tcW w:w="2459" w:type="pct"/>
            <w:gridSpan w:val="4"/>
            <w:tcBorders>
              <w:top w:val="single" w:color="000000" w:sz="4" w:space="0"/>
              <w:left w:val="single" w:color="000000" w:sz="4" w:space="0"/>
              <w:bottom w:val="single" w:color="000000" w:sz="4" w:space="0"/>
              <w:right w:val="single" w:color="000000" w:sz="4" w:space="0"/>
            </w:tcBorders>
            <w:noWrap w:val="0"/>
            <w:vAlign w:val="center"/>
          </w:tcPr>
          <w:p w14:paraId="2C1876F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2540" w:type="pct"/>
            <w:gridSpan w:val="6"/>
            <w:tcBorders>
              <w:top w:val="single" w:color="000000" w:sz="4" w:space="0"/>
              <w:left w:val="single" w:color="000000" w:sz="4" w:space="0"/>
              <w:bottom w:val="single" w:color="000000" w:sz="4" w:space="0"/>
              <w:right w:val="single" w:color="000000" w:sz="4" w:space="0"/>
            </w:tcBorders>
            <w:noWrap w:val="0"/>
            <w:vAlign w:val="center"/>
          </w:tcPr>
          <w:p w14:paraId="359FD33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2024年市场监管专项资金</w:t>
            </w:r>
          </w:p>
        </w:tc>
      </w:tr>
      <w:tr w14:paraId="2320D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 w:hRule="atLeast"/>
          <w:jc w:val="center"/>
        </w:trPr>
        <w:tc>
          <w:tcPr>
            <w:tcW w:w="2459" w:type="pct"/>
            <w:gridSpan w:val="4"/>
            <w:tcBorders>
              <w:top w:val="single" w:color="000000" w:sz="4" w:space="0"/>
              <w:left w:val="single" w:color="000000" w:sz="4" w:space="0"/>
              <w:bottom w:val="single" w:color="000000" w:sz="4" w:space="0"/>
              <w:right w:val="single" w:color="000000" w:sz="4" w:space="0"/>
            </w:tcBorders>
            <w:noWrap w:val="0"/>
            <w:vAlign w:val="center"/>
          </w:tcPr>
          <w:p w14:paraId="5C22BB7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预算单位</w:t>
            </w:r>
          </w:p>
        </w:tc>
        <w:tc>
          <w:tcPr>
            <w:tcW w:w="2540" w:type="pct"/>
            <w:gridSpan w:val="6"/>
            <w:tcBorders>
              <w:top w:val="single" w:color="000000" w:sz="4" w:space="0"/>
              <w:left w:val="single" w:color="000000" w:sz="4" w:space="0"/>
              <w:bottom w:val="single" w:color="000000" w:sz="4" w:space="0"/>
              <w:right w:val="single" w:color="000000" w:sz="4" w:space="0"/>
            </w:tcBorders>
            <w:noWrap w:val="0"/>
            <w:vAlign w:val="center"/>
          </w:tcPr>
          <w:p w14:paraId="055FBC9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遂宁市安居区市场监督管理局</w:t>
            </w:r>
          </w:p>
        </w:tc>
      </w:tr>
      <w:tr w14:paraId="360BD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 w:hRule="atLeast"/>
          <w:jc w:val="center"/>
        </w:trPr>
        <w:tc>
          <w:tcPr>
            <w:tcW w:w="2459" w:type="pct"/>
            <w:gridSpan w:val="4"/>
            <w:tcBorders>
              <w:top w:val="single" w:color="000000" w:sz="4" w:space="0"/>
              <w:left w:val="single" w:color="000000" w:sz="4" w:space="0"/>
              <w:bottom w:val="single" w:color="000000" w:sz="4" w:space="0"/>
              <w:right w:val="single" w:color="000000" w:sz="4" w:space="0"/>
            </w:tcBorders>
            <w:noWrap w:val="0"/>
            <w:vAlign w:val="center"/>
          </w:tcPr>
          <w:p w14:paraId="696E65C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项目类型</w:t>
            </w:r>
          </w:p>
        </w:tc>
        <w:tc>
          <w:tcPr>
            <w:tcW w:w="2540" w:type="pct"/>
            <w:gridSpan w:val="6"/>
            <w:tcBorders>
              <w:top w:val="single" w:color="000000" w:sz="4" w:space="0"/>
              <w:left w:val="single" w:color="000000" w:sz="4" w:space="0"/>
              <w:bottom w:val="single" w:color="000000" w:sz="4" w:space="0"/>
              <w:right w:val="single" w:color="000000" w:sz="4" w:space="0"/>
            </w:tcBorders>
            <w:noWrap w:val="0"/>
            <w:vAlign w:val="center"/>
          </w:tcPr>
          <w:p w14:paraId="4B84424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专项项目</w:t>
            </w:r>
          </w:p>
        </w:tc>
      </w:tr>
      <w:tr w14:paraId="1ACEB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 w:hRule="atLeast"/>
          <w:jc w:val="center"/>
        </w:trPr>
        <w:tc>
          <w:tcPr>
            <w:tcW w:w="2459" w:type="pct"/>
            <w:gridSpan w:val="4"/>
            <w:tcBorders>
              <w:top w:val="single" w:color="000000" w:sz="4" w:space="0"/>
              <w:left w:val="single" w:color="000000" w:sz="4" w:space="0"/>
              <w:bottom w:val="single" w:color="000000" w:sz="4" w:space="0"/>
              <w:right w:val="single" w:color="000000" w:sz="4" w:space="0"/>
            </w:tcBorders>
            <w:noWrap w:val="0"/>
            <w:vAlign w:val="center"/>
          </w:tcPr>
          <w:p w14:paraId="3A74587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项目起止年限</w:t>
            </w:r>
          </w:p>
        </w:tc>
        <w:tc>
          <w:tcPr>
            <w:tcW w:w="2540" w:type="pct"/>
            <w:gridSpan w:val="6"/>
            <w:tcBorders>
              <w:top w:val="single" w:color="000000" w:sz="4" w:space="0"/>
              <w:left w:val="single" w:color="000000" w:sz="4" w:space="0"/>
              <w:bottom w:val="single" w:color="000000" w:sz="4" w:space="0"/>
              <w:right w:val="single" w:color="000000" w:sz="4" w:space="0"/>
            </w:tcBorders>
            <w:noWrap w:val="0"/>
            <w:vAlign w:val="center"/>
          </w:tcPr>
          <w:p w14:paraId="5CC9600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2024.01.01至2024.12.31</w:t>
            </w:r>
          </w:p>
        </w:tc>
      </w:tr>
      <w:tr w14:paraId="52075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 w:hRule="atLeast"/>
          <w:jc w:val="center"/>
        </w:trPr>
        <w:tc>
          <w:tcPr>
            <w:tcW w:w="696"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F94B09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项目资金</w:t>
            </w:r>
          </w:p>
          <w:p w14:paraId="6993B34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763" w:type="pct"/>
            <w:gridSpan w:val="2"/>
            <w:tcBorders>
              <w:top w:val="single" w:color="000000" w:sz="4" w:space="0"/>
              <w:left w:val="single" w:color="000000" w:sz="4" w:space="0"/>
              <w:bottom w:val="single" w:color="000000" w:sz="4" w:space="0"/>
              <w:right w:val="single" w:color="000000" w:sz="4" w:space="0"/>
            </w:tcBorders>
            <w:noWrap w:val="0"/>
            <w:vAlign w:val="center"/>
          </w:tcPr>
          <w:p w14:paraId="15E7D14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  年度资金总额：</w:t>
            </w:r>
          </w:p>
        </w:tc>
        <w:tc>
          <w:tcPr>
            <w:tcW w:w="305" w:type="pct"/>
            <w:tcBorders>
              <w:top w:val="single" w:color="000000" w:sz="4" w:space="0"/>
              <w:left w:val="single" w:color="000000" w:sz="4" w:space="0"/>
              <w:bottom w:val="single" w:color="000000" w:sz="4" w:space="0"/>
              <w:right w:val="single" w:color="auto" w:sz="4" w:space="0"/>
            </w:tcBorders>
            <w:noWrap w:val="0"/>
            <w:vAlign w:val="center"/>
          </w:tcPr>
          <w:p w14:paraId="4AFDCFC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cs="Times New Roman"/>
                <w:i w:val="0"/>
                <w:iCs w:val="0"/>
                <w:color w:val="000000"/>
                <w:kern w:val="0"/>
                <w:sz w:val="18"/>
                <w:szCs w:val="18"/>
                <w:u w:val="none"/>
                <w:lang w:val="en-US" w:eastAsia="zh-CN" w:bidi="ar"/>
              </w:rPr>
              <w:t>11.59</w:t>
            </w:r>
          </w:p>
        </w:tc>
        <w:tc>
          <w:tcPr>
            <w:tcW w:w="1052" w:type="pct"/>
            <w:gridSpan w:val="2"/>
            <w:tcBorders>
              <w:top w:val="single" w:color="000000" w:sz="4" w:space="0"/>
              <w:left w:val="single" w:color="auto" w:sz="4" w:space="0"/>
              <w:bottom w:val="single" w:color="000000" w:sz="4" w:space="0"/>
              <w:right w:val="single" w:color="auto" w:sz="4" w:space="0"/>
            </w:tcBorders>
            <w:noWrap w:val="0"/>
            <w:vAlign w:val="center"/>
          </w:tcPr>
          <w:p w14:paraId="5E05F5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ab/>
            </w:r>
            <w:r>
              <w:rPr>
                <w:rFonts w:hint="default" w:ascii="Times New Roman" w:hAnsi="Times New Roman" w:eastAsia="宋体" w:cs="Times New Roman"/>
                <w:i w:val="0"/>
                <w:iCs w:val="0"/>
                <w:color w:val="000000"/>
                <w:kern w:val="0"/>
                <w:sz w:val="18"/>
                <w:szCs w:val="18"/>
                <w:u w:val="none"/>
                <w:lang w:val="en-US" w:eastAsia="zh-CN" w:bidi="ar"/>
              </w:rPr>
              <w:t>已执行金额：</w:t>
            </w:r>
          </w:p>
        </w:tc>
        <w:tc>
          <w:tcPr>
            <w:tcW w:w="1183" w:type="pct"/>
            <w:gridSpan w:val="3"/>
            <w:tcBorders>
              <w:top w:val="single" w:color="000000" w:sz="4" w:space="0"/>
              <w:left w:val="single" w:color="auto" w:sz="4" w:space="0"/>
              <w:bottom w:val="single" w:color="000000" w:sz="4" w:space="0"/>
              <w:right w:val="single" w:color="000000" w:sz="4" w:space="0"/>
            </w:tcBorders>
            <w:noWrap w:val="0"/>
            <w:vAlign w:val="center"/>
          </w:tcPr>
          <w:p w14:paraId="4E93C43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cs="Times New Roman"/>
                <w:i w:val="0"/>
                <w:iCs w:val="0"/>
                <w:color w:val="000000"/>
                <w:kern w:val="0"/>
                <w:sz w:val="18"/>
                <w:szCs w:val="18"/>
                <w:u w:val="none"/>
                <w:lang w:val="en-US" w:eastAsia="zh-CN" w:bidi="ar"/>
              </w:rPr>
              <w:t>11.59</w:t>
            </w:r>
          </w:p>
        </w:tc>
      </w:tr>
      <w:tr w14:paraId="4A4E8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 w:hRule="atLeast"/>
          <w:jc w:val="center"/>
        </w:trPr>
        <w:tc>
          <w:tcPr>
            <w:tcW w:w="69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D6881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63" w:type="pct"/>
            <w:gridSpan w:val="2"/>
            <w:tcBorders>
              <w:top w:val="single" w:color="000000" w:sz="4" w:space="0"/>
              <w:left w:val="single" w:color="000000" w:sz="4" w:space="0"/>
              <w:bottom w:val="single" w:color="000000" w:sz="4" w:space="0"/>
              <w:right w:val="single" w:color="000000" w:sz="4" w:space="0"/>
            </w:tcBorders>
            <w:noWrap w:val="0"/>
            <w:vAlign w:val="center"/>
          </w:tcPr>
          <w:p w14:paraId="3EC8349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      其中：财政拨款</w:t>
            </w:r>
          </w:p>
        </w:tc>
        <w:tc>
          <w:tcPr>
            <w:tcW w:w="305" w:type="pct"/>
            <w:tcBorders>
              <w:top w:val="single" w:color="000000" w:sz="4" w:space="0"/>
              <w:left w:val="single" w:color="000000" w:sz="4" w:space="0"/>
              <w:bottom w:val="single" w:color="000000" w:sz="4" w:space="0"/>
              <w:right w:val="single" w:color="auto" w:sz="4" w:space="0"/>
            </w:tcBorders>
            <w:noWrap w:val="0"/>
            <w:vAlign w:val="center"/>
          </w:tcPr>
          <w:p w14:paraId="3687022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cs="Times New Roman"/>
                <w:i w:val="0"/>
                <w:iCs w:val="0"/>
                <w:color w:val="000000"/>
                <w:kern w:val="0"/>
                <w:sz w:val="18"/>
                <w:szCs w:val="18"/>
                <w:u w:val="none"/>
                <w:lang w:val="en-US" w:eastAsia="zh-CN" w:bidi="ar"/>
              </w:rPr>
              <w:t>11.59</w:t>
            </w:r>
          </w:p>
        </w:tc>
        <w:tc>
          <w:tcPr>
            <w:tcW w:w="1052" w:type="pct"/>
            <w:gridSpan w:val="2"/>
            <w:tcBorders>
              <w:top w:val="single" w:color="000000" w:sz="4" w:space="0"/>
              <w:left w:val="single" w:color="auto" w:sz="4" w:space="0"/>
              <w:bottom w:val="single" w:color="000000" w:sz="4" w:space="0"/>
              <w:right w:val="single" w:color="auto" w:sz="4" w:space="0"/>
            </w:tcBorders>
            <w:noWrap w:val="0"/>
            <w:vAlign w:val="center"/>
          </w:tcPr>
          <w:p w14:paraId="1117D74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      其中：财政拨款</w:t>
            </w:r>
          </w:p>
        </w:tc>
        <w:tc>
          <w:tcPr>
            <w:tcW w:w="1183" w:type="pct"/>
            <w:gridSpan w:val="3"/>
            <w:tcBorders>
              <w:top w:val="single" w:color="000000" w:sz="4" w:space="0"/>
              <w:left w:val="single" w:color="auto" w:sz="4" w:space="0"/>
              <w:bottom w:val="single" w:color="000000" w:sz="4" w:space="0"/>
              <w:right w:val="single" w:color="000000" w:sz="4" w:space="0"/>
            </w:tcBorders>
            <w:noWrap w:val="0"/>
            <w:vAlign w:val="center"/>
          </w:tcPr>
          <w:p w14:paraId="3480B8B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cs="Times New Roman"/>
                <w:i w:val="0"/>
                <w:iCs w:val="0"/>
                <w:color w:val="000000"/>
                <w:kern w:val="0"/>
                <w:sz w:val="18"/>
                <w:szCs w:val="18"/>
                <w:u w:val="none"/>
                <w:lang w:val="en-US" w:eastAsia="zh-CN" w:bidi="ar"/>
              </w:rPr>
              <w:t>11.59</w:t>
            </w:r>
          </w:p>
        </w:tc>
      </w:tr>
      <w:tr w14:paraId="63E03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 w:hRule="atLeast"/>
          <w:jc w:val="center"/>
        </w:trPr>
        <w:tc>
          <w:tcPr>
            <w:tcW w:w="69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D3247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63" w:type="pct"/>
            <w:gridSpan w:val="2"/>
            <w:tcBorders>
              <w:top w:val="single" w:color="000000" w:sz="4" w:space="0"/>
              <w:left w:val="single" w:color="000000" w:sz="4" w:space="0"/>
              <w:bottom w:val="single" w:color="000000" w:sz="4" w:space="0"/>
              <w:right w:val="single" w:color="000000" w:sz="4" w:space="0"/>
            </w:tcBorders>
            <w:noWrap w:val="0"/>
            <w:vAlign w:val="center"/>
          </w:tcPr>
          <w:p w14:paraId="023D999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            其他资金</w:t>
            </w:r>
          </w:p>
        </w:tc>
        <w:tc>
          <w:tcPr>
            <w:tcW w:w="305" w:type="pct"/>
            <w:tcBorders>
              <w:top w:val="single" w:color="000000" w:sz="4" w:space="0"/>
              <w:left w:val="single" w:color="000000" w:sz="4" w:space="0"/>
              <w:bottom w:val="single" w:color="000000" w:sz="4" w:space="0"/>
              <w:right w:val="single" w:color="auto" w:sz="4" w:space="0"/>
            </w:tcBorders>
            <w:noWrap w:val="0"/>
            <w:vAlign w:val="center"/>
          </w:tcPr>
          <w:p w14:paraId="1E3946A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52" w:type="pct"/>
            <w:gridSpan w:val="2"/>
            <w:tcBorders>
              <w:top w:val="single" w:color="000000" w:sz="4" w:space="0"/>
              <w:left w:val="single" w:color="auto" w:sz="4" w:space="0"/>
              <w:bottom w:val="single" w:color="000000" w:sz="4" w:space="0"/>
              <w:right w:val="single" w:color="auto" w:sz="4" w:space="0"/>
            </w:tcBorders>
            <w:noWrap w:val="0"/>
            <w:vAlign w:val="center"/>
          </w:tcPr>
          <w:p w14:paraId="2D2AD58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        </w:t>
            </w:r>
            <w:r>
              <w:rPr>
                <w:rFonts w:hint="eastAsia" w:cs="Times New Roman"/>
                <w:i w:val="0"/>
                <w:iCs w:val="0"/>
                <w:color w:val="000000"/>
                <w:kern w:val="0"/>
                <w:sz w:val="18"/>
                <w:szCs w:val="18"/>
                <w:u w:val="none"/>
                <w:lang w:val="en-US" w:eastAsia="zh-CN" w:bidi="ar"/>
              </w:rPr>
              <w:t xml:space="preserve">  </w:t>
            </w: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183" w:type="pct"/>
            <w:gridSpan w:val="3"/>
            <w:tcBorders>
              <w:top w:val="single" w:color="000000" w:sz="4" w:space="0"/>
              <w:left w:val="single" w:color="auto" w:sz="4" w:space="0"/>
              <w:bottom w:val="single" w:color="000000" w:sz="4" w:space="0"/>
              <w:right w:val="single" w:color="000000" w:sz="4" w:space="0"/>
            </w:tcBorders>
            <w:noWrap w:val="0"/>
            <w:vAlign w:val="center"/>
          </w:tcPr>
          <w:p w14:paraId="2BC4969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0336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 w:hRule="atLeast"/>
          <w:jc w:val="center"/>
        </w:trPr>
        <w:tc>
          <w:tcPr>
            <w:tcW w:w="264" w:type="pct"/>
            <w:vMerge w:val="restart"/>
            <w:tcBorders>
              <w:top w:val="single" w:color="000000" w:sz="4" w:space="0"/>
              <w:left w:val="single" w:color="000000" w:sz="4" w:space="0"/>
              <w:bottom w:val="single" w:color="000000" w:sz="4" w:space="0"/>
              <w:right w:val="single" w:color="000000" w:sz="4" w:space="0"/>
            </w:tcBorders>
            <w:noWrap w:val="0"/>
            <w:vAlign w:val="center"/>
          </w:tcPr>
          <w:p w14:paraId="2938D67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总体目标</w:t>
            </w:r>
          </w:p>
        </w:tc>
        <w:tc>
          <w:tcPr>
            <w:tcW w:w="4735" w:type="pct"/>
            <w:gridSpan w:val="9"/>
            <w:tcBorders>
              <w:top w:val="single" w:color="000000" w:sz="4" w:space="0"/>
              <w:left w:val="single" w:color="000000" w:sz="4" w:space="0"/>
              <w:bottom w:val="single" w:color="000000" w:sz="4" w:space="0"/>
              <w:right w:val="single" w:color="000000" w:sz="4" w:space="0"/>
            </w:tcBorders>
            <w:noWrap w:val="0"/>
            <w:vAlign w:val="center"/>
          </w:tcPr>
          <w:p w14:paraId="336510C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年度目标</w:t>
            </w:r>
          </w:p>
        </w:tc>
      </w:tr>
      <w:tr w14:paraId="7EBA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26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6E6A1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735" w:type="pct"/>
            <w:gridSpan w:val="9"/>
            <w:tcBorders>
              <w:top w:val="single" w:color="000000" w:sz="4" w:space="0"/>
              <w:left w:val="single" w:color="000000" w:sz="4" w:space="0"/>
              <w:bottom w:val="single" w:color="000000" w:sz="4" w:space="0"/>
              <w:right w:val="single" w:color="000000" w:sz="4" w:space="0"/>
            </w:tcBorders>
            <w:noWrap w:val="0"/>
            <w:vAlign w:val="center"/>
          </w:tcPr>
          <w:p w14:paraId="7DB97D25">
            <w:pPr>
              <w:keepNext w:val="0"/>
              <w:keepLines w:val="0"/>
              <w:pageBreakBefore w:val="0"/>
              <w:widowControl/>
              <w:suppressLineNumbers w:val="0"/>
              <w:kinsoku/>
              <w:wordWrap/>
              <w:overflowPunct/>
              <w:topLinePunct w:val="0"/>
              <w:autoSpaceDE/>
              <w:autoSpaceDN/>
              <w:bidi w:val="0"/>
              <w:adjustRightInd/>
              <w:snapToGrid/>
              <w:spacing w:line="220" w:lineRule="exact"/>
              <w:ind w:firstLine="360" w:firstLineChars="20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强化消费引导、深入推动放心舒心消费环境建设，开展“铁拳”暨“春雷行动”，开展基层市场监管所标准化规范化建设，提高综合行政执法水平，提升特种设备安全监管能力水平，开展特种设备安全监管示范创建，切实治理消除重大安全隐患，坚决遏制重大事故发生。</w:t>
            </w:r>
          </w:p>
        </w:tc>
      </w:tr>
      <w:tr w14:paraId="19157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264" w:type="pct"/>
            <w:vMerge w:val="restart"/>
            <w:tcBorders>
              <w:top w:val="single" w:color="000000" w:sz="4" w:space="0"/>
              <w:left w:val="single" w:color="000000" w:sz="4" w:space="0"/>
              <w:bottom w:val="single" w:color="000000" w:sz="4" w:space="0"/>
            </w:tcBorders>
            <w:noWrap w:val="0"/>
            <w:vAlign w:val="center"/>
          </w:tcPr>
          <w:p w14:paraId="4A0B088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绩效 指标</w:t>
            </w: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73E37EB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7A124BA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577A08F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168F382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7A7790C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274" w:type="pct"/>
            <w:gridSpan w:val="2"/>
            <w:tcBorders>
              <w:top w:val="single" w:color="000000" w:sz="4" w:space="0"/>
              <w:left w:val="single" w:color="000000" w:sz="4" w:space="0"/>
              <w:bottom w:val="single" w:color="000000" w:sz="4" w:space="0"/>
              <w:right w:val="single" w:color="000000" w:sz="4" w:space="0"/>
            </w:tcBorders>
            <w:noWrap w:val="0"/>
            <w:vAlign w:val="center"/>
          </w:tcPr>
          <w:p w14:paraId="5BF20E7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3FC392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47CCE82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实际完成指标值</w:t>
            </w:r>
          </w:p>
        </w:tc>
      </w:tr>
      <w:tr w14:paraId="114E3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264" w:type="pct"/>
            <w:vMerge w:val="continue"/>
            <w:tcBorders>
              <w:top w:val="single" w:color="000000" w:sz="4" w:space="0"/>
              <w:left w:val="single" w:color="000000" w:sz="4" w:space="0"/>
              <w:bottom w:val="single" w:color="000000" w:sz="4" w:space="0"/>
            </w:tcBorders>
            <w:noWrap w:val="0"/>
            <w:vAlign w:val="center"/>
          </w:tcPr>
          <w:p w14:paraId="42D692A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31" w:type="pct"/>
            <w:vMerge w:val="restart"/>
            <w:tcBorders>
              <w:top w:val="single" w:color="000000" w:sz="4" w:space="0"/>
              <w:left w:val="single" w:color="000000" w:sz="4" w:space="0"/>
              <w:bottom w:val="single" w:color="000000" w:sz="4" w:space="0"/>
              <w:right w:val="single" w:color="000000" w:sz="4" w:space="0"/>
            </w:tcBorders>
            <w:noWrap w:val="0"/>
            <w:vAlign w:val="center"/>
          </w:tcPr>
          <w:p w14:paraId="4E6F4D7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568" w:type="pct"/>
            <w:vMerge w:val="restart"/>
            <w:tcBorders>
              <w:top w:val="single" w:color="000000" w:sz="4" w:space="0"/>
              <w:left w:val="single" w:color="000000" w:sz="4" w:space="0"/>
              <w:right w:val="single" w:color="000000" w:sz="4" w:space="0"/>
            </w:tcBorders>
            <w:noWrap w:val="0"/>
            <w:vAlign w:val="center"/>
          </w:tcPr>
          <w:p w14:paraId="2833609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3B9E7C2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基层市场监管局（所）标准化规范化建设示范创建个数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033CBC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2505E64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74" w:type="pct"/>
            <w:gridSpan w:val="2"/>
            <w:tcBorders>
              <w:top w:val="single" w:color="000000" w:sz="4" w:space="0"/>
              <w:left w:val="single" w:color="000000" w:sz="4" w:space="0"/>
              <w:bottom w:val="single" w:color="000000" w:sz="4" w:space="0"/>
              <w:right w:val="single" w:color="000000" w:sz="4" w:space="0"/>
            </w:tcBorders>
            <w:noWrap w:val="0"/>
            <w:vAlign w:val="center"/>
          </w:tcPr>
          <w:p w14:paraId="633F8D5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353DD89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11130EF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3个</w:t>
            </w:r>
          </w:p>
        </w:tc>
      </w:tr>
      <w:tr w14:paraId="477DD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 w:hRule="atLeast"/>
          <w:jc w:val="center"/>
        </w:trPr>
        <w:tc>
          <w:tcPr>
            <w:tcW w:w="264" w:type="pct"/>
            <w:vMerge w:val="continue"/>
            <w:tcBorders>
              <w:top w:val="single" w:color="000000" w:sz="4" w:space="0"/>
              <w:left w:val="single" w:color="000000" w:sz="4" w:space="0"/>
              <w:bottom w:val="single" w:color="000000" w:sz="4" w:space="0"/>
            </w:tcBorders>
            <w:noWrap w:val="0"/>
            <w:vAlign w:val="center"/>
          </w:tcPr>
          <w:p w14:paraId="4ADD88E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5F79E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68" w:type="pct"/>
            <w:vMerge w:val="continue"/>
            <w:tcBorders>
              <w:left w:val="single" w:color="000000" w:sz="4" w:space="0"/>
              <w:right w:val="single" w:color="000000" w:sz="4" w:space="0"/>
            </w:tcBorders>
            <w:noWrap w:val="0"/>
            <w:vAlign w:val="center"/>
          </w:tcPr>
          <w:p w14:paraId="2D55BA4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4F91802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现场检查特种设备生产及使用单位覆盖率</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DF879F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026C3D7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274" w:type="pct"/>
            <w:gridSpan w:val="2"/>
            <w:tcBorders>
              <w:top w:val="single" w:color="000000" w:sz="4" w:space="0"/>
              <w:left w:val="single" w:color="000000" w:sz="4" w:space="0"/>
              <w:bottom w:val="single" w:color="000000" w:sz="4" w:space="0"/>
              <w:right w:val="single" w:color="000000" w:sz="4" w:space="0"/>
            </w:tcBorders>
            <w:noWrap w:val="0"/>
            <w:vAlign w:val="center"/>
          </w:tcPr>
          <w:p w14:paraId="5C58173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家</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26A1AB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1369002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≥60家</w:t>
            </w:r>
          </w:p>
        </w:tc>
      </w:tr>
      <w:tr w14:paraId="25BD2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 w:hRule="atLeast"/>
          <w:jc w:val="center"/>
        </w:trPr>
        <w:tc>
          <w:tcPr>
            <w:tcW w:w="264" w:type="pct"/>
            <w:vMerge w:val="continue"/>
            <w:tcBorders>
              <w:top w:val="single" w:color="000000" w:sz="4" w:space="0"/>
              <w:left w:val="single" w:color="000000" w:sz="4" w:space="0"/>
              <w:bottom w:val="single" w:color="000000" w:sz="4" w:space="0"/>
            </w:tcBorders>
            <w:noWrap w:val="0"/>
            <w:vAlign w:val="center"/>
          </w:tcPr>
          <w:p w14:paraId="1AA17D5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6A970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68" w:type="pct"/>
            <w:vMerge w:val="continue"/>
            <w:tcBorders>
              <w:left w:val="single" w:color="000000" w:sz="4" w:space="0"/>
              <w:right w:val="single" w:color="000000" w:sz="4" w:space="0"/>
            </w:tcBorders>
            <w:noWrap w:val="0"/>
            <w:vAlign w:val="center"/>
          </w:tcPr>
          <w:p w14:paraId="62079EB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02FFACD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完成对放心舒心消费单元现场督导个数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6DBF8B5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29428CC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274" w:type="pct"/>
            <w:gridSpan w:val="2"/>
            <w:tcBorders>
              <w:top w:val="single" w:color="000000" w:sz="4" w:space="0"/>
              <w:left w:val="single" w:color="000000" w:sz="4" w:space="0"/>
              <w:bottom w:val="single" w:color="000000" w:sz="4" w:space="0"/>
              <w:right w:val="single" w:color="000000" w:sz="4" w:space="0"/>
            </w:tcBorders>
            <w:noWrap w:val="0"/>
            <w:vAlign w:val="center"/>
          </w:tcPr>
          <w:p w14:paraId="2EA7218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424345C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1B1AF9D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≥15个</w:t>
            </w:r>
          </w:p>
        </w:tc>
      </w:tr>
      <w:tr w14:paraId="46B4F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 w:hRule="atLeast"/>
          <w:jc w:val="center"/>
        </w:trPr>
        <w:tc>
          <w:tcPr>
            <w:tcW w:w="264" w:type="pct"/>
            <w:vMerge w:val="continue"/>
            <w:tcBorders>
              <w:top w:val="single" w:color="000000" w:sz="4" w:space="0"/>
              <w:left w:val="single" w:color="000000" w:sz="4" w:space="0"/>
              <w:bottom w:val="single" w:color="000000" w:sz="4" w:space="0"/>
            </w:tcBorders>
            <w:noWrap w:val="0"/>
            <w:vAlign w:val="center"/>
          </w:tcPr>
          <w:p w14:paraId="5186921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6EE32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68" w:type="pct"/>
            <w:vMerge w:val="continue"/>
            <w:tcBorders>
              <w:left w:val="single" w:color="000000" w:sz="4" w:space="0"/>
              <w:right w:val="single" w:color="000000" w:sz="4" w:space="0"/>
            </w:tcBorders>
            <w:noWrap w:val="0"/>
            <w:vAlign w:val="center"/>
          </w:tcPr>
          <w:p w14:paraId="446BAB9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1759557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“铁拳”暨“春雷”行动全省覆盖率</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86F651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590AC80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74" w:type="pct"/>
            <w:gridSpan w:val="2"/>
            <w:tcBorders>
              <w:top w:val="single" w:color="000000" w:sz="4" w:space="0"/>
              <w:left w:val="single" w:color="000000" w:sz="4" w:space="0"/>
              <w:bottom w:val="single" w:color="000000" w:sz="4" w:space="0"/>
              <w:right w:val="single" w:color="000000" w:sz="4" w:space="0"/>
            </w:tcBorders>
            <w:noWrap w:val="0"/>
            <w:vAlign w:val="center"/>
          </w:tcPr>
          <w:p w14:paraId="2A1F0BA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3C0B643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788E0CB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r>
      <w:tr w14:paraId="13235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 w:hRule="atLeast"/>
          <w:jc w:val="center"/>
        </w:trPr>
        <w:tc>
          <w:tcPr>
            <w:tcW w:w="264" w:type="pct"/>
            <w:vMerge w:val="continue"/>
            <w:tcBorders>
              <w:top w:val="single" w:color="000000" w:sz="4" w:space="0"/>
              <w:left w:val="single" w:color="000000" w:sz="4" w:space="0"/>
              <w:bottom w:val="single" w:color="000000" w:sz="4" w:space="0"/>
            </w:tcBorders>
            <w:noWrap w:val="0"/>
            <w:vAlign w:val="center"/>
          </w:tcPr>
          <w:p w14:paraId="1E3B6AD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2F6B8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68" w:type="pct"/>
            <w:vMerge w:val="continue"/>
            <w:tcBorders>
              <w:left w:val="single" w:color="000000" w:sz="4" w:space="0"/>
              <w:right w:val="single" w:color="000000" w:sz="4" w:space="0"/>
            </w:tcBorders>
            <w:noWrap w:val="0"/>
            <w:vAlign w:val="center"/>
          </w:tcPr>
          <w:p w14:paraId="5377F3D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43360D2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“双随机”抽查企业比率</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971AF6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421C1AC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74" w:type="pct"/>
            <w:gridSpan w:val="2"/>
            <w:tcBorders>
              <w:top w:val="single" w:color="000000" w:sz="4" w:space="0"/>
              <w:left w:val="single" w:color="000000" w:sz="4" w:space="0"/>
              <w:bottom w:val="single" w:color="000000" w:sz="4" w:space="0"/>
              <w:right w:val="single" w:color="000000" w:sz="4" w:space="0"/>
            </w:tcBorders>
            <w:noWrap w:val="0"/>
            <w:vAlign w:val="center"/>
          </w:tcPr>
          <w:p w14:paraId="614DAA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5020807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6D48D35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r>
      <w:tr w14:paraId="5E36A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 w:hRule="atLeast"/>
          <w:jc w:val="center"/>
        </w:trPr>
        <w:tc>
          <w:tcPr>
            <w:tcW w:w="264" w:type="pct"/>
            <w:vMerge w:val="continue"/>
            <w:tcBorders>
              <w:top w:val="single" w:color="000000" w:sz="4" w:space="0"/>
              <w:left w:val="single" w:color="000000" w:sz="4" w:space="0"/>
              <w:bottom w:val="single" w:color="000000" w:sz="4" w:space="0"/>
            </w:tcBorders>
            <w:noWrap w:val="0"/>
            <w:vAlign w:val="center"/>
          </w:tcPr>
          <w:p w14:paraId="42469B2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9FC9A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68" w:type="pct"/>
            <w:vMerge w:val="continue"/>
            <w:tcBorders>
              <w:left w:val="single" w:color="000000" w:sz="4" w:space="0"/>
              <w:right w:val="single" w:color="000000" w:sz="4" w:space="0"/>
            </w:tcBorders>
            <w:noWrap w:val="0"/>
            <w:vAlign w:val="center"/>
          </w:tcPr>
          <w:p w14:paraId="05F3D84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78EF359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企业年报公示率</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17EF17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33B87F8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274" w:type="pct"/>
            <w:gridSpan w:val="2"/>
            <w:tcBorders>
              <w:top w:val="single" w:color="000000" w:sz="4" w:space="0"/>
              <w:left w:val="single" w:color="000000" w:sz="4" w:space="0"/>
              <w:bottom w:val="single" w:color="000000" w:sz="4" w:space="0"/>
              <w:right w:val="single" w:color="000000" w:sz="4" w:space="0"/>
            </w:tcBorders>
            <w:noWrap w:val="0"/>
            <w:vAlign w:val="center"/>
          </w:tcPr>
          <w:p w14:paraId="2651AA9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07B932D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526A0E8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r>
      <w:tr w14:paraId="25AF0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264" w:type="pct"/>
            <w:vMerge w:val="continue"/>
            <w:tcBorders>
              <w:top w:val="single" w:color="000000" w:sz="4" w:space="0"/>
              <w:left w:val="single" w:color="000000" w:sz="4" w:space="0"/>
              <w:bottom w:val="single" w:color="000000" w:sz="4" w:space="0"/>
            </w:tcBorders>
            <w:noWrap w:val="0"/>
            <w:vAlign w:val="center"/>
          </w:tcPr>
          <w:p w14:paraId="0FC4664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84B78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68" w:type="pct"/>
            <w:vMerge w:val="continue"/>
            <w:tcBorders>
              <w:left w:val="single" w:color="000000" w:sz="4" w:space="0"/>
              <w:right w:val="single" w:color="000000" w:sz="4" w:space="0"/>
            </w:tcBorders>
            <w:noWrap w:val="0"/>
            <w:vAlign w:val="center"/>
          </w:tcPr>
          <w:p w14:paraId="7898DCB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155909D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食品安全党政同责考评</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F6B242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4A4EA37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开展食品安全党政同责考评</w:t>
            </w:r>
          </w:p>
        </w:tc>
        <w:tc>
          <w:tcPr>
            <w:tcW w:w="274" w:type="pct"/>
            <w:gridSpan w:val="2"/>
            <w:tcBorders>
              <w:top w:val="single" w:color="000000" w:sz="4" w:space="0"/>
              <w:left w:val="single" w:color="000000" w:sz="4" w:space="0"/>
              <w:bottom w:val="single" w:color="000000" w:sz="4" w:space="0"/>
              <w:right w:val="single" w:color="000000" w:sz="4" w:space="0"/>
            </w:tcBorders>
            <w:noWrap w:val="0"/>
            <w:vAlign w:val="center"/>
          </w:tcPr>
          <w:p w14:paraId="51F5583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3A2B6FC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25D427A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开展食品安全党政同责考评</w:t>
            </w:r>
          </w:p>
        </w:tc>
      </w:tr>
      <w:tr w14:paraId="6BE7B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264" w:type="pct"/>
            <w:vMerge w:val="continue"/>
            <w:tcBorders>
              <w:top w:val="single" w:color="000000" w:sz="4" w:space="0"/>
              <w:left w:val="single" w:color="000000" w:sz="4" w:space="0"/>
              <w:bottom w:val="single" w:color="000000" w:sz="4" w:space="0"/>
            </w:tcBorders>
            <w:noWrap w:val="0"/>
            <w:vAlign w:val="center"/>
          </w:tcPr>
          <w:p w14:paraId="35C1F41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6D0A0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68" w:type="pct"/>
            <w:vMerge w:val="continue"/>
            <w:tcBorders>
              <w:left w:val="single" w:color="000000" w:sz="4" w:space="0"/>
              <w:right w:val="single" w:color="000000" w:sz="4" w:space="0"/>
            </w:tcBorders>
            <w:noWrap w:val="0"/>
            <w:vAlign w:val="center"/>
          </w:tcPr>
          <w:p w14:paraId="511C9B4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19FA720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外卖配送员群体党建工作</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AC7BD5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&gt;</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7F4D8C6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辖区内外卖配送员党建数据完整度占比&gt;90%，建立“小个专”综合党委&gt;90%</w:t>
            </w:r>
          </w:p>
        </w:tc>
        <w:tc>
          <w:tcPr>
            <w:tcW w:w="274" w:type="pct"/>
            <w:gridSpan w:val="2"/>
            <w:tcBorders>
              <w:top w:val="single" w:color="000000" w:sz="4" w:space="0"/>
              <w:left w:val="single" w:color="000000" w:sz="4" w:space="0"/>
              <w:bottom w:val="single" w:color="000000" w:sz="4" w:space="0"/>
              <w:right w:val="single" w:color="000000" w:sz="4" w:space="0"/>
            </w:tcBorders>
            <w:noWrap w:val="0"/>
            <w:vAlign w:val="center"/>
          </w:tcPr>
          <w:p w14:paraId="1B059FC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43251F7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58E0A4F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辖区内外卖配送员党建数据完整度占比&gt;90%，建立“小个专”综合党委&gt;90%</w:t>
            </w:r>
          </w:p>
        </w:tc>
      </w:tr>
      <w:tr w14:paraId="463C5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264" w:type="pct"/>
            <w:vMerge w:val="continue"/>
            <w:tcBorders>
              <w:top w:val="single" w:color="000000" w:sz="4" w:space="0"/>
              <w:left w:val="single" w:color="000000" w:sz="4" w:space="0"/>
              <w:bottom w:val="single" w:color="000000" w:sz="4" w:space="0"/>
            </w:tcBorders>
            <w:noWrap w:val="0"/>
            <w:vAlign w:val="center"/>
          </w:tcPr>
          <w:p w14:paraId="7EBB6E2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B5807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3D91BFB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769E45A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定量包装和过度包装监督抽查不合格后处理率</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7D86316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05CDDFD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74" w:type="pct"/>
            <w:gridSpan w:val="2"/>
            <w:tcBorders>
              <w:top w:val="single" w:color="000000" w:sz="4" w:space="0"/>
              <w:left w:val="single" w:color="000000" w:sz="4" w:space="0"/>
              <w:bottom w:val="single" w:color="000000" w:sz="4" w:space="0"/>
              <w:right w:val="single" w:color="000000" w:sz="4" w:space="0"/>
            </w:tcBorders>
            <w:noWrap w:val="0"/>
            <w:vAlign w:val="center"/>
          </w:tcPr>
          <w:p w14:paraId="631EAE2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396824B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3A6176D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r>
      <w:tr w14:paraId="0BBFB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264" w:type="pct"/>
            <w:vMerge w:val="continue"/>
            <w:tcBorders>
              <w:top w:val="single" w:color="000000" w:sz="4" w:space="0"/>
              <w:left w:val="single" w:color="000000" w:sz="4" w:space="0"/>
              <w:bottom w:val="single" w:color="000000" w:sz="4" w:space="0"/>
            </w:tcBorders>
            <w:noWrap w:val="0"/>
            <w:vAlign w:val="center"/>
          </w:tcPr>
          <w:p w14:paraId="052A23A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F694B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07E3A13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2CB6128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完成时间</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AD23B6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6FE699C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2024年12月31日前</w:t>
            </w:r>
          </w:p>
        </w:tc>
        <w:tc>
          <w:tcPr>
            <w:tcW w:w="274" w:type="pct"/>
            <w:gridSpan w:val="2"/>
            <w:tcBorders>
              <w:top w:val="single" w:color="000000" w:sz="4" w:space="0"/>
              <w:left w:val="single" w:color="000000" w:sz="4" w:space="0"/>
              <w:bottom w:val="single" w:color="000000" w:sz="4" w:space="0"/>
              <w:right w:val="single" w:color="000000" w:sz="4" w:space="0"/>
            </w:tcBorders>
            <w:noWrap w:val="0"/>
            <w:vAlign w:val="center"/>
          </w:tcPr>
          <w:p w14:paraId="17C5D90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0958654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3CDA89A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2024年12月31日前</w:t>
            </w:r>
          </w:p>
        </w:tc>
      </w:tr>
      <w:tr w14:paraId="63936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 w:hRule="atLeast"/>
          <w:jc w:val="center"/>
        </w:trPr>
        <w:tc>
          <w:tcPr>
            <w:tcW w:w="264" w:type="pct"/>
            <w:vMerge w:val="continue"/>
            <w:tcBorders>
              <w:top w:val="single" w:color="000000" w:sz="4" w:space="0"/>
              <w:left w:val="single" w:color="000000" w:sz="4" w:space="0"/>
              <w:bottom w:val="single" w:color="000000" w:sz="4" w:space="0"/>
            </w:tcBorders>
            <w:noWrap w:val="0"/>
            <w:vAlign w:val="center"/>
          </w:tcPr>
          <w:p w14:paraId="2D03D3B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31" w:type="pct"/>
            <w:vMerge w:val="continue"/>
            <w:tcBorders>
              <w:left w:val="single" w:color="000000" w:sz="4" w:space="0"/>
              <w:right w:val="single" w:color="000000" w:sz="4" w:space="0"/>
            </w:tcBorders>
            <w:noWrap w:val="0"/>
            <w:vAlign w:val="center"/>
          </w:tcPr>
          <w:p w14:paraId="08C5170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68" w:type="pct"/>
            <w:vMerge w:val="restart"/>
            <w:tcBorders>
              <w:top w:val="single" w:color="000000" w:sz="4" w:space="0"/>
              <w:left w:val="single" w:color="000000" w:sz="4" w:space="0"/>
              <w:right w:val="single" w:color="000000" w:sz="4" w:space="0"/>
            </w:tcBorders>
            <w:noWrap w:val="0"/>
            <w:vAlign w:val="center"/>
          </w:tcPr>
          <w:p w14:paraId="17287E9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社会效益</w:t>
            </w:r>
          </w:p>
          <w:p w14:paraId="591FB43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指标</w:t>
            </w:r>
          </w:p>
          <w:p w14:paraId="741D4F1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16BAC5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公平竞争的市场秩序</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43FE0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60E548A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稳中向好趋势</w:t>
            </w:r>
          </w:p>
        </w:tc>
        <w:tc>
          <w:tcPr>
            <w:tcW w:w="274" w:type="pct"/>
            <w:gridSpan w:val="2"/>
            <w:tcBorders>
              <w:top w:val="single" w:color="000000" w:sz="4" w:space="0"/>
              <w:left w:val="single" w:color="000000" w:sz="4" w:space="0"/>
              <w:bottom w:val="single" w:color="000000" w:sz="4" w:space="0"/>
              <w:right w:val="single" w:color="000000" w:sz="4" w:space="0"/>
            </w:tcBorders>
            <w:noWrap w:val="0"/>
            <w:vAlign w:val="center"/>
          </w:tcPr>
          <w:p w14:paraId="1656712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124C664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3098228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稳中向好趋势</w:t>
            </w:r>
          </w:p>
        </w:tc>
      </w:tr>
      <w:tr w14:paraId="6CE19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264" w:type="pct"/>
            <w:vMerge w:val="continue"/>
            <w:tcBorders>
              <w:top w:val="single" w:color="000000" w:sz="4" w:space="0"/>
              <w:left w:val="single" w:color="000000" w:sz="4" w:space="0"/>
              <w:bottom w:val="single" w:color="000000" w:sz="4" w:space="0"/>
            </w:tcBorders>
            <w:noWrap w:val="0"/>
            <w:vAlign w:val="center"/>
          </w:tcPr>
          <w:p w14:paraId="2B86BF4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31" w:type="pct"/>
            <w:vMerge w:val="continue"/>
            <w:tcBorders>
              <w:left w:val="single" w:color="000000" w:sz="4" w:space="0"/>
              <w:right w:val="single" w:color="000000" w:sz="4" w:space="0"/>
            </w:tcBorders>
            <w:noWrap w:val="0"/>
            <w:vAlign w:val="center"/>
          </w:tcPr>
          <w:p w14:paraId="7126E7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68" w:type="pct"/>
            <w:vMerge w:val="continue"/>
            <w:tcBorders>
              <w:left w:val="single" w:color="000000" w:sz="4" w:space="0"/>
              <w:right w:val="single" w:color="000000" w:sz="4" w:space="0"/>
            </w:tcBorders>
            <w:noWrap w:val="0"/>
            <w:vAlign w:val="center"/>
          </w:tcPr>
          <w:p w14:paraId="170F827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1083733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辖区内与补助资金相关的重大食品安全监督责任事故发生数</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6AA070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0995F2F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274" w:type="pct"/>
            <w:gridSpan w:val="2"/>
            <w:tcBorders>
              <w:top w:val="single" w:color="000000" w:sz="4" w:space="0"/>
              <w:left w:val="single" w:color="000000" w:sz="4" w:space="0"/>
              <w:bottom w:val="single" w:color="000000" w:sz="4" w:space="0"/>
              <w:right w:val="single" w:color="000000" w:sz="4" w:space="0"/>
            </w:tcBorders>
            <w:noWrap w:val="0"/>
            <w:vAlign w:val="center"/>
          </w:tcPr>
          <w:p w14:paraId="6D910B5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693469A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7EE09A0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0次</w:t>
            </w:r>
          </w:p>
        </w:tc>
      </w:tr>
      <w:tr w14:paraId="1FA5B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0" w:hRule="atLeast"/>
          <w:jc w:val="center"/>
        </w:trPr>
        <w:tc>
          <w:tcPr>
            <w:tcW w:w="264" w:type="pct"/>
            <w:vMerge w:val="continue"/>
            <w:tcBorders>
              <w:top w:val="single" w:color="000000" w:sz="4" w:space="0"/>
              <w:left w:val="single" w:color="000000" w:sz="4" w:space="0"/>
              <w:bottom w:val="single" w:color="000000" w:sz="4" w:space="0"/>
            </w:tcBorders>
            <w:noWrap w:val="0"/>
            <w:vAlign w:val="center"/>
          </w:tcPr>
          <w:p w14:paraId="5CBE4A3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31" w:type="pct"/>
            <w:vMerge w:val="continue"/>
            <w:tcBorders>
              <w:left w:val="single" w:color="000000" w:sz="4" w:space="0"/>
              <w:right w:val="single" w:color="000000" w:sz="4" w:space="0"/>
            </w:tcBorders>
            <w:noWrap w:val="0"/>
            <w:vAlign w:val="center"/>
          </w:tcPr>
          <w:p w14:paraId="5CE0B43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68" w:type="pct"/>
            <w:vMerge w:val="continue"/>
            <w:tcBorders>
              <w:left w:val="single" w:color="000000" w:sz="4" w:space="0"/>
              <w:bottom w:val="single" w:color="000000" w:sz="4" w:space="0"/>
              <w:right w:val="single" w:color="000000" w:sz="4" w:space="0"/>
            </w:tcBorders>
            <w:noWrap w:val="0"/>
            <w:vAlign w:val="center"/>
          </w:tcPr>
          <w:p w14:paraId="6DD8F50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1FA96A9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进一步深化商事登记制度改革</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40942E4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35D46A0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稳中向好趋势</w:t>
            </w:r>
          </w:p>
        </w:tc>
        <w:tc>
          <w:tcPr>
            <w:tcW w:w="274" w:type="pct"/>
            <w:gridSpan w:val="2"/>
            <w:tcBorders>
              <w:top w:val="single" w:color="000000" w:sz="4" w:space="0"/>
              <w:left w:val="single" w:color="000000" w:sz="4" w:space="0"/>
              <w:bottom w:val="single" w:color="000000" w:sz="4" w:space="0"/>
              <w:right w:val="single" w:color="000000" w:sz="4" w:space="0"/>
            </w:tcBorders>
            <w:noWrap w:val="0"/>
            <w:vAlign w:val="center"/>
          </w:tcPr>
          <w:p w14:paraId="1A20C6E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387A685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1B31E4B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稳中向好趋势</w:t>
            </w:r>
          </w:p>
        </w:tc>
      </w:tr>
      <w:tr w14:paraId="1C4E2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5" w:hRule="atLeast"/>
          <w:jc w:val="center"/>
        </w:trPr>
        <w:tc>
          <w:tcPr>
            <w:tcW w:w="264" w:type="pct"/>
            <w:vMerge w:val="continue"/>
            <w:tcBorders>
              <w:top w:val="single" w:color="000000" w:sz="4" w:space="0"/>
              <w:left w:val="single" w:color="000000" w:sz="4" w:space="0"/>
              <w:bottom w:val="single" w:color="000000" w:sz="4" w:space="0"/>
            </w:tcBorders>
            <w:noWrap w:val="0"/>
            <w:vAlign w:val="center"/>
          </w:tcPr>
          <w:p w14:paraId="486B699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31" w:type="pct"/>
            <w:vMerge w:val="continue"/>
            <w:tcBorders>
              <w:left w:val="single" w:color="000000" w:sz="4" w:space="0"/>
              <w:right w:val="single" w:color="000000" w:sz="4" w:space="0"/>
            </w:tcBorders>
            <w:noWrap w:val="0"/>
            <w:vAlign w:val="center"/>
          </w:tcPr>
          <w:p w14:paraId="1F1CCE7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68" w:type="pct"/>
            <w:vMerge w:val="restart"/>
            <w:tcBorders>
              <w:left w:val="single" w:color="000000" w:sz="4" w:space="0"/>
              <w:right w:val="single" w:color="000000" w:sz="4" w:space="0"/>
            </w:tcBorders>
            <w:noWrap w:val="0"/>
            <w:vAlign w:val="center"/>
          </w:tcPr>
          <w:p w14:paraId="535690A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可持续</w:t>
            </w:r>
          </w:p>
          <w:p w14:paraId="13D4F93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影响指标</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4133434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通过监督抽查、风险监测、证后监管等保障人民生命财产健康安全</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5B1DBD2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0C6C797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持续影响</w:t>
            </w:r>
          </w:p>
        </w:tc>
        <w:tc>
          <w:tcPr>
            <w:tcW w:w="274" w:type="pct"/>
            <w:gridSpan w:val="2"/>
            <w:tcBorders>
              <w:top w:val="single" w:color="000000" w:sz="4" w:space="0"/>
              <w:left w:val="single" w:color="000000" w:sz="4" w:space="0"/>
              <w:bottom w:val="single" w:color="000000" w:sz="4" w:space="0"/>
              <w:right w:val="single" w:color="000000" w:sz="4" w:space="0"/>
            </w:tcBorders>
            <w:noWrap w:val="0"/>
            <w:vAlign w:val="center"/>
          </w:tcPr>
          <w:p w14:paraId="43C970F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279640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12B90E3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持续影响</w:t>
            </w:r>
          </w:p>
        </w:tc>
      </w:tr>
      <w:tr w14:paraId="7478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264" w:type="pct"/>
            <w:vMerge w:val="continue"/>
            <w:tcBorders>
              <w:top w:val="single" w:color="000000" w:sz="4" w:space="0"/>
              <w:left w:val="single" w:color="000000" w:sz="4" w:space="0"/>
              <w:bottom w:val="single" w:color="000000" w:sz="4" w:space="0"/>
            </w:tcBorders>
            <w:noWrap w:val="0"/>
            <w:vAlign w:val="center"/>
          </w:tcPr>
          <w:p w14:paraId="0CDA31B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31" w:type="pct"/>
            <w:vMerge w:val="continue"/>
            <w:tcBorders>
              <w:left w:val="single" w:color="000000" w:sz="4" w:space="0"/>
              <w:bottom w:val="single" w:color="000000" w:sz="4" w:space="0"/>
              <w:right w:val="single" w:color="000000" w:sz="4" w:space="0"/>
            </w:tcBorders>
            <w:noWrap w:val="0"/>
            <w:vAlign w:val="center"/>
          </w:tcPr>
          <w:p w14:paraId="1D22B48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68" w:type="pct"/>
            <w:vMerge w:val="continue"/>
            <w:tcBorders>
              <w:left w:val="single" w:color="000000" w:sz="4" w:space="0"/>
              <w:bottom w:val="single" w:color="000000" w:sz="4" w:space="0"/>
              <w:right w:val="single" w:color="000000" w:sz="4" w:space="0"/>
            </w:tcBorders>
            <w:noWrap w:val="0"/>
            <w:vAlign w:val="center"/>
          </w:tcPr>
          <w:p w14:paraId="79F0E3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57DF106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严守食品安全、工业产品安全、特种设备安全底线</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2430909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1D7F94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长期</w:t>
            </w:r>
          </w:p>
        </w:tc>
        <w:tc>
          <w:tcPr>
            <w:tcW w:w="274" w:type="pct"/>
            <w:gridSpan w:val="2"/>
            <w:tcBorders>
              <w:top w:val="single" w:color="000000" w:sz="4" w:space="0"/>
              <w:left w:val="single" w:color="000000" w:sz="4" w:space="0"/>
              <w:bottom w:val="single" w:color="000000" w:sz="4" w:space="0"/>
              <w:right w:val="single" w:color="000000" w:sz="4" w:space="0"/>
            </w:tcBorders>
            <w:noWrap w:val="0"/>
            <w:vAlign w:val="center"/>
          </w:tcPr>
          <w:p w14:paraId="75D9A35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6A2BF70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48EDBAB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长期</w:t>
            </w:r>
          </w:p>
        </w:tc>
      </w:tr>
      <w:tr w14:paraId="728A7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264" w:type="pct"/>
            <w:vMerge w:val="continue"/>
            <w:tcBorders>
              <w:top w:val="single" w:color="000000" w:sz="4" w:space="0"/>
              <w:left w:val="single" w:color="000000" w:sz="4" w:space="0"/>
              <w:bottom w:val="single" w:color="000000" w:sz="4" w:space="0"/>
            </w:tcBorders>
            <w:noWrap w:val="0"/>
            <w:vAlign w:val="center"/>
          </w:tcPr>
          <w:p w14:paraId="281F549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31" w:type="pct"/>
            <w:tcBorders>
              <w:top w:val="single" w:color="000000" w:sz="4" w:space="0"/>
              <w:left w:val="single" w:color="000000" w:sz="4" w:space="0"/>
              <w:right w:val="single" w:color="000000" w:sz="4" w:space="0"/>
            </w:tcBorders>
            <w:noWrap w:val="0"/>
            <w:vAlign w:val="center"/>
          </w:tcPr>
          <w:p w14:paraId="59E620F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满意度</w:t>
            </w:r>
          </w:p>
          <w:p w14:paraId="284E617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指标</w:t>
            </w:r>
          </w:p>
        </w:tc>
        <w:tc>
          <w:tcPr>
            <w:tcW w:w="568" w:type="pct"/>
            <w:tcBorders>
              <w:top w:val="single" w:color="000000" w:sz="4" w:space="0"/>
              <w:left w:val="single" w:color="000000" w:sz="4" w:space="0"/>
              <w:right w:val="single" w:color="000000" w:sz="4" w:space="0"/>
            </w:tcBorders>
            <w:noWrap w:val="0"/>
            <w:vAlign w:val="center"/>
          </w:tcPr>
          <w:p w14:paraId="7A070DB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服务对象</w:t>
            </w:r>
          </w:p>
          <w:p w14:paraId="65DAA92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194" w:type="pct"/>
            <w:tcBorders>
              <w:top w:val="single" w:color="000000" w:sz="4" w:space="0"/>
              <w:left w:val="single" w:color="000000" w:sz="4" w:space="0"/>
              <w:bottom w:val="single" w:color="000000" w:sz="4" w:space="0"/>
              <w:right w:val="single" w:color="000000" w:sz="4" w:space="0"/>
            </w:tcBorders>
            <w:noWrap w:val="0"/>
            <w:vAlign w:val="center"/>
          </w:tcPr>
          <w:p w14:paraId="7E4BBAE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公众对食品安全的满意度</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F13B49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4A5C9A1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75</w:t>
            </w:r>
          </w:p>
        </w:tc>
        <w:tc>
          <w:tcPr>
            <w:tcW w:w="274" w:type="pct"/>
            <w:gridSpan w:val="2"/>
            <w:tcBorders>
              <w:top w:val="single" w:color="000000" w:sz="4" w:space="0"/>
              <w:left w:val="single" w:color="000000" w:sz="4" w:space="0"/>
              <w:bottom w:val="single" w:color="000000" w:sz="4" w:space="0"/>
              <w:right w:val="single" w:color="000000" w:sz="4" w:space="0"/>
            </w:tcBorders>
            <w:noWrap w:val="0"/>
            <w:vAlign w:val="center"/>
          </w:tcPr>
          <w:p w14:paraId="4A5DAC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分</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75D4A91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0CE2EB4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84.12分</w:t>
            </w:r>
          </w:p>
        </w:tc>
      </w:tr>
      <w:tr w14:paraId="7193D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7" w:hRule="atLeast"/>
          <w:jc w:val="center"/>
        </w:trPr>
        <w:tc>
          <w:tcPr>
            <w:tcW w:w="264" w:type="pct"/>
            <w:vMerge w:val="continue"/>
            <w:tcBorders>
              <w:top w:val="single" w:color="000000" w:sz="4" w:space="0"/>
              <w:left w:val="single" w:color="000000" w:sz="4" w:space="0"/>
              <w:bottom w:val="single" w:color="000000" w:sz="4" w:space="0"/>
            </w:tcBorders>
            <w:noWrap w:val="0"/>
            <w:vAlign w:val="center"/>
          </w:tcPr>
          <w:p w14:paraId="1B6B77B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noWrap w:val="0"/>
            <w:vAlign w:val="center"/>
          </w:tcPr>
          <w:p w14:paraId="7795614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586BBE4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经济成本</w:t>
            </w:r>
          </w:p>
          <w:p w14:paraId="4122217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指标</w:t>
            </w:r>
          </w:p>
        </w:tc>
        <w:tc>
          <w:tcPr>
            <w:tcW w:w="1194" w:type="pct"/>
            <w:tcBorders>
              <w:top w:val="single" w:color="000000" w:sz="4" w:space="0"/>
              <w:bottom w:val="single" w:color="000000" w:sz="4" w:space="0"/>
              <w:right w:val="single" w:color="000000" w:sz="4" w:space="0"/>
            </w:tcBorders>
            <w:noWrap w:val="0"/>
            <w:vAlign w:val="center"/>
          </w:tcPr>
          <w:p w14:paraId="23B7ABD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“铁拳”暨“春雷”行动先进集体</w:t>
            </w:r>
          </w:p>
        </w:tc>
        <w:tc>
          <w:tcPr>
            <w:tcW w:w="305" w:type="pct"/>
            <w:tcBorders>
              <w:top w:val="single" w:color="000000" w:sz="4" w:space="0"/>
              <w:left w:val="single" w:color="000000" w:sz="4" w:space="0"/>
              <w:bottom w:val="single" w:color="000000" w:sz="4" w:space="0"/>
              <w:right w:val="single" w:color="000000" w:sz="4" w:space="0"/>
            </w:tcBorders>
            <w:noWrap w:val="0"/>
            <w:vAlign w:val="center"/>
          </w:tcPr>
          <w:p w14:paraId="07AEAF0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79" w:type="pct"/>
            <w:tcBorders>
              <w:top w:val="single" w:color="000000" w:sz="4" w:space="0"/>
              <w:left w:val="single" w:color="000000" w:sz="4" w:space="0"/>
              <w:bottom w:val="single" w:color="000000" w:sz="4" w:space="0"/>
              <w:right w:val="single" w:color="000000" w:sz="4" w:space="0"/>
            </w:tcBorders>
            <w:noWrap w:val="0"/>
            <w:vAlign w:val="center"/>
          </w:tcPr>
          <w:p w14:paraId="7021152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274" w:type="pct"/>
            <w:gridSpan w:val="2"/>
            <w:tcBorders>
              <w:top w:val="single" w:color="000000" w:sz="4" w:space="0"/>
              <w:left w:val="single" w:color="000000" w:sz="4" w:space="0"/>
              <w:bottom w:val="single" w:color="000000" w:sz="4" w:space="0"/>
              <w:right w:val="single" w:color="000000" w:sz="4" w:space="0"/>
            </w:tcBorders>
            <w:noWrap w:val="0"/>
            <w:vAlign w:val="center"/>
          </w:tcPr>
          <w:p w14:paraId="22B3D89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万元/个</w:t>
            </w:r>
          </w:p>
        </w:tc>
        <w:tc>
          <w:tcPr>
            <w:tcW w:w="229" w:type="pct"/>
            <w:tcBorders>
              <w:top w:val="single" w:color="000000" w:sz="4" w:space="0"/>
              <w:left w:val="single" w:color="000000" w:sz="4" w:space="0"/>
              <w:bottom w:val="single" w:color="000000" w:sz="4" w:space="0"/>
              <w:right w:val="single" w:color="000000" w:sz="4" w:space="0"/>
            </w:tcBorders>
            <w:noWrap w:val="0"/>
            <w:vAlign w:val="center"/>
          </w:tcPr>
          <w:p w14:paraId="2705273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287F349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15万元/个</w:t>
            </w:r>
          </w:p>
        </w:tc>
      </w:tr>
    </w:tbl>
    <w:tbl>
      <w:tblPr>
        <w:tblStyle w:val="20"/>
        <w:tblpPr w:leftFromText="180" w:rightFromText="180" w:vertAnchor="text" w:horzAnchor="page" w:tblpX="1237" w:tblpY="493"/>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343"/>
        <w:gridCol w:w="1042"/>
        <w:gridCol w:w="1202"/>
        <w:gridCol w:w="1263"/>
        <w:gridCol w:w="1083"/>
        <w:gridCol w:w="566"/>
        <w:gridCol w:w="368"/>
        <w:gridCol w:w="1020"/>
        <w:gridCol w:w="901"/>
        <w:gridCol w:w="117"/>
        <w:gridCol w:w="1105"/>
      </w:tblGrid>
      <w:tr w14:paraId="3FEFA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trPr>
        <w:tc>
          <w:tcPr>
            <w:tcW w:w="5000" w:type="pct"/>
            <w:gridSpan w:val="11"/>
            <w:noWrap w:val="0"/>
            <w:vAlign w:val="center"/>
          </w:tcPr>
          <w:p w14:paraId="4D12F36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黑体" w:hAnsi="黑体" w:eastAsia="黑体" w:cs="黑体"/>
                <w:b w:val="0"/>
                <w:bCs w:val="0"/>
                <w:i w:val="0"/>
                <w:color w:val="auto"/>
                <w:kern w:val="0"/>
                <w:sz w:val="40"/>
                <w:szCs w:val="40"/>
                <w:highlight w:val="none"/>
                <w:u w:val="none"/>
                <w:lang w:val="en-US" w:eastAsia="zh-CN" w:bidi="ar-SA"/>
              </w:rPr>
            </w:pPr>
          </w:p>
          <w:p w14:paraId="7F18D36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left"/>
              <w:textAlignment w:val="center"/>
              <w:rPr>
                <w:rFonts w:hint="eastAsia" w:ascii="黑体" w:hAnsi="黑体" w:eastAsia="黑体" w:cs="黑体"/>
                <w:sz w:val="32"/>
                <w:szCs w:val="32"/>
                <w:lang w:val="en-US" w:eastAsia="zh-CN"/>
              </w:rPr>
            </w:pPr>
            <w:r>
              <w:rPr>
                <w:rFonts w:hint="eastAsia" w:ascii="黑体" w:hAnsi="黑体" w:eastAsia="黑体" w:cs="黑体"/>
                <w:b w:val="0"/>
                <w:bCs w:val="0"/>
                <w:i w:val="0"/>
                <w:color w:val="auto"/>
                <w:kern w:val="0"/>
                <w:sz w:val="32"/>
                <w:szCs w:val="32"/>
                <w:highlight w:val="none"/>
                <w:u w:val="none"/>
                <w:lang w:val="en-US" w:eastAsia="zh-CN" w:bidi="ar-SA"/>
              </w:rPr>
              <w:t>附表2</w:t>
            </w:r>
          </w:p>
          <w:p w14:paraId="30DF164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黑体" w:hAnsi="黑体" w:eastAsia="黑体" w:cs="黑体"/>
                <w:b w:val="0"/>
                <w:bCs w:val="0"/>
                <w:i w:val="0"/>
                <w:color w:val="auto"/>
                <w:kern w:val="0"/>
                <w:sz w:val="32"/>
                <w:szCs w:val="32"/>
                <w:highlight w:val="none"/>
                <w:u w:val="none"/>
                <w:lang w:val="en-US" w:eastAsia="zh-CN" w:bidi="ar-SA"/>
              </w:rPr>
            </w:pPr>
            <w:r>
              <w:rPr>
                <w:rFonts w:hint="eastAsia" w:ascii="黑体" w:hAnsi="黑体" w:eastAsia="黑体" w:cs="黑体"/>
                <w:b w:val="0"/>
                <w:bCs w:val="0"/>
                <w:i w:val="0"/>
                <w:color w:val="auto"/>
                <w:kern w:val="0"/>
                <w:sz w:val="32"/>
                <w:szCs w:val="32"/>
                <w:highlight w:val="none"/>
                <w:u w:val="none"/>
                <w:lang w:val="en-US" w:eastAsia="zh-CN" w:bidi="ar-SA"/>
              </w:rPr>
              <w:t>2023年市场监管专项资金应急机动部分</w:t>
            </w:r>
          </w:p>
          <w:p w14:paraId="1BBA43B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黑体" w:hAnsi="黑体" w:eastAsia="黑体" w:cs="黑体"/>
                <w:b/>
                <w:bCs/>
                <w:i w:val="0"/>
                <w:color w:val="auto"/>
                <w:kern w:val="0"/>
                <w:sz w:val="32"/>
                <w:szCs w:val="32"/>
                <w:highlight w:val="none"/>
                <w:u w:val="none"/>
                <w:lang w:val="en-US" w:eastAsia="zh-CN" w:bidi="ar-SA"/>
              </w:rPr>
            </w:pPr>
            <w:r>
              <w:rPr>
                <w:rFonts w:hint="eastAsia" w:ascii="黑体" w:hAnsi="黑体" w:eastAsia="黑体" w:cs="黑体"/>
                <w:b w:val="0"/>
                <w:bCs w:val="0"/>
                <w:i w:val="0"/>
                <w:color w:val="auto"/>
                <w:kern w:val="0"/>
                <w:sz w:val="32"/>
                <w:szCs w:val="32"/>
                <w:highlight w:val="none"/>
                <w:u w:val="none"/>
                <w:lang w:val="en-US" w:eastAsia="zh-CN" w:bidi="ar-SA"/>
              </w:rPr>
              <w:t>绩效目标完成情况自评表</w:t>
            </w:r>
          </w:p>
          <w:p w14:paraId="05D73FEB">
            <w:pPr>
              <w:pStyle w:val="26"/>
              <w:rPr>
                <w:rFonts w:hint="default" w:ascii="Times New Roman" w:hAnsi="Times New Roman" w:cs="Times New Roman"/>
              </w:rPr>
            </w:pPr>
          </w:p>
        </w:tc>
      </w:tr>
      <w:tr w14:paraId="7E9E5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0" w:hRule="atLeast"/>
        </w:trPr>
        <w:tc>
          <w:tcPr>
            <w:tcW w:w="2137" w:type="pct"/>
            <w:gridSpan w:val="4"/>
            <w:tcBorders>
              <w:top w:val="single" w:color="000000" w:sz="4" w:space="0"/>
              <w:left w:val="single" w:color="000000" w:sz="4" w:space="0"/>
              <w:bottom w:val="single" w:color="000000" w:sz="4" w:space="0"/>
              <w:right w:val="single" w:color="000000" w:sz="4" w:space="0"/>
            </w:tcBorders>
            <w:noWrap w:val="0"/>
            <w:vAlign w:val="center"/>
          </w:tcPr>
          <w:p w14:paraId="4A0022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预算单位</w:t>
            </w:r>
          </w:p>
        </w:tc>
        <w:tc>
          <w:tcPr>
            <w:tcW w:w="2862" w:type="pct"/>
            <w:gridSpan w:val="7"/>
            <w:tcBorders>
              <w:top w:val="single" w:color="000000" w:sz="4" w:space="0"/>
              <w:left w:val="single" w:color="000000" w:sz="4" w:space="0"/>
              <w:bottom w:val="single" w:color="000000" w:sz="4" w:space="0"/>
              <w:right w:val="single" w:color="000000" w:sz="4" w:space="0"/>
            </w:tcBorders>
            <w:noWrap w:val="0"/>
            <w:vAlign w:val="center"/>
          </w:tcPr>
          <w:p w14:paraId="75E674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遂宁市安居区市场监督管理局</w:t>
            </w:r>
          </w:p>
        </w:tc>
      </w:tr>
      <w:tr w14:paraId="65117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0" w:hRule="atLeast"/>
        </w:trPr>
        <w:tc>
          <w:tcPr>
            <w:tcW w:w="2137" w:type="pct"/>
            <w:gridSpan w:val="4"/>
            <w:tcBorders>
              <w:top w:val="single" w:color="000000" w:sz="4" w:space="0"/>
              <w:left w:val="single" w:color="000000" w:sz="4" w:space="0"/>
              <w:bottom w:val="single" w:color="000000" w:sz="4" w:space="0"/>
              <w:right w:val="single" w:color="000000" w:sz="4" w:space="0"/>
            </w:tcBorders>
            <w:noWrap w:val="0"/>
            <w:vAlign w:val="center"/>
          </w:tcPr>
          <w:p w14:paraId="0643F0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项目类型</w:t>
            </w:r>
          </w:p>
        </w:tc>
        <w:tc>
          <w:tcPr>
            <w:tcW w:w="2862" w:type="pct"/>
            <w:gridSpan w:val="7"/>
            <w:tcBorders>
              <w:top w:val="single" w:color="000000" w:sz="4" w:space="0"/>
              <w:left w:val="single" w:color="000000" w:sz="4" w:space="0"/>
              <w:bottom w:val="single" w:color="000000" w:sz="4" w:space="0"/>
              <w:right w:val="single" w:color="000000" w:sz="4" w:space="0"/>
            </w:tcBorders>
            <w:noWrap w:val="0"/>
            <w:vAlign w:val="center"/>
          </w:tcPr>
          <w:p w14:paraId="257118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专项资金</w:t>
            </w:r>
          </w:p>
        </w:tc>
      </w:tr>
      <w:tr w14:paraId="5505F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0" w:hRule="atLeast"/>
        </w:trPr>
        <w:tc>
          <w:tcPr>
            <w:tcW w:w="2137" w:type="pct"/>
            <w:gridSpan w:val="4"/>
            <w:tcBorders>
              <w:top w:val="single" w:color="000000" w:sz="4" w:space="0"/>
              <w:left w:val="single" w:color="000000" w:sz="4" w:space="0"/>
              <w:bottom w:val="single" w:color="000000" w:sz="4" w:space="0"/>
              <w:right w:val="single" w:color="000000" w:sz="4" w:space="0"/>
            </w:tcBorders>
            <w:noWrap w:val="0"/>
            <w:vAlign w:val="center"/>
          </w:tcPr>
          <w:p w14:paraId="60563D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项目起止年限</w:t>
            </w:r>
          </w:p>
        </w:tc>
        <w:tc>
          <w:tcPr>
            <w:tcW w:w="2862" w:type="pct"/>
            <w:gridSpan w:val="7"/>
            <w:tcBorders>
              <w:top w:val="single" w:color="000000" w:sz="4" w:space="0"/>
              <w:left w:val="single" w:color="000000" w:sz="4" w:space="0"/>
              <w:bottom w:val="single" w:color="000000" w:sz="4" w:space="0"/>
              <w:right w:val="single" w:color="000000" w:sz="4" w:space="0"/>
            </w:tcBorders>
            <w:noWrap w:val="0"/>
            <w:vAlign w:val="center"/>
          </w:tcPr>
          <w:p w14:paraId="558F43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2024年</w:t>
            </w:r>
          </w:p>
        </w:tc>
      </w:tr>
      <w:tr w14:paraId="09A2D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0" w:hRule="atLeast"/>
        </w:trPr>
        <w:tc>
          <w:tcPr>
            <w:tcW w:w="769"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60EB0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项目资金</w:t>
            </w:r>
          </w:p>
          <w:p w14:paraId="4B5391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367" w:type="pct"/>
            <w:gridSpan w:val="2"/>
            <w:tcBorders>
              <w:top w:val="single" w:color="000000" w:sz="4" w:space="0"/>
              <w:left w:val="single" w:color="000000" w:sz="4" w:space="0"/>
              <w:bottom w:val="single" w:color="000000" w:sz="4" w:space="0"/>
              <w:right w:val="single" w:color="000000" w:sz="4" w:space="0"/>
            </w:tcBorders>
            <w:noWrap w:val="0"/>
            <w:vAlign w:val="center"/>
          </w:tcPr>
          <w:p w14:paraId="2417AB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  年度资金总额：</w:t>
            </w:r>
          </w:p>
        </w:tc>
        <w:tc>
          <w:tcPr>
            <w:tcW w:w="915" w:type="pct"/>
            <w:gridSpan w:val="2"/>
            <w:tcBorders>
              <w:top w:val="single" w:color="000000" w:sz="4" w:space="0"/>
              <w:left w:val="single" w:color="000000" w:sz="4" w:space="0"/>
              <w:bottom w:val="single" w:color="000000" w:sz="4" w:space="0"/>
              <w:right w:val="single" w:color="auto" w:sz="4" w:space="0"/>
            </w:tcBorders>
            <w:noWrap w:val="0"/>
            <w:vAlign w:val="center"/>
          </w:tcPr>
          <w:p w14:paraId="4B7792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335" w:type="pct"/>
            <w:gridSpan w:val="4"/>
            <w:tcBorders>
              <w:top w:val="single" w:color="000000" w:sz="4" w:space="0"/>
              <w:left w:val="single" w:color="auto" w:sz="4" w:space="0"/>
              <w:bottom w:val="single" w:color="000000" w:sz="4" w:space="0"/>
              <w:right w:val="single" w:color="auto" w:sz="4" w:space="0"/>
            </w:tcBorders>
            <w:noWrap w:val="0"/>
            <w:vAlign w:val="center"/>
          </w:tcPr>
          <w:p w14:paraId="49635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ab/>
            </w:r>
            <w:r>
              <w:rPr>
                <w:rFonts w:hint="default" w:ascii="Times New Roman" w:hAnsi="Times New Roman" w:eastAsia="宋体" w:cs="Times New Roman"/>
                <w:i w:val="0"/>
                <w:iCs w:val="0"/>
                <w:color w:val="000000"/>
                <w:kern w:val="0"/>
                <w:sz w:val="18"/>
                <w:szCs w:val="18"/>
                <w:u w:val="none"/>
                <w:lang w:val="en-US" w:eastAsia="zh-CN" w:bidi="ar"/>
              </w:rPr>
              <w:t>已执行金额：</w:t>
            </w:r>
          </w:p>
        </w:tc>
        <w:tc>
          <w:tcPr>
            <w:tcW w:w="612" w:type="pct"/>
            <w:tcBorders>
              <w:top w:val="single" w:color="000000" w:sz="4" w:space="0"/>
              <w:left w:val="single" w:color="auto" w:sz="4" w:space="0"/>
              <w:bottom w:val="single" w:color="000000" w:sz="4" w:space="0"/>
              <w:right w:val="single" w:color="000000" w:sz="4" w:space="0"/>
            </w:tcBorders>
            <w:noWrap w:val="0"/>
            <w:vAlign w:val="center"/>
          </w:tcPr>
          <w:p w14:paraId="77BDD1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6B093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0" w:hRule="atLeast"/>
        </w:trPr>
        <w:tc>
          <w:tcPr>
            <w:tcW w:w="769"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8B55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67" w:type="pct"/>
            <w:gridSpan w:val="2"/>
            <w:tcBorders>
              <w:top w:val="single" w:color="000000" w:sz="4" w:space="0"/>
              <w:left w:val="single" w:color="000000" w:sz="4" w:space="0"/>
              <w:bottom w:val="single" w:color="000000" w:sz="4" w:space="0"/>
              <w:right w:val="single" w:color="000000" w:sz="4" w:space="0"/>
            </w:tcBorders>
            <w:noWrap w:val="0"/>
            <w:vAlign w:val="center"/>
          </w:tcPr>
          <w:p w14:paraId="24DBA7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      其中：财政拨款</w:t>
            </w:r>
          </w:p>
        </w:tc>
        <w:tc>
          <w:tcPr>
            <w:tcW w:w="915" w:type="pct"/>
            <w:gridSpan w:val="2"/>
            <w:tcBorders>
              <w:top w:val="single" w:color="000000" w:sz="4" w:space="0"/>
              <w:left w:val="single" w:color="000000" w:sz="4" w:space="0"/>
              <w:bottom w:val="single" w:color="000000" w:sz="4" w:space="0"/>
              <w:right w:val="single" w:color="auto" w:sz="4" w:space="0"/>
            </w:tcBorders>
            <w:noWrap w:val="0"/>
            <w:vAlign w:val="center"/>
          </w:tcPr>
          <w:p w14:paraId="351EFF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335" w:type="pct"/>
            <w:gridSpan w:val="4"/>
            <w:tcBorders>
              <w:top w:val="single" w:color="000000" w:sz="4" w:space="0"/>
              <w:left w:val="single" w:color="auto" w:sz="4" w:space="0"/>
              <w:bottom w:val="single" w:color="000000" w:sz="4" w:space="0"/>
              <w:right w:val="single" w:color="auto" w:sz="4" w:space="0"/>
            </w:tcBorders>
            <w:noWrap w:val="0"/>
            <w:vAlign w:val="center"/>
          </w:tcPr>
          <w:p w14:paraId="11F1C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      其中：财政拨款</w:t>
            </w:r>
          </w:p>
        </w:tc>
        <w:tc>
          <w:tcPr>
            <w:tcW w:w="612" w:type="pct"/>
            <w:tcBorders>
              <w:top w:val="single" w:color="000000" w:sz="4" w:space="0"/>
              <w:left w:val="single" w:color="auto" w:sz="4" w:space="0"/>
              <w:bottom w:val="single" w:color="000000" w:sz="4" w:space="0"/>
              <w:right w:val="single" w:color="000000" w:sz="4" w:space="0"/>
            </w:tcBorders>
            <w:noWrap w:val="0"/>
            <w:vAlign w:val="center"/>
          </w:tcPr>
          <w:p w14:paraId="14064B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2155A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5" w:hRule="atLeast"/>
        </w:trPr>
        <w:tc>
          <w:tcPr>
            <w:tcW w:w="769"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58C85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67" w:type="pct"/>
            <w:gridSpan w:val="2"/>
            <w:tcBorders>
              <w:top w:val="single" w:color="000000" w:sz="4" w:space="0"/>
              <w:left w:val="single" w:color="000000" w:sz="4" w:space="0"/>
              <w:bottom w:val="single" w:color="000000" w:sz="4" w:space="0"/>
              <w:right w:val="single" w:color="000000" w:sz="4" w:space="0"/>
            </w:tcBorders>
            <w:noWrap w:val="0"/>
            <w:vAlign w:val="center"/>
          </w:tcPr>
          <w:p w14:paraId="4D9301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      其他资金</w:t>
            </w:r>
          </w:p>
        </w:tc>
        <w:tc>
          <w:tcPr>
            <w:tcW w:w="915" w:type="pct"/>
            <w:gridSpan w:val="2"/>
            <w:tcBorders>
              <w:top w:val="single" w:color="000000" w:sz="4" w:space="0"/>
              <w:left w:val="single" w:color="000000" w:sz="4" w:space="0"/>
              <w:bottom w:val="single" w:color="000000" w:sz="4" w:space="0"/>
              <w:right w:val="single" w:color="auto" w:sz="4" w:space="0"/>
            </w:tcBorders>
            <w:noWrap w:val="0"/>
            <w:vAlign w:val="center"/>
          </w:tcPr>
          <w:p w14:paraId="60BFA0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35" w:type="pct"/>
            <w:gridSpan w:val="4"/>
            <w:tcBorders>
              <w:top w:val="single" w:color="000000" w:sz="4" w:space="0"/>
              <w:left w:val="single" w:color="auto" w:sz="4" w:space="0"/>
              <w:bottom w:val="single" w:color="000000" w:sz="4" w:space="0"/>
              <w:right w:val="single" w:color="auto" w:sz="4" w:space="0"/>
            </w:tcBorders>
            <w:noWrap w:val="0"/>
            <w:vAlign w:val="center"/>
          </w:tcPr>
          <w:p w14:paraId="31CA2C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            其他资金</w:t>
            </w:r>
          </w:p>
        </w:tc>
        <w:tc>
          <w:tcPr>
            <w:tcW w:w="612" w:type="pct"/>
            <w:tcBorders>
              <w:top w:val="single" w:color="000000" w:sz="4" w:space="0"/>
              <w:left w:val="single" w:color="auto" w:sz="4" w:space="0"/>
              <w:bottom w:val="single" w:color="000000" w:sz="4" w:space="0"/>
              <w:right w:val="single" w:color="000000" w:sz="4" w:space="0"/>
            </w:tcBorders>
            <w:noWrap w:val="0"/>
            <w:vAlign w:val="center"/>
          </w:tcPr>
          <w:p w14:paraId="07590C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26D2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91" w:type="pct"/>
            <w:vMerge w:val="restart"/>
            <w:tcBorders>
              <w:top w:val="single" w:color="000000" w:sz="4" w:space="0"/>
              <w:left w:val="single" w:color="000000" w:sz="4" w:space="0"/>
              <w:bottom w:val="single" w:color="000000" w:sz="4" w:space="0"/>
              <w:right w:val="single" w:color="000000" w:sz="4" w:space="0"/>
            </w:tcBorders>
            <w:noWrap w:val="0"/>
            <w:vAlign w:val="center"/>
          </w:tcPr>
          <w:p w14:paraId="32429D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总体目标</w:t>
            </w:r>
          </w:p>
        </w:tc>
        <w:tc>
          <w:tcPr>
            <w:tcW w:w="4808" w:type="pct"/>
            <w:gridSpan w:val="10"/>
            <w:tcBorders>
              <w:top w:val="single" w:color="000000" w:sz="4" w:space="0"/>
              <w:left w:val="single" w:color="000000" w:sz="4" w:space="0"/>
              <w:bottom w:val="single" w:color="000000" w:sz="4" w:space="0"/>
              <w:right w:val="single" w:color="000000" w:sz="4" w:space="0"/>
            </w:tcBorders>
            <w:noWrap w:val="0"/>
            <w:vAlign w:val="center"/>
          </w:tcPr>
          <w:p w14:paraId="397557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年度目标</w:t>
            </w:r>
          </w:p>
        </w:tc>
      </w:tr>
      <w:tr w14:paraId="4DDC1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5" w:hRule="atLeast"/>
        </w:trPr>
        <w:tc>
          <w:tcPr>
            <w:tcW w:w="1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6DE9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808" w:type="pct"/>
            <w:gridSpan w:val="10"/>
            <w:tcBorders>
              <w:top w:val="single" w:color="000000" w:sz="4" w:space="0"/>
              <w:left w:val="single" w:color="000000" w:sz="4" w:space="0"/>
              <w:bottom w:val="single" w:color="000000" w:sz="4" w:space="0"/>
              <w:right w:val="single" w:color="000000" w:sz="4" w:space="0"/>
            </w:tcBorders>
            <w:noWrap w:val="0"/>
            <w:vAlign w:val="center"/>
          </w:tcPr>
          <w:p w14:paraId="241B5D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提升特种设备安全监管能力水平，开展特种设备安全监管示范创建，切实治理消除重大安全隐患，坚决遏制重大事故发生，进一步提高安居区市场监管水平。</w:t>
            </w:r>
          </w:p>
        </w:tc>
      </w:tr>
      <w:tr w14:paraId="11845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191" w:type="pct"/>
            <w:vMerge w:val="restart"/>
            <w:tcBorders>
              <w:top w:val="single" w:color="000000" w:sz="4" w:space="0"/>
              <w:left w:val="single" w:color="000000" w:sz="4" w:space="0"/>
              <w:bottom w:val="single" w:color="000000" w:sz="4" w:space="0"/>
            </w:tcBorders>
            <w:noWrap w:val="0"/>
            <w:vAlign w:val="center"/>
          </w:tcPr>
          <w:p w14:paraId="4DB1A3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绩效 指标</w:t>
            </w:r>
          </w:p>
        </w:tc>
        <w:tc>
          <w:tcPr>
            <w:tcW w:w="577" w:type="pct"/>
            <w:tcBorders>
              <w:top w:val="single" w:color="000000" w:sz="4" w:space="0"/>
              <w:left w:val="single" w:color="000000" w:sz="4" w:space="0"/>
              <w:bottom w:val="single" w:color="000000" w:sz="4" w:space="0"/>
              <w:right w:val="single" w:color="000000" w:sz="4" w:space="0"/>
            </w:tcBorders>
            <w:noWrap w:val="0"/>
            <w:vAlign w:val="center"/>
          </w:tcPr>
          <w:p w14:paraId="6A1E97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20CB33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5F6F52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656837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1C3A74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163DFE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EC722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675" w:type="pct"/>
            <w:gridSpan w:val="2"/>
            <w:tcBorders>
              <w:top w:val="single" w:color="000000" w:sz="4" w:space="0"/>
              <w:left w:val="single" w:color="000000" w:sz="4" w:space="0"/>
              <w:bottom w:val="single" w:color="000000" w:sz="4" w:space="0"/>
              <w:right w:val="single" w:color="000000" w:sz="4" w:space="0"/>
            </w:tcBorders>
            <w:noWrap w:val="0"/>
            <w:vAlign w:val="center"/>
          </w:tcPr>
          <w:p w14:paraId="0E8799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实际完成指标值</w:t>
            </w:r>
          </w:p>
        </w:tc>
      </w:tr>
      <w:tr w14:paraId="7CAC2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5" w:hRule="atLeast"/>
        </w:trPr>
        <w:tc>
          <w:tcPr>
            <w:tcW w:w="191" w:type="pct"/>
            <w:vMerge w:val="continue"/>
            <w:tcBorders>
              <w:top w:val="single" w:color="000000" w:sz="4" w:space="0"/>
              <w:left w:val="single" w:color="000000" w:sz="4" w:space="0"/>
              <w:bottom w:val="single" w:color="000000" w:sz="4" w:space="0"/>
            </w:tcBorders>
            <w:noWrap w:val="0"/>
            <w:vAlign w:val="center"/>
          </w:tcPr>
          <w:p w14:paraId="5208E7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77" w:type="pct"/>
            <w:vMerge w:val="restart"/>
            <w:tcBorders>
              <w:top w:val="single" w:color="000000" w:sz="4" w:space="0"/>
              <w:left w:val="single" w:color="000000" w:sz="4" w:space="0"/>
              <w:bottom w:val="single" w:color="000000" w:sz="4" w:space="0"/>
              <w:right w:val="single" w:color="000000" w:sz="4" w:space="0"/>
            </w:tcBorders>
            <w:noWrap w:val="0"/>
            <w:vAlign w:val="center"/>
          </w:tcPr>
          <w:p w14:paraId="7176C8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118EB8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1A00F5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特种设备安全监管示范试点</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72D3E6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6D7B46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3BC2D5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52862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675" w:type="pct"/>
            <w:gridSpan w:val="2"/>
            <w:tcBorders>
              <w:top w:val="single" w:color="000000" w:sz="4" w:space="0"/>
              <w:left w:val="single" w:color="000000" w:sz="4" w:space="0"/>
              <w:bottom w:val="single" w:color="000000" w:sz="4" w:space="0"/>
              <w:right w:val="single" w:color="000000" w:sz="4" w:space="0"/>
            </w:tcBorders>
            <w:noWrap w:val="0"/>
            <w:vAlign w:val="center"/>
          </w:tcPr>
          <w:p w14:paraId="7AA1A6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1个</w:t>
            </w:r>
          </w:p>
        </w:tc>
      </w:tr>
      <w:tr w14:paraId="7FC3B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91" w:type="pct"/>
            <w:vMerge w:val="continue"/>
            <w:tcBorders>
              <w:top w:val="single" w:color="000000" w:sz="4" w:space="0"/>
              <w:left w:val="single" w:color="000000" w:sz="4" w:space="0"/>
              <w:bottom w:val="single" w:color="000000" w:sz="4" w:space="0"/>
            </w:tcBorders>
            <w:noWrap w:val="0"/>
            <w:vAlign w:val="center"/>
          </w:tcPr>
          <w:p w14:paraId="373562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4A35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54E7B3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6D7774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示范试点工作验收率</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017280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54B9E0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5E4027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403265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75" w:type="pct"/>
            <w:gridSpan w:val="2"/>
            <w:tcBorders>
              <w:top w:val="single" w:color="000000" w:sz="4" w:space="0"/>
              <w:left w:val="single" w:color="000000" w:sz="4" w:space="0"/>
              <w:bottom w:val="single" w:color="000000" w:sz="4" w:space="0"/>
              <w:right w:val="single" w:color="000000" w:sz="4" w:space="0"/>
            </w:tcBorders>
            <w:noWrap w:val="0"/>
            <w:vAlign w:val="center"/>
          </w:tcPr>
          <w:p w14:paraId="65DD39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r>
      <w:tr w14:paraId="20ED3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91" w:type="pct"/>
            <w:vMerge w:val="continue"/>
            <w:tcBorders>
              <w:top w:val="single" w:color="000000" w:sz="4" w:space="0"/>
              <w:left w:val="single" w:color="000000" w:sz="4" w:space="0"/>
              <w:bottom w:val="single" w:color="000000" w:sz="4" w:space="0"/>
            </w:tcBorders>
            <w:noWrap w:val="0"/>
            <w:vAlign w:val="center"/>
          </w:tcPr>
          <w:p w14:paraId="0D08D1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FEBB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7" w:type="pct"/>
            <w:vMerge w:val="restart"/>
            <w:tcBorders>
              <w:top w:val="single" w:color="000000" w:sz="4" w:space="0"/>
              <w:left w:val="single" w:color="000000" w:sz="4" w:space="0"/>
              <w:bottom w:val="single" w:color="000000" w:sz="4" w:space="0"/>
              <w:right w:val="single" w:color="000000" w:sz="4" w:space="0"/>
            </w:tcBorders>
            <w:noWrap w:val="0"/>
            <w:vAlign w:val="center"/>
          </w:tcPr>
          <w:p w14:paraId="4BB587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47B912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完成时间</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265D05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67CB68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2024年12月前</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32ADA8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0966D4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75" w:type="pct"/>
            <w:gridSpan w:val="2"/>
            <w:tcBorders>
              <w:top w:val="single" w:color="000000" w:sz="4" w:space="0"/>
              <w:left w:val="single" w:color="000000" w:sz="4" w:space="0"/>
              <w:bottom w:val="single" w:color="000000" w:sz="4" w:space="0"/>
              <w:right w:val="single" w:color="000000" w:sz="4" w:space="0"/>
            </w:tcBorders>
            <w:noWrap w:val="0"/>
            <w:vAlign w:val="center"/>
          </w:tcPr>
          <w:p w14:paraId="46540E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2024年12月前</w:t>
            </w:r>
          </w:p>
        </w:tc>
      </w:tr>
      <w:tr w14:paraId="4121A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191" w:type="pct"/>
            <w:vMerge w:val="continue"/>
            <w:tcBorders>
              <w:top w:val="single" w:color="000000" w:sz="4" w:space="0"/>
              <w:left w:val="single" w:color="000000" w:sz="4" w:space="0"/>
              <w:bottom w:val="single" w:color="000000" w:sz="4" w:space="0"/>
            </w:tcBorders>
            <w:noWrap w:val="0"/>
            <w:vAlign w:val="center"/>
          </w:tcPr>
          <w:p w14:paraId="376B82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31FB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BECB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5EE87B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2267C3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3EC244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482742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E4482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pct"/>
            <w:gridSpan w:val="2"/>
            <w:tcBorders>
              <w:top w:val="single" w:color="000000" w:sz="4" w:space="0"/>
              <w:left w:val="single" w:color="000000" w:sz="4" w:space="0"/>
              <w:bottom w:val="single" w:color="000000" w:sz="4" w:space="0"/>
              <w:right w:val="single" w:color="000000" w:sz="4" w:space="0"/>
            </w:tcBorders>
            <w:noWrap w:val="0"/>
            <w:vAlign w:val="center"/>
          </w:tcPr>
          <w:p w14:paraId="7B0D57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E73E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91" w:type="pct"/>
            <w:vMerge w:val="continue"/>
            <w:tcBorders>
              <w:top w:val="single" w:color="000000" w:sz="4" w:space="0"/>
              <w:left w:val="single" w:color="000000" w:sz="4" w:space="0"/>
              <w:bottom w:val="single" w:color="000000" w:sz="4" w:space="0"/>
            </w:tcBorders>
            <w:noWrap w:val="0"/>
            <w:vAlign w:val="center"/>
          </w:tcPr>
          <w:p w14:paraId="6F4F5B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77" w:type="pct"/>
            <w:vMerge w:val="restart"/>
            <w:tcBorders>
              <w:top w:val="single" w:color="000000" w:sz="4" w:space="0"/>
              <w:left w:val="single" w:color="000000" w:sz="4" w:space="0"/>
              <w:bottom w:val="single" w:color="000000" w:sz="4" w:space="0"/>
              <w:right w:val="single" w:color="000000" w:sz="4" w:space="0"/>
            </w:tcBorders>
            <w:noWrap w:val="0"/>
            <w:vAlign w:val="center"/>
          </w:tcPr>
          <w:p w14:paraId="59F181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667" w:type="pct"/>
            <w:vMerge w:val="restart"/>
            <w:tcBorders>
              <w:top w:val="single" w:color="000000" w:sz="4" w:space="0"/>
              <w:left w:val="single" w:color="000000" w:sz="4" w:space="0"/>
              <w:bottom w:val="single" w:color="000000" w:sz="4" w:space="0"/>
              <w:right w:val="single" w:color="000000" w:sz="4" w:space="0"/>
            </w:tcBorders>
            <w:noWrap w:val="0"/>
            <w:vAlign w:val="center"/>
          </w:tcPr>
          <w:p w14:paraId="4048E9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经济效益</w:t>
            </w:r>
          </w:p>
          <w:p w14:paraId="2EA66A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指标</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278ABC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1105E9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50C554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5C88B3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395E0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pct"/>
            <w:gridSpan w:val="2"/>
            <w:tcBorders>
              <w:top w:val="single" w:color="000000" w:sz="4" w:space="0"/>
              <w:left w:val="single" w:color="000000" w:sz="4" w:space="0"/>
              <w:bottom w:val="single" w:color="000000" w:sz="4" w:space="0"/>
              <w:right w:val="single" w:color="000000" w:sz="4" w:space="0"/>
            </w:tcBorders>
            <w:noWrap w:val="0"/>
            <w:vAlign w:val="center"/>
          </w:tcPr>
          <w:p w14:paraId="6DD968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7562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trPr>
        <w:tc>
          <w:tcPr>
            <w:tcW w:w="191" w:type="pct"/>
            <w:vMerge w:val="continue"/>
            <w:tcBorders>
              <w:top w:val="single" w:color="000000" w:sz="4" w:space="0"/>
              <w:left w:val="single" w:color="000000" w:sz="4" w:space="0"/>
              <w:bottom w:val="single" w:color="000000" w:sz="4" w:space="0"/>
            </w:tcBorders>
            <w:noWrap w:val="0"/>
            <w:vAlign w:val="center"/>
          </w:tcPr>
          <w:p w14:paraId="5B5636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DBF2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0492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2B9557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3551EF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5DC01F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02D638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7905C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pct"/>
            <w:gridSpan w:val="2"/>
            <w:tcBorders>
              <w:top w:val="single" w:color="000000" w:sz="4" w:space="0"/>
              <w:left w:val="single" w:color="000000" w:sz="4" w:space="0"/>
              <w:bottom w:val="single" w:color="000000" w:sz="4" w:space="0"/>
              <w:right w:val="single" w:color="000000" w:sz="4" w:space="0"/>
            </w:tcBorders>
            <w:noWrap w:val="0"/>
            <w:vAlign w:val="center"/>
          </w:tcPr>
          <w:p w14:paraId="3D13A4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32CF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91" w:type="pct"/>
            <w:vMerge w:val="continue"/>
            <w:tcBorders>
              <w:top w:val="single" w:color="000000" w:sz="4" w:space="0"/>
              <w:left w:val="single" w:color="000000" w:sz="4" w:space="0"/>
              <w:bottom w:val="single" w:color="000000" w:sz="4" w:space="0"/>
            </w:tcBorders>
            <w:noWrap w:val="0"/>
            <w:vAlign w:val="center"/>
          </w:tcPr>
          <w:p w14:paraId="2A20E8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3DAE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7" w:type="pct"/>
            <w:vMerge w:val="restart"/>
            <w:tcBorders>
              <w:top w:val="single" w:color="000000" w:sz="4" w:space="0"/>
              <w:left w:val="single" w:color="000000" w:sz="4" w:space="0"/>
              <w:right w:val="single" w:color="000000" w:sz="4" w:space="0"/>
            </w:tcBorders>
            <w:noWrap w:val="0"/>
            <w:vAlign w:val="center"/>
          </w:tcPr>
          <w:p w14:paraId="07D9E9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社会效益</w:t>
            </w:r>
          </w:p>
          <w:p w14:paraId="598221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指标</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4363E0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特种设备安全监管水平</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2E626E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0A9A0A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不断提高</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6DF693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61C256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pct"/>
            <w:gridSpan w:val="2"/>
            <w:tcBorders>
              <w:top w:val="single" w:color="000000" w:sz="4" w:space="0"/>
              <w:left w:val="single" w:color="000000" w:sz="4" w:space="0"/>
              <w:bottom w:val="single" w:color="000000" w:sz="4" w:space="0"/>
              <w:right w:val="single" w:color="000000" w:sz="4" w:space="0"/>
            </w:tcBorders>
            <w:noWrap w:val="0"/>
            <w:vAlign w:val="center"/>
          </w:tcPr>
          <w:p w14:paraId="7517F6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不断提高</w:t>
            </w:r>
          </w:p>
        </w:tc>
      </w:tr>
      <w:tr w14:paraId="7A8D1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trPr>
        <w:tc>
          <w:tcPr>
            <w:tcW w:w="191" w:type="pct"/>
            <w:vMerge w:val="continue"/>
            <w:tcBorders>
              <w:top w:val="single" w:color="000000" w:sz="4" w:space="0"/>
              <w:left w:val="single" w:color="000000" w:sz="4" w:space="0"/>
              <w:bottom w:val="single" w:color="000000" w:sz="4" w:space="0"/>
            </w:tcBorders>
            <w:noWrap w:val="0"/>
            <w:vAlign w:val="center"/>
          </w:tcPr>
          <w:p w14:paraId="03E675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3415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7" w:type="pct"/>
            <w:vMerge w:val="continue"/>
            <w:tcBorders>
              <w:top w:val="single" w:color="000000" w:sz="4" w:space="0"/>
              <w:left w:val="single" w:color="000000" w:sz="4" w:space="0"/>
              <w:right w:val="single" w:color="000000" w:sz="4" w:space="0"/>
            </w:tcBorders>
            <w:noWrap w:val="0"/>
            <w:vAlign w:val="center"/>
          </w:tcPr>
          <w:p w14:paraId="18761D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5E6AEB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企业特种设备安全管理意识</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67A8FD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38AFFE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不断提高</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2A177F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5FFCB1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pct"/>
            <w:gridSpan w:val="2"/>
            <w:tcBorders>
              <w:top w:val="single" w:color="000000" w:sz="4" w:space="0"/>
              <w:left w:val="single" w:color="000000" w:sz="4" w:space="0"/>
              <w:bottom w:val="single" w:color="000000" w:sz="4" w:space="0"/>
              <w:right w:val="single" w:color="000000" w:sz="4" w:space="0"/>
            </w:tcBorders>
            <w:noWrap w:val="0"/>
            <w:vAlign w:val="center"/>
          </w:tcPr>
          <w:p w14:paraId="08221F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不断提高</w:t>
            </w:r>
          </w:p>
        </w:tc>
      </w:tr>
      <w:tr w14:paraId="5522E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191" w:type="pct"/>
            <w:vMerge w:val="continue"/>
            <w:tcBorders>
              <w:top w:val="single" w:color="000000" w:sz="4" w:space="0"/>
              <w:left w:val="single" w:color="000000" w:sz="4" w:space="0"/>
              <w:bottom w:val="single" w:color="000000" w:sz="4" w:space="0"/>
            </w:tcBorders>
            <w:noWrap w:val="0"/>
            <w:vAlign w:val="center"/>
          </w:tcPr>
          <w:p w14:paraId="4DF76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77" w:type="pct"/>
            <w:tcBorders>
              <w:top w:val="single" w:color="000000" w:sz="4" w:space="0"/>
              <w:left w:val="single" w:color="000000" w:sz="4" w:space="0"/>
              <w:right w:val="single" w:color="000000" w:sz="4" w:space="0"/>
            </w:tcBorders>
            <w:noWrap w:val="0"/>
            <w:vAlign w:val="center"/>
          </w:tcPr>
          <w:p w14:paraId="13BDA8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满意度</w:t>
            </w:r>
          </w:p>
          <w:p w14:paraId="647EAF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指标</w:t>
            </w:r>
          </w:p>
        </w:tc>
        <w:tc>
          <w:tcPr>
            <w:tcW w:w="667" w:type="pct"/>
            <w:tcBorders>
              <w:top w:val="single" w:color="000000" w:sz="4" w:space="0"/>
              <w:left w:val="single" w:color="000000" w:sz="4" w:space="0"/>
              <w:right w:val="single" w:color="000000" w:sz="4" w:space="0"/>
            </w:tcBorders>
            <w:noWrap w:val="0"/>
            <w:vAlign w:val="center"/>
          </w:tcPr>
          <w:p w14:paraId="1A8431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服务对象</w:t>
            </w:r>
          </w:p>
          <w:p w14:paraId="17B146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3FB609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企业服务满意度</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3A2C28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240758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43CAEF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2EADD4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75" w:type="pct"/>
            <w:gridSpan w:val="2"/>
            <w:tcBorders>
              <w:top w:val="single" w:color="000000" w:sz="4" w:space="0"/>
              <w:left w:val="single" w:color="000000" w:sz="4" w:space="0"/>
              <w:bottom w:val="single" w:color="000000" w:sz="4" w:space="0"/>
              <w:right w:val="single" w:color="000000" w:sz="4" w:space="0"/>
            </w:tcBorders>
            <w:noWrap w:val="0"/>
            <w:vAlign w:val="center"/>
          </w:tcPr>
          <w:p w14:paraId="19BB13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90%</w:t>
            </w:r>
          </w:p>
        </w:tc>
      </w:tr>
      <w:tr w14:paraId="45E23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rPr>
        <w:tc>
          <w:tcPr>
            <w:tcW w:w="191" w:type="pct"/>
            <w:vMerge w:val="continue"/>
            <w:tcBorders>
              <w:top w:val="single" w:color="000000" w:sz="4" w:space="0"/>
              <w:left w:val="single" w:color="000000" w:sz="4" w:space="0"/>
              <w:bottom w:val="single" w:color="000000" w:sz="4" w:space="0"/>
            </w:tcBorders>
            <w:noWrap w:val="0"/>
            <w:vAlign w:val="center"/>
          </w:tcPr>
          <w:p w14:paraId="4BD15A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77" w:type="pct"/>
            <w:tcBorders>
              <w:top w:val="single" w:color="000000" w:sz="4" w:space="0"/>
              <w:left w:val="single" w:color="000000" w:sz="4" w:space="0"/>
              <w:bottom w:val="single" w:color="000000" w:sz="4" w:space="0"/>
              <w:right w:val="single" w:color="000000" w:sz="4" w:space="0"/>
            </w:tcBorders>
            <w:noWrap w:val="0"/>
            <w:vAlign w:val="center"/>
          </w:tcPr>
          <w:p w14:paraId="466924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667" w:type="pct"/>
            <w:tcBorders>
              <w:top w:val="single" w:color="000000" w:sz="4" w:space="0"/>
              <w:left w:val="single" w:color="000000" w:sz="4" w:space="0"/>
              <w:bottom w:val="single" w:color="000000" w:sz="4" w:space="0"/>
              <w:right w:val="single" w:color="000000" w:sz="4" w:space="0"/>
            </w:tcBorders>
            <w:noWrap w:val="0"/>
            <w:vAlign w:val="center"/>
          </w:tcPr>
          <w:p w14:paraId="18B342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经济成本</w:t>
            </w:r>
          </w:p>
          <w:p w14:paraId="4C82BE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指标</w:t>
            </w:r>
          </w:p>
        </w:tc>
        <w:tc>
          <w:tcPr>
            <w:tcW w:w="700" w:type="pct"/>
            <w:tcBorders>
              <w:top w:val="single" w:color="000000" w:sz="4" w:space="0"/>
              <w:bottom w:val="single" w:color="000000" w:sz="4" w:space="0"/>
              <w:right w:val="single" w:color="000000" w:sz="4" w:space="0"/>
            </w:tcBorders>
            <w:noWrap w:val="0"/>
            <w:vAlign w:val="center"/>
          </w:tcPr>
          <w:p w14:paraId="3EE374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示范试点创建成本</w:t>
            </w:r>
          </w:p>
        </w:tc>
        <w:tc>
          <w:tcPr>
            <w:tcW w:w="601" w:type="pct"/>
            <w:tcBorders>
              <w:top w:val="single" w:color="000000" w:sz="4" w:space="0"/>
              <w:left w:val="single" w:color="000000" w:sz="4" w:space="0"/>
              <w:bottom w:val="single" w:color="000000" w:sz="4" w:space="0"/>
              <w:right w:val="single" w:color="000000" w:sz="4" w:space="0"/>
            </w:tcBorders>
            <w:noWrap w:val="0"/>
            <w:vAlign w:val="center"/>
          </w:tcPr>
          <w:p w14:paraId="0D5FC2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124778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3630B6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500" w:type="pct"/>
            <w:tcBorders>
              <w:top w:val="single" w:color="000000" w:sz="4" w:space="0"/>
              <w:left w:val="single" w:color="000000" w:sz="4" w:space="0"/>
              <w:bottom w:val="single" w:color="000000" w:sz="4" w:space="0"/>
              <w:right w:val="single" w:color="000000" w:sz="4" w:space="0"/>
            </w:tcBorders>
            <w:noWrap w:val="0"/>
            <w:vAlign w:val="center"/>
          </w:tcPr>
          <w:p w14:paraId="3B1C46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75" w:type="pct"/>
            <w:gridSpan w:val="2"/>
            <w:tcBorders>
              <w:top w:val="single" w:color="000000" w:sz="4" w:space="0"/>
              <w:left w:val="single" w:color="000000" w:sz="4" w:space="0"/>
              <w:bottom w:val="single" w:color="000000" w:sz="4" w:space="0"/>
              <w:right w:val="single" w:color="000000" w:sz="4" w:space="0"/>
            </w:tcBorders>
            <w:noWrap w:val="0"/>
            <w:vAlign w:val="center"/>
          </w:tcPr>
          <w:p w14:paraId="450656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10万元</w:t>
            </w:r>
          </w:p>
        </w:tc>
      </w:tr>
    </w:tbl>
    <w:p w14:paraId="48E32A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p>
    <w:p w14:paraId="6B176038">
      <w:pPr>
        <w:pStyle w:val="26"/>
        <w:rPr>
          <w:rFonts w:hint="default"/>
          <w:lang w:val="en-US" w:eastAsia="zh-CN"/>
        </w:rPr>
      </w:pPr>
    </w:p>
    <w:p w14:paraId="222F6C15">
      <w:pPr>
        <w:pStyle w:val="26"/>
        <w:rPr>
          <w:rFonts w:hint="default"/>
          <w:lang w:val="en-US" w:eastAsia="zh-CN"/>
        </w:rPr>
      </w:pPr>
    </w:p>
    <w:p w14:paraId="18D27747">
      <w:pPr>
        <w:keepNext w:val="0"/>
        <w:keepLines w:val="0"/>
        <w:pageBreakBefore w:val="0"/>
        <w:kinsoku/>
        <w:wordWrap/>
        <w:overflowPunct/>
        <w:topLinePunct w:val="0"/>
        <w:autoSpaceDE/>
        <w:autoSpaceDN/>
        <w:bidi w:val="0"/>
        <w:spacing w:line="572" w:lineRule="exact"/>
        <w:jc w:val="center"/>
        <w:textAlignment w:val="auto"/>
        <w:outlineLvl w:val="0"/>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lang w:val="en-US" w:eastAsia="zh-CN"/>
        </w:rPr>
        <w:t>专项预算项目绩效评价报告</w:t>
      </w:r>
    </w:p>
    <w:p w14:paraId="2938E945">
      <w:pPr>
        <w:spacing w:line="600" w:lineRule="exact"/>
        <w:jc w:val="center"/>
        <w:outlineLvl w:val="0"/>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lang w:val="en-US" w:eastAsia="zh-CN"/>
        </w:rPr>
        <w:t>（2024年省级药品监管专项资金）</w:t>
      </w:r>
    </w:p>
    <w:p w14:paraId="33FAE827">
      <w:pPr>
        <w:pStyle w:val="26"/>
        <w:rPr>
          <w:rFonts w:hint="default" w:ascii="Times New Roman" w:hAnsi="Times New Roman" w:cs="Times New Roman"/>
          <w:lang w:val="en-US" w:eastAsia="zh-CN"/>
        </w:rPr>
      </w:pPr>
    </w:p>
    <w:p w14:paraId="2A6319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kern w:val="0"/>
          <w:sz w:val="32"/>
          <w:szCs w:val="48"/>
          <w:shd w:val="clear" w:color="auto" w:fill="FFFFFF"/>
          <w:lang w:val="zh-CN" w:eastAsia="zh-CN"/>
        </w:rPr>
      </w:pPr>
      <w:r>
        <w:rPr>
          <w:rFonts w:hint="default" w:ascii="Times New Roman" w:hAnsi="Times New Roman" w:eastAsia="黑体" w:cs="Times New Roman"/>
          <w:color w:val="000000"/>
          <w:kern w:val="0"/>
          <w:sz w:val="32"/>
          <w:szCs w:val="48"/>
          <w:shd w:val="clear" w:color="auto" w:fill="FFFFFF"/>
          <w:lang w:val="en-US" w:eastAsia="zh-CN"/>
        </w:rPr>
        <w:t>一、</w:t>
      </w:r>
      <w:r>
        <w:rPr>
          <w:rFonts w:hint="default" w:ascii="Times New Roman" w:hAnsi="Times New Roman" w:eastAsia="黑体" w:cs="Times New Roman"/>
          <w:color w:val="000000"/>
          <w:kern w:val="0"/>
          <w:sz w:val="32"/>
          <w:szCs w:val="48"/>
          <w:shd w:val="clear" w:color="auto" w:fill="FFFFFF"/>
          <w:lang w:val="zh-CN" w:eastAsia="zh-CN"/>
        </w:rPr>
        <w:t>项目概况</w:t>
      </w:r>
    </w:p>
    <w:p w14:paraId="5D3C9490">
      <w:pPr>
        <w:spacing w:line="600" w:lineRule="exact"/>
        <w:ind w:firstLine="640"/>
        <w:outlineLvl w:val="2"/>
        <w:rPr>
          <w:rFonts w:hint="default" w:ascii="楷体_GB2312" w:hAnsi="楷体_GB2312" w:eastAsia="楷体_GB2312" w:cs="楷体_GB2312"/>
          <w:b/>
          <w:color w:val="auto"/>
          <w:sz w:val="32"/>
          <w:szCs w:val="32"/>
          <w:highlight w:val="none"/>
          <w:lang w:val="en-US" w:eastAsia="zh-CN"/>
        </w:rPr>
      </w:pPr>
      <w:r>
        <w:rPr>
          <w:rFonts w:hint="default" w:ascii="楷体_GB2312" w:hAnsi="楷体_GB2312" w:eastAsia="楷体_GB2312" w:cs="楷体_GB2312"/>
          <w:b/>
          <w:color w:val="auto"/>
          <w:sz w:val="32"/>
          <w:szCs w:val="32"/>
          <w:highlight w:val="none"/>
          <w:lang w:val="zh-CN" w:eastAsia="zh-CN"/>
        </w:rPr>
        <w:t>（一）</w:t>
      </w:r>
      <w:r>
        <w:rPr>
          <w:rFonts w:hint="default" w:ascii="楷体_GB2312" w:hAnsi="楷体_GB2312" w:eastAsia="楷体_GB2312" w:cs="楷体_GB2312"/>
          <w:b/>
          <w:color w:val="auto"/>
          <w:sz w:val="32"/>
          <w:szCs w:val="32"/>
          <w:highlight w:val="none"/>
          <w:lang w:val="en-US" w:eastAsia="zh-CN"/>
        </w:rPr>
        <w:t>预算安排及分配管理</w:t>
      </w:r>
    </w:p>
    <w:p w14:paraId="079F37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2024年安居区市场监督管理局申请省级药品监管专项资金4.82万元，专项资金计划符合资金管理办法等相关规定</w:t>
      </w:r>
      <w:r>
        <w:rPr>
          <w:rFonts w:hint="default" w:ascii="Times New Roman" w:hAnsi="Times New Roman" w:eastAsia="仿宋" w:cs="Times New Roman"/>
          <w:sz w:val="32"/>
          <w:szCs w:val="32"/>
          <w:lang w:val="zh-CN" w:eastAsia="zh-CN"/>
        </w:rPr>
        <w:t>。</w:t>
      </w:r>
      <w:r>
        <w:rPr>
          <w:rFonts w:hint="default" w:ascii="Times New Roman" w:hAnsi="Times New Roman" w:eastAsia="仿宋" w:cs="Times New Roman"/>
          <w:sz w:val="32"/>
          <w:szCs w:val="32"/>
          <w:lang w:val="en-US" w:eastAsia="zh-CN"/>
        </w:rPr>
        <w:t>根据《遂宁市财政局 遂宁市市场监督管理局关于下达2024年省级药品监管专项资金的通知》遂财行〔2024〕43号文件，分配省级药品监管专项资金4.82万元，到位率100%。</w:t>
      </w:r>
    </w:p>
    <w:p w14:paraId="76C58D6A">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（二）项目绩效目标</w:t>
      </w:r>
    </w:p>
    <w:p w14:paraId="1F68FE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val="zh-CN" w:eastAsia="zh-CN"/>
        </w:rPr>
        <w:t>项目整体</w:t>
      </w:r>
      <w:r>
        <w:rPr>
          <w:rFonts w:hint="default" w:ascii="Times New Roman" w:hAnsi="Times New Roman" w:eastAsia="仿宋" w:cs="Times New Roman"/>
          <w:sz w:val="32"/>
          <w:szCs w:val="32"/>
          <w:lang w:val="en-US" w:eastAsia="zh-CN"/>
        </w:rPr>
        <w:t>目标</w:t>
      </w:r>
    </w:p>
    <w:p w14:paraId="78163E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深化药械化专项监管，加强药械化质量安全执法力度，强化药械化宣传培训，进一步提升我区药械化监管能力和执法水平，药品安全得到巩固提升，确保人民群众用药用械用化安全。</w:t>
      </w:r>
    </w:p>
    <w:p w14:paraId="50E325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val="zh-CN" w:eastAsia="zh-CN"/>
        </w:rPr>
        <w:t>区域和具体绩效目标设置情况</w:t>
      </w:r>
    </w:p>
    <w:p w14:paraId="6D6B05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数量指标：检查核查督查认证完成率100%</w:t>
      </w:r>
    </w:p>
    <w:p w14:paraId="16EB80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质量指标：药械化投诉举报立案处置率100%。</w:t>
      </w:r>
    </w:p>
    <w:p w14:paraId="324D43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时效指标：项目完成时间2024年12月31日前。</w:t>
      </w:r>
    </w:p>
    <w:p w14:paraId="33CA4D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成本指标：核查检查成本≤600元/人/天。</w:t>
      </w:r>
    </w:p>
    <w:p w14:paraId="057FB2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社会效益指标：辖区发生重大及以上药品安全事故数0次，辖区内药品抽查检验合格率≥98%，涉刑案件移送率100%。</w:t>
      </w:r>
    </w:p>
    <w:p w14:paraId="30ED68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可持续影响指标：设施设备使用年限≥5年。</w:t>
      </w:r>
    </w:p>
    <w:p w14:paraId="70FE9F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满意度指标：公众对药品监管工作满意度≥85%。</w:t>
      </w:r>
    </w:p>
    <w:p w14:paraId="2B3EE2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zh-CN" w:eastAsia="zh-CN"/>
        </w:rPr>
        <w:t>项目自评工作开展情况</w:t>
      </w:r>
    </w:p>
    <w:p w14:paraId="26FB0F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zh-CN" w:eastAsia="zh-CN"/>
        </w:rPr>
        <w:t>我局按照资金下达文件及《四川省财政厅</w:t>
      </w:r>
      <w:r>
        <w:rPr>
          <w:rFonts w:hint="default" w:ascii="Times New Roman" w:hAnsi="Times New Roman" w:eastAsia="仿宋" w:cs="Times New Roman"/>
          <w:sz w:val="32"/>
          <w:szCs w:val="32"/>
          <w:lang w:val="en-US" w:eastAsia="zh-CN"/>
        </w:rPr>
        <w:t xml:space="preserve"> 四川省药品监督管理局关于印发〈省级财政药品监管专项资金管理办法〉的通知</w:t>
      </w:r>
      <w:r>
        <w:rPr>
          <w:rFonts w:hint="default" w:ascii="Times New Roman" w:hAnsi="Times New Roman" w:eastAsia="仿宋" w:cs="Times New Roman"/>
          <w:sz w:val="32"/>
          <w:szCs w:val="32"/>
          <w:lang w:val="zh-CN" w:eastAsia="zh-CN"/>
        </w:rPr>
        <w:t>》（川财行〔</w:t>
      </w:r>
      <w:r>
        <w:rPr>
          <w:rFonts w:hint="default" w:ascii="Times New Roman" w:hAnsi="Times New Roman" w:eastAsia="仿宋" w:cs="Times New Roman"/>
          <w:sz w:val="32"/>
          <w:szCs w:val="32"/>
          <w:lang w:val="en-US" w:eastAsia="zh-CN"/>
        </w:rPr>
        <w:t>2024</w:t>
      </w:r>
      <w:r>
        <w:rPr>
          <w:rFonts w:hint="default" w:ascii="Times New Roman" w:hAnsi="Times New Roman" w:eastAsia="仿宋" w:cs="Times New Roman"/>
          <w:sz w:val="32"/>
          <w:szCs w:val="32"/>
          <w:lang w:val="zh-CN" w:eastAsia="zh-CN"/>
        </w:rPr>
        <w:t>〕</w:t>
      </w:r>
      <w:r>
        <w:rPr>
          <w:rFonts w:hint="default" w:ascii="Times New Roman" w:hAnsi="Times New Roman" w:eastAsia="仿宋" w:cs="Times New Roman"/>
          <w:sz w:val="32"/>
          <w:szCs w:val="32"/>
          <w:lang w:val="en-US" w:eastAsia="zh-CN"/>
        </w:rPr>
        <w:t>143号）</w:t>
      </w:r>
      <w:r>
        <w:rPr>
          <w:rFonts w:hint="default" w:ascii="Times New Roman" w:hAnsi="Times New Roman" w:eastAsia="仿宋" w:cs="Times New Roman"/>
          <w:sz w:val="32"/>
          <w:szCs w:val="32"/>
          <w:lang w:val="zh-CN" w:eastAsia="zh-CN"/>
        </w:rPr>
        <w:t>等文件要求，结合年度重点工作安排，及时制定专项资金实施方案。方案明确了项目目标、项目内容、项目范围和实施单位、项目组织实施、项目执行时间、项目监督与评估</w:t>
      </w:r>
      <w:r>
        <w:rPr>
          <w:rFonts w:hint="default" w:ascii="Times New Roman" w:hAnsi="Times New Roman" w:eastAsia="仿宋" w:cs="Times New Roman"/>
          <w:sz w:val="32"/>
          <w:szCs w:val="32"/>
          <w:lang w:val="en-US" w:eastAsia="zh-CN"/>
        </w:rPr>
        <w:t>等</w:t>
      </w:r>
      <w:r>
        <w:rPr>
          <w:rFonts w:hint="default" w:ascii="Times New Roman" w:hAnsi="Times New Roman" w:eastAsia="仿宋" w:cs="Times New Roman"/>
          <w:sz w:val="32"/>
          <w:szCs w:val="32"/>
          <w:lang w:val="zh-CN" w:eastAsia="zh-CN"/>
        </w:rPr>
        <w:t>。按照实施方案着力推进项目开展，责任股室负责项目的组织实施、管理、绩效评价工作，</w:t>
      </w:r>
      <w:r>
        <w:rPr>
          <w:rFonts w:hint="default" w:ascii="Times New Roman" w:hAnsi="Times New Roman" w:eastAsia="仿宋" w:cs="Times New Roman"/>
          <w:sz w:val="32"/>
          <w:szCs w:val="32"/>
          <w:lang w:val="en-US" w:eastAsia="zh-CN"/>
        </w:rPr>
        <w:t>办公室</w:t>
      </w:r>
      <w:r>
        <w:rPr>
          <w:rFonts w:hint="default" w:ascii="Times New Roman" w:hAnsi="Times New Roman" w:eastAsia="仿宋" w:cs="Times New Roman"/>
          <w:sz w:val="32"/>
          <w:szCs w:val="32"/>
          <w:lang w:val="zh-CN" w:eastAsia="zh-CN"/>
        </w:rPr>
        <w:t>监督项目资金使用</w:t>
      </w:r>
      <w:r>
        <w:rPr>
          <w:rFonts w:hint="default" w:ascii="Times New Roman" w:hAnsi="Times New Roman" w:eastAsia="仿宋" w:cs="Times New Roman"/>
          <w:sz w:val="32"/>
          <w:szCs w:val="32"/>
          <w:lang w:val="en-US" w:eastAsia="zh-CN"/>
        </w:rPr>
        <w:t>并</w:t>
      </w:r>
      <w:r>
        <w:rPr>
          <w:rFonts w:hint="default" w:ascii="Times New Roman" w:hAnsi="Times New Roman" w:eastAsia="仿宋" w:cs="Times New Roman"/>
          <w:sz w:val="32"/>
          <w:szCs w:val="32"/>
          <w:lang w:val="zh-CN" w:eastAsia="zh-CN"/>
        </w:rPr>
        <w:t>会同责任股室组织项目绩效评价。</w:t>
      </w:r>
    </w:p>
    <w:p w14:paraId="07B2D091">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Times New Roman" w:hAnsi="Times New Roman" w:eastAsia="仿宋" w:cs="Times New Roman"/>
          <w:sz w:val="32"/>
          <w:szCs w:val="32"/>
          <w:lang w:val="zh-CN" w:eastAsia="zh-CN"/>
        </w:rPr>
        <w:t>项目资金实行专款专用，专项核算，未列支与项目内容无关的费用，切实做好绩效监控和绩效评价，确保资金安全，提高财政资金使用效率。</w:t>
      </w:r>
    </w:p>
    <w:p w14:paraId="3D8B79CE">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w:t>
      </w:r>
      <w:r>
        <w:rPr>
          <w:rFonts w:hint="default" w:ascii="楷体_GB2312" w:hAnsi="楷体_GB2312" w:eastAsia="楷体_GB2312" w:cs="楷体_GB2312"/>
          <w:b/>
          <w:color w:val="auto"/>
          <w:sz w:val="32"/>
          <w:szCs w:val="32"/>
          <w:highlight w:val="none"/>
          <w:lang w:val="en-US" w:eastAsia="zh-CN"/>
        </w:rPr>
        <w:t>三</w:t>
      </w:r>
      <w:r>
        <w:rPr>
          <w:rFonts w:hint="default" w:ascii="楷体_GB2312" w:hAnsi="楷体_GB2312" w:eastAsia="楷体_GB2312" w:cs="楷体_GB2312"/>
          <w:b/>
          <w:color w:val="auto"/>
          <w:sz w:val="32"/>
          <w:szCs w:val="32"/>
          <w:highlight w:val="none"/>
          <w:lang w:val="zh-CN" w:eastAsia="zh-CN"/>
        </w:rPr>
        <w:t>）项目资金申报相符性</w:t>
      </w:r>
    </w:p>
    <w:p w14:paraId="271B48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项目资金申报内容紧紧围绕省局、市局确定的年度重点工作，切实加强药品安全监管，严守药品、化妆品、医疗器械安全底线，进一步规范药品经营和使用秩序，强化监督检查和稽查执法，加大对制售假劣药品违法犯罪活动的打击力度，进一步提高我区药品安全监管能力和水平。</w:t>
      </w:r>
    </w:p>
    <w:p w14:paraId="61DA2F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zh-CN" w:eastAsia="zh-CN"/>
        </w:rPr>
      </w:pPr>
      <w:r>
        <w:rPr>
          <w:rFonts w:hint="default" w:ascii="Times New Roman" w:hAnsi="Times New Roman" w:eastAsia="仿宋" w:cs="Times New Roman"/>
          <w:sz w:val="32"/>
          <w:szCs w:val="32"/>
          <w:lang w:val="en-US" w:eastAsia="zh-CN"/>
        </w:rPr>
        <w:t>项目资金申报合理，与实施内容相符。决策程序严密，规划合理，科学可行。</w:t>
      </w:r>
    </w:p>
    <w:p w14:paraId="4FE046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kern w:val="0"/>
          <w:sz w:val="32"/>
          <w:szCs w:val="48"/>
          <w:shd w:val="clear" w:color="auto" w:fill="FFFFFF"/>
          <w:lang w:val="en-US" w:eastAsia="zh-CN"/>
        </w:rPr>
      </w:pPr>
      <w:r>
        <w:rPr>
          <w:rFonts w:hint="default" w:ascii="Times New Roman" w:hAnsi="Times New Roman" w:eastAsia="黑体" w:cs="Times New Roman"/>
          <w:color w:val="000000"/>
          <w:kern w:val="0"/>
          <w:sz w:val="32"/>
          <w:szCs w:val="48"/>
          <w:shd w:val="clear" w:color="auto" w:fill="FFFFFF"/>
          <w:lang w:val="en-US" w:eastAsia="zh-CN"/>
        </w:rPr>
        <w:t>二、评价实施</w:t>
      </w:r>
    </w:p>
    <w:p w14:paraId="602FEA5E">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（一）评价目的</w:t>
      </w:r>
    </w:p>
    <w:p w14:paraId="72DFA9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仿宋" w:cs="Times New Roman"/>
          <w:sz w:val="32"/>
          <w:szCs w:val="32"/>
          <w:lang w:val="en-US" w:eastAsia="zh-CN"/>
        </w:rPr>
        <w:t>通过项目绩效自评更好的规划资金的使用方向，为下一步申请资金提供合理的预算，使项目实施更高效，资金效益最大化，更好的保障辖区内药械化安全。</w:t>
      </w:r>
    </w:p>
    <w:p w14:paraId="210E59C0">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w:t>
      </w:r>
      <w:r>
        <w:rPr>
          <w:rFonts w:hint="default" w:ascii="楷体_GB2312" w:hAnsi="楷体_GB2312" w:eastAsia="楷体_GB2312" w:cs="楷体_GB2312"/>
          <w:b/>
          <w:color w:val="auto"/>
          <w:sz w:val="32"/>
          <w:szCs w:val="32"/>
          <w:highlight w:val="none"/>
          <w:lang w:val="en-US" w:eastAsia="zh-CN"/>
        </w:rPr>
        <w:t>二</w:t>
      </w:r>
      <w:r>
        <w:rPr>
          <w:rFonts w:hint="default" w:ascii="楷体_GB2312" w:hAnsi="楷体_GB2312" w:eastAsia="楷体_GB2312" w:cs="楷体_GB2312"/>
          <w:b/>
          <w:color w:val="auto"/>
          <w:sz w:val="32"/>
          <w:szCs w:val="32"/>
          <w:highlight w:val="none"/>
          <w:lang w:val="zh-CN" w:eastAsia="zh-CN"/>
        </w:rPr>
        <w:t>）预设问题及评价重点</w:t>
      </w:r>
    </w:p>
    <w:p w14:paraId="2E33AB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预设问题：</w:t>
      </w:r>
    </w:p>
    <w:p w14:paraId="673594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1.资金使用是否制定实施方案和全过程监管。</w:t>
      </w:r>
    </w:p>
    <w:p w14:paraId="62B1A0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2.项目是否按时完成，资金拨付是否到位。</w:t>
      </w:r>
    </w:p>
    <w:p w14:paraId="6796D2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评价重点：</w:t>
      </w:r>
    </w:p>
    <w:p w14:paraId="7692DA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项目资金财政拨付、单位执行是否到位，实施结果与绩效目标相匹配。</w:t>
      </w:r>
    </w:p>
    <w:p w14:paraId="2DEB8A82">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w:t>
      </w:r>
      <w:r>
        <w:rPr>
          <w:rFonts w:hint="default" w:ascii="楷体_GB2312" w:hAnsi="楷体_GB2312" w:eastAsia="楷体_GB2312" w:cs="楷体_GB2312"/>
          <w:b/>
          <w:color w:val="auto"/>
          <w:sz w:val="32"/>
          <w:szCs w:val="32"/>
          <w:highlight w:val="none"/>
          <w:lang w:val="en-US" w:eastAsia="zh-CN"/>
        </w:rPr>
        <w:t>三</w:t>
      </w:r>
      <w:r>
        <w:rPr>
          <w:rFonts w:hint="default" w:ascii="楷体_GB2312" w:hAnsi="楷体_GB2312" w:eastAsia="楷体_GB2312" w:cs="楷体_GB2312"/>
          <w:b/>
          <w:color w:val="auto"/>
          <w:sz w:val="32"/>
          <w:szCs w:val="32"/>
          <w:highlight w:val="none"/>
          <w:lang w:val="zh-CN" w:eastAsia="zh-CN"/>
        </w:rPr>
        <w:t>）评价选点</w:t>
      </w:r>
    </w:p>
    <w:p w14:paraId="140284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zh-CN" w:eastAsia="zh-CN"/>
        </w:rPr>
        <w:t>本次绩效自评选取</w:t>
      </w:r>
      <w:r>
        <w:rPr>
          <w:rFonts w:hint="default" w:ascii="Times New Roman" w:hAnsi="Times New Roman" w:eastAsia="仿宋" w:cs="Times New Roman"/>
          <w:sz w:val="32"/>
          <w:szCs w:val="32"/>
          <w:lang w:val="en-US" w:eastAsia="zh-CN"/>
        </w:rPr>
        <w:t>遂宁市安居区市场监督管理局</w:t>
      </w:r>
      <w:r>
        <w:rPr>
          <w:rFonts w:hint="default" w:ascii="Times New Roman" w:hAnsi="Times New Roman" w:eastAsia="仿宋" w:cs="Times New Roman"/>
          <w:sz w:val="32"/>
          <w:szCs w:val="32"/>
          <w:lang w:val="zh-CN" w:eastAsia="zh-CN"/>
        </w:rPr>
        <w:t>作为评价点位</w:t>
      </w:r>
      <w:r>
        <w:rPr>
          <w:rFonts w:hint="default" w:ascii="Times New Roman" w:hAnsi="Times New Roman" w:eastAsia="仿宋" w:cs="Times New Roman"/>
          <w:sz w:val="32"/>
          <w:szCs w:val="32"/>
          <w:lang w:val="en-US" w:eastAsia="zh-CN"/>
        </w:rPr>
        <w:t>，辖区共有200余家药械化经营店，2024年对全区药品生产企业和经营企业进行监督检查，开展药品安全监督检查480家次，责令整改10家次，药品相关案件办理10件</w:t>
      </w:r>
      <w:r>
        <w:rPr>
          <w:rFonts w:hint="default" w:ascii="Times New Roman" w:hAnsi="Times New Roman" w:eastAsia="仿宋" w:cs="Times New Roman"/>
          <w:sz w:val="32"/>
          <w:szCs w:val="32"/>
          <w:lang w:val="zh-CN" w:eastAsia="zh-CN"/>
        </w:rPr>
        <w:t>。</w:t>
      </w:r>
    </w:p>
    <w:p w14:paraId="7E95451F">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w:t>
      </w:r>
      <w:r>
        <w:rPr>
          <w:rFonts w:hint="default" w:ascii="楷体_GB2312" w:hAnsi="楷体_GB2312" w:eastAsia="楷体_GB2312" w:cs="楷体_GB2312"/>
          <w:b/>
          <w:color w:val="auto"/>
          <w:sz w:val="32"/>
          <w:szCs w:val="32"/>
          <w:highlight w:val="none"/>
          <w:lang w:val="en-US" w:eastAsia="zh-CN"/>
        </w:rPr>
        <w:t>四</w:t>
      </w:r>
      <w:r>
        <w:rPr>
          <w:rFonts w:hint="default" w:ascii="楷体_GB2312" w:hAnsi="楷体_GB2312" w:eastAsia="楷体_GB2312" w:cs="楷体_GB2312"/>
          <w:b/>
          <w:color w:val="auto"/>
          <w:sz w:val="32"/>
          <w:szCs w:val="32"/>
          <w:highlight w:val="none"/>
          <w:lang w:val="zh-CN" w:eastAsia="zh-CN"/>
        </w:rPr>
        <w:t>）评价方法</w:t>
      </w:r>
    </w:p>
    <w:p w14:paraId="266923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仿宋" w:cs="Times New Roman"/>
          <w:sz w:val="32"/>
          <w:szCs w:val="32"/>
          <w:lang w:val="en-US" w:eastAsia="zh-CN"/>
        </w:rPr>
        <w:t>采用成本效益分析法和单位自评法对项目实行评价。</w:t>
      </w:r>
    </w:p>
    <w:p w14:paraId="537291CE">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w:t>
      </w:r>
      <w:r>
        <w:rPr>
          <w:rFonts w:hint="default" w:ascii="楷体_GB2312" w:hAnsi="楷体_GB2312" w:eastAsia="楷体_GB2312" w:cs="楷体_GB2312"/>
          <w:b/>
          <w:color w:val="auto"/>
          <w:sz w:val="32"/>
          <w:szCs w:val="32"/>
          <w:highlight w:val="none"/>
          <w:lang w:val="en-US" w:eastAsia="zh-CN"/>
        </w:rPr>
        <w:t>五</w:t>
      </w:r>
      <w:r>
        <w:rPr>
          <w:rFonts w:hint="default" w:ascii="楷体_GB2312" w:hAnsi="楷体_GB2312" w:eastAsia="楷体_GB2312" w:cs="楷体_GB2312"/>
          <w:b/>
          <w:color w:val="auto"/>
          <w:sz w:val="32"/>
          <w:szCs w:val="32"/>
          <w:highlight w:val="none"/>
          <w:lang w:val="zh-CN" w:eastAsia="zh-CN"/>
        </w:rPr>
        <w:t>）评价组织</w:t>
      </w:r>
    </w:p>
    <w:p w14:paraId="723153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仿宋" w:cs="Times New Roman"/>
          <w:sz w:val="32"/>
          <w:szCs w:val="32"/>
          <w:lang w:val="en-US" w:eastAsia="zh-CN"/>
        </w:rPr>
        <w:t>责任股室牵头负责项目的实施，其他股室配合工作的开展，办公室负责项目实施进度监管及资金使用监管，并对项目实行事前、事中、事后绩效评价。</w:t>
      </w:r>
    </w:p>
    <w:p w14:paraId="2F9510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zh-CN" w:eastAsia="zh-CN"/>
        </w:rPr>
      </w:pPr>
      <w:r>
        <w:rPr>
          <w:rFonts w:hint="default" w:ascii="Times New Roman" w:hAnsi="Times New Roman" w:eastAsia="黑体" w:cs="Times New Roman"/>
          <w:color w:val="000000"/>
          <w:kern w:val="0"/>
          <w:sz w:val="32"/>
          <w:szCs w:val="48"/>
          <w:shd w:val="clear" w:color="auto" w:fill="FFFFFF"/>
          <w:lang w:val="en-US" w:eastAsia="zh-CN"/>
        </w:rPr>
        <w:t>三、绩效分析</w:t>
      </w:r>
    </w:p>
    <w:p w14:paraId="66EFBEF3">
      <w:pPr>
        <w:spacing w:line="600" w:lineRule="exact"/>
        <w:ind w:firstLine="640"/>
        <w:outlineLvl w:val="2"/>
        <w:rPr>
          <w:rFonts w:hint="default" w:ascii="楷体_GB2312" w:hAnsi="楷体_GB2312" w:eastAsia="楷体_GB2312" w:cs="楷体_GB2312"/>
          <w:b/>
          <w:color w:val="auto"/>
          <w:sz w:val="32"/>
          <w:szCs w:val="32"/>
          <w:highlight w:val="none"/>
          <w:lang w:val="en-US" w:eastAsia="zh-CN"/>
        </w:rPr>
      </w:pPr>
      <w:r>
        <w:rPr>
          <w:rFonts w:hint="default" w:ascii="楷体_GB2312" w:hAnsi="楷体_GB2312" w:eastAsia="楷体_GB2312" w:cs="楷体_GB2312"/>
          <w:b/>
          <w:color w:val="auto"/>
          <w:sz w:val="32"/>
          <w:szCs w:val="32"/>
          <w:highlight w:val="none"/>
          <w:lang w:val="zh-CN" w:eastAsia="zh-CN"/>
        </w:rPr>
        <w:t>（一）</w:t>
      </w:r>
      <w:r>
        <w:rPr>
          <w:rFonts w:hint="default" w:ascii="楷体_GB2312" w:hAnsi="楷体_GB2312" w:eastAsia="楷体_GB2312" w:cs="楷体_GB2312"/>
          <w:b/>
          <w:color w:val="auto"/>
          <w:sz w:val="32"/>
          <w:szCs w:val="32"/>
          <w:highlight w:val="none"/>
          <w:lang w:val="en-US" w:eastAsia="zh-CN"/>
        </w:rPr>
        <w:t>通用指标</w:t>
      </w:r>
      <w:r>
        <w:rPr>
          <w:rFonts w:hint="default" w:ascii="楷体_GB2312" w:hAnsi="楷体_GB2312" w:eastAsia="楷体_GB2312" w:cs="楷体_GB2312"/>
          <w:b/>
          <w:color w:val="auto"/>
          <w:sz w:val="32"/>
          <w:szCs w:val="32"/>
          <w:highlight w:val="none"/>
          <w:lang w:val="zh-CN" w:eastAsia="zh-CN"/>
        </w:rPr>
        <w:t>绩效分析</w:t>
      </w:r>
    </w:p>
    <w:p w14:paraId="549F71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1.项目决策</w:t>
      </w:r>
    </w:p>
    <w:p w14:paraId="02727F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项目设立、调整延续等方面符合资金管理基本规范和决策程序要求，项目规划符合中央、省委、省政府有关决策部署安排，充分评估论证项目立项必要性、前瞻性、合理性和可行性，项目总体绩效目标设置合理性的偏离度≤15%，属于政府支持范围，且符合财政事权支出责任划分规定，资金投向与项目总体规划、相关行业事业发展相匹配，聚焦重大任务、重点领域、重点环节和重点项目，体现“集中财力办大事”原则，避免“撒胡椒面”，未与其他同类项目或部门内部相关项目交叉重复，此项自评得分18分。</w:t>
      </w:r>
    </w:p>
    <w:p w14:paraId="652549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2.项目管理</w:t>
      </w:r>
    </w:p>
    <w:p w14:paraId="03CFF6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资金管理办法等管理制度体系健全完善，不存在管理制度缺失、管理办法过期情况，资金分配因素选取充分考虑相关行业事业发展实际和发展需求，资金分配因素的权重设置有效突出项目实施重点，资金区域分布结果公平合理，资金分配严格按管理办法执行，决策程序符合管理要求，及时高效，项目按</w:t>
      </w:r>
      <w:r>
        <w:rPr>
          <w:rFonts w:hint="eastAsia" w:eastAsia="仿宋" w:cs="Times New Roman"/>
          <w:sz w:val="32"/>
          <w:szCs w:val="32"/>
          <w:lang w:val="en-US" w:eastAsia="zh-CN"/>
        </w:rPr>
        <w:t>中央、省委</w:t>
      </w:r>
      <w:r>
        <w:rPr>
          <w:rFonts w:hint="default" w:ascii="Times New Roman" w:hAnsi="Times New Roman" w:eastAsia="仿宋" w:cs="Times New Roman"/>
          <w:sz w:val="32"/>
          <w:szCs w:val="32"/>
          <w:lang w:val="en-US" w:eastAsia="zh-CN"/>
        </w:rPr>
        <w:t>要求全面完成绩效目标（含事前评估）、绩效评价等预算绩效管理工作，市级部门对</w:t>
      </w:r>
      <w:r>
        <w:rPr>
          <w:rFonts w:hint="eastAsia" w:eastAsia="仿宋" w:cs="Times New Roman"/>
          <w:sz w:val="32"/>
          <w:szCs w:val="32"/>
          <w:lang w:val="en-US" w:eastAsia="zh-CN"/>
        </w:rPr>
        <w:t>区（县）</w:t>
      </w:r>
      <w:r>
        <w:rPr>
          <w:rFonts w:hint="default" w:ascii="Times New Roman" w:hAnsi="Times New Roman" w:eastAsia="仿宋" w:cs="Times New Roman"/>
          <w:sz w:val="32"/>
          <w:szCs w:val="32"/>
          <w:lang w:val="en-US" w:eastAsia="zh-CN"/>
        </w:rPr>
        <w:t>主管部门预算绩效管理要求到位，不存在对</w:t>
      </w:r>
      <w:r>
        <w:rPr>
          <w:rFonts w:hint="eastAsia" w:eastAsia="仿宋" w:cs="Times New Roman"/>
          <w:sz w:val="32"/>
          <w:szCs w:val="32"/>
          <w:lang w:val="en-US" w:eastAsia="zh-CN"/>
        </w:rPr>
        <w:t>区（县）</w:t>
      </w:r>
      <w:r>
        <w:rPr>
          <w:rFonts w:hint="default" w:ascii="Times New Roman" w:hAnsi="Times New Roman" w:eastAsia="仿宋" w:cs="Times New Roman"/>
          <w:sz w:val="32"/>
          <w:szCs w:val="32"/>
          <w:lang w:val="en-US" w:eastAsia="zh-CN"/>
        </w:rPr>
        <w:t>资金分配和项目管理指导力度不够的情况，对</w:t>
      </w:r>
      <w:r>
        <w:rPr>
          <w:rFonts w:hint="eastAsia" w:eastAsia="仿宋" w:cs="Times New Roman"/>
          <w:sz w:val="32"/>
          <w:szCs w:val="32"/>
          <w:lang w:val="en-US" w:eastAsia="zh-CN"/>
        </w:rPr>
        <w:t>区（县）</w:t>
      </w:r>
      <w:r>
        <w:rPr>
          <w:rFonts w:hint="default" w:ascii="Times New Roman" w:hAnsi="Times New Roman" w:eastAsia="仿宋" w:cs="Times New Roman"/>
          <w:sz w:val="32"/>
          <w:szCs w:val="32"/>
          <w:lang w:val="en-US" w:eastAsia="zh-CN"/>
        </w:rPr>
        <w:t>开展评价、监督、指导等工作，此项自评得分18分。</w:t>
      </w:r>
    </w:p>
    <w:p w14:paraId="5D0722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3.项目实施</w:t>
      </w:r>
    </w:p>
    <w:p w14:paraId="673CEF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省级药品监管专项资金预算4.82万元，</w:t>
      </w:r>
      <w:r>
        <w:rPr>
          <w:rFonts w:hint="default" w:ascii="Times New Roman" w:hAnsi="Times New Roman" w:eastAsia="仿宋" w:cs="Times New Roman"/>
          <w:sz w:val="32"/>
          <w:szCs w:val="32"/>
          <w:lang w:val="zh-CN" w:eastAsia="zh-CN"/>
        </w:rPr>
        <w:t>执行</w:t>
      </w:r>
      <w:r>
        <w:rPr>
          <w:rFonts w:hint="default" w:ascii="Times New Roman" w:hAnsi="Times New Roman" w:eastAsia="仿宋" w:cs="Times New Roman"/>
          <w:sz w:val="32"/>
          <w:szCs w:val="32"/>
          <w:lang w:val="en-US" w:eastAsia="zh-CN"/>
        </w:rPr>
        <w:t>4.82万元，执行率100%，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此项自评得分9分。</w:t>
      </w:r>
    </w:p>
    <w:p w14:paraId="2A7BA9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4.项目结果</w:t>
      </w:r>
    </w:p>
    <w:p w14:paraId="3C5B8E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圆满完成项目预期目标，实施结果与绩效目标相匹配，项目实际完成时间与计划完成时间一致，此项自评得分9分。</w:t>
      </w:r>
    </w:p>
    <w:p w14:paraId="6FC5BE6D">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（二）</w:t>
      </w:r>
      <w:r>
        <w:rPr>
          <w:rFonts w:hint="default" w:ascii="楷体_GB2312" w:hAnsi="楷体_GB2312" w:eastAsia="楷体_GB2312" w:cs="楷体_GB2312"/>
          <w:b/>
          <w:color w:val="auto"/>
          <w:sz w:val="32"/>
          <w:szCs w:val="32"/>
          <w:highlight w:val="none"/>
          <w:lang w:val="en-US" w:eastAsia="zh-CN"/>
        </w:rPr>
        <w:t>专用指标</w:t>
      </w:r>
      <w:r>
        <w:rPr>
          <w:rFonts w:hint="default" w:ascii="楷体_GB2312" w:hAnsi="楷体_GB2312" w:eastAsia="楷体_GB2312" w:cs="楷体_GB2312"/>
          <w:b/>
          <w:color w:val="auto"/>
          <w:sz w:val="32"/>
          <w:szCs w:val="32"/>
          <w:highlight w:val="none"/>
          <w:lang w:val="zh-CN" w:eastAsia="zh-CN"/>
        </w:rPr>
        <w:t>绩效分析</w:t>
      </w:r>
    </w:p>
    <w:p w14:paraId="4A97FD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zh-CN" w:eastAsia="zh-CN"/>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val="zh-CN" w:eastAsia="zh-CN"/>
        </w:rPr>
        <w:t>行政运转</w:t>
      </w:r>
    </w:p>
    <w:p w14:paraId="671781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zh-CN" w:eastAsia="zh-CN"/>
        </w:rPr>
        <w:t>资金实际用途符合专项资金管理要求，资金管理程序符合专项资金管理要求，资金分配标准符合专项资金管理要求，</w:t>
      </w:r>
      <w:r>
        <w:rPr>
          <w:rFonts w:hint="default" w:ascii="Times New Roman" w:hAnsi="Times New Roman" w:eastAsia="仿宋" w:cs="Times New Roman"/>
          <w:sz w:val="32"/>
          <w:szCs w:val="32"/>
          <w:lang w:val="en-US" w:eastAsia="zh-CN"/>
        </w:rPr>
        <w:t>此项自评得分30分</w:t>
      </w:r>
      <w:r>
        <w:rPr>
          <w:rFonts w:hint="default" w:ascii="Times New Roman" w:hAnsi="Times New Roman" w:eastAsia="仿宋" w:cs="Times New Roman"/>
          <w:sz w:val="32"/>
          <w:szCs w:val="32"/>
          <w:lang w:val="zh-CN" w:eastAsia="zh-CN"/>
        </w:rPr>
        <w:t>。</w:t>
      </w:r>
    </w:p>
    <w:p w14:paraId="226F6311">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en-US" w:eastAsia="zh-CN"/>
        </w:rPr>
        <w:t>（三）个性指标</w:t>
      </w:r>
      <w:r>
        <w:rPr>
          <w:rFonts w:hint="default" w:ascii="楷体_GB2312" w:hAnsi="楷体_GB2312" w:eastAsia="楷体_GB2312" w:cs="楷体_GB2312"/>
          <w:b/>
          <w:color w:val="auto"/>
          <w:sz w:val="32"/>
          <w:szCs w:val="32"/>
          <w:highlight w:val="none"/>
          <w:lang w:val="zh-CN" w:eastAsia="zh-CN"/>
        </w:rPr>
        <w:t>绩效分析</w:t>
      </w:r>
    </w:p>
    <w:p w14:paraId="2EE1CB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仿宋" w:cs="Times New Roman"/>
          <w:sz w:val="32"/>
          <w:szCs w:val="32"/>
          <w:lang w:val="zh-CN" w:eastAsia="zh-CN"/>
        </w:rPr>
        <w:t>省级下达数量指标完成率</w:t>
      </w:r>
      <w:r>
        <w:rPr>
          <w:rFonts w:hint="default" w:ascii="Times New Roman" w:hAnsi="Times New Roman" w:eastAsia="仿宋" w:cs="Times New Roman"/>
          <w:sz w:val="32"/>
          <w:szCs w:val="32"/>
          <w:lang w:val="en-US" w:eastAsia="zh-CN"/>
        </w:rPr>
        <w:t>100%，单位绩效目标数量指标完成率100%，省级下达质量达标率100%，发生重大及以上药品安全事故数0次，辖区药品评价性抽查检验合格率≥98%，此项自评得分16分。</w:t>
      </w:r>
    </w:p>
    <w:p w14:paraId="34F6B1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黑体" w:cs="Times New Roman"/>
          <w:color w:val="000000"/>
          <w:kern w:val="0"/>
          <w:sz w:val="32"/>
          <w:szCs w:val="48"/>
          <w:shd w:val="clear" w:color="auto" w:fill="FFFFFF"/>
          <w:lang w:val="en-US" w:eastAsia="zh-CN"/>
        </w:rPr>
        <w:t>四、评价结论</w:t>
      </w:r>
    </w:p>
    <w:p w14:paraId="122D73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综合指标绩效分析，2024年省级药品监管专项资金自评得分100分。</w:t>
      </w:r>
    </w:p>
    <w:p w14:paraId="11AC69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kern w:val="0"/>
          <w:sz w:val="32"/>
          <w:szCs w:val="48"/>
          <w:shd w:val="clear" w:color="auto" w:fill="FFFFFF"/>
          <w:lang w:val="en-US" w:eastAsia="zh-CN"/>
        </w:rPr>
      </w:pPr>
      <w:r>
        <w:rPr>
          <w:rFonts w:hint="default" w:ascii="Times New Roman" w:hAnsi="Times New Roman" w:eastAsia="黑体" w:cs="Times New Roman"/>
          <w:color w:val="000000"/>
          <w:kern w:val="0"/>
          <w:sz w:val="32"/>
          <w:szCs w:val="48"/>
          <w:shd w:val="clear" w:color="auto" w:fill="FFFFFF"/>
          <w:lang w:val="en-US" w:eastAsia="zh-CN"/>
        </w:rPr>
        <w:t>五、存在主要问题</w:t>
      </w:r>
    </w:p>
    <w:p w14:paraId="087EC1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仿宋" w:cs="Times New Roman"/>
          <w:sz w:val="32"/>
          <w:szCs w:val="32"/>
          <w:lang w:val="en-US" w:eastAsia="zh-CN"/>
        </w:rPr>
        <w:t>无。</w:t>
      </w:r>
    </w:p>
    <w:p w14:paraId="058F58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kern w:val="0"/>
          <w:sz w:val="32"/>
          <w:szCs w:val="48"/>
          <w:shd w:val="clear" w:color="auto" w:fill="FFFFFF"/>
          <w:lang w:val="zh-CN" w:eastAsia="zh-CN"/>
        </w:rPr>
      </w:pPr>
      <w:r>
        <w:rPr>
          <w:rFonts w:hint="default" w:ascii="Times New Roman" w:hAnsi="Times New Roman" w:eastAsia="黑体" w:cs="Times New Roman"/>
          <w:color w:val="000000"/>
          <w:kern w:val="0"/>
          <w:sz w:val="32"/>
          <w:szCs w:val="48"/>
          <w:shd w:val="clear" w:color="auto" w:fill="FFFFFF"/>
          <w:lang w:val="zh-CN" w:eastAsia="zh-CN"/>
        </w:rPr>
        <w:t>六、改进建议</w:t>
      </w:r>
    </w:p>
    <w:p w14:paraId="385ECC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无。</w:t>
      </w:r>
    </w:p>
    <w:p w14:paraId="0809C9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p>
    <w:p w14:paraId="7271FB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附表：省级药品监管专项资金绩效目标自评表</w:t>
      </w:r>
    </w:p>
    <w:p w14:paraId="47539C9A">
      <w:pPr>
        <w:pStyle w:val="5"/>
        <w:widowControl w:val="0"/>
        <w:numPr>
          <w:ilvl w:val="0"/>
          <w:numId w:val="0"/>
        </w:numPr>
        <w:jc w:val="both"/>
        <w:rPr>
          <w:rFonts w:hint="default" w:ascii="Times New Roman" w:hAnsi="Times New Roman" w:eastAsia="方正仿宋简体" w:cs="Times New Roman"/>
          <w:sz w:val="32"/>
          <w:szCs w:val="32"/>
          <w:lang w:val="en-US" w:eastAsia="zh-CN"/>
        </w:rPr>
      </w:pPr>
    </w:p>
    <w:p w14:paraId="2003F9FC">
      <w:pPr>
        <w:pStyle w:val="5"/>
        <w:widowControl w:val="0"/>
        <w:numPr>
          <w:ilvl w:val="0"/>
          <w:numId w:val="0"/>
        </w:numPr>
        <w:jc w:val="both"/>
        <w:rPr>
          <w:rFonts w:hint="default" w:ascii="Times New Roman" w:hAnsi="Times New Roman" w:eastAsia="方正仿宋简体" w:cs="Times New Roman"/>
          <w:sz w:val="32"/>
          <w:szCs w:val="32"/>
          <w:lang w:val="en-US" w:eastAsia="zh-CN"/>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583"/>
        <w:gridCol w:w="1504"/>
        <w:gridCol w:w="1812"/>
        <w:gridCol w:w="1539"/>
        <w:gridCol w:w="1707"/>
        <w:gridCol w:w="1370"/>
      </w:tblGrid>
      <w:tr w14:paraId="7C4A1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000" w:type="pct"/>
            <w:gridSpan w:val="7"/>
            <w:tcBorders>
              <w:top w:val="nil"/>
              <w:left w:val="nil"/>
              <w:bottom w:val="nil"/>
              <w:right w:val="nil"/>
            </w:tcBorders>
            <w:shd w:val="clear" w:color="auto" w:fill="auto"/>
            <w:vAlign w:val="center"/>
          </w:tcPr>
          <w:p w14:paraId="51B7EB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黑体" w:cs="Times New Roman"/>
                <w:b/>
                <w:bCs/>
                <w:i w:val="0"/>
                <w:iCs w:val="0"/>
                <w:color w:val="000000"/>
                <w:kern w:val="0"/>
                <w:sz w:val="32"/>
                <w:szCs w:val="32"/>
                <w:u w:val="none"/>
                <w:lang w:val="en-US" w:eastAsia="zh-CN" w:bidi="ar"/>
              </w:rPr>
            </w:pPr>
            <w:r>
              <w:rPr>
                <w:rFonts w:hint="default" w:ascii="Times New Roman" w:hAnsi="Times New Roman" w:eastAsia="黑体" w:cs="Times New Roman"/>
                <w:b w:val="0"/>
                <w:bCs w:val="0"/>
                <w:i w:val="0"/>
                <w:iCs w:val="0"/>
                <w:color w:val="000000"/>
                <w:kern w:val="0"/>
                <w:sz w:val="32"/>
                <w:szCs w:val="32"/>
                <w:u w:val="none"/>
                <w:lang w:val="en-US" w:eastAsia="zh-CN" w:bidi="ar"/>
              </w:rPr>
              <w:t>附表</w:t>
            </w:r>
          </w:p>
          <w:p w14:paraId="74B768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 w:val="0"/>
                <w:bCs w:val="0"/>
                <w:i w:val="0"/>
                <w:iCs w:val="0"/>
                <w:color w:val="000000"/>
                <w:kern w:val="0"/>
                <w:sz w:val="40"/>
                <w:szCs w:val="40"/>
                <w:u w:val="none"/>
                <w:lang w:val="en-US" w:eastAsia="zh-CN" w:bidi="ar"/>
              </w:rPr>
            </w:pPr>
            <w:r>
              <w:rPr>
                <w:rFonts w:hint="default" w:ascii="Times New Roman" w:hAnsi="Times New Roman" w:eastAsia="黑体" w:cs="Times New Roman"/>
                <w:b w:val="0"/>
                <w:bCs w:val="0"/>
                <w:i w:val="0"/>
                <w:iCs w:val="0"/>
                <w:color w:val="000000"/>
                <w:kern w:val="0"/>
                <w:sz w:val="32"/>
                <w:szCs w:val="32"/>
                <w:u w:val="none"/>
                <w:lang w:val="en-US" w:eastAsia="zh-CN" w:bidi="ar"/>
              </w:rPr>
              <w:t>省级药品监管专项资金绩效目标自评表</w:t>
            </w:r>
          </w:p>
          <w:p w14:paraId="26640E6F">
            <w:pPr>
              <w:pStyle w:val="27"/>
              <w:keepNext w:val="0"/>
              <w:keepLines w:val="0"/>
              <w:pageBreakBefore w:val="0"/>
              <w:kinsoku/>
              <w:wordWrap/>
              <w:overflowPunct/>
              <w:topLinePunct w:val="0"/>
              <w:autoSpaceDE/>
              <w:autoSpaceDN/>
              <w:bidi w:val="0"/>
              <w:adjustRightInd/>
              <w:snapToGrid/>
              <w:spacing w:line="280" w:lineRule="exact"/>
              <w:rPr>
                <w:rFonts w:hint="default" w:ascii="Times New Roman" w:hAnsi="Times New Roman" w:cs="Times New Roman"/>
                <w:sz w:val="4"/>
                <w:szCs w:val="4"/>
              </w:rPr>
            </w:pPr>
          </w:p>
        </w:tc>
      </w:tr>
      <w:tr w14:paraId="2FB27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5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110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34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655A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2024年省级药品监管专项资金</w:t>
            </w:r>
          </w:p>
        </w:tc>
      </w:tr>
      <w:tr w14:paraId="42823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5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2F19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预算单位</w:t>
            </w:r>
          </w:p>
        </w:tc>
        <w:tc>
          <w:tcPr>
            <w:tcW w:w="34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73DE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遂宁市安居区市场监督管理局</w:t>
            </w:r>
          </w:p>
        </w:tc>
      </w:tr>
      <w:tr w14:paraId="770A7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5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EE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项目类型</w:t>
            </w:r>
          </w:p>
        </w:tc>
        <w:tc>
          <w:tcPr>
            <w:tcW w:w="34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E580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专项项目</w:t>
            </w:r>
          </w:p>
        </w:tc>
      </w:tr>
      <w:tr w14:paraId="6A8FF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934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概况</w:t>
            </w:r>
          </w:p>
        </w:tc>
        <w:tc>
          <w:tcPr>
            <w:tcW w:w="1134" w:type="pct"/>
            <w:gridSpan w:val="2"/>
            <w:tcBorders>
              <w:top w:val="single" w:color="000000" w:sz="4" w:space="0"/>
              <w:left w:val="single" w:color="000000" w:sz="4" w:space="0"/>
              <w:bottom w:val="nil"/>
              <w:right w:val="single" w:color="000000" w:sz="4" w:space="0"/>
            </w:tcBorders>
            <w:shd w:val="clear" w:color="auto" w:fill="auto"/>
            <w:vAlign w:val="center"/>
          </w:tcPr>
          <w:p w14:paraId="3FC53B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中长期规划（名称、文号)</w:t>
            </w:r>
          </w:p>
        </w:tc>
        <w:tc>
          <w:tcPr>
            <w:tcW w:w="34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A8D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川财行【2024】143号 财政厅省药监局 关于印发《省级财政药品监管专项资金管理办法》的通知</w:t>
            </w:r>
          </w:p>
        </w:tc>
      </w:tr>
      <w:tr w14:paraId="3B76E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B9D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0BD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资金管理办法（名称、文号）</w:t>
            </w:r>
          </w:p>
        </w:tc>
        <w:tc>
          <w:tcPr>
            <w:tcW w:w="34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A3AC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川财行【2024】143号 财政厅省药监局 关于印发《省级财政药品监管专项资金管理办法》的通知</w:t>
            </w:r>
          </w:p>
        </w:tc>
      </w:tr>
      <w:tr w14:paraId="4DC55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BBD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C97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绩效分配方式</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8E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£因素法</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F02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£项目法</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8D4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£据实据效</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D81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£因素法与项目法相结合</w:t>
            </w:r>
          </w:p>
        </w:tc>
      </w:tr>
      <w:tr w14:paraId="2C86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66C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A48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立项依据</w:t>
            </w:r>
          </w:p>
        </w:tc>
        <w:tc>
          <w:tcPr>
            <w:tcW w:w="34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D578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《财政厅省药监局 关于下达2024年药品监管专项资金的通知》川财行[2024]15号</w:t>
            </w:r>
          </w:p>
        </w:tc>
      </w:tr>
      <w:tr w14:paraId="2B43F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BED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7BB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使用范围</w:t>
            </w:r>
          </w:p>
        </w:tc>
        <w:tc>
          <w:tcPr>
            <w:tcW w:w="34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7E41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药品安全监督、药品队伍和能力建设</w:t>
            </w:r>
          </w:p>
        </w:tc>
      </w:tr>
      <w:tr w14:paraId="2CF02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D14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F0D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申报（补助）条件</w:t>
            </w:r>
          </w:p>
        </w:tc>
        <w:tc>
          <w:tcPr>
            <w:tcW w:w="34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3F63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符合专项资金管理办法，申报资料真实、完整</w:t>
            </w:r>
          </w:p>
        </w:tc>
      </w:tr>
      <w:tr w14:paraId="7A673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436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871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项目起止年限</w:t>
            </w:r>
          </w:p>
        </w:tc>
        <w:tc>
          <w:tcPr>
            <w:tcW w:w="3494" w:type="pct"/>
            <w:gridSpan w:val="4"/>
            <w:tcBorders>
              <w:top w:val="single" w:color="000000" w:sz="4" w:space="0"/>
              <w:left w:val="single" w:color="000000" w:sz="4" w:space="0"/>
              <w:bottom w:val="nil"/>
              <w:right w:val="single" w:color="000000" w:sz="4" w:space="0"/>
            </w:tcBorders>
            <w:shd w:val="clear" w:color="auto" w:fill="auto"/>
            <w:vAlign w:val="center"/>
          </w:tcPr>
          <w:p w14:paraId="17362E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2024年1月1日-2024年12月31日</w:t>
            </w:r>
          </w:p>
        </w:tc>
      </w:tr>
      <w:tr w14:paraId="39ECF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CDD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项目资金（万元）</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119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8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5E2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全年预算数</w:t>
            </w:r>
          </w:p>
        </w:tc>
        <w:tc>
          <w:tcPr>
            <w:tcW w:w="1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436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全年执行数</w:t>
            </w:r>
          </w:p>
        </w:tc>
      </w:tr>
      <w:tr w14:paraId="46BB2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59D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1C2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年度资金总额：</w:t>
            </w:r>
          </w:p>
        </w:tc>
        <w:tc>
          <w:tcPr>
            <w:tcW w:w="18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155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4.82</w:t>
            </w:r>
          </w:p>
        </w:tc>
        <w:tc>
          <w:tcPr>
            <w:tcW w:w="1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44C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4.82</w:t>
            </w:r>
          </w:p>
        </w:tc>
      </w:tr>
      <w:tr w14:paraId="15FC9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3B4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F3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其中：当年财政拨款</w:t>
            </w:r>
          </w:p>
        </w:tc>
        <w:tc>
          <w:tcPr>
            <w:tcW w:w="18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D15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4.82</w:t>
            </w:r>
          </w:p>
        </w:tc>
        <w:tc>
          <w:tcPr>
            <w:tcW w:w="16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12B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4.82</w:t>
            </w:r>
          </w:p>
        </w:tc>
      </w:tr>
      <w:tr w14:paraId="256C3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6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A19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F1D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应急部分</w:t>
            </w:r>
          </w:p>
        </w:tc>
        <w:tc>
          <w:tcPr>
            <w:tcW w:w="182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29A76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67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C7EEF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2C3A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288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F57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上年结转</w:t>
            </w:r>
          </w:p>
        </w:tc>
        <w:tc>
          <w:tcPr>
            <w:tcW w:w="182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F3730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67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8866B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EF88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8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7A4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091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82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CC867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67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221798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760C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396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总体 目标</w:t>
            </w:r>
          </w:p>
        </w:tc>
        <w:tc>
          <w:tcPr>
            <w:tcW w:w="46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1B51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年度目标</w:t>
            </w:r>
          </w:p>
        </w:tc>
      </w:tr>
      <w:tr w14:paraId="775DF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8BE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6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F4E8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深化药械化专项监管，加强药械化质量安全执法力度，强化药械化宣传培训，进一步提升我区药械化监管能力和执法水平，药品安全得到巩固提升，确保人民群众用药用械用化安全。</w:t>
            </w:r>
          </w:p>
        </w:tc>
      </w:tr>
      <w:tr w14:paraId="3C436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312A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绩效指标</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D52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一级</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指标</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5F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3D2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CE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540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全年实际完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成值</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AEE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未完成原因和改进措施</w:t>
            </w:r>
          </w:p>
        </w:tc>
      </w:tr>
      <w:tr w14:paraId="2630A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66EE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6151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817" w:type="pct"/>
            <w:tcBorders>
              <w:top w:val="single" w:color="000000" w:sz="4" w:space="0"/>
              <w:left w:val="single" w:color="000000" w:sz="4" w:space="0"/>
              <w:bottom w:val="nil"/>
              <w:right w:val="single" w:color="000000" w:sz="4" w:space="0"/>
            </w:tcBorders>
            <w:shd w:val="clear" w:color="auto" w:fill="auto"/>
            <w:vAlign w:val="center"/>
          </w:tcPr>
          <w:p w14:paraId="2DCE8F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3CA2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检查核查督查认证完成率</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CF4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1B8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A46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C51F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925B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78A6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817" w:type="pct"/>
            <w:tcBorders>
              <w:top w:val="single" w:color="000000" w:sz="4" w:space="0"/>
              <w:left w:val="single" w:color="000000" w:sz="4" w:space="0"/>
              <w:bottom w:val="nil"/>
              <w:right w:val="single" w:color="000000" w:sz="4" w:space="0"/>
            </w:tcBorders>
            <w:shd w:val="clear" w:color="auto" w:fill="auto"/>
            <w:vAlign w:val="center"/>
          </w:tcPr>
          <w:p w14:paraId="58D0AB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697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药械化投诉举报立案处置率</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242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504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4B6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89F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B895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62FA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817" w:type="pct"/>
            <w:tcBorders>
              <w:top w:val="single" w:color="000000" w:sz="4" w:space="0"/>
              <w:left w:val="single" w:color="000000" w:sz="4" w:space="0"/>
              <w:bottom w:val="nil"/>
              <w:right w:val="single" w:color="000000" w:sz="4" w:space="0"/>
            </w:tcBorders>
            <w:shd w:val="clear" w:color="auto" w:fill="auto"/>
            <w:vAlign w:val="center"/>
          </w:tcPr>
          <w:p w14:paraId="702041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88E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项目完成时间</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5F2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2024年12月31日前</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5F4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2024年12月31日前</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908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D2AB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E770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4F57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EC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AA2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核查检查成本（元/人/天）</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1CA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≤600</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D65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≤600</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D8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C48B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E99E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16"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6B50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8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AF2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社会效益</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指标</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E26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辖区发生重大及以上药品安全事故数（次）</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54E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C95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1EB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DCFC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F913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1DFF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8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568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AC9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辖区内药品抽查检验合格率</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5A7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62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57A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97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6C2C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AE73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8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198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A41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涉刑案件移送率</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70D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0E7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AD0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D931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8F03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1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43F7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2AB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可持续影响</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指标</w:t>
            </w:r>
          </w:p>
        </w:tc>
        <w:tc>
          <w:tcPr>
            <w:tcW w:w="98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AD4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设施设备使用年限（年）</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038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≥5年</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A17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≥5年</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DA6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36B4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7D4C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FDD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156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7D6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公众对药品监管工作满意度</w:t>
            </w:r>
          </w:p>
        </w:tc>
        <w:tc>
          <w:tcPr>
            <w:tcW w:w="8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A03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286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8D1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BBE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F9B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说明</w:t>
            </w:r>
          </w:p>
        </w:tc>
        <w:tc>
          <w:tcPr>
            <w:tcW w:w="46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D15E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无</w:t>
            </w:r>
          </w:p>
        </w:tc>
      </w:tr>
    </w:tbl>
    <w:p w14:paraId="2CF9EBF3">
      <w:pPr>
        <w:keepNext w:val="0"/>
        <w:keepLines w:val="0"/>
        <w:pageBreakBefore w:val="0"/>
        <w:kinsoku/>
        <w:wordWrap/>
        <w:overflowPunct/>
        <w:topLinePunct w:val="0"/>
        <w:autoSpaceDE/>
        <w:autoSpaceDN/>
        <w:bidi w:val="0"/>
        <w:spacing w:line="572" w:lineRule="exact"/>
        <w:jc w:val="center"/>
        <w:textAlignment w:val="auto"/>
        <w:outlineLvl w:val="0"/>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lang w:val="en-US" w:eastAsia="zh-CN"/>
        </w:rPr>
        <w:t>专项预算项目绩效评价报告</w:t>
      </w:r>
    </w:p>
    <w:p w14:paraId="21C488F8">
      <w:pPr>
        <w:spacing w:line="600" w:lineRule="exact"/>
        <w:jc w:val="center"/>
        <w:outlineLvl w:val="0"/>
        <w:rPr>
          <w:rFonts w:hint="default" w:ascii="Times New Roman" w:hAnsi="Times New Roman" w:eastAsia="黑体" w:cs="Times New Roman"/>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lang w:val="en-US" w:eastAsia="zh-CN"/>
        </w:rPr>
        <w:t>（2023年省级药品监管专项资金应急部分）</w:t>
      </w:r>
    </w:p>
    <w:p w14:paraId="1DE8BF34">
      <w:pPr>
        <w:pStyle w:val="26"/>
        <w:rPr>
          <w:rFonts w:hint="default" w:ascii="Times New Roman" w:hAnsi="Times New Roman" w:cs="Times New Roman"/>
          <w:lang w:val="en-US" w:eastAsia="zh-CN"/>
        </w:rPr>
      </w:pPr>
    </w:p>
    <w:p w14:paraId="42719BA0">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方正黑体简体" w:cs="Times New Roman"/>
          <w:sz w:val="32"/>
          <w:szCs w:val="32"/>
        </w:rPr>
      </w:pPr>
      <w:r>
        <w:rPr>
          <w:rFonts w:hint="eastAsia" w:ascii="黑体" w:hAnsi="黑体" w:eastAsia="黑体" w:cs="黑体"/>
          <w:sz w:val="32"/>
          <w:szCs w:val="32"/>
        </w:rPr>
        <w:t>一、绩效目标分解下达情况</w:t>
      </w:r>
    </w:p>
    <w:p w14:paraId="11D91F52">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en-US" w:eastAsia="zh-CN"/>
        </w:rPr>
        <w:t>（一）下达预算情况</w:t>
      </w:r>
    </w:p>
    <w:p w14:paraId="2378A881">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仿宋" w:cs="Times New Roman"/>
          <w:sz w:val="21"/>
          <w:szCs w:val="20"/>
          <w:lang w:eastAsia="zh-CN"/>
        </w:rPr>
      </w:pPr>
      <w:r>
        <w:rPr>
          <w:rFonts w:hint="default" w:ascii="Times New Roman" w:hAnsi="Times New Roman" w:eastAsia="仿宋" w:cs="Times New Roman"/>
          <w:sz w:val="32"/>
          <w:szCs w:val="32"/>
        </w:rPr>
        <w:t>2023年申请省级药品监管专项资金（应急部分）20万元，批复省级药品监管专项资金（应急部分）20万元，其中《遂宁市财政局关于下达2023年药品监管专项资金（应急部分）预算的通知》（遂财行〔2023〕97号）下达2023年省级药品监管专项资金（应急部分）20万元。项目资金申报符合资金管理办法等相关规定</w:t>
      </w:r>
      <w:r>
        <w:rPr>
          <w:rFonts w:hint="default" w:ascii="Times New Roman" w:hAnsi="Times New Roman" w:eastAsia="仿宋" w:cs="Times New Roman"/>
          <w:sz w:val="32"/>
          <w:szCs w:val="32"/>
          <w:lang w:eastAsia="zh-CN"/>
        </w:rPr>
        <w:t>。</w:t>
      </w:r>
    </w:p>
    <w:p w14:paraId="56335FB6">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eastAsia" w:ascii="楷体_GB2312" w:hAnsi="楷体_GB2312" w:eastAsia="楷体_GB2312" w:cs="楷体_GB2312"/>
          <w:b/>
          <w:color w:val="auto"/>
          <w:sz w:val="32"/>
          <w:szCs w:val="32"/>
          <w:highlight w:val="none"/>
          <w:lang w:val="en-US" w:eastAsia="zh-CN"/>
        </w:rPr>
        <w:t>（二）</w:t>
      </w:r>
      <w:r>
        <w:rPr>
          <w:rFonts w:hint="default" w:ascii="楷体_GB2312" w:hAnsi="楷体_GB2312" w:eastAsia="楷体_GB2312" w:cs="楷体_GB2312"/>
          <w:b/>
          <w:color w:val="auto"/>
          <w:sz w:val="32"/>
          <w:szCs w:val="32"/>
          <w:highlight w:val="none"/>
          <w:lang w:val="en-US" w:eastAsia="zh-CN"/>
        </w:rPr>
        <w:t>项目绩效目标</w:t>
      </w:r>
    </w:p>
    <w:p w14:paraId="7CC95C98">
      <w:pPr>
        <w:pStyle w:val="27"/>
        <w:keepNext w:val="0"/>
        <w:keepLines w:val="0"/>
        <w:pageBreakBefore w:val="0"/>
        <w:widowControl w:val="0"/>
        <w:kinsoku/>
        <w:wordWrap/>
        <w:overflowPunct/>
        <w:topLinePunct w:val="0"/>
        <w:autoSpaceDE/>
        <w:autoSpaceDN/>
        <w:bidi w:val="0"/>
        <w:spacing w:beforeLines="0" w:afterLines="0" w:line="600" w:lineRule="exact"/>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药品监管专项资金（应急部分）主要用于药品宣传培训、应急演练（沙盘推演）、药品风险隐患排查整治、应急设施设备购置等，推动我区药品安全应急救援体系建设和提升药品安全保障等能力，确保人民群众用药用械用化安全。</w:t>
      </w:r>
    </w:p>
    <w:p w14:paraId="6AF5F059">
      <w:pPr>
        <w:keepNext w:val="0"/>
        <w:keepLines w:val="0"/>
        <w:pageBreakBefore w:val="0"/>
        <w:widowControl w:val="0"/>
        <w:numPr>
          <w:ilvl w:val="0"/>
          <w:numId w:val="5"/>
        </w:numPr>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方正黑体简体" w:cs="Times New Roman"/>
          <w:sz w:val="32"/>
          <w:szCs w:val="32"/>
        </w:rPr>
      </w:pPr>
      <w:r>
        <w:rPr>
          <w:rFonts w:hint="default" w:ascii="黑体" w:hAnsi="黑体" w:eastAsia="黑体" w:cs="黑体"/>
          <w:sz w:val="32"/>
          <w:szCs w:val="32"/>
        </w:rPr>
        <w:t>绩效目标完成情况分析</w:t>
      </w:r>
    </w:p>
    <w:p w14:paraId="6E059C15">
      <w:pPr>
        <w:spacing w:line="600" w:lineRule="exact"/>
        <w:ind w:firstLine="640"/>
        <w:outlineLvl w:val="2"/>
        <w:rPr>
          <w:rFonts w:hint="default" w:ascii="楷体_GB2312" w:hAnsi="楷体_GB2312" w:eastAsia="楷体_GB2312" w:cs="楷体_GB2312"/>
          <w:b/>
          <w:color w:val="auto"/>
          <w:sz w:val="32"/>
          <w:szCs w:val="32"/>
          <w:highlight w:val="none"/>
          <w:lang w:val="en-US" w:eastAsia="zh-CN"/>
        </w:rPr>
      </w:pPr>
      <w:r>
        <w:rPr>
          <w:rFonts w:hint="default" w:ascii="楷体_GB2312" w:hAnsi="楷体_GB2312" w:eastAsia="楷体_GB2312" w:cs="楷体_GB2312"/>
          <w:b/>
          <w:color w:val="auto"/>
          <w:sz w:val="32"/>
          <w:szCs w:val="32"/>
          <w:highlight w:val="none"/>
          <w:lang w:val="en-US" w:eastAsia="zh-CN"/>
        </w:rPr>
        <w:t>（一）资金投入情况分析</w:t>
      </w:r>
    </w:p>
    <w:p w14:paraId="5E90004C">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方正仿宋简体" w:cs="Times New Roman"/>
          <w:b w:val="0"/>
          <w:bCs/>
          <w:sz w:val="32"/>
          <w:szCs w:val="32"/>
        </w:rPr>
      </w:pPr>
      <w:r>
        <w:rPr>
          <w:rFonts w:hint="default" w:ascii="Times New Roman" w:hAnsi="Times New Roman" w:eastAsia="方正仿宋简体" w:cs="Times New Roman"/>
          <w:b w:val="0"/>
          <w:bCs/>
          <w:sz w:val="32"/>
          <w:szCs w:val="32"/>
        </w:rPr>
        <w:t>1.项目资金到位情况分析</w:t>
      </w:r>
    </w:p>
    <w:p w14:paraId="77B6448D">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仿宋" w:cs="Times New Roman"/>
          <w:sz w:val="32"/>
          <w:szCs w:val="32"/>
        </w:rPr>
        <w:t>省级药品监管专项资金（应急部分）计划20万元，均如期到账，资金到位率100%，符合资金计划，资金到位及时。</w:t>
      </w:r>
    </w:p>
    <w:p w14:paraId="610CDBBA">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val="0"/>
          <w:bCs/>
          <w:sz w:val="32"/>
          <w:szCs w:val="32"/>
        </w:rPr>
        <w:t>2.项目资金执行情况分析</w:t>
      </w:r>
    </w:p>
    <w:p w14:paraId="1D4434A2">
      <w:pPr>
        <w:pStyle w:val="27"/>
        <w:keepNext w:val="0"/>
        <w:keepLines w:val="0"/>
        <w:pageBreakBefore w:val="0"/>
        <w:widowControl w:val="0"/>
        <w:kinsoku/>
        <w:wordWrap/>
        <w:overflowPunct/>
        <w:topLinePunct w:val="0"/>
        <w:autoSpaceDE/>
        <w:autoSpaceDN/>
        <w:bidi w:val="0"/>
        <w:spacing w:beforeLines="0" w:afterLines="0" w:line="600" w:lineRule="exact"/>
        <w:textAlignment w:val="auto"/>
        <w:rPr>
          <w:rFonts w:hint="default" w:ascii="Times New Roman" w:hAnsi="Times New Roman" w:cs="Times New Roman"/>
          <w:sz w:val="32"/>
          <w:szCs w:val="20"/>
        </w:rPr>
      </w:pPr>
      <w:r>
        <w:rPr>
          <w:rFonts w:hint="default" w:ascii="Times New Roman" w:hAnsi="Times New Roman" w:eastAsia="仿宋" w:cs="Times New Roman"/>
          <w:kern w:val="2"/>
          <w:sz w:val="32"/>
          <w:szCs w:val="32"/>
          <w:lang w:val="en-US" w:eastAsia="zh-CN" w:bidi="ar-SA"/>
        </w:rPr>
        <w:t>省级药品省级药品监管专项资金（应急部分）将于2024年6月30</w:t>
      </w:r>
      <w:r>
        <w:rPr>
          <w:rFonts w:hint="eastAsia" w:eastAsia="仿宋" w:cs="Times New Roman"/>
          <w:kern w:val="2"/>
          <w:sz w:val="32"/>
          <w:szCs w:val="32"/>
          <w:lang w:val="en-US" w:eastAsia="zh-CN" w:bidi="ar-SA"/>
        </w:rPr>
        <w:t>日</w:t>
      </w:r>
      <w:bookmarkStart w:id="69" w:name="_GoBack"/>
      <w:bookmarkEnd w:id="69"/>
      <w:r>
        <w:rPr>
          <w:rFonts w:hint="default" w:ascii="Times New Roman" w:hAnsi="Times New Roman" w:eastAsia="仿宋" w:cs="Times New Roman"/>
          <w:kern w:val="2"/>
          <w:sz w:val="32"/>
          <w:szCs w:val="32"/>
          <w:lang w:val="en-US" w:eastAsia="zh-CN" w:bidi="ar-SA"/>
        </w:rPr>
        <w:t>前执行完毕，达到执行率100%。</w:t>
      </w:r>
    </w:p>
    <w:p w14:paraId="2B8AA316">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val="0"/>
          <w:bCs/>
          <w:sz w:val="32"/>
          <w:szCs w:val="32"/>
        </w:rPr>
        <w:t>3.项目资金管理情况分析</w:t>
      </w:r>
    </w:p>
    <w:p w14:paraId="274431E8">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zh-CN"/>
        </w:rPr>
        <w:t>我局认真落实科学监管理念，严格管理，合理安排，不断健全完善财务管理制度、</w:t>
      </w:r>
      <w:r>
        <w:rPr>
          <w:rFonts w:hint="default" w:ascii="Times New Roman" w:hAnsi="Times New Roman" w:eastAsia="仿宋" w:cs="Times New Roman"/>
          <w:sz w:val="32"/>
          <w:szCs w:val="32"/>
        </w:rPr>
        <w:t>内控制度</w:t>
      </w:r>
      <w:r>
        <w:rPr>
          <w:rFonts w:hint="default" w:ascii="Times New Roman" w:hAnsi="Times New Roman" w:eastAsia="仿宋" w:cs="Times New Roman"/>
          <w:sz w:val="32"/>
          <w:szCs w:val="32"/>
          <w:lang w:val="zh-CN"/>
        </w:rPr>
        <w:t>，加强财务管理，保障资金</w:t>
      </w:r>
      <w:r>
        <w:rPr>
          <w:rFonts w:hint="default" w:ascii="Times New Roman" w:hAnsi="Times New Roman" w:eastAsia="仿宋" w:cs="Times New Roman"/>
          <w:sz w:val="32"/>
          <w:szCs w:val="32"/>
        </w:rPr>
        <w:t>使用</w:t>
      </w:r>
      <w:r>
        <w:rPr>
          <w:rFonts w:hint="default" w:ascii="Times New Roman" w:hAnsi="Times New Roman" w:eastAsia="仿宋" w:cs="Times New Roman"/>
          <w:sz w:val="32"/>
          <w:szCs w:val="32"/>
          <w:lang w:val="zh-CN"/>
        </w:rPr>
        <w:t>安全。</w:t>
      </w:r>
      <w:r>
        <w:rPr>
          <w:rFonts w:hint="default" w:ascii="Times New Roman" w:hAnsi="Times New Roman" w:eastAsia="仿宋" w:cs="Times New Roman"/>
          <w:sz w:val="32"/>
          <w:szCs w:val="32"/>
        </w:rPr>
        <w:t>所有项目资金实行专款专用，项目支出严格按照报销程序审批</w:t>
      </w:r>
      <w:r>
        <w:rPr>
          <w:rFonts w:hint="default" w:ascii="Times New Roman" w:hAnsi="Times New Roman" w:eastAsia="仿宋" w:cs="Times New Roman"/>
          <w:sz w:val="32"/>
          <w:szCs w:val="32"/>
          <w:lang w:val="zh-CN"/>
        </w:rPr>
        <w:t>，</w:t>
      </w:r>
      <w:r>
        <w:rPr>
          <w:rFonts w:hint="default" w:ascii="Times New Roman" w:hAnsi="Times New Roman" w:eastAsia="仿宋" w:cs="Times New Roman"/>
          <w:sz w:val="32"/>
          <w:szCs w:val="32"/>
        </w:rPr>
        <w:t>使用规范，会计核算结果真实、准确，未截留、挤占、挪用项目资金等违纪行为，确保了财政资金专款专用，切实提高了资金使用效益。</w:t>
      </w:r>
    </w:p>
    <w:p w14:paraId="33FC880C">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省级</w:t>
      </w:r>
      <w:r>
        <w:rPr>
          <w:rFonts w:hint="default" w:ascii="Times New Roman" w:hAnsi="Times New Roman" w:eastAsia="仿宋" w:cs="Times New Roman"/>
          <w:sz w:val="32"/>
          <w:szCs w:val="32"/>
        </w:rPr>
        <w:t>药品监管补助资金均按照项目实施方案执行，由药械化监管股、执法大队、各市场监管所组织实施，承担管理责任。办公室负责项目资金使用的监督考核，及时绩效评价，切实提高财政资金使用效益。资金实行专款专用，专项核算，未列支与项目内容无关的费用，切实做好绩效监控和绩效评价，确保资金安全。</w:t>
      </w:r>
    </w:p>
    <w:p w14:paraId="54119C48">
      <w:pPr>
        <w:spacing w:line="600" w:lineRule="exact"/>
        <w:ind w:firstLine="640"/>
        <w:outlineLvl w:val="2"/>
        <w:rPr>
          <w:rFonts w:hint="default" w:ascii="楷体_GB2312" w:hAnsi="楷体_GB2312" w:eastAsia="楷体_GB2312" w:cs="楷体_GB2312"/>
          <w:b/>
          <w:color w:val="auto"/>
          <w:sz w:val="32"/>
          <w:szCs w:val="32"/>
          <w:highlight w:val="none"/>
          <w:lang w:val="en-US" w:eastAsia="zh-CN"/>
        </w:rPr>
      </w:pPr>
      <w:r>
        <w:rPr>
          <w:rFonts w:hint="eastAsia" w:ascii="楷体_GB2312" w:hAnsi="楷体_GB2312" w:eastAsia="楷体_GB2312" w:cs="楷体_GB2312"/>
          <w:b/>
          <w:color w:val="auto"/>
          <w:sz w:val="32"/>
          <w:szCs w:val="32"/>
          <w:highlight w:val="none"/>
          <w:lang w:val="en-US" w:eastAsia="zh-CN"/>
        </w:rPr>
        <w:t>（二）</w:t>
      </w:r>
      <w:r>
        <w:rPr>
          <w:rFonts w:hint="default" w:ascii="楷体_GB2312" w:hAnsi="楷体_GB2312" w:eastAsia="楷体_GB2312" w:cs="楷体_GB2312"/>
          <w:b/>
          <w:color w:val="auto"/>
          <w:sz w:val="32"/>
          <w:szCs w:val="32"/>
          <w:highlight w:val="none"/>
          <w:lang w:val="en-US" w:eastAsia="zh-CN"/>
        </w:rPr>
        <w:t>绩效目标完成情况分析</w:t>
      </w:r>
    </w:p>
    <w:p w14:paraId="4CD6F7A5">
      <w:pPr>
        <w:pStyle w:val="27"/>
        <w:keepNext w:val="0"/>
        <w:keepLines w:val="0"/>
        <w:pageBreakBefore w:val="0"/>
        <w:widowControl w:val="0"/>
        <w:numPr>
          <w:ilvl w:val="0"/>
          <w:numId w:val="0"/>
        </w:numPr>
        <w:kinsoku/>
        <w:wordWrap/>
        <w:overflowPunct/>
        <w:topLinePunct w:val="0"/>
        <w:autoSpaceDE/>
        <w:autoSpaceDN/>
        <w:bidi w:val="0"/>
        <w:spacing w:beforeLines="0" w:afterLines="0" w:line="600" w:lineRule="exact"/>
        <w:ind w:leftChars="200" w:firstLine="320" w:firstLineChars="1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省级药品监管补助资金：</w:t>
      </w:r>
    </w:p>
    <w:p w14:paraId="61013332">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仿宋" w:cs="Times New Roman"/>
          <w:kern w:val="2"/>
          <w:sz w:val="32"/>
          <w:szCs w:val="32"/>
          <w:lang w:val="en-US" w:eastAsia="zh-CN" w:bidi="ar-SA"/>
        </w:rPr>
        <w:t>1.产出指标完成情况分析</w:t>
      </w:r>
    </w:p>
    <w:p w14:paraId="2D66159B">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（1）数量指标：</w:t>
      </w:r>
      <w:r>
        <w:rPr>
          <w:rFonts w:hint="default" w:ascii="Times New Roman" w:hAnsi="Times New Roman" w:eastAsia="仿宋" w:cs="Times New Roman"/>
          <w:sz w:val="32"/>
          <w:szCs w:val="32"/>
          <w:lang w:val="en-US" w:eastAsia="zh-CN"/>
        </w:rPr>
        <w:t>药品监管检查覆盖率</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50%，应急处置项目工作方案完成率100%，应急演练（沙盘推演）次数</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1次，应急设施设备购置率</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90%，开展药品安全宣传、培训</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1次</w:t>
      </w:r>
      <w:r>
        <w:rPr>
          <w:rFonts w:hint="default" w:ascii="Times New Roman" w:hAnsi="Times New Roman" w:eastAsia="仿宋" w:cs="Times New Roman"/>
          <w:sz w:val="32"/>
          <w:szCs w:val="32"/>
        </w:rPr>
        <w:t>。</w:t>
      </w:r>
    </w:p>
    <w:p w14:paraId="1EBB2FAA">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实际完成情况：</w:t>
      </w:r>
      <w:r>
        <w:rPr>
          <w:rFonts w:hint="default" w:ascii="Times New Roman" w:hAnsi="Times New Roman" w:eastAsia="仿宋" w:cs="Times New Roman"/>
          <w:sz w:val="32"/>
          <w:szCs w:val="32"/>
          <w:lang w:val="en-US" w:eastAsia="zh-CN"/>
        </w:rPr>
        <w:t>药品监管检查覆盖率70%，应急处置项目工作方案完成率100%，应急演练（沙盘推演）次数1次，应急设施设备购置率90%，开展药品安全宣传、培训8次。</w:t>
      </w:r>
    </w:p>
    <w:p w14:paraId="002188D3">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（2）质量指标：</w:t>
      </w:r>
      <w:r>
        <w:rPr>
          <w:rFonts w:hint="default" w:ascii="Times New Roman" w:hAnsi="Times New Roman" w:eastAsia="仿宋" w:cs="Times New Roman"/>
          <w:sz w:val="32"/>
          <w:szCs w:val="32"/>
          <w:lang w:val="en-US" w:eastAsia="zh-CN"/>
        </w:rPr>
        <w:t>应急处置补助县（区）投诉举报立案处置率</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90%</w:t>
      </w:r>
      <w:r>
        <w:rPr>
          <w:rFonts w:hint="default" w:ascii="Times New Roman" w:hAnsi="Times New Roman" w:eastAsia="仿宋" w:cs="Times New Roman"/>
          <w:sz w:val="32"/>
          <w:szCs w:val="32"/>
        </w:rPr>
        <w:t>。</w:t>
      </w:r>
    </w:p>
    <w:p w14:paraId="1A82473B">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实际完成情况：</w:t>
      </w:r>
      <w:r>
        <w:rPr>
          <w:rFonts w:hint="default" w:ascii="Times New Roman" w:hAnsi="Times New Roman" w:eastAsia="仿宋" w:cs="Times New Roman"/>
          <w:sz w:val="32"/>
          <w:szCs w:val="32"/>
          <w:lang w:val="en-US" w:eastAsia="zh-CN"/>
        </w:rPr>
        <w:t>应急处置补助县（区）投诉举报立案处置率90%</w:t>
      </w:r>
      <w:r>
        <w:rPr>
          <w:rFonts w:hint="default" w:ascii="Times New Roman" w:hAnsi="Times New Roman" w:eastAsia="仿宋" w:cs="Times New Roman"/>
          <w:sz w:val="32"/>
          <w:szCs w:val="32"/>
        </w:rPr>
        <w:t>。</w:t>
      </w:r>
    </w:p>
    <w:p w14:paraId="318BDF76">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（3）时效指标：</w:t>
      </w:r>
      <w:r>
        <w:rPr>
          <w:rFonts w:hint="default" w:ascii="Times New Roman" w:hAnsi="Times New Roman" w:eastAsia="仿宋" w:cs="Times New Roman"/>
          <w:sz w:val="32"/>
          <w:szCs w:val="32"/>
          <w:lang w:val="en-US" w:eastAsia="zh-CN"/>
        </w:rPr>
        <w:t>项目</w:t>
      </w:r>
      <w:r>
        <w:rPr>
          <w:rFonts w:hint="default" w:ascii="Times New Roman" w:hAnsi="Times New Roman" w:eastAsia="仿宋" w:cs="Times New Roman"/>
          <w:sz w:val="32"/>
          <w:szCs w:val="32"/>
        </w:rPr>
        <w:t>完成时</w:t>
      </w:r>
      <w:r>
        <w:rPr>
          <w:rFonts w:hint="default" w:ascii="Times New Roman" w:hAnsi="Times New Roman" w:eastAsia="仿宋" w:cs="Times New Roman"/>
          <w:sz w:val="32"/>
          <w:szCs w:val="32"/>
          <w:lang w:val="en-US" w:eastAsia="zh-CN"/>
        </w:rPr>
        <w:t>限</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月3</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日前。</w:t>
      </w:r>
    </w:p>
    <w:p w14:paraId="59ED8827">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实际完成情况：202</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月3</w:t>
      </w:r>
      <w:r>
        <w:rPr>
          <w:rFonts w:hint="default"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日前已完成。</w:t>
      </w:r>
    </w:p>
    <w:p w14:paraId="2998D1FE">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（4）成本指标：</w:t>
      </w:r>
      <w:r>
        <w:rPr>
          <w:rFonts w:hint="default" w:ascii="Times New Roman" w:hAnsi="Times New Roman" w:eastAsia="仿宋" w:cs="Times New Roman"/>
          <w:sz w:val="32"/>
          <w:szCs w:val="32"/>
          <w:lang w:val="en-US" w:eastAsia="zh-CN"/>
        </w:rPr>
        <w:t>各类核查检查监督成本</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00元</w:t>
      </w:r>
      <w:r>
        <w:rPr>
          <w:rFonts w:hint="default" w:ascii="Times New Roman" w:hAnsi="Times New Roman" w:eastAsia="仿宋" w:cs="Times New Roman"/>
          <w:sz w:val="32"/>
          <w:szCs w:val="32"/>
          <w:lang w:val="en-US" w:eastAsia="zh-CN"/>
        </w:rPr>
        <w:t>/人.天，药品宣传、培训成本≤5万元/次</w:t>
      </w:r>
      <w:r>
        <w:rPr>
          <w:rFonts w:hint="default" w:ascii="Times New Roman" w:hAnsi="Times New Roman" w:eastAsia="仿宋" w:cs="Times New Roman"/>
          <w:sz w:val="32"/>
          <w:szCs w:val="32"/>
        </w:rPr>
        <w:t>。</w:t>
      </w:r>
    </w:p>
    <w:p w14:paraId="712F764F">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实际完成情况：</w:t>
      </w:r>
      <w:r>
        <w:rPr>
          <w:rFonts w:hint="default" w:ascii="Times New Roman" w:hAnsi="Times New Roman" w:eastAsia="仿宋" w:cs="Times New Roman"/>
          <w:sz w:val="32"/>
          <w:szCs w:val="32"/>
          <w:lang w:val="en-US" w:eastAsia="zh-CN"/>
        </w:rPr>
        <w:t>各类核查检查监督成本</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00元</w:t>
      </w:r>
      <w:r>
        <w:rPr>
          <w:rFonts w:hint="default" w:ascii="Times New Roman" w:hAnsi="Times New Roman" w:eastAsia="仿宋" w:cs="Times New Roman"/>
          <w:sz w:val="32"/>
          <w:szCs w:val="32"/>
          <w:lang w:val="en-US" w:eastAsia="zh-CN"/>
        </w:rPr>
        <w:t>/人.天，药品宣传、培训成本≤5万元/次</w:t>
      </w:r>
      <w:r>
        <w:rPr>
          <w:rFonts w:hint="default" w:ascii="Times New Roman" w:hAnsi="Times New Roman" w:eastAsia="仿宋" w:cs="Times New Roman"/>
          <w:sz w:val="32"/>
          <w:szCs w:val="32"/>
        </w:rPr>
        <w:t>。</w:t>
      </w:r>
    </w:p>
    <w:p w14:paraId="6C56741F">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仿宋" w:cs="Times New Roman"/>
          <w:sz w:val="32"/>
          <w:szCs w:val="32"/>
          <w:lang w:val="en-US" w:eastAsia="zh-CN"/>
        </w:rPr>
        <w:t>2.效益指标完成情况分析</w:t>
      </w:r>
    </w:p>
    <w:p w14:paraId="2FD9A2EA">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社会效益指标：</w:t>
      </w:r>
      <w:r>
        <w:rPr>
          <w:rFonts w:hint="default" w:ascii="Times New Roman" w:hAnsi="Times New Roman" w:eastAsia="仿宋" w:cs="Times New Roman"/>
          <w:sz w:val="32"/>
          <w:szCs w:val="32"/>
          <w:lang w:val="en-US" w:eastAsia="zh-CN"/>
        </w:rPr>
        <w:t>应急处置补助县（区）</w:t>
      </w:r>
      <w:r>
        <w:rPr>
          <w:rFonts w:hint="default" w:ascii="Times New Roman" w:hAnsi="Times New Roman" w:eastAsia="仿宋" w:cs="Times New Roman"/>
          <w:sz w:val="32"/>
          <w:szCs w:val="32"/>
        </w:rPr>
        <w:t>发生重大</w:t>
      </w:r>
      <w:r>
        <w:rPr>
          <w:rFonts w:hint="default" w:ascii="Times New Roman" w:hAnsi="Times New Roman" w:eastAsia="仿宋" w:cs="Times New Roman"/>
          <w:sz w:val="32"/>
          <w:szCs w:val="32"/>
          <w:lang w:val="en-US" w:eastAsia="zh-CN"/>
        </w:rPr>
        <w:t>及以上药品安全事故数</w:t>
      </w:r>
      <w:r>
        <w:rPr>
          <w:rFonts w:hint="default" w:ascii="Times New Roman" w:hAnsi="Times New Roman" w:eastAsia="仿宋" w:cs="Times New Roman"/>
          <w:sz w:val="32"/>
          <w:szCs w:val="32"/>
        </w:rPr>
        <w:t>0次</w:t>
      </w:r>
      <w:r>
        <w:rPr>
          <w:rFonts w:hint="default" w:ascii="Times New Roman" w:hAnsi="Times New Roman" w:eastAsia="仿宋" w:cs="Times New Roman"/>
          <w:sz w:val="32"/>
          <w:szCs w:val="32"/>
          <w:lang w:eastAsia="zh-CN"/>
        </w:rPr>
        <w:t>。</w:t>
      </w:r>
    </w:p>
    <w:p w14:paraId="2F24F66D">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实际完成情况：</w:t>
      </w:r>
      <w:r>
        <w:rPr>
          <w:rFonts w:hint="default" w:ascii="Times New Roman" w:hAnsi="Times New Roman" w:eastAsia="仿宋" w:cs="Times New Roman"/>
          <w:sz w:val="32"/>
          <w:szCs w:val="32"/>
          <w:lang w:val="en-US" w:eastAsia="zh-CN"/>
        </w:rPr>
        <w:t>应急处置补助县（区）</w:t>
      </w:r>
      <w:r>
        <w:rPr>
          <w:rFonts w:hint="default" w:ascii="Times New Roman" w:hAnsi="Times New Roman" w:eastAsia="仿宋" w:cs="Times New Roman"/>
          <w:sz w:val="32"/>
          <w:szCs w:val="32"/>
        </w:rPr>
        <w:t>发生重大</w:t>
      </w:r>
      <w:r>
        <w:rPr>
          <w:rFonts w:hint="default" w:ascii="Times New Roman" w:hAnsi="Times New Roman" w:eastAsia="仿宋" w:cs="Times New Roman"/>
          <w:sz w:val="32"/>
          <w:szCs w:val="32"/>
          <w:lang w:val="en-US" w:eastAsia="zh-CN"/>
        </w:rPr>
        <w:t>及以上药品安全事故数</w:t>
      </w:r>
      <w:r>
        <w:rPr>
          <w:rFonts w:hint="default" w:ascii="Times New Roman" w:hAnsi="Times New Roman" w:eastAsia="仿宋" w:cs="Times New Roman"/>
          <w:sz w:val="32"/>
          <w:szCs w:val="32"/>
        </w:rPr>
        <w:t>0次</w:t>
      </w:r>
      <w:r>
        <w:rPr>
          <w:rFonts w:hint="default" w:ascii="Times New Roman" w:hAnsi="Times New Roman" w:eastAsia="仿宋" w:cs="Times New Roman"/>
          <w:sz w:val="32"/>
          <w:szCs w:val="32"/>
          <w:lang w:eastAsia="zh-CN"/>
        </w:rPr>
        <w:t>。</w:t>
      </w:r>
    </w:p>
    <w:p w14:paraId="70C2D44A">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可持续影响指标：</w:t>
      </w:r>
      <w:r>
        <w:rPr>
          <w:rFonts w:hint="default" w:ascii="Times New Roman" w:hAnsi="Times New Roman" w:eastAsia="仿宋" w:cs="Times New Roman"/>
          <w:sz w:val="32"/>
          <w:szCs w:val="32"/>
          <w:lang w:val="en-US" w:eastAsia="zh-CN"/>
        </w:rPr>
        <w:t>设施设备资产使用年限（年）</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5年</w:t>
      </w:r>
      <w:r>
        <w:rPr>
          <w:rFonts w:hint="default" w:ascii="Times New Roman" w:hAnsi="Times New Roman" w:eastAsia="仿宋" w:cs="Times New Roman"/>
          <w:sz w:val="32"/>
          <w:szCs w:val="32"/>
        </w:rPr>
        <w:t>。</w:t>
      </w:r>
    </w:p>
    <w:p w14:paraId="314E77EC">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实际完成情况：</w:t>
      </w:r>
      <w:r>
        <w:rPr>
          <w:rFonts w:hint="default" w:ascii="Times New Roman" w:hAnsi="Times New Roman" w:eastAsia="仿宋" w:cs="Times New Roman"/>
          <w:sz w:val="32"/>
          <w:szCs w:val="32"/>
          <w:lang w:val="en-US" w:eastAsia="zh-CN"/>
        </w:rPr>
        <w:t>设施设备资产使用年限（年）</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5年</w:t>
      </w:r>
      <w:r>
        <w:rPr>
          <w:rFonts w:hint="default" w:ascii="Times New Roman" w:hAnsi="Times New Roman" w:eastAsia="仿宋" w:cs="Times New Roman"/>
          <w:sz w:val="32"/>
          <w:szCs w:val="32"/>
        </w:rPr>
        <w:t>。</w:t>
      </w:r>
    </w:p>
    <w:p w14:paraId="68B8900C">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仿宋" w:cs="Times New Roman"/>
          <w:sz w:val="32"/>
          <w:szCs w:val="32"/>
        </w:rPr>
        <w:t>3.满意度指标完成情况分析</w:t>
      </w:r>
    </w:p>
    <w:p w14:paraId="07BE72F6">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服务对象满意度指标：应急处置补助县（区）公众对药品安全的总体满意度≧85%。</w:t>
      </w:r>
    </w:p>
    <w:p w14:paraId="23BDA151">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仿宋" w:cs="Times New Roman"/>
          <w:sz w:val="32"/>
          <w:szCs w:val="32"/>
          <w:lang w:val="en-US" w:eastAsia="zh-CN"/>
        </w:rPr>
        <w:t>实际完成情况：应急处置补助县（区）公众对药品安全的总体满意度≧85%。</w:t>
      </w:r>
    </w:p>
    <w:p w14:paraId="4AE49C95">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三、</w:t>
      </w:r>
      <w:r>
        <w:rPr>
          <w:rFonts w:hint="default" w:ascii="黑体" w:hAnsi="黑体" w:eastAsia="黑体" w:cs="黑体"/>
          <w:sz w:val="32"/>
          <w:szCs w:val="32"/>
        </w:rPr>
        <w:t>偏离绩效目标的原因和下一步改进措施</w:t>
      </w:r>
    </w:p>
    <w:p w14:paraId="5D81F54D">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仿宋" w:cs="Times New Roman"/>
          <w:sz w:val="32"/>
          <w:szCs w:val="32"/>
        </w:rPr>
        <w:t>目前没有存在偏离绩效目标的原因。</w:t>
      </w:r>
    </w:p>
    <w:p w14:paraId="06E7DE72">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四、</w:t>
      </w:r>
      <w:r>
        <w:rPr>
          <w:rFonts w:hint="default" w:ascii="黑体" w:hAnsi="黑体" w:eastAsia="黑体" w:cs="黑体"/>
          <w:sz w:val="32"/>
          <w:szCs w:val="32"/>
        </w:rPr>
        <w:t>绩效自评结果拟应用和公开情况</w:t>
      </w:r>
    </w:p>
    <w:p w14:paraId="7A857227">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仿宋" w:cs="Times New Roman"/>
          <w:sz w:val="32"/>
          <w:szCs w:val="32"/>
        </w:rPr>
        <w:t>我局根据2023年省级药品监管专项项目绩效评价指标体系评价表，自评得分100分。我局将以本次绩效自评工作为指引，规范</w:t>
      </w:r>
      <w:r>
        <w:rPr>
          <w:rFonts w:hint="eastAsia" w:eastAsia="仿宋" w:cs="Times New Roman"/>
          <w:sz w:val="32"/>
          <w:szCs w:val="32"/>
          <w:lang w:eastAsia="zh-CN"/>
        </w:rPr>
        <w:t>中央、省委</w:t>
      </w:r>
      <w:r>
        <w:rPr>
          <w:rFonts w:hint="default" w:ascii="Times New Roman" w:hAnsi="Times New Roman" w:eastAsia="仿宋" w:cs="Times New Roman"/>
          <w:sz w:val="32"/>
          <w:szCs w:val="32"/>
        </w:rPr>
        <w:t>专项资金使用，严格项目管理。</w:t>
      </w:r>
    </w:p>
    <w:p w14:paraId="6354B454">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outlineLvl w:val="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五、</w:t>
      </w:r>
      <w:r>
        <w:rPr>
          <w:rFonts w:hint="default" w:ascii="黑体" w:hAnsi="黑体" w:eastAsia="黑体" w:cs="黑体"/>
          <w:sz w:val="32"/>
          <w:szCs w:val="32"/>
        </w:rPr>
        <w:t>其他需要说明的情况</w:t>
      </w:r>
    </w:p>
    <w:p w14:paraId="5EC6029E">
      <w:pPr>
        <w:keepNext w:val="0"/>
        <w:keepLines w:val="0"/>
        <w:pageBreakBefore w:val="0"/>
        <w:widowControl w:val="0"/>
        <w:kinsoku/>
        <w:wordWrap/>
        <w:overflowPunct/>
        <w:topLinePunct w:val="0"/>
        <w:autoSpaceDE/>
        <w:autoSpaceDN/>
        <w:bidi w:val="0"/>
        <w:spacing w:beforeLines="0" w:afterLines="0"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无。</w:t>
      </w:r>
    </w:p>
    <w:p w14:paraId="0CB24A18">
      <w:pPr>
        <w:pStyle w:val="26"/>
        <w:keepNext w:val="0"/>
        <w:keepLines w:val="0"/>
        <w:pageBreakBefore w:val="0"/>
        <w:widowControl w:val="0"/>
        <w:kinsoku/>
        <w:wordWrap/>
        <w:overflowPunct/>
        <w:topLinePunct w:val="0"/>
        <w:autoSpaceDE/>
        <w:autoSpaceDN/>
        <w:bidi w:val="0"/>
        <w:spacing w:line="600" w:lineRule="exact"/>
        <w:textAlignment w:val="auto"/>
        <w:rPr>
          <w:rFonts w:hint="default"/>
        </w:rPr>
      </w:pPr>
    </w:p>
    <w:p w14:paraId="12D13579">
      <w:pPr>
        <w:keepNext w:val="0"/>
        <w:keepLines w:val="0"/>
        <w:pageBreakBefore w:val="0"/>
        <w:widowControl w:val="0"/>
        <w:kinsoku/>
        <w:wordWrap/>
        <w:overflowPunct/>
        <w:topLinePunct w:val="0"/>
        <w:autoSpaceDE/>
        <w:autoSpaceDN/>
        <w:bidi w:val="0"/>
        <w:spacing w:beforeLines="0" w:afterLines="0" w:line="600" w:lineRule="exact"/>
        <w:ind w:left="1502" w:leftChars="304" w:hanging="864" w:hangingChars="3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w w:val="90"/>
          <w:sz w:val="32"/>
          <w:szCs w:val="32"/>
          <w:lang w:val="en-US" w:eastAsia="zh-CN"/>
        </w:rPr>
        <w:t>附表：</w:t>
      </w:r>
      <w:r>
        <w:rPr>
          <w:rFonts w:hint="default" w:ascii="Times New Roman" w:hAnsi="Times New Roman" w:eastAsia="仿宋" w:cs="Times New Roman"/>
          <w:sz w:val="32"/>
          <w:szCs w:val="32"/>
          <w:lang w:val="en-US" w:eastAsia="zh-CN"/>
        </w:rPr>
        <w:t>2023年省级药品监管专项资金（应急部分）绩效自评表</w:t>
      </w:r>
    </w:p>
    <w:p w14:paraId="6287621A">
      <w:pPr>
        <w:pStyle w:val="27"/>
        <w:rPr>
          <w:rFonts w:hint="default" w:ascii="Times New Roman" w:hAnsi="Times New Roman" w:cs="Times New Roman"/>
          <w:sz w:val="32"/>
          <w:szCs w:val="32"/>
          <w:lang w:val="en-US" w:eastAsia="zh-CN"/>
        </w:rPr>
        <w:sectPr>
          <w:footerReference r:id="rId13" w:type="default"/>
          <w:pgSz w:w="11906" w:h="16838"/>
          <w:pgMar w:top="1157" w:right="1463" w:bottom="1157" w:left="1463" w:header="851" w:footer="992" w:gutter="0"/>
          <w:pgNumType w:fmt="decimal"/>
          <w:cols w:space="425" w:num="1"/>
          <w:docGrid w:type="lines" w:linePitch="312" w:charSpace="0"/>
        </w:sectPr>
      </w:pPr>
    </w:p>
    <w:p w14:paraId="08B3B400">
      <w:pPr>
        <w:pStyle w:val="27"/>
        <w:keepNext w:val="0"/>
        <w:keepLines w:val="0"/>
        <w:pageBreakBefore w:val="0"/>
        <w:kinsoku/>
        <w:wordWrap/>
        <w:overflowPunct/>
        <w:topLinePunct w:val="0"/>
        <w:autoSpaceDE/>
        <w:autoSpaceDN/>
        <w:bidi w:val="0"/>
        <w:adjustRightInd/>
        <w:snapToGrid/>
        <w:spacing w:line="400" w:lineRule="exact"/>
        <w:ind w:left="0" w:leftChars="0" w:firstLine="0" w:firstLineChars="0"/>
        <w:jc w:val="both"/>
        <w:rPr>
          <w:rFonts w:hint="default" w:ascii="Times New Roman" w:hAnsi="Times New Roman" w:eastAsia="黑体" w:cs="Times New Roman"/>
          <w:b w:val="0"/>
          <w:bCs w:val="0"/>
          <w:i w:val="0"/>
          <w:iCs w:val="0"/>
          <w:color w:val="000000"/>
          <w:kern w:val="0"/>
          <w:sz w:val="40"/>
          <w:szCs w:val="40"/>
          <w:u w:val="none"/>
          <w:lang w:val="en-US" w:eastAsia="zh-CN" w:bidi="ar"/>
        </w:rPr>
      </w:pPr>
      <w:r>
        <w:rPr>
          <w:rFonts w:hint="default" w:ascii="Times New Roman" w:hAnsi="Times New Roman" w:eastAsia="黑体" w:cs="Times New Roman"/>
          <w:b w:val="0"/>
          <w:bCs w:val="0"/>
          <w:i w:val="0"/>
          <w:iCs w:val="0"/>
          <w:color w:val="000000"/>
          <w:kern w:val="0"/>
          <w:sz w:val="32"/>
          <w:szCs w:val="32"/>
          <w:u w:val="none"/>
          <w:lang w:val="en-US" w:eastAsia="zh-CN" w:bidi="ar"/>
        </w:rPr>
        <w:t>附表</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40"/>
      </w:tblGrid>
      <w:tr w14:paraId="4712D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1" w:hRule="atLeast"/>
        </w:trPr>
        <w:tc>
          <w:tcPr>
            <w:tcW w:w="5000" w:type="pct"/>
            <w:tcBorders>
              <w:top w:val="nil"/>
              <w:left w:val="nil"/>
              <w:bottom w:val="nil"/>
              <w:right w:val="nil"/>
            </w:tcBorders>
            <w:shd w:val="clear" w:color="auto" w:fill="auto"/>
            <w:vAlign w:val="center"/>
          </w:tcPr>
          <w:p w14:paraId="51D927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2023年省级药品监管专项资金（应急部分）绩效自评表</w:t>
            </w:r>
          </w:p>
          <w:p w14:paraId="66D7F27D">
            <w:pPr>
              <w:pStyle w:val="26"/>
              <w:rPr>
                <w:rFonts w:hint="default"/>
                <w:lang w:val="en-US" w:eastAsia="zh-CN"/>
              </w:rPr>
            </w:pPr>
          </w:p>
          <w:tbl>
            <w:tblPr>
              <w:tblStyle w:val="20"/>
              <w:tblW w:w="14438" w:type="dxa"/>
              <w:tblInd w:w="-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568"/>
              <w:gridCol w:w="701"/>
              <w:gridCol w:w="1232"/>
              <w:gridCol w:w="704"/>
              <w:gridCol w:w="655"/>
              <w:gridCol w:w="1161"/>
              <w:gridCol w:w="7"/>
              <w:gridCol w:w="880"/>
              <w:gridCol w:w="6"/>
              <w:gridCol w:w="621"/>
              <w:gridCol w:w="441"/>
              <w:gridCol w:w="441"/>
              <w:gridCol w:w="479"/>
              <w:gridCol w:w="447"/>
              <w:gridCol w:w="6"/>
              <w:gridCol w:w="621"/>
              <w:gridCol w:w="650"/>
              <w:gridCol w:w="16"/>
              <w:gridCol w:w="1221"/>
              <w:gridCol w:w="6"/>
              <w:gridCol w:w="2045"/>
              <w:gridCol w:w="7"/>
              <w:gridCol w:w="941"/>
              <w:gridCol w:w="6"/>
            </w:tblGrid>
            <w:tr w14:paraId="4BB0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7" w:type="dxa"/>
                <w:trHeight w:val="335" w:hRule="atLeast"/>
              </w:trPr>
              <w:tc>
                <w:tcPr>
                  <w:tcW w:w="1945"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14:paraId="3F10C1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4095" w:type="dxa"/>
                  <w:gridSpan w:val="4"/>
                  <w:tcBorders>
                    <w:top w:val="single" w:color="000000" w:sz="8" w:space="0"/>
                    <w:left w:val="single" w:color="000000" w:sz="4" w:space="0"/>
                    <w:bottom w:val="single" w:color="000000" w:sz="4" w:space="0"/>
                    <w:right w:val="single" w:color="000000" w:sz="4" w:space="0"/>
                  </w:tcBorders>
                  <w:shd w:val="clear" w:color="auto" w:fill="auto"/>
                  <w:vAlign w:val="center"/>
                </w:tcPr>
                <w:p w14:paraId="4D8B08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省级药品监管专项项目</w:t>
                  </w:r>
                </w:p>
              </w:tc>
              <w:tc>
                <w:tcPr>
                  <w:tcW w:w="915"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459456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265" w:type="dxa"/>
                  <w:gridSpan w:val="6"/>
                  <w:tcBorders>
                    <w:top w:val="single" w:color="000000" w:sz="8" w:space="0"/>
                    <w:left w:val="single" w:color="000000" w:sz="4" w:space="0"/>
                    <w:bottom w:val="single" w:color="000000" w:sz="4" w:space="0"/>
                    <w:right w:val="single" w:color="000000" w:sz="4" w:space="0"/>
                  </w:tcBorders>
                  <w:shd w:val="clear" w:color="auto" w:fill="auto"/>
                  <w:vAlign w:val="center"/>
                </w:tcPr>
                <w:p w14:paraId="2F0CF1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遂宁市安居区市场监督管理局</w:t>
                  </w:r>
                </w:p>
              </w:tc>
              <w:tc>
                <w:tcPr>
                  <w:tcW w:w="1860" w:type="dxa"/>
                  <w:gridSpan w:val="5"/>
                  <w:tcBorders>
                    <w:top w:val="single" w:color="000000" w:sz="8" w:space="0"/>
                    <w:left w:val="single" w:color="000000" w:sz="4" w:space="0"/>
                    <w:bottom w:val="single" w:color="000000" w:sz="4" w:space="0"/>
                    <w:right w:val="single" w:color="000000" w:sz="4" w:space="0"/>
                  </w:tcBorders>
                  <w:shd w:val="clear" w:color="auto" w:fill="auto"/>
                  <w:vAlign w:val="center"/>
                </w:tcPr>
                <w:p w14:paraId="4447B6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实施单位</w:t>
                  </w:r>
                </w:p>
              </w:tc>
              <w:tc>
                <w:tcPr>
                  <w:tcW w:w="3351" w:type="dxa"/>
                  <w:gridSpan w:val="4"/>
                  <w:tcBorders>
                    <w:top w:val="single" w:color="000000" w:sz="8" w:space="0"/>
                    <w:left w:val="single" w:color="000000" w:sz="4" w:space="0"/>
                    <w:bottom w:val="single" w:color="000000" w:sz="4" w:space="0"/>
                    <w:right w:val="single" w:color="000000" w:sz="4" w:space="0"/>
                  </w:tcBorders>
                  <w:shd w:val="clear" w:color="auto" w:fill="auto"/>
                  <w:vAlign w:val="center"/>
                </w:tcPr>
                <w:p w14:paraId="479454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遂宁市安居区市场监督管理局</w:t>
                  </w:r>
                </w:p>
              </w:tc>
            </w:tr>
            <w:tr w14:paraId="26EEE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345" w:hRule="atLeast"/>
              </w:trPr>
              <w:tc>
                <w:tcPr>
                  <w:tcW w:w="1945" w:type="dxa"/>
                  <w:gridSpan w:val="3"/>
                  <w:vMerge w:val="restart"/>
                  <w:tcBorders>
                    <w:top w:val="single" w:color="000000" w:sz="4" w:space="0"/>
                    <w:left w:val="single" w:color="000000" w:sz="8" w:space="0"/>
                    <w:bottom w:val="nil"/>
                    <w:right w:val="single" w:color="000000" w:sz="4" w:space="0"/>
                  </w:tcBorders>
                  <w:shd w:val="clear" w:color="auto" w:fill="auto"/>
                  <w:vAlign w:val="center"/>
                </w:tcPr>
                <w:p w14:paraId="78E52D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项目资金情况</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（万元）</w:t>
                  </w:r>
                </w:p>
              </w:tc>
              <w:tc>
                <w:tcPr>
                  <w:tcW w:w="20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BD4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8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4F86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全年预算数（A）</w:t>
                  </w:r>
                </w:p>
              </w:tc>
              <w:tc>
                <w:tcPr>
                  <w:tcW w:w="25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7C85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全年执行数（B）</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5BE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预算执行率%（B/A*100）</w:t>
                  </w:r>
                </w:p>
              </w:tc>
              <w:tc>
                <w:tcPr>
                  <w:tcW w:w="3351"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3F2B80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原因说明</w:t>
                  </w:r>
                </w:p>
              </w:tc>
            </w:tr>
            <w:tr w14:paraId="4B269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945" w:type="dxa"/>
                  <w:gridSpan w:val="3"/>
                  <w:vMerge w:val="continue"/>
                  <w:tcBorders>
                    <w:top w:val="single" w:color="000000" w:sz="4" w:space="0"/>
                    <w:left w:val="single" w:color="000000" w:sz="8" w:space="0"/>
                    <w:bottom w:val="nil"/>
                    <w:right w:val="single" w:color="000000" w:sz="4" w:space="0"/>
                  </w:tcBorders>
                  <w:shd w:val="clear" w:color="auto" w:fill="auto"/>
                  <w:vAlign w:val="center"/>
                </w:tcPr>
                <w:p w14:paraId="69A5B1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0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F34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C9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药品综合监管及专项整治资金</w:t>
                  </w: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84F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药品抽验资金</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C11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药品监管能力标准化建设</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55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药品应急处置资金</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64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B3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药品综合监管资金</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6E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药品抽验资金</w:t>
                  </w:r>
                </w:p>
              </w:tc>
              <w:tc>
                <w:tcPr>
                  <w:tcW w:w="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93F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药品监管能力标准化建设</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6E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药品应急处置资金</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A66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600" w:type="dxa"/>
                  <w:gridSpan w:val="2"/>
                  <w:tcBorders>
                    <w:top w:val="single" w:color="000000" w:sz="4" w:space="0"/>
                    <w:left w:val="single" w:color="000000" w:sz="4" w:space="0"/>
                    <w:right w:val="single" w:color="000000" w:sz="4" w:space="0"/>
                  </w:tcBorders>
                  <w:shd w:val="clear" w:color="auto" w:fill="auto"/>
                  <w:vAlign w:val="center"/>
                </w:tcPr>
                <w:p w14:paraId="521B46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351" w:type="dxa"/>
                  <w:gridSpan w:val="4"/>
                  <w:tcBorders>
                    <w:top w:val="single" w:color="000000" w:sz="4" w:space="0"/>
                    <w:left w:val="single" w:color="000000" w:sz="4" w:space="0"/>
                    <w:right w:val="single" w:color="000000" w:sz="8" w:space="0"/>
                  </w:tcBorders>
                  <w:shd w:val="clear" w:color="auto" w:fill="auto"/>
                  <w:vAlign w:val="center"/>
                </w:tcPr>
                <w:p w14:paraId="6C00FD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ECCA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45" w:type="dxa"/>
                  <w:gridSpan w:val="3"/>
                  <w:vMerge w:val="continue"/>
                  <w:tcBorders>
                    <w:top w:val="single" w:color="000000" w:sz="4" w:space="0"/>
                    <w:left w:val="single" w:color="000000" w:sz="8" w:space="0"/>
                    <w:bottom w:val="nil"/>
                    <w:right w:val="single" w:color="000000" w:sz="4" w:space="0"/>
                  </w:tcBorders>
                  <w:shd w:val="clear" w:color="auto" w:fill="auto"/>
                  <w:vAlign w:val="center"/>
                </w:tcPr>
                <w:p w14:paraId="766BEB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77C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年度资金总额：</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84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994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8C1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A5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3E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93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07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1D7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1A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20.00</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A33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231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3351"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0D009F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1AAE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45" w:type="dxa"/>
                  <w:gridSpan w:val="3"/>
                  <w:vMerge w:val="continue"/>
                  <w:tcBorders>
                    <w:top w:val="single" w:color="000000" w:sz="4" w:space="0"/>
                    <w:left w:val="single" w:color="000000" w:sz="8" w:space="0"/>
                    <w:bottom w:val="nil"/>
                    <w:right w:val="single" w:color="000000" w:sz="4" w:space="0"/>
                  </w:tcBorders>
                  <w:shd w:val="clear" w:color="auto" w:fill="auto"/>
                  <w:vAlign w:val="center"/>
                </w:tcPr>
                <w:p w14:paraId="1DA50D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A59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其中：当年预算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79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A12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4BC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57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38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0A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F6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F2F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91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20.00</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052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933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351"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595DD9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D64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45" w:type="dxa"/>
                  <w:gridSpan w:val="3"/>
                  <w:vMerge w:val="continue"/>
                  <w:tcBorders>
                    <w:top w:val="single" w:color="000000" w:sz="4" w:space="0"/>
                    <w:left w:val="single" w:color="000000" w:sz="8" w:space="0"/>
                    <w:bottom w:val="nil"/>
                    <w:right w:val="single" w:color="000000" w:sz="4" w:space="0"/>
                  </w:tcBorders>
                  <w:shd w:val="clear" w:color="auto" w:fill="auto"/>
                  <w:vAlign w:val="center"/>
                </w:tcPr>
                <w:p w14:paraId="214910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BF2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上年结转结余</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99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DFD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6AE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CD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34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A4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DB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B57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B8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112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3C6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351"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2A1B34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004D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945" w:type="dxa"/>
                  <w:gridSpan w:val="3"/>
                  <w:vMerge w:val="continue"/>
                  <w:tcBorders>
                    <w:top w:val="single" w:color="000000" w:sz="4" w:space="0"/>
                    <w:left w:val="single" w:color="000000" w:sz="8" w:space="0"/>
                    <w:bottom w:val="nil"/>
                    <w:right w:val="single" w:color="000000" w:sz="4" w:space="0"/>
                  </w:tcBorders>
                  <w:shd w:val="clear" w:color="auto" w:fill="auto"/>
                  <w:vAlign w:val="center"/>
                </w:tcPr>
                <w:p w14:paraId="3D6BEA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070" w:type="dxa"/>
                  <w:gridSpan w:val="2"/>
                  <w:tcBorders>
                    <w:top w:val="single" w:color="000000" w:sz="4" w:space="0"/>
                    <w:left w:val="single" w:color="000000" w:sz="4" w:space="0"/>
                    <w:bottom w:val="nil"/>
                    <w:right w:val="single" w:color="000000" w:sz="4" w:space="0"/>
                  </w:tcBorders>
                  <w:shd w:val="clear" w:color="auto" w:fill="auto"/>
                  <w:vAlign w:val="center"/>
                </w:tcPr>
                <w:p w14:paraId="035821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705" w:type="dxa"/>
                  <w:tcBorders>
                    <w:top w:val="single" w:color="000000" w:sz="4" w:space="0"/>
                    <w:left w:val="single" w:color="000000" w:sz="4" w:space="0"/>
                    <w:bottom w:val="nil"/>
                    <w:right w:val="single" w:color="000000" w:sz="4" w:space="0"/>
                  </w:tcBorders>
                  <w:shd w:val="clear" w:color="auto" w:fill="auto"/>
                  <w:vAlign w:val="center"/>
                </w:tcPr>
                <w:p w14:paraId="746470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7" w:type="dxa"/>
                  <w:gridSpan w:val="2"/>
                  <w:tcBorders>
                    <w:top w:val="single" w:color="000000" w:sz="4" w:space="0"/>
                    <w:left w:val="single" w:color="000000" w:sz="4" w:space="0"/>
                    <w:bottom w:val="nil"/>
                    <w:right w:val="single" w:color="000000" w:sz="4" w:space="0"/>
                  </w:tcBorders>
                  <w:shd w:val="clear" w:color="auto" w:fill="auto"/>
                  <w:vAlign w:val="center"/>
                </w:tcPr>
                <w:p w14:paraId="7CFC5B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915" w:type="dxa"/>
                  <w:gridSpan w:val="2"/>
                  <w:tcBorders>
                    <w:top w:val="single" w:color="000000" w:sz="4" w:space="0"/>
                    <w:left w:val="single" w:color="000000" w:sz="4" w:space="0"/>
                    <w:bottom w:val="nil"/>
                    <w:right w:val="single" w:color="000000" w:sz="4" w:space="0"/>
                  </w:tcBorders>
                  <w:shd w:val="clear" w:color="auto" w:fill="auto"/>
                  <w:vAlign w:val="center"/>
                </w:tcPr>
                <w:p w14:paraId="052A96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03" w:type="dxa"/>
                  <w:tcBorders>
                    <w:top w:val="single" w:color="000000" w:sz="4" w:space="0"/>
                    <w:left w:val="single" w:color="000000" w:sz="4" w:space="0"/>
                    <w:bottom w:val="nil"/>
                    <w:right w:val="single" w:color="000000" w:sz="4" w:space="0"/>
                  </w:tcBorders>
                  <w:shd w:val="clear" w:color="auto" w:fill="auto"/>
                  <w:vAlign w:val="center"/>
                </w:tcPr>
                <w:p w14:paraId="5D8ACA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35" w:type="dxa"/>
                  <w:tcBorders>
                    <w:top w:val="single" w:color="000000" w:sz="4" w:space="0"/>
                    <w:left w:val="single" w:color="000000" w:sz="4" w:space="0"/>
                    <w:bottom w:val="nil"/>
                    <w:right w:val="single" w:color="000000" w:sz="4" w:space="0"/>
                  </w:tcBorders>
                  <w:shd w:val="clear" w:color="auto" w:fill="auto"/>
                  <w:vAlign w:val="center"/>
                </w:tcPr>
                <w:p w14:paraId="71801F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75" w:type="dxa"/>
                  <w:tcBorders>
                    <w:top w:val="single" w:color="000000" w:sz="4" w:space="0"/>
                    <w:left w:val="single" w:color="000000" w:sz="4" w:space="0"/>
                    <w:bottom w:val="nil"/>
                    <w:right w:val="single" w:color="000000" w:sz="4" w:space="0"/>
                  </w:tcBorders>
                  <w:shd w:val="clear" w:color="auto" w:fill="auto"/>
                  <w:vAlign w:val="center"/>
                </w:tcPr>
                <w:p w14:paraId="1721D1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87" w:type="dxa"/>
                  <w:tcBorders>
                    <w:top w:val="single" w:color="000000" w:sz="4" w:space="0"/>
                    <w:left w:val="single" w:color="000000" w:sz="4" w:space="0"/>
                    <w:bottom w:val="nil"/>
                    <w:right w:val="single" w:color="000000" w:sz="4" w:space="0"/>
                  </w:tcBorders>
                  <w:shd w:val="clear" w:color="auto" w:fill="auto"/>
                  <w:vAlign w:val="center"/>
                </w:tcPr>
                <w:p w14:paraId="34A9A3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65" w:type="dxa"/>
                  <w:gridSpan w:val="2"/>
                  <w:tcBorders>
                    <w:top w:val="single" w:color="000000" w:sz="4" w:space="0"/>
                    <w:left w:val="single" w:color="000000" w:sz="4" w:space="0"/>
                    <w:bottom w:val="nil"/>
                    <w:right w:val="single" w:color="000000" w:sz="4" w:space="0"/>
                  </w:tcBorders>
                  <w:shd w:val="clear" w:color="auto" w:fill="auto"/>
                  <w:vAlign w:val="center"/>
                </w:tcPr>
                <w:p w14:paraId="601ED7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93" w:type="dxa"/>
                  <w:tcBorders>
                    <w:top w:val="single" w:color="000000" w:sz="4" w:space="0"/>
                    <w:left w:val="single" w:color="000000" w:sz="4" w:space="0"/>
                    <w:bottom w:val="nil"/>
                    <w:right w:val="single" w:color="000000" w:sz="4" w:space="0"/>
                  </w:tcBorders>
                  <w:shd w:val="clear" w:color="auto" w:fill="auto"/>
                  <w:vAlign w:val="center"/>
                </w:tcPr>
                <w:p w14:paraId="050963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7" w:type="dxa"/>
                  <w:gridSpan w:val="2"/>
                  <w:tcBorders>
                    <w:top w:val="single" w:color="000000" w:sz="4" w:space="0"/>
                    <w:left w:val="single" w:color="000000" w:sz="4" w:space="0"/>
                    <w:bottom w:val="nil"/>
                    <w:right w:val="single" w:color="000000" w:sz="4" w:space="0"/>
                  </w:tcBorders>
                  <w:shd w:val="clear" w:color="auto" w:fill="auto"/>
                  <w:vAlign w:val="center"/>
                </w:tcPr>
                <w:p w14:paraId="710B07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BDA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351" w:type="dxa"/>
                  <w:gridSpan w:val="4"/>
                  <w:tcBorders>
                    <w:top w:val="single" w:color="000000" w:sz="4" w:space="0"/>
                    <w:left w:val="single" w:color="000000" w:sz="4" w:space="0"/>
                    <w:bottom w:val="nil"/>
                    <w:right w:val="single" w:color="000000" w:sz="8" w:space="0"/>
                  </w:tcBorders>
                  <w:shd w:val="clear" w:color="auto" w:fill="auto"/>
                  <w:vAlign w:val="center"/>
                </w:tcPr>
                <w:p w14:paraId="2D0AD1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D353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345" w:hRule="atLeast"/>
              </w:trPr>
              <w:tc>
                <w:tcPr>
                  <w:tcW w:w="4015"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14:paraId="6BF2D7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绩效评价指标体系</w:t>
                  </w:r>
                </w:p>
              </w:tc>
              <w:tc>
                <w:tcPr>
                  <w:tcW w:w="2025" w:type="dxa"/>
                  <w:gridSpan w:val="2"/>
                  <w:vMerge w:val="restart"/>
                  <w:tcBorders>
                    <w:top w:val="single" w:color="000000" w:sz="8" w:space="0"/>
                    <w:left w:val="single" w:color="000000" w:sz="4" w:space="0"/>
                    <w:bottom w:val="nil"/>
                    <w:right w:val="single" w:color="000000" w:sz="4" w:space="0"/>
                  </w:tcBorders>
                  <w:shd w:val="clear" w:color="auto" w:fill="auto"/>
                  <w:vAlign w:val="center"/>
                </w:tcPr>
                <w:p w14:paraId="042CEE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指标解释</w:t>
                  </w:r>
                </w:p>
              </w:tc>
              <w:tc>
                <w:tcPr>
                  <w:tcW w:w="3180" w:type="dxa"/>
                  <w:gridSpan w:val="8"/>
                  <w:tcBorders>
                    <w:top w:val="single" w:color="000000" w:sz="8" w:space="0"/>
                    <w:left w:val="single" w:color="000000" w:sz="4" w:space="0"/>
                    <w:bottom w:val="single" w:color="000000" w:sz="4" w:space="0"/>
                    <w:right w:val="single" w:color="000000" w:sz="4" w:space="0"/>
                  </w:tcBorders>
                  <w:shd w:val="clear" w:color="auto" w:fill="auto"/>
                  <w:vAlign w:val="center"/>
                </w:tcPr>
                <w:p w14:paraId="51FD29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评分方法</w:t>
                  </w:r>
                </w:p>
              </w:tc>
              <w:tc>
                <w:tcPr>
                  <w:tcW w:w="60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96662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是否适用</w:t>
                  </w:r>
                </w:p>
              </w:tc>
              <w:tc>
                <w:tcPr>
                  <w:tcW w:w="66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54837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自评/评价得分</w:t>
                  </w:r>
                </w:p>
              </w:tc>
              <w:tc>
                <w:tcPr>
                  <w:tcW w:w="60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352E2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得分/扣分依据</w:t>
                  </w:r>
                </w:p>
              </w:tc>
              <w:tc>
                <w:tcPr>
                  <w:tcW w:w="2325"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4444D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评价要点说明</w:t>
                  </w:r>
                </w:p>
              </w:tc>
              <w:tc>
                <w:tcPr>
                  <w:tcW w:w="1026" w:type="dxa"/>
                  <w:gridSpan w:val="2"/>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14:paraId="5EFE76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评价支撑材料</w:t>
                  </w:r>
                </w:p>
              </w:tc>
            </w:tr>
            <w:tr w14:paraId="0F1C5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345" w:hRule="atLeast"/>
              </w:trPr>
              <w:tc>
                <w:tcPr>
                  <w:tcW w:w="57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DB860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类型</w:t>
                  </w:r>
                </w:p>
              </w:tc>
              <w:tc>
                <w:tcPr>
                  <w:tcW w:w="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EE2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E97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E3B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F94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分值</w:t>
                  </w:r>
                </w:p>
              </w:tc>
              <w:tc>
                <w:tcPr>
                  <w:tcW w:w="2025" w:type="dxa"/>
                  <w:gridSpan w:val="2"/>
                  <w:vMerge w:val="continue"/>
                  <w:tcBorders>
                    <w:top w:val="single" w:color="000000" w:sz="8" w:space="0"/>
                    <w:left w:val="single" w:color="000000" w:sz="4" w:space="0"/>
                    <w:bottom w:val="nil"/>
                    <w:right w:val="single" w:color="000000" w:sz="4" w:space="0"/>
                  </w:tcBorders>
                  <w:shd w:val="clear" w:color="auto" w:fill="auto"/>
                  <w:vAlign w:val="center"/>
                </w:tcPr>
                <w:p w14:paraId="34A0EC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9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875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方法归类</w:t>
                  </w:r>
                </w:p>
              </w:tc>
              <w:tc>
                <w:tcPr>
                  <w:tcW w:w="2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8C13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计算公式</w:t>
                  </w:r>
                </w:p>
              </w:tc>
              <w:tc>
                <w:tcPr>
                  <w:tcW w:w="60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0006C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E1863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9BC11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558B4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26" w:type="dxa"/>
                  <w:gridSpan w:val="2"/>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14:paraId="5807AB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5DB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360"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B518E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8F1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9C4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F96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14A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025" w:type="dxa"/>
                  <w:gridSpan w:val="2"/>
                  <w:vMerge w:val="continue"/>
                  <w:tcBorders>
                    <w:top w:val="single" w:color="000000" w:sz="8" w:space="0"/>
                    <w:left w:val="single" w:color="000000" w:sz="4" w:space="0"/>
                    <w:bottom w:val="nil"/>
                    <w:right w:val="single" w:color="000000" w:sz="4" w:space="0"/>
                  </w:tcBorders>
                  <w:shd w:val="clear" w:color="auto" w:fill="auto"/>
                  <w:vAlign w:val="center"/>
                </w:tcPr>
                <w:p w14:paraId="44DFAA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9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6BF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10" w:type="dxa"/>
                  <w:gridSpan w:val="2"/>
                  <w:tcBorders>
                    <w:top w:val="single" w:color="000000" w:sz="4" w:space="0"/>
                    <w:left w:val="single" w:color="000000" w:sz="4" w:space="0"/>
                    <w:bottom w:val="nil"/>
                    <w:right w:val="single" w:color="000000" w:sz="4" w:space="0"/>
                  </w:tcBorders>
                  <w:shd w:val="clear" w:color="auto" w:fill="auto"/>
                  <w:vAlign w:val="center"/>
                </w:tcPr>
                <w:p w14:paraId="6E9DB4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35" w:type="dxa"/>
                  <w:tcBorders>
                    <w:top w:val="single" w:color="000000" w:sz="4" w:space="0"/>
                    <w:left w:val="single" w:color="000000" w:sz="4" w:space="0"/>
                    <w:bottom w:val="nil"/>
                    <w:right w:val="single" w:color="000000" w:sz="4" w:space="0"/>
                  </w:tcBorders>
                  <w:shd w:val="clear" w:color="auto" w:fill="auto"/>
                  <w:vAlign w:val="center"/>
                </w:tcPr>
                <w:p w14:paraId="5FF7E5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0.3</w:t>
                  </w:r>
                </w:p>
              </w:tc>
              <w:tc>
                <w:tcPr>
                  <w:tcW w:w="375" w:type="dxa"/>
                  <w:tcBorders>
                    <w:top w:val="single" w:color="000000" w:sz="4" w:space="0"/>
                    <w:left w:val="single" w:color="000000" w:sz="4" w:space="0"/>
                    <w:bottom w:val="nil"/>
                    <w:right w:val="single" w:color="000000" w:sz="4" w:space="0"/>
                  </w:tcBorders>
                  <w:shd w:val="clear" w:color="auto" w:fill="auto"/>
                  <w:vAlign w:val="center"/>
                </w:tcPr>
                <w:p w14:paraId="3A6EB2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0.6</w:t>
                  </w:r>
                </w:p>
              </w:tc>
              <w:tc>
                <w:tcPr>
                  <w:tcW w:w="487" w:type="dxa"/>
                  <w:tcBorders>
                    <w:top w:val="single" w:color="000000" w:sz="4" w:space="0"/>
                    <w:left w:val="single" w:color="000000" w:sz="4" w:space="0"/>
                    <w:bottom w:val="nil"/>
                    <w:right w:val="single" w:color="000000" w:sz="4" w:space="0"/>
                  </w:tcBorders>
                  <w:shd w:val="clear" w:color="auto" w:fill="auto"/>
                  <w:vAlign w:val="center"/>
                </w:tcPr>
                <w:p w14:paraId="7397C0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0.8</w:t>
                  </w:r>
                </w:p>
              </w:tc>
              <w:tc>
                <w:tcPr>
                  <w:tcW w:w="458" w:type="dxa"/>
                  <w:tcBorders>
                    <w:top w:val="single" w:color="000000" w:sz="4" w:space="0"/>
                    <w:left w:val="single" w:color="000000" w:sz="4" w:space="0"/>
                    <w:bottom w:val="nil"/>
                    <w:right w:val="single" w:color="000000" w:sz="4" w:space="0"/>
                  </w:tcBorders>
                  <w:shd w:val="clear" w:color="auto" w:fill="auto"/>
                  <w:vAlign w:val="center"/>
                </w:tcPr>
                <w:p w14:paraId="7AA925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0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224D4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074C6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32659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3ECF8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26" w:type="dxa"/>
                  <w:gridSpan w:val="2"/>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14:paraId="23E363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332C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485" w:hRule="atLeast"/>
              </w:trPr>
              <w:tc>
                <w:tcPr>
                  <w:tcW w:w="576"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B5A45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通用指标</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（50分）</w:t>
                  </w:r>
                </w:p>
              </w:tc>
              <w:tc>
                <w:tcPr>
                  <w:tcW w:w="60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C9EE2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项目决策</w:t>
                  </w:r>
                </w:p>
              </w:tc>
              <w:tc>
                <w:tcPr>
                  <w:tcW w:w="76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FD85E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程序严密</w:t>
                  </w:r>
                </w:p>
              </w:tc>
              <w:tc>
                <w:tcPr>
                  <w:tcW w:w="132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27BFD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依据充分性</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（必要性）</w:t>
                  </w:r>
                </w:p>
              </w:tc>
              <w:tc>
                <w:tcPr>
                  <w:tcW w:w="75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92BFB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 </w:t>
                  </w:r>
                </w:p>
              </w:tc>
              <w:tc>
                <w:tcPr>
                  <w:tcW w:w="2025"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03ED37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项目设立是否经过严格评估论证，是否属于部门职责相符，是否属于公共财政支持范围，是否符合地方事权支出责任划分原则，是否与相关部门同类项目或部门内部相关项目重复</w:t>
                  </w:r>
                </w:p>
              </w:tc>
              <w:tc>
                <w:tcPr>
                  <w:tcW w:w="915"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74D3F9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分级评分法</w:t>
                  </w:r>
                </w:p>
              </w:tc>
              <w:tc>
                <w:tcPr>
                  <w:tcW w:w="51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164CF9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不完善</w:t>
                  </w:r>
                </w:p>
              </w:tc>
              <w:tc>
                <w:tcPr>
                  <w:tcW w:w="43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01B08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7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0FF5C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较完善</w:t>
                  </w:r>
                </w:p>
              </w:tc>
              <w:tc>
                <w:tcPr>
                  <w:tcW w:w="48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45D84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5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25267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完善</w:t>
                  </w:r>
                </w:p>
              </w:tc>
              <w:tc>
                <w:tcPr>
                  <w:tcW w:w="60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7DC656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6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E9E67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0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4D5FAF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17B72F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主要查看专项项目设立是否经过事前评估或可行性论证，是否符合专项设立的基本规范和程序要求。项目设立是否属于部门职责相符，是否属于公共财政支持范围，符合地方事权支出责任划分原则，是否与相关部门同类项目或部门内部相关项目重复。存在一项不符合的为较完善，存在两项及两项以上不符合的为不完善</w:t>
                  </w:r>
                </w:p>
              </w:tc>
              <w:tc>
                <w:tcPr>
                  <w:tcW w:w="1026"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6B01BB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项目设立依据、可行性论证报告或事前评估报告</w:t>
                  </w:r>
                </w:p>
              </w:tc>
            </w:tr>
            <w:tr w14:paraId="094C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1350" w:hRule="atLeast"/>
              </w:trPr>
              <w:tc>
                <w:tcPr>
                  <w:tcW w:w="57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BDB77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BC6D4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B1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规划合理★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A0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合理性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6E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3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3A7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项目规划是否符合省委、省政府重大决策部署，是否与项目年度目标一致</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9F2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缺（错）项扣分法</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DA5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不合理</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40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3处及以上不合理</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BF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2处不合理</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AB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1处不合理</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2C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合理</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84D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20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DDC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ACB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主要查看项目设立依据是否充分，符合省委、省政府重大决策部署和宏观政策规划，项目年度绩效目标与中长期规划是否一致。样本评价中，规划是否与现实需求匹配，是否存在因规划不够合理导致项目效益欠佳的情况，发现一处扣0.5分，直至扣完。</w:t>
                  </w: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28058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查看项目实施方案和绩效目标，查看绩效目标及完成结果一致性</w:t>
                  </w:r>
                </w:p>
              </w:tc>
            </w:tr>
            <w:tr w14:paraId="4950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1515" w:hRule="atLeast"/>
              </w:trPr>
              <w:tc>
                <w:tcPr>
                  <w:tcW w:w="57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8DB14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6620D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3E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制度完备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C4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明确性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8F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3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233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项目指导意见、管理办法、申报指南、实施细则等管理制度是否完善，是否存在脱离实际、缺陷、漏洞导致执行偏离预期</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ABB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缺（错）项扣分法</w:t>
                  </w:r>
                </w:p>
              </w:tc>
              <w:tc>
                <w:tcPr>
                  <w:tcW w:w="2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7F70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发现一处扣0.5分，直至扣完</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1CD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03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6A5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AB7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主要查看项目的相关管理制度机制是否健全完善，在项目执行过程中，是否存在管理制度有悖于实际的情况，是否存在难以操作、无法落地、执行不畅的情况，是否存在不能满足实际需求，未及时动态调整的情况</w:t>
                  </w: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954CE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查看项目的相关管理制度机制文件</w:t>
                  </w:r>
                </w:p>
              </w:tc>
            </w:tr>
            <w:tr w14:paraId="41273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735" w:hRule="atLeast"/>
              </w:trPr>
              <w:tc>
                <w:tcPr>
                  <w:tcW w:w="57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3778E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5C1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项目实施</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E5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分配合理★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2B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资金分配科学性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4C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4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9D5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项目资金分配结果是否与规划计划一致；是否按规定及时分配专项预算资金</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1A2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是否评分法</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AAF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B8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37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46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66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021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99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CD7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103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按项目法分配的项目，以所有项目点实施完成情况与规划计划情况进行对比。按因素法分配的项目和据实据效分配的项目，将资金分配方向与规划计划支持方向进行对比；一般性转移支付和专项转移支付，应当在30日内正式下达到本行政区域县级以上人民政府；县级以上地方各级预算安排对下级政府的一般性转移支付和专项转移支付，应当分别在本级人民代表大会批准预算后的30日和60日内正式下达；按照</w:t>
                  </w:r>
                  <w:r>
                    <w:rPr>
                      <w:rFonts w:hint="eastAsia" w:cs="Times New Roman"/>
                      <w:i w:val="0"/>
                      <w:iCs w:val="0"/>
                      <w:color w:val="000000"/>
                      <w:kern w:val="0"/>
                      <w:sz w:val="18"/>
                      <w:szCs w:val="18"/>
                      <w:u w:val="none"/>
                      <w:lang w:val="en-US" w:eastAsia="zh-CN" w:bidi="ar"/>
                    </w:rPr>
                    <w:t>《中华人民共和国预算法》</w:t>
                  </w:r>
                  <w:r>
                    <w:rPr>
                      <w:rFonts w:hint="default" w:ascii="Times New Roman" w:hAnsi="Times New Roman" w:eastAsia="宋体" w:cs="Times New Roman"/>
                      <w:i w:val="0"/>
                      <w:iCs w:val="0"/>
                      <w:color w:val="000000"/>
                      <w:kern w:val="0"/>
                      <w:sz w:val="18"/>
                      <w:szCs w:val="18"/>
                      <w:u w:val="none"/>
                      <w:lang w:val="en-US" w:eastAsia="zh-CN" w:bidi="ar"/>
                    </w:rPr>
                    <w:t>其他规定，分配依据充分的得分，明显不充分扣分。两种情况分值权重各占一半。</w:t>
                  </w: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D9135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查阅资金下达文件及实施方案和绩效目标完整性</w:t>
                  </w:r>
                </w:p>
              </w:tc>
            </w:tr>
            <w:tr w14:paraId="34ABA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1110" w:hRule="atLeast"/>
              </w:trPr>
              <w:tc>
                <w:tcPr>
                  <w:tcW w:w="57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527C3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339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B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使用合规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25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业务和财务管理规范性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90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3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8B4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业务管理和财务管理是否规范，项目管理是否合规</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B20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缺（错）项扣分法</w:t>
                  </w:r>
                </w:p>
              </w:tc>
              <w:tc>
                <w:tcPr>
                  <w:tcW w:w="2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544C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发现一处扣0.5分，直至扣完</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265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CA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FED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65C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项目管理制度是否健全完善，执行是否有效。包括程序完善性，采购和公示制度的严格执行，进度安排、成本和风险控制、质量管理等</w:t>
                  </w: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AD446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提供审计监督、财政检查、绩效评价结果报告等</w:t>
                  </w:r>
                </w:p>
              </w:tc>
            </w:tr>
            <w:tr w14:paraId="4BB71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1335" w:hRule="atLeast"/>
              </w:trPr>
              <w:tc>
                <w:tcPr>
                  <w:tcW w:w="57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DDE10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53C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69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执行有效</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EF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有效管理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55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665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项目实施是否符合相关管理制度规定</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13B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缺（错）项扣分法</w:t>
                  </w:r>
                </w:p>
              </w:tc>
              <w:tc>
                <w:tcPr>
                  <w:tcW w:w="2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2DBB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发现一处扣0.5分，直至扣完</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5AE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E1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C23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800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66CA4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项目实施方案和原始资料</w:t>
                  </w:r>
                </w:p>
              </w:tc>
            </w:tr>
            <w:tr w14:paraId="1186A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1125" w:hRule="atLeast"/>
              </w:trPr>
              <w:tc>
                <w:tcPr>
                  <w:tcW w:w="57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0221F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A83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完成结果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2D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预算执行★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99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预算执行结果</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F2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10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50B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项目实施完成办理资金结算支付结果</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E4F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2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DE1A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指标得分=实际执行金额/全年预算金额*100%*指标分值</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51E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5B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1B5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1EF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主要查看预算下达文件、部门决算报表数据和会计账簿资料</w:t>
                  </w: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DD92C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项目实施方案和会计凭证</w:t>
                  </w:r>
                </w:p>
              </w:tc>
            </w:tr>
            <w:tr w14:paraId="3CE85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2280" w:hRule="atLeast"/>
              </w:trPr>
              <w:tc>
                <w:tcPr>
                  <w:tcW w:w="57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6BFBA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95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43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资金结余★</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9F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资金结余</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9A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3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56C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项目资金结余情况</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ECB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2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D0D2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指标得分=（1-（结余结转率-0.1）/0.3）*指标分值</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结余结转率大于等于0.4，指标得0分；小于等于0.1，指标得满分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结余率=结余金额/省级财政预算数*100%</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9A6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59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839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647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结余结转率=两年以上结余结转金额/下达资金预算数×100%或当年未使用金额/可用预算数（上年结转结余+当年下达资金预算数）</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结余资金是指项目实施周期已结束、项目目标已完成或项目提前终止，尚未列支的项目支出预算资金；因项目计划调整，不需要继续支出的预算资金；预算批复后连续两年未用完的预算资金。</w:t>
                  </w: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A9D33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查看项目会计凭证和结转结余资料</w:t>
                  </w:r>
                </w:p>
              </w:tc>
            </w:tr>
            <w:tr w14:paraId="4B393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975" w:hRule="atLeast"/>
              </w:trPr>
              <w:tc>
                <w:tcPr>
                  <w:tcW w:w="57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79D92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863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22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目标完成★</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2C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目标完成结果</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45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5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572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项目实施后是否完成下达绩效目标</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729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2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D4EF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指标得分=实际完成任务量/绩效目标设定任务量×100%*指标分值  </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8A3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B2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311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972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主要查看项目实施后产出数量指标完成情况。以资金量为权重，加权计算指标得分。当实际完成任务量/绩效目标设定任务量&gt;1时，按1计算</w:t>
                  </w: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09192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项目实施方案和原始资料</w:t>
                  </w:r>
                </w:p>
              </w:tc>
            </w:tr>
            <w:tr w14:paraId="3BA04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810" w:hRule="atLeast"/>
              </w:trPr>
              <w:tc>
                <w:tcPr>
                  <w:tcW w:w="57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6E2EB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F47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59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完成及时</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AE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任务完成时限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6F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5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2AE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项目实际完成时间与计划完成时间的比较，用以反映和考核项目产出实效目标的实现程度</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597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2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32F8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指标得分=1-(实际完成时间-计划完成时间/计划完成时间)×100%*指标分值  </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C38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AB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61D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713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主要查看项目实际计划完成时间情况，一般以天数、月数或年数为单位。当实际完成时间-计划完成时间小于等于0时得满分；实际完成时间超过计划完成时间1倍时得0分</w:t>
                  </w: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39967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项目实施方案和原始资料</w:t>
                  </w:r>
                </w:p>
              </w:tc>
            </w:tr>
            <w:tr w14:paraId="18665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360" w:hRule="atLeast"/>
              </w:trPr>
              <w:tc>
                <w:tcPr>
                  <w:tcW w:w="57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C0941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F85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BC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违规记录</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30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违规记录</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68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48F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项目管理是否合规</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98A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分级评分法</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268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不合规</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69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3处及以上不合规</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34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2处不合规</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DD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1处不合规</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3D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合规</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E28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92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1D7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D4B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根据审计监督、财政检查结果反映专项管理是否合规</w:t>
                  </w: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4CBE7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项目实施方案和原始资料</w:t>
                  </w:r>
                </w:p>
              </w:tc>
            </w:tr>
            <w:tr w14:paraId="28082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495" w:hRule="atLeast"/>
              </w:trPr>
              <w:tc>
                <w:tcPr>
                  <w:tcW w:w="57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141E9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5B4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项目效果</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36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区域均衡性</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11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区域均衡性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F9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09A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项目资金分配体现的均衡公平情况</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161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分级评分法</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B92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不均衡</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A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68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较均衡</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BA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99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均衡</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510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6C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DE9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11E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按实际分配结果选择客观因素测算验证资金分配方法制定、分配要素设定、基础数据应用、测算依据选取等是否科学合理</w:t>
                  </w: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C556E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资金分配情况、资金分配依据等文件</w:t>
                  </w:r>
                </w:p>
              </w:tc>
            </w:tr>
            <w:tr w14:paraId="05947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1380" w:hRule="atLeast"/>
              </w:trPr>
              <w:tc>
                <w:tcPr>
                  <w:tcW w:w="57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9622B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A71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6A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对象公平性★</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B9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政策公平性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5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83A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项目资金分配结果是否公平合理，是否充分考虑地域条件、经济条件等</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6FD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分级评分法</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CB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不公平</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C7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一般</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BF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8C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52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公平</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471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D5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338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090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主要查看项目资金分配和实施结果是否体现公平公正性，在支持范围、标准、程序上是否存在明显的排他性和歧视性规定，是否做到大多数和少数的协调统一，统筹兼顾。标黑因素存在一项不公平的按一般档次计算分值，存在两项因素不公平的得0分</w:t>
                  </w: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34181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资金分配情况、资金分配依据等文件</w:t>
                  </w:r>
                </w:p>
              </w:tc>
            </w:tr>
            <w:tr w14:paraId="15932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960" w:hRule="atLeast"/>
              </w:trPr>
              <w:tc>
                <w:tcPr>
                  <w:tcW w:w="57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93822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68C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435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满意度</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AC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社会公众对药品安全工作满意度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7B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C7B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社会公众对药品安全的满意度是否到达85%/比对考核年度全省平均满意度</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A3E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2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4A81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根据实际满意度与满意度标准值的比率计算指标得分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指标得分=实际满意度/满意度标准值*指标分值</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B2D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24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329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FE5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满意度=问卷调查平均得分/总分*100%</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民意调查得分≥85分或全省排名前10位得满分，依次排名每低1位扣0.5分，扣完为止。</w:t>
                  </w: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69133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现场问卷调查不低于100份得分或参考考核年度四川省药品安全民意调查报告</w:t>
                  </w:r>
                </w:p>
              </w:tc>
            </w:tr>
            <w:tr w14:paraId="01DEC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810" w:hRule="atLeast"/>
              </w:trPr>
              <w:tc>
                <w:tcPr>
                  <w:tcW w:w="57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A133B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550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BBD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1B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乡村振兴帮扶服务对象满意度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03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CF5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乡村振兴帮扶服务对象满意度是否达到目标值</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1A3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2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6B92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根据实际满意度与满意度标准值的比率计算指标得分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指标得分=实际满意度/满意度标准值*指标分值</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A5B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BB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E01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E70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满意度=问卷调查平均得分/总分*100%</w:t>
                  </w: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74FD1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现场问卷调查不低于100份得分或参考《药品安全民意调查报告》得分</w:t>
                  </w:r>
                </w:p>
              </w:tc>
            </w:tr>
            <w:tr w14:paraId="7B512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945" w:hRule="atLeast"/>
              </w:trPr>
              <w:tc>
                <w:tcPr>
                  <w:tcW w:w="57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D0270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特性指标</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（50分）</w:t>
                  </w:r>
                </w:p>
              </w:tc>
              <w:tc>
                <w:tcPr>
                  <w:tcW w:w="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A75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完成指标</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C3B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AE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检查核查认证完成率（检查次数/年度任务数）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E1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8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6BB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各类检查核查督查认证覆盖面是否达到目标值</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A92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2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07F1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指标得分=实际完成目标值/绩效目标设定目标量×100%*指标分值  </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529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AB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E55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F26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B50EE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查阅日常监管记录和检查报告（台账或信息系统统计数据，无监管对象签字无效）</w:t>
                  </w:r>
                </w:p>
              </w:tc>
            </w:tr>
            <w:tr w14:paraId="781CD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815"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5FA11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35D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B0E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D2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药品评价、监督抽查检验任务完成率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74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8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4A7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项目年度内是否完成所有批次的药品抽检</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10C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2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7E67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指标得分=实际完成目标值/绩效目标设定目标量×100%*指标分值  </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2EF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A2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85F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E07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20957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C6E5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679"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6E260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CC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B2F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DC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化妆品监督、风险监测抽查检验任务完成率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B6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8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A7B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项目年度内是否完成所有批次的化妆品抽检</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57B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2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708C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指标得分=实际完成目标值/绩效目标设定目标量×100%*指标分值  </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79B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2D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DB4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9C5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FB0E3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BD07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309"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471E1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8A6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6EC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D3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医疗器械评价、监督抽查检验任务完成率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5E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8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D50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项目年度内是否完成所有批次的医疗器械抽检</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119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2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50E5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指标得分=实际完成目标值/绩效目标设定目标量×100%*指标分值  </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5D1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AB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A22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3BA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52AB7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886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679"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53C02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C3E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F70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DF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药包材监督抽查检验任务完成率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32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8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761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项目年度内是否完成所有批次的药包材抽检</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66F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2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4382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指标得分=实际完成目标值/绩效目标设定目标量×100%*指标分值  </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839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9A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2EE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614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D59FF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D097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690"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5182B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B20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67A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0D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药品注册及疫苗批签发计划完成率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D3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38C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项目年度内是否完成所有批次的药品注册复核检验</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C92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2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A034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指标得分=实际完成目标值/绩效目标设定目标量×100%*指标分值  </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6B3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3E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E60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38D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00AA9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6316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690"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9F4F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C7C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272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5F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中药材（饮片）标准常态化制修订品种数量（个）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51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EB3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项目中制修订的数量/绩效目标值</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260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2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E7A6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指标得分=实际完成目标值/绩效目标设定目标量×100%*指标分值  </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3C4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4B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23E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747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A5D64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63CF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690"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ADEE3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2B6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CB8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C3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藏药饮片炮制标准起草复核数（个）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7F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E7C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612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2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CAF5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指标得分=实际完成目标值/绩效目标设定目标量×100%*指标分值  </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17A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2C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1C5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0EF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AD381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03B1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690"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D5C0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480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C82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5F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中药配方颗粒标准复核研究（个）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12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448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发布标准数量是否达到/绩效目标值</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708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2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82DE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指标得分=实际完成目标值/绩效目标设定目标量×100%*指标分值  </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5D2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DD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D23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69B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5BE89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3BA1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690"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BE9A6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231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7E1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25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药物警戒不良反应监测与滥用科普宣传（人次）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1C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8A2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EA7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2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1A84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指标得分=实际完成目标值/绩效目标设定目标量×100%*指标分值  </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AE5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6F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1A4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BDD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D0300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39EE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690"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810A6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C14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94E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27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药品安全报刊、法制宣传、电视科普宣传次数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1E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A28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E20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2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4065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指标得分=实际完成目标值/绩效目标设定目标量×100%*指标分值  </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FAE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CC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3D9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63F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7778C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2665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690"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7ACA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2CF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B50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43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安全用药（械、化妆品）宣传次数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BE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9AD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993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2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BBCB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指标得分=实际完成目标值/绩效目标设定目标量×100%*指标分值  </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DD9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F5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FB6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619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7C23D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55B9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1110"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35BA4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67A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7ED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45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重点实验室特定任务完成率%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BB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267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查验重点实验室全省抽集中检任务完成情况/绩效目标值</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00C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2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257F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指标得分=实际完成目标值/绩效目标设定目标量×100%*指标分值  </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099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B8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AE7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C48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重点品种评价报告质量评级，优等得满分，良、中、差依次扣1分，无评价报告不得分。提出的建议意见被采纳（认可、推广），省部级机构加4分，地厅级机构加2分。</w:t>
                  </w: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8B291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3554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690"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69542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6E7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956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9C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中国药典2020版检验项目覆盖率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F2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E66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被评价单位中国药典2020版检验项目覆盖率/绩效目标值</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375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2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9E2B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指标得分=实际完成目标值/绩效目标设定目标量×100%*指标分值  </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09E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1E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A3F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46F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完成任务得4分，每增加2个百分点加0.5分，最多加2分，每减少2个百分点扣1分，扣完为止</w:t>
                  </w: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86593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9D1C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1020"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294FA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B03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3CC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BA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药品监管科技计划项目推进进度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A2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653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科技计划项目原则上2年内结题，上年科技计划项目应完成阶梯，当年科技计划项目推进进度≥50%。</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17C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2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09D6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指标得分=实际完成目标值/绩效目标设定目标量×100%*指标分值  </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543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B3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C89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780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D50F8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77C0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365"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E0CE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4E4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340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12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应急处置项目工作方案完成率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C4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5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A12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药品应急工作方案项目是否按计划实施，包括但不限于：①是否按时限和需求计划完成应急设施设备购置；②是否开展应急演练（沙盘推演）等。</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E6B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2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C8E4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指标得分=实际完成目标值/绩效目标设定目标量×100%*指标分值  </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723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E5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DF5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8F5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完成任务得5分，完成90%以上得4分，80%以上得3分，70%以上得2分，70%以下不得分</w:t>
                  </w: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8EC35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C55E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1092"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60B22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06C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B3D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05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年度检验报告书差错率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63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43D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报告书差错率是否在1%范围内 （一般性差错及以上报告书份数/全部报告书份数）</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080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分级评分法</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77C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69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8A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7F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21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E6B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4A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015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CE1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控制在1%（不含）内得满分，每超0.3个百分点扣1分，扣完为止。若发生严重及以上差错1件不得分。</w:t>
                  </w: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8D28C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5A5A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690"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67AD0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878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152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8F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随机抽查1%留样复检报告书差错率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2C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540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对留样复检的差错率是否在2%范围内（复检差错数/抽查报告份数）</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B9C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分级评分法</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5AE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00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BC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51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90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77E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05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EB0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71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控制在2%（不含）内得满分，每超0.3个百分点扣1分，扣完为止。</w:t>
                  </w: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9C768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3C09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1028"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0D1A1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834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3A8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F4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抽查检验问题发现或不合格报告率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1E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3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8CF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被评价单位监督抽检发现问题或不合格报告率与当年全省平均监督抽验问题发现率对比</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244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分级评分法</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552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6F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F2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A0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9F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828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9E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2BF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1EC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等于或高于1个百分点内得满分，每超1个百分点加1分，最多加2分；每低1个百分点扣1分，扣完为止。</w:t>
                  </w: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5C44F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352A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690"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F55F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7D4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A3D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D0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检验监测设备投入产出比（批次/净值）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EC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DA1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年度检验批次/检验检测设备净值</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BE2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5A0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34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48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17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11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745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71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F67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479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达到目标值得满分，每超过0.5批次增加1分，减少0.5批次减少1分。</w:t>
                  </w: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716E7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C0B0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570"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2A35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1C9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977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43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不合格检验报告处置率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11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7AA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对不合格检验报告处置是否达到100%</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658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是否评分法</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0DD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D4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46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76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CA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33E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DF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E8F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74F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6FA19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9959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560"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30F5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11D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2B5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FD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投诉举报立案处置率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7C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3AE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投诉立案处置是否达到90%</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4C6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是否评分法</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784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45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99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46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57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4C6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C2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AE0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455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A8D92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D6F7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800"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52A81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462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C0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0F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项目完成时限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6D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BE6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已完成工作任务数/全部任务数</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837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09E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D3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D2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22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C5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63E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93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417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2ED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5CD3B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05BD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690"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19B8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FFA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376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D1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综合抽验成本控制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F1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3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81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被评价单位平均检验成本与全省抽查平均检验成本偏离度</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ACA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比率分值法</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363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FF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B9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25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18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80F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EC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64B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340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抽查检验成本偏离10%（不含）内得满分，每低于5个百分点加1分，最多加2分，每高于5个百分点扣1分，扣完为止</w:t>
                  </w: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C5746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0F1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345"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56959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697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E6C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11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政府采购成本控制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90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6BA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按需求及时限实施采购。采购成本节约率=项目中标价/预算控制数*100%</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002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是否评分法</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A5C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A9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08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E4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C6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FB9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52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05F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D8D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按需求计划在预算限额内实施采购并验收合格得满分，超时、超预算不得分。</w:t>
                  </w: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D8ACF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9B15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345"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972FC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948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3DA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D5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培训成本（元/人·天）</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A3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17B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查验综合检查监管成本</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E2B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是否评分法</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95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9B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4F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B1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F0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C37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A2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4B0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C85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随机抽查10笔，400元≥培训成本，得满分;超过400元/人天不得分</w:t>
                  </w: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4D7CB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D731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690"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774E0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FDC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9DD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11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各类核查检查监管成本（元/人.天）</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EA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22E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查验综合检查监管成本</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AD1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是否评分法</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487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B5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8D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41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0E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447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A6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4D4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7EC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随机抽查10笔，600元≥检查成本（含租车费），得满分;超过600元/人天不得分</w:t>
                  </w: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E69BC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931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690"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F5ED3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50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84D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C7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辖区内发生重大及以上药品安全事故数（次）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C8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3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6B8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在项目年度内是否发生药品安全事故</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979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是否评分法</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708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1E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04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4D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1F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905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7A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56A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82F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22BC0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B585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345"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2172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727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7A3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FD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辖区药品抽查检验合格率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D5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FCE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评价性抽查检验合格率</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514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是否评分法</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A20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D4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CD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53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19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0F2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80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CC2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EFB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12AEC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BDCE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665"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B4D4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363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FB3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F8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涉刑案件移送率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38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591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项目中涉型案件是否全部移送</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296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是否评分法</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573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FA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F3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A7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37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380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C1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B35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E7C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2B454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209B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340"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6726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4C2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3ED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可持续性影响指标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85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执法装备、办公设备、检测设备使用年限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FA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42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执法装备办公设备检测设备的使用年限是否达到规定年限</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EEB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是否评分法</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899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02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D6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51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2D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D83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65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A2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B3A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6113F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CF79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345"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5188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50A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634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06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大型修缮资产使用年限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F9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 </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555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大型修缮资产使用年限是否达到规定年限</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BAE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是否评分法</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FBB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7F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29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98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96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2DA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55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5EA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DEB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2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A3E61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7BAF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810" w:hRule="atLeast"/>
              </w:trPr>
              <w:tc>
                <w:tcPr>
                  <w:tcW w:w="57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8C8F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12F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B34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BEB4C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中药民族药标准对医药产业高质量发展的促进作用</w:t>
                  </w:r>
                </w:p>
              </w:tc>
              <w:tc>
                <w:tcPr>
                  <w:tcW w:w="75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78183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 </w:t>
                  </w:r>
                </w:p>
              </w:tc>
              <w:tc>
                <w:tcPr>
                  <w:tcW w:w="2025"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426A30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四川省民族药标准对川产道地药材和藏药制剂高质量发展影响不低于10年</w:t>
                  </w:r>
                </w:p>
              </w:tc>
              <w:tc>
                <w:tcPr>
                  <w:tcW w:w="915"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71D1F1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是否评分法</w:t>
                  </w:r>
                </w:p>
              </w:tc>
              <w:tc>
                <w:tcPr>
                  <w:tcW w:w="51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3A6B90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43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ACA00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7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BC7DA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8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9D32B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5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0DD53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0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1BD198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66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99C28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0902BC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10BF7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26" w:type="dxa"/>
                  <w:gridSpan w:val="2"/>
                  <w:tcBorders>
                    <w:top w:val="single" w:color="000000" w:sz="4" w:space="0"/>
                    <w:left w:val="single" w:color="000000" w:sz="4" w:space="0"/>
                    <w:bottom w:val="single" w:color="000000" w:sz="8" w:space="0"/>
                    <w:right w:val="single" w:color="000000" w:sz="8" w:space="0"/>
                  </w:tcBorders>
                  <w:shd w:val="clear" w:color="auto" w:fill="auto"/>
                  <w:vAlign w:val="center"/>
                </w:tcPr>
                <w:p w14:paraId="16C73E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79C0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65" w:type="dxa"/>
                  <w:gridSpan w:val="4"/>
                  <w:tcBorders>
                    <w:top w:val="single" w:color="000000" w:sz="8" w:space="0"/>
                    <w:left w:val="single" w:color="000000" w:sz="8" w:space="0"/>
                    <w:bottom w:val="single" w:color="000000" w:sz="8" w:space="0"/>
                    <w:right w:val="single" w:color="000000" w:sz="4" w:space="0"/>
                  </w:tcBorders>
                  <w:shd w:val="clear" w:color="auto" w:fill="auto"/>
                  <w:vAlign w:val="center"/>
                </w:tcPr>
                <w:p w14:paraId="0AC1EF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750" w:type="dxa"/>
                  <w:tcBorders>
                    <w:top w:val="nil"/>
                    <w:left w:val="single" w:color="000000" w:sz="4" w:space="0"/>
                    <w:bottom w:val="single" w:color="000000" w:sz="8" w:space="0"/>
                    <w:right w:val="single" w:color="000000" w:sz="4" w:space="0"/>
                  </w:tcBorders>
                  <w:shd w:val="clear" w:color="auto" w:fill="auto"/>
                  <w:vAlign w:val="center"/>
                </w:tcPr>
                <w:p w14:paraId="3D907F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127 </w:t>
                  </w:r>
                </w:p>
              </w:tc>
              <w:tc>
                <w:tcPr>
                  <w:tcW w:w="705" w:type="dxa"/>
                  <w:tcBorders>
                    <w:top w:val="nil"/>
                    <w:left w:val="single" w:color="000000" w:sz="4" w:space="0"/>
                    <w:bottom w:val="single" w:color="000000" w:sz="8" w:space="0"/>
                    <w:right w:val="nil"/>
                  </w:tcBorders>
                  <w:shd w:val="clear" w:color="auto" w:fill="auto"/>
                  <w:vAlign w:val="center"/>
                </w:tcPr>
                <w:p w14:paraId="1E581C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27" w:type="dxa"/>
                  <w:gridSpan w:val="2"/>
                  <w:tcBorders>
                    <w:top w:val="nil"/>
                    <w:left w:val="nil"/>
                    <w:bottom w:val="single" w:color="000000" w:sz="8" w:space="0"/>
                    <w:right w:val="nil"/>
                  </w:tcBorders>
                  <w:shd w:val="clear" w:color="auto" w:fill="auto"/>
                  <w:vAlign w:val="center"/>
                </w:tcPr>
                <w:p w14:paraId="0D5E55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915" w:type="dxa"/>
                  <w:gridSpan w:val="2"/>
                  <w:tcBorders>
                    <w:top w:val="nil"/>
                    <w:left w:val="nil"/>
                    <w:bottom w:val="single" w:color="000000" w:sz="8" w:space="0"/>
                    <w:right w:val="nil"/>
                  </w:tcBorders>
                  <w:shd w:val="clear" w:color="auto" w:fill="auto"/>
                  <w:vAlign w:val="center"/>
                </w:tcPr>
                <w:p w14:paraId="1B2ED6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03" w:type="dxa"/>
                  <w:tcBorders>
                    <w:top w:val="nil"/>
                    <w:left w:val="nil"/>
                    <w:bottom w:val="single" w:color="000000" w:sz="8" w:space="0"/>
                    <w:right w:val="nil"/>
                  </w:tcBorders>
                  <w:shd w:val="clear" w:color="auto" w:fill="auto"/>
                  <w:vAlign w:val="center"/>
                </w:tcPr>
                <w:p w14:paraId="4D06E7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35" w:type="dxa"/>
                  <w:tcBorders>
                    <w:top w:val="nil"/>
                    <w:left w:val="nil"/>
                    <w:bottom w:val="single" w:color="000000" w:sz="8" w:space="0"/>
                    <w:right w:val="nil"/>
                  </w:tcBorders>
                  <w:shd w:val="clear" w:color="auto" w:fill="auto"/>
                  <w:vAlign w:val="center"/>
                </w:tcPr>
                <w:p w14:paraId="66C96F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375" w:type="dxa"/>
                  <w:tcBorders>
                    <w:top w:val="nil"/>
                    <w:left w:val="nil"/>
                    <w:bottom w:val="single" w:color="000000" w:sz="8" w:space="0"/>
                    <w:right w:val="nil"/>
                  </w:tcBorders>
                  <w:shd w:val="clear" w:color="auto" w:fill="auto"/>
                  <w:vAlign w:val="center"/>
                </w:tcPr>
                <w:p w14:paraId="1B1954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87" w:type="dxa"/>
                  <w:tcBorders>
                    <w:top w:val="nil"/>
                    <w:left w:val="nil"/>
                    <w:bottom w:val="single" w:color="000000" w:sz="8" w:space="0"/>
                    <w:right w:val="nil"/>
                  </w:tcBorders>
                  <w:shd w:val="clear" w:color="auto" w:fill="auto"/>
                  <w:vAlign w:val="center"/>
                </w:tcPr>
                <w:p w14:paraId="180DC9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65" w:type="dxa"/>
                  <w:gridSpan w:val="2"/>
                  <w:tcBorders>
                    <w:top w:val="nil"/>
                    <w:left w:val="nil"/>
                    <w:bottom w:val="single" w:color="000000" w:sz="8" w:space="0"/>
                    <w:right w:val="nil"/>
                  </w:tcBorders>
                  <w:shd w:val="clear" w:color="auto" w:fill="auto"/>
                  <w:vAlign w:val="center"/>
                </w:tcPr>
                <w:p w14:paraId="00C24F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93" w:type="dxa"/>
                  <w:tcBorders>
                    <w:top w:val="nil"/>
                    <w:left w:val="nil"/>
                    <w:bottom w:val="single" w:color="000000" w:sz="8" w:space="0"/>
                    <w:right w:val="single" w:color="000000" w:sz="4" w:space="0"/>
                  </w:tcBorders>
                  <w:shd w:val="clear" w:color="auto" w:fill="auto"/>
                  <w:vAlign w:val="center"/>
                </w:tcPr>
                <w:p w14:paraId="1D8AC5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67" w:type="dxa"/>
                  <w:gridSpan w:val="2"/>
                  <w:tcBorders>
                    <w:top w:val="nil"/>
                    <w:left w:val="single" w:color="000000" w:sz="4" w:space="0"/>
                    <w:bottom w:val="single" w:color="000000" w:sz="8" w:space="0"/>
                    <w:right w:val="single" w:color="000000" w:sz="4" w:space="0"/>
                  </w:tcBorders>
                  <w:shd w:val="clear" w:color="auto" w:fill="auto"/>
                  <w:vAlign w:val="center"/>
                </w:tcPr>
                <w:p w14:paraId="5051E0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00" w:type="dxa"/>
                  <w:gridSpan w:val="2"/>
                  <w:tcBorders>
                    <w:top w:val="nil"/>
                    <w:left w:val="single" w:color="000000" w:sz="4" w:space="0"/>
                    <w:bottom w:val="single" w:color="000000" w:sz="8" w:space="0"/>
                    <w:right w:val="nil"/>
                  </w:tcBorders>
                  <w:shd w:val="clear" w:color="auto" w:fill="auto"/>
                  <w:vAlign w:val="center"/>
                </w:tcPr>
                <w:p w14:paraId="3E7BDB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325" w:type="dxa"/>
                  <w:gridSpan w:val="2"/>
                  <w:tcBorders>
                    <w:top w:val="nil"/>
                    <w:left w:val="nil"/>
                    <w:bottom w:val="single" w:color="000000" w:sz="8" w:space="0"/>
                    <w:right w:val="single" w:color="000000" w:sz="4" w:space="0"/>
                  </w:tcBorders>
                  <w:shd w:val="clear" w:color="auto" w:fill="auto"/>
                  <w:vAlign w:val="center"/>
                </w:tcPr>
                <w:p w14:paraId="5026E6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26" w:type="dxa"/>
                  <w:gridSpan w:val="2"/>
                  <w:tcBorders>
                    <w:top w:val="nil"/>
                    <w:left w:val="single" w:color="000000" w:sz="4" w:space="0"/>
                    <w:bottom w:val="single" w:color="000000" w:sz="8" w:space="0"/>
                    <w:right w:val="single" w:color="000000" w:sz="8" w:space="0"/>
                  </w:tcBorders>
                  <w:shd w:val="clear" w:color="auto" w:fill="auto"/>
                  <w:vAlign w:val="center"/>
                </w:tcPr>
                <w:p w14:paraId="140983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B217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525" w:hRule="atLeast"/>
              </w:trPr>
              <w:tc>
                <w:tcPr>
                  <w:tcW w:w="3265" w:type="dxa"/>
                  <w:gridSpan w:val="4"/>
                  <w:tcBorders>
                    <w:top w:val="single" w:color="000000" w:sz="8" w:space="0"/>
                    <w:left w:val="single" w:color="000000" w:sz="8" w:space="0"/>
                    <w:bottom w:val="single" w:color="000000" w:sz="8" w:space="0"/>
                    <w:right w:val="single" w:color="000000" w:sz="4" w:space="0"/>
                  </w:tcBorders>
                  <w:shd w:val="clear" w:color="auto" w:fill="auto"/>
                  <w:vAlign w:val="center"/>
                </w:tcPr>
                <w:p w14:paraId="4CA884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适用分值</w:t>
                  </w:r>
                </w:p>
              </w:tc>
              <w:tc>
                <w:tcPr>
                  <w:tcW w:w="750"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1588E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127 </w:t>
                  </w:r>
                </w:p>
              </w:tc>
              <w:tc>
                <w:tcPr>
                  <w:tcW w:w="5805" w:type="dxa"/>
                  <w:gridSpan w:val="12"/>
                  <w:tcBorders>
                    <w:top w:val="single" w:color="000000" w:sz="8" w:space="0"/>
                    <w:left w:val="single" w:color="000000" w:sz="4" w:space="0"/>
                    <w:bottom w:val="single" w:color="000000" w:sz="8" w:space="0"/>
                    <w:right w:val="single" w:color="000000" w:sz="4" w:space="0"/>
                  </w:tcBorders>
                  <w:shd w:val="clear" w:color="auto" w:fill="auto"/>
                  <w:vAlign w:val="center"/>
                </w:tcPr>
                <w:p w14:paraId="3A94BD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折算后得分</w:t>
                  </w:r>
                </w:p>
              </w:tc>
              <w:tc>
                <w:tcPr>
                  <w:tcW w:w="660" w:type="dxa"/>
                  <w:tcBorders>
                    <w:top w:val="single" w:color="000000" w:sz="8" w:space="0"/>
                    <w:left w:val="single" w:color="000000" w:sz="4" w:space="0"/>
                    <w:bottom w:val="single" w:color="000000" w:sz="8" w:space="0"/>
                    <w:right w:val="single" w:color="000000" w:sz="4" w:space="0"/>
                  </w:tcBorders>
                  <w:shd w:val="clear" w:color="auto" w:fill="auto"/>
                  <w:vAlign w:val="center"/>
                </w:tcPr>
                <w:p w14:paraId="1BB170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925" w:type="dxa"/>
                  <w:gridSpan w:val="4"/>
                  <w:tcBorders>
                    <w:top w:val="single" w:color="000000" w:sz="8" w:space="0"/>
                    <w:left w:val="single" w:color="000000" w:sz="4" w:space="0"/>
                    <w:bottom w:val="single" w:color="000000" w:sz="8" w:space="0"/>
                    <w:right w:val="single" w:color="000000" w:sz="4" w:space="0"/>
                  </w:tcBorders>
                  <w:shd w:val="clear" w:color="auto" w:fill="auto"/>
                  <w:vAlign w:val="center"/>
                </w:tcPr>
                <w:p w14:paraId="1F6B65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90（含）-100分为优、80（含）-90分为良、60（含）-80分为中、60分以下为差。</w:t>
                  </w:r>
                </w:p>
              </w:tc>
              <w:tc>
                <w:tcPr>
                  <w:tcW w:w="1026" w:type="dxa"/>
                  <w:gridSpan w:val="2"/>
                  <w:tcBorders>
                    <w:top w:val="single" w:color="000000" w:sz="8" w:space="0"/>
                    <w:left w:val="single" w:color="000000" w:sz="4" w:space="0"/>
                    <w:bottom w:val="single" w:color="000000" w:sz="8" w:space="0"/>
                    <w:right w:val="single" w:color="000000" w:sz="8" w:space="0"/>
                  </w:tcBorders>
                  <w:shd w:val="clear" w:color="auto" w:fill="auto"/>
                  <w:vAlign w:val="center"/>
                </w:tcPr>
                <w:p w14:paraId="45089C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优</w:t>
                  </w:r>
                </w:p>
              </w:tc>
            </w:tr>
          </w:tbl>
          <w:p w14:paraId="369856A7">
            <w:pPr>
              <w:pStyle w:val="26"/>
              <w:rPr>
                <w:rFonts w:hint="default" w:ascii="Times New Roman" w:hAnsi="Times New Roman" w:cs="Times New Roman"/>
                <w:lang w:val="en-US" w:eastAsia="zh-CN"/>
              </w:rPr>
            </w:pPr>
          </w:p>
          <w:p w14:paraId="1CFB34B4">
            <w:pPr>
              <w:pStyle w:val="26"/>
              <w:rPr>
                <w:rFonts w:hint="default" w:ascii="Times New Roman" w:hAnsi="Times New Roman" w:cs="Times New Roman"/>
              </w:rPr>
            </w:pPr>
          </w:p>
        </w:tc>
      </w:tr>
    </w:tbl>
    <w:p w14:paraId="61FECB75">
      <w:pPr>
        <w:pStyle w:val="27"/>
        <w:rPr>
          <w:rFonts w:hint="default" w:ascii="Times New Roman" w:hAnsi="Times New Roman" w:cs="Times New Roman"/>
          <w:sz w:val="32"/>
          <w:szCs w:val="32"/>
          <w:lang w:val="en-US" w:eastAsia="zh-CN"/>
        </w:rPr>
        <w:sectPr>
          <w:footerReference r:id="rId14" w:type="default"/>
          <w:pgSz w:w="16838" w:h="11906" w:orient="landscape"/>
          <w:pgMar w:top="1463" w:right="1157" w:bottom="1463" w:left="1157" w:header="851" w:footer="992" w:gutter="0"/>
          <w:pgNumType w:fmt="decimal"/>
          <w:cols w:space="425" w:num="1"/>
          <w:docGrid w:type="lines" w:linePitch="312" w:charSpace="0"/>
        </w:sectPr>
      </w:pPr>
    </w:p>
    <w:p w14:paraId="3D42F345">
      <w:pPr>
        <w:keepNext w:val="0"/>
        <w:keepLines w:val="0"/>
        <w:pageBreakBefore w:val="0"/>
        <w:kinsoku/>
        <w:wordWrap/>
        <w:overflowPunct/>
        <w:topLinePunct w:val="0"/>
        <w:autoSpaceDE/>
        <w:autoSpaceDN/>
        <w:bidi w:val="0"/>
        <w:spacing w:line="572" w:lineRule="exact"/>
        <w:jc w:val="center"/>
        <w:textAlignment w:val="auto"/>
        <w:outlineLvl w:val="0"/>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lang w:val="en-US" w:eastAsia="zh-CN"/>
        </w:rPr>
        <w:t>专项预算项目绩效评价报告</w:t>
      </w:r>
    </w:p>
    <w:p w14:paraId="75D47A18">
      <w:pPr>
        <w:spacing w:line="600" w:lineRule="exact"/>
        <w:jc w:val="center"/>
        <w:outlineLvl w:val="0"/>
        <w:rPr>
          <w:rFonts w:hint="default" w:ascii="Times New Roman" w:hAnsi="Times New Roman" w:eastAsia="黑体" w:cs="Times New Roman"/>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lang w:val="en-US" w:eastAsia="zh-CN"/>
        </w:rPr>
        <w:t>（2024年中央药品监管补助资金）</w:t>
      </w:r>
    </w:p>
    <w:p w14:paraId="19E9584D">
      <w:pPr>
        <w:pStyle w:val="26"/>
        <w:rPr>
          <w:rFonts w:hint="default" w:ascii="Times New Roman" w:hAnsi="Times New Roman" w:cs="Times New Roman"/>
          <w:lang w:val="en-US" w:eastAsia="zh-CN"/>
        </w:rPr>
      </w:pPr>
    </w:p>
    <w:p w14:paraId="460DB87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一、绩效目标分解下达情况</w:t>
      </w:r>
    </w:p>
    <w:p w14:paraId="1A50D547">
      <w:pPr>
        <w:spacing w:line="600" w:lineRule="exact"/>
        <w:ind w:firstLine="640"/>
        <w:outlineLvl w:val="2"/>
        <w:rPr>
          <w:rFonts w:hint="default" w:ascii="楷体_GB2312" w:hAnsi="楷体_GB2312" w:eastAsia="楷体_GB2312" w:cs="楷体_GB2312"/>
          <w:b/>
          <w:color w:val="auto"/>
          <w:sz w:val="32"/>
          <w:szCs w:val="32"/>
          <w:highlight w:val="none"/>
          <w:lang w:val="en-US" w:eastAsia="zh-CN"/>
        </w:rPr>
      </w:pPr>
      <w:r>
        <w:rPr>
          <w:rFonts w:hint="default" w:ascii="楷体_GB2312" w:hAnsi="楷体_GB2312" w:eastAsia="楷体_GB2312" w:cs="楷体_GB2312"/>
          <w:b/>
          <w:color w:val="auto"/>
          <w:sz w:val="32"/>
          <w:szCs w:val="32"/>
          <w:highlight w:val="none"/>
          <w:lang w:val="en-US" w:eastAsia="zh-CN"/>
        </w:rPr>
        <w:t>（一）下达预算情况</w:t>
      </w:r>
    </w:p>
    <w:p w14:paraId="11D020B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仿宋" w:cs="Times New Roman"/>
          <w:sz w:val="32"/>
          <w:szCs w:val="32"/>
        </w:rPr>
        <w:t>2024年遂宁市安居区市场监督管理局申请中央药品监管补助资金8.47万元，批复中央药品监管补助资金8.47万元，其中《遂宁市财政局关于提前下达2024年中央药品监管补助资金预算的通知》（遂财行〔2024〕13号）下达2024年中央药品监管补助资金8.47万元。项目资金申报符合资金管理办法等相关规定。</w:t>
      </w:r>
    </w:p>
    <w:p w14:paraId="15FC5FD9">
      <w:pPr>
        <w:spacing w:line="600" w:lineRule="exact"/>
        <w:ind w:firstLine="640"/>
        <w:outlineLvl w:val="2"/>
        <w:rPr>
          <w:rFonts w:hint="default" w:ascii="楷体_GB2312" w:hAnsi="楷体_GB2312" w:eastAsia="楷体_GB2312" w:cs="楷体_GB2312"/>
          <w:b/>
          <w:color w:val="auto"/>
          <w:sz w:val="32"/>
          <w:szCs w:val="32"/>
          <w:highlight w:val="none"/>
          <w:lang w:val="en-US" w:eastAsia="zh-CN"/>
        </w:rPr>
      </w:pPr>
      <w:r>
        <w:rPr>
          <w:rFonts w:hint="default" w:ascii="楷体_GB2312" w:hAnsi="楷体_GB2312" w:eastAsia="楷体_GB2312" w:cs="楷体_GB2312"/>
          <w:b/>
          <w:color w:val="auto"/>
          <w:sz w:val="32"/>
          <w:szCs w:val="32"/>
          <w:highlight w:val="none"/>
          <w:lang w:val="en-US" w:eastAsia="zh-CN"/>
        </w:rPr>
        <w:t>（二）绩效目标情况</w:t>
      </w:r>
    </w:p>
    <w:p w14:paraId="771E58C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2024年中央药品监管补助资金主要用于“两品一械”监管、不良反应监测、药械化专项整治及风险隐患排查、队伍能力建设等工作，进一步提升我区药品监管工作能力和水平，确保人民群众用药用械用化安全。</w:t>
      </w:r>
    </w:p>
    <w:p w14:paraId="1B976648">
      <w:pPr>
        <w:keepNext w:val="0"/>
        <w:keepLines w:val="0"/>
        <w:pageBreakBefore w:val="0"/>
        <w:widowControl w:val="0"/>
        <w:numPr>
          <w:ilvl w:val="0"/>
          <w:numId w:val="5"/>
        </w:numPr>
        <w:kinsoku/>
        <w:wordWrap/>
        <w:overflowPunct/>
        <w:topLinePunct w:val="0"/>
        <w:autoSpaceDE/>
        <w:autoSpaceDN/>
        <w:bidi w:val="0"/>
        <w:spacing w:line="60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绩效情况分析</w:t>
      </w:r>
    </w:p>
    <w:p w14:paraId="0D031EA2">
      <w:pPr>
        <w:spacing w:line="600" w:lineRule="exact"/>
        <w:ind w:firstLine="640"/>
        <w:outlineLvl w:val="2"/>
        <w:rPr>
          <w:rFonts w:hint="default" w:ascii="楷体_GB2312" w:hAnsi="楷体_GB2312" w:eastAsia="楷体_GB2312" w:cs="楷体_GB2312"/>
          <w:b/>
          <w:color w:val="auto"/>
          <w:sz w:val="32"/>
          <w:szCs w:val="32"/>
          <w:highlight w:val="none"/>
          <w:lang w:val="en-US" w:eastAsia="zh-CN"/>
        </w:rPr>
      </w:pPr>
      <w:r>
        <w:rPr>
          <w:rFonts w:hint="default" w:ascii="楷体_GB2312" w:hAnsi="楷体_GB2312" w:eastAsia="楷体_GB2312" w:cs="楷体_GB2312"/>
          <w:b/>
          <w:color w:val="auto"/>
          <w:sz w:val="32"/>
          <w:szCs w:val="32"/>
          <w:highlight w:val="none"/>
          <w:lang w:val="en-US" w:eastAsia="zh-CN"/>
        </w:rPr>
        <w:t>（一）资金投入情况分析</w:t>
      </w:r>
    </w:p>
    <w:p w14:paraId="0F1F26D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仿宋" w:cs="Times New Roman"/>
          <w:sz w:val="32"/>
          <w:szCs w:val="32"/>
        </w:rPr>
        <w:t>中央药品监管补助资金计划8.47万元，如期到账，资金到位率100%，符合资金计划，资金到位及时。中央药品监管补助资金全部用于“两品一械”监管、不良反应监测、药械化专项整治及风险隐患排查、队伍能力建设等工作，资金预算执行率100%，进一步提升了我区药械化监管能力和执法水平，确保了人民群众用药用械用化安全。</w:t>
      </w:r>
    </w:p>
    <w:p w14:paraId="0C1E00FA">
      <w:pPr>
        <w:spacing w:line="600" w:lineRule="exact"/>
        <w:ind w:firstLine="640"/>
        <w:outlineLvl w:val="2"/>
        <w:rPr>
          <w:rFonts w:hint="default" w:ascii="楷体_GB2312" w:hAnsi="楷体_GB2312" w:eastAsia="楷体_GB2312" w:cs="楷体_GB2312"/>
          <w:b/>
          <w:color w:val="auto"/>
          <w:sz w:val="32"/>
          <w:szCs w:val="32"/>
          <w:highlight w:val="none"/>
          <w:lang w:val="en-US" w:eastAsia="zh-CN"/>
        </w:rPr>
      </w:pPr>
      <w:r>
        <w:rPr>
          <w:rFonts w:hint="default" w:ascii="楷体_GB2312" w:hAnsi="楷体_GB2312" w:eastAsia="楷体_GB2312" w:cs="楷体_GB2312"/>
          <w:b/>
          <w:color w:val="auto"/>
          <w:sz w:val="32"/>
          <w:szCs w:val="32"/>
          <w:highlight w:val="none"/>
          <w:lang w:val="en-US" w:eastAsia="zh-CN"/>
        </w:rPr>
        <w:t>（二）资金管理情况分析</w:t>
      </w:r>
    </w:p>
    <w:p w14:paraId="24C5F04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zh-CN"/>
        </w:rPr>
        <w:t>我局认真落实科学监管理念，严格管理，合理安排，不断健全完善财务管理制度、</w:t>
      </w:r>
      <w:r>
        <w:rPr>
          <w:rFonts w:hint="default" w:ascii="Times New Roman" w:hAnsi="Times New Roman" w:eastAsia="仿宋" w:cs="Times New Roman"/>
          <w:sz w:val="32"/>
          <w:szCs w:val="32"/>
        </w:rPr>
        <w:t>内控制度</w:t>
      </w:r>
      <w:r>
        <w:rPr>
          <w:rFonts w:hint="default" w:ascii="Times New Roman" w:hAnsi="Times New Roman" w:eastAsia="仿宋" w:cs="Times New Roman"/>
          <w:sz w:val="32"/>
          <w:szCs w:val="32"/>
          <w:lang w:val="zh-CN"/>
        </w:rPr>
        <w:t>，加强财务管理，保障资金</w:t>
      </w:r>
      <w:r>
        <w:rPr>
          <w:rFonts w:hint="default" w:ascii="Times New Roman" w:hAnsi="Times New Roman" w:eastAsia="仿宋" w:cs="Times New Roman"/>
          <w:sz w:val="32"/>
          <w:szCs w:val="32"/>
        </w:rPr>
        <w:t>使用</w:t>
      </w:r>
      <w:r>
        <w:rPr>
          <w:rFonts w:hint="default" w:ascii="Times New Roman" w:hAnsi="Times New Roman" w:eastAsia="仿宋" w:cs="Times New Roman"/>
          <w:sz w:val="32"/>
          <w:szCs w:val="32"/>
          <w:lang w:val="zh-CN"/>
        </w:rPr>
        <w:t>安全。</w:t>
      </w:r>
      <w:r>
        <w:rPr>
          <w:rFonts w:hint="default" w:ascii="Times New Roman" w:hAnsi="Times New Roman" w:eastAsia="仿宋" w:cs="Times New Roman"/>
          <w:sz w:val="32"/>
          <w:szCs w:val="32"/>
        </w:rPr>
        <w:t>所有项目资金实行专款专用，项目支出严格按照报销程序审批</w:t>
      </w:r>
      <w:r>
        <w:rPr>
          <w:rFonts w:hint="default" w:ascii="Times New Roman" w:hAnsi="Times New Roman" w:eastAsia="仿宋" w:cs="Times New Roman"/>
          <w:sz w:val="32"/>
          <w:szCs w:val="32"/>
          <w:lang w:val="zh-CN"/>
        </w:rPr>
        <w:t>，</w:t>
      </w:r>
      <w:r>
        <w:rPr>
          <w:rFonts w:hint="default" w:ascii="Times New Roman" w:hAnsi="Times New Roman" w:eastAsia="仿宋" w:cs="Times New Roman"/>
          <w:sz w:val="32"/>
          <w:szCs w:val="32"/>
        </w:rPr>
        <w:t>使用规范，会计核算结果真实、准确，未截留、挤占、挪用项目资金等违纪行为，确保了财政资金专款专用，切实提高了资金使用效益。</w:t>
      </w:r>
    </w:p>
    <w:p w14:paraId="06F5681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仿宋" w:cs="Times New Roman"/>
          <w:sz w:val="32"/>
          <w:szCs w:val="32"/>
        </w:rPr>
        <w:t>中央药品监管补助资金均按照项目实施方案执行，由药械化监管股、执法大队、各市场监管所组织实施，承担管理责任。办公室负责项目资金使用的监督考核，及时绩效评价，切实提高财政资金使用效益。资金实行专款专用，专项核算，未列支与项目内容无关的费用，切实做好绩效监控和绩效评价，确保资金安全。</w:t>
      </w:r>
    </w:p>
    <w:p w14:paraId="7EF74C94">
      <w:pPr>
        <w:spacing w:line="600" w:lineRule="exact"/>
        <w:ind w:firstLine="640"/>
        <w:outlineLvl w:val="2"/>
        <w:rPr>
          <w:rFonts w:hint="default" w:ascii="楷体_GB2312" w:hAnsi="楷体_GB2312" w:eastAsia="楷体_GB2312" w:cs="楷体_GB2312"/>
          <w:b/>
          <w:color w:val="auto"/>
          <w:sz w:val="32"/>
          <w:szCs w:val="32"/>
          <w:highlight w:val="none"/>
          <w:lang w:val="en-US" w:eastAsia="zh-CN"/>
        </w:rPr>
      </w:pPr>
      <w:r>
        <w:rPr>
          <w:rFonts w:hint="default" w:ascii="楷体_GB2312" w:hAnsi="楷体_GB2312" w:eastAsia="楷体_GB2312" w:cs="楷体_GB2312"/>
          <w:b/>
          <w:color w:val="auto"/>
          <w:sz w:val="32"/>
          <w:szCs w:val="32"/>
          <w:highlight w:val="none"/>
          <w:lang w:val="en-US" w:eastAsia="zh-CN"/>
        </w:rPr>
        <w:t>（三）总体绩效目标完成情况分析</w:t>
      </w:r>
    </w:p>
    <w:p w14:paraId="7BB63E65">
      <w:pPr>
        <w:pStyle w:val="27"/>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一是2024年我局完成了药品不良反应报告533份、化妆品不良反应报告51份、医疗器械不良反应事件报告198份，药品安全监管责任事故发生数0次。二是“两品一械”不合格产品核查处置率100%。2024年完成不合格样品核查处置任务1件，已完成处置1件，共接到药品安全投诉2件，举报2件。三是药品安全执法能力和监管能力逐步提升。完成对全区药品生产企业和经营企业进行监督检查，2024年度开展药品安全监督检查480家次，责令整改10家次，药品相关案件办理10件。四是完成医疗器械不良事件监测相关宣传数1次，无菌和植入经营使用单位检查120家次。</w:t>
      </w:r>
    </w:p>
    <w:p w14:paraId="32553BCF">
      <w:pPr>
        <w:keepNext w:val="0"/>
        <w:keepLines w:val="0"/>
        <w:pageBreakBefore w:val="0"/>
        <w:widowControl w:val="0"/>
        <w:numPr>
          <w:ilvl w:val="0"/>
          <w:numId w:val="0"/>
        </w:numPr>
        <w:tabs>
          <w:tab w:val="left" w:pos="6425"/>
        </w:tabs>
        <w:kinsoku/>
        <w:wordWrap/>
        <w:overflowPunct/>
        <w:topLinePunct w:val="0"/>
        <w:autoSpaceDE/>
        <w:autoSpaceDN/>
        <w:bidi w:val="0"/>
        <w:spacing w:line="600" w:lineRule="exact"/>
        <w:ind w:firstLine="640" w:firstLineChars="200"/>
        <w:jc w:val="left"/>
        <w:textAlignment w:val="auto"/>
        <w:outlineLvl w:val="0"/>
        <w:rPr>
          <w:rFonts w:hint="default" w:ascii="Times New Roman" w:hAnsi="Times New Roman" w:cs="Times New Roman"/>
          <w:sz w:val="32"/>
          <w:szCs w:val="20"/>
        </w:rPr>
      </w:pPr>
      <w:r>
        <w:rPr>
          <w:rFonts w:hint="default" w:ascii="Times New Roman" w:hAnsi="Times New Roman" w:eastAsia="仿宋" w:cs="Times New Roman"/>
          <w:kern w:val="2"/>
          <w:sz w:val="32"/>
          <w:szCs w:val="32"/>
          <w:lang w:val="en-US" w:eastAsia="zh-CN" w:bidi="ar-SA"/>
        </w:rPr>
        <w:t>2024年度圆满完成上级下达的绩效目标任务，保障了辖区内的药械化安全，切实加强了药械化领域的日常监管和集中整治，进一步提高了安居区药品监管能力和水平。</w:t>
      </w:r>
    </w:p>
    <w:p w14:paraId="5A112BB9">
      <w:pPr>
        <w:spacing w:line="600" w:lineRule="exact"/>
        <w:ind w:firstLine="640"/>
        <w:outlineLvl w:val="2"/>
        <w:rPr>
          <w:rFonts w:hint="default" w:ascii="楷体_GB2312" w:hAnsi="楷体_GB2312" w:eastAsia="楷体_GB2312" w:cs="楷体_GB2312"/>
          <w:b/>
          <w:color w:val="auto"/>
          <w:sz w:val="32"/>
          <w:szCs w:val="32"/>
          <w:highlight w:val="none"/>
          <w:lang w:val="en-US" w:eastAsia="zh-CN"/>
        </w:rPr>
      </w:pPr>
      <w:r>
        <w:rPr>
          <w:rFonts w:hint="default" w:ascii="楷体_GB2312" w:hAnsi="楷体_GB2312" w:eastAsia="楷体_GB2312" w:cs="楷体_GB2312"/>
          <w:b/>
          <w:color w:val="auto"/>
          <w:sz w:val="32"/>
          <w:szCs w:val="32"/>
          <w:highlight w:val="none"/>
          <w:lang w:val="en-US" w:eastAsia="zh-CN"/>
        </w:rPr>
        <w:t>（四）效益指标完成情况分析</w:t>
      </w:r>
    </w:p>
    <w:p w14:paraId="2E8DE7F3">
      <w:pPr>
        <w:keepNext w:val="0"/>
        <w:keepLines w:val="0"/>
        <w:pageBreakBefore w:val="0"/>
        <w:widowControl w:val="0"/>
        <w:numPr>
          <w:ilvl w:val="0"/>
          <w:numId w:val="0"/>
        </w:numPr>
        <w:tabs>
          <w:tab w:val="left" w:pos="6425"/>
        </w:tabs>
        <w:kinsoku/>
        <w:wordWrap/>
        <w:overflowPunct/>
        <w:topLinePunct w:val="0"/>
        <w:autoSpaceDE/>
        <w:autoSpaceDN/>
        <w:bidi w:val="0"/>
        <w:spacing w:line="600" w:lineRule="exact"/>
        <w:ind w:firstLine="643" w:firstLineChars="200"/>
        <w:jc w:val="left"/>
        <w:textAlignment w:val="auto"/>
        <w:outlineLvl w:val="0"/>
        <w:rPr>
          <w:rFonts w:hint="default" w:ascii="Times New Roman" w:hAnsi="Times New Roman" w:eastAsia="方正仿宋简体" w:cs="Times New Roman"/>
          <w:b/>
          <w:sz w:val="32"/>
          <w:szCs w:val="20"/>
        </w:rPr>
      </w:pPr>
      <w:r>
        <w:rPr>
          <w:rFonts w:hint="default" w:ascii="Times New Roman" w:hAnsi="Times New Roman" w:eastAsia="方正仿宋简体" w:cs="Times New Roman"/>
          <w:b/>
          <w:sz w:val="32"/>
          <w:szCs w:val="20"/>
        </w:rPr>
        <w:t>1.数量指标</w:t>
      </w:r>
    </w:p>
    <w:p w14:paraId="1995C22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指标1：开展医疗器械不良事件监测相关宣传数，年度指标值：≥1次，实际完成指标值：≥1次</w:t>
      </w:r>
    </w:p>
    <w:p w14:paraId="648460D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指标2：无菌和植入性经营使用单位检查，年度指标值：≥5家次，实际完成指标值：≥5家次。</w:t>
      </w:r>
    </w:p>
    <w:p w14:paraId="1FDECC1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指标3：“两品一械”安全宣传覆盖地区，年度指标值：1个，实际完成指标值：1个。</w:t>
      </w:r>
    </w:p>
    <w:p w14:paraId="7428ADF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指标4：全省药品不良反应每百万人口平均报告数，年度指标值：≥1700份，实际完成指标值：≥1700份。</w:t>
      </w:r>
    </w:p>
    <w:p w14:paraId="4C90F01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指标5：全省化妆品不良反应每百万人口平均报告数，年度指标值：≥200份，实际完成指标值：≥200份。</w:t>
      </w:r>
    </w:p>
    <w:p w14:paraId="62F9363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指标6：全省医疗器械不良反应事件每百万人口平均报告数，年度指标值：≥385份，实际完成指标值：≥385份。</w:t>
      </w:r>
    </w:p>
    <w:p w14:paraId="56F5DDD1">
      <w:pPr>
        <w:keepNext w:val="0"/>
        <w:keepLines w:val="0"/>
        <w:pageBreakBefore w:val="0"/>
        <w:widowControl w:val="0"/>
        <w:numPr>
          <w:ilvl w:val="0"/>
          <w:numId w:val="0"/>
        </w:numPr>
        <w:tabs>
          <w:tab w:val="left" w:pos="6425"/>
        </w:tabs>
        <w:kinsoku/>
        <w:wordWrap/>
        <w:overflowPunct/>
        <w:topLinePunct w:val="0"/>
        <w:autoSpaceDE/>
        <w:autoSpaceDN/>
        <w:bidi w:val="0"/>
        <w:spacing w:line="600" w:lineRule="exact"/>
        <w:ind w:firstLine="643" w:firstLineChars="200"/>
        <w:jc w:val="left"/>
        <w:textAlignment w:val="auto"/>
        <w:outlineLvl w:val="0"/>
        <w:rPr>
          <w:rFonts w:hint="default" w:ascii="Times New Roman" w:hAnsi="Times New Roman" w:eastAsia="方正仿宋简体" w:cs="Times New Roman"/>
          <w:sz w:val="32"/>
          <w:szCs w:val="20"/>
        </w:rPr>
      </w:pPr>
      <w:r>
        <w:rPr>
          <w:rFonts w:hint="default" w:ascii="Times New Roman" w:hAnsi="Times New Roman" w:eastAsia="方正仿宋简体" w:cs="Times New Roman"/>
          <w:b/>
          <w:sz w:val="32"/>
          <w:szCs w:val="20"/>
        </w:rPr>
        <w:t>2.质量指标</w:t>
      </w:r>
    </w:p>
    <w:p w14:paraId="6129DD3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指标1：国家药品（含中烟材质量监测）抽样购样任务完成率，年度指标值：100%，实际完成指标值：100%。</w:t>
      </w:r>
    </w:p>
    <w:p w14:paraId="1ADCB20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指标2：“两品一械”不合格产品核查处置率，年度指标值：100%，实际完成指标值：100%。</w:t>
      </w:r>
    </w:p>
    <w:p w14:paraId="2758ED2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指标3：药品监管行政事业人员培训覆盖率，年度指标值：100%，实际完成指标值：100%。</w:t>
      </w:r>
    </w:p>
    <w:p w14:paraId="0D49F40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指标4：药品企业监管工作任务完成率，年度指标值：100%，实际完成指标值：100%。</w:t>
      </w:r>
    </w:p>
    <w:p w14:paraId="0E6FF54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指标5：医疗器械企业监管工作任务完成率，年度指标值：100%，实际完成指标值：100%。</w:t>
      </w:r>
    </w:p>
    <w:p w14:paraId="501719B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简体" w:cs="Times New Roman"/>
          <w:sz w:val="32"/>
          <w:szCs w:val="20"/>
        </w:rPr>
      </w:pPr>
      <w:r>
        <w:rPr>
          <w:rFonts w:hint="default" w:ascii="Times New Roman" w:hAnsi="Times New Roman" w:eastAsia="仿宋" w:cs="Times New Roman"/>
          <w:sz w:val="32"/>
          <w:szCs w:val="32"/>
        </w:rPr>
        <w:t>指标6：化妆品企业监管工作任务完成率，年度指标值：100%，实际完成指标值：100%。</w:t>
      </w:r>
    </w:p>
    <w:p w14:paraId="123C9CCD">
      <w:pPr>
        <w:keepNext w:val="0"/>
        <w:keepLines w:val="0"/>
        <w:pageBreakBefore w:val="0"/>
        <w:widowControl w:val="0"/>
        <w:numPr>
          <w:ilvl w:val="0"/>
          <w:numId w:val="0"/>
        </w:numPr>
        <w:tabs>
          <w:tab w:val="left" w:pos="6425"/>
        </w:tabs>
        <w:kinsoku/>
        <w:wordWrap/>
        <w:overflowPunct/>
        <w:topLinePunct w:val="0"/>
        <w:autoSpaceDE/>
        <w:autoSpaceDN/>
        <w:bidi w:val="0"/>
        <w:spacing w:line="600" w:lineRule="exact"/>
        <w:ind w:firstLine="643" w:firstLineChars="200"/>
        <w:jc w:val="left"/>
        <w:textAlignment w:val="auto"/>
        <w:outlineLvl w:val="0"/>
        <w:rPr>
          <w:rFonts w:hint="default" w:ascii="Times New Roman" w:hAnsi="Times New Roman" w:eastAsia="方正仿宋简体" w:cs="Times New Roman"/>
          <w:b/>
          <w:sz w:val="32"/>
          <w:szCs w:val="20"/>
        </w:rPr>
      </w:pPr>
      <w:r>
        <w:rPr>
          <w:rFonts w:hint="default" w:ascii="Times New Roman" w:hAnsi="Times New Roman" w:eastAsia="方正仿宋简体" w:cs="Times New Roman"/>
          <w:b/>
          <w:sz w:val="32"/>
          <w:szCs w:val="20"/>
        </w:rPr>
        <w:t>3.时效指标</w:t>
      </w:r>
    </w:p>
    <w:p w14:paraId="1870BBE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指标1：完成国家“两品一械”抽检任务及时率，年度指标值：100%，实际完成指标值：100%。</w:t>
      </w:r>
    </w:p>
    <w:p w14:paraId="3B183EA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指标2：“两品一械”安全宣传月（周）频次1次/年，年度指标值：1次/年，实际完成指标值：2次/年。</w:t>
      </w:r>
    </w:p>
    <w:p w14:paraId="3CD16D1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简体" w:cs="Times New Roman"/>
          <w:sz w:val="32"/>
          <w:szCs w:val="20"/>
        </w:rPr>
      </w:pPr>
      <w:r>
        <w:rPr>
          <w:rFonts w:hint="default" w:ascii="Times New Roman" w:hAnsi="Times New Roman" w:eastAsia="仿宋" w:cs="Times New Roman"/>
          <w:sz w:val="32"/>
          <w:szCs w:val="32"/>
        </w:rPr>
        <w:t>指标3：监管人员培训完成时间，年度指标值：12月前，实际完成指标值：12月前。</w:t>
      </w:r>
    </w:p>
    <w:p w14:paraId="22316339">
      <w:pPr>
        <w:keepNext w:val="0"/>
        <w:keepLines w:val="0"/>
        <w:pageBreakBefore w:val="0"/>
        <w:widowControl w:val="0"/>
        <w:numPr>
          <w:ilvl w:val="0"/>
          <w:numId w:val="0"/>
        </w:numPr>
        <w:tabs>
          <w:tab w:val="left" w:pos="6425"/>
        </w:tabs>
        <w:kinsoku/>
        <w:wordWrap/>
        <w:overflowPunct/>
        <w:topLinePunct w:val="0"/>
        <w:autoSpaceDE/>
        <w:autoSpaceDN/>
        <w:bidi w:val="0"/>
        <w:spacing w:line="600" w:lineRule="exact"/>
        <w:ind w:firstLine="643" w:firstLineChars="200"/>
        <w:jc w:val="left"/>
        <w:textAlignment w:val="auto"/>
        <w:outlineLvl w:val="0"/>
        <w:rPr>
          <w:rFonts w:hint="default" w:ascii="Times New Roman" w:hAnsi="Times New Roman" w:eastAsia="方正仿宋简体" w:cs="Times New Roman"/>
          <w:b/>
          <w:sz w:val="32"/>
          <w:szCs w:val="20"/>
        </w:rPr>
      </w:pPr>
      <w:r>
        <w:rPr>
          <w:rFonts w:hint="default" w:ascii="Times New Roman" w:hAnsi="Times New Roman" w:eastAsia="方正仿宋简体" w:cs="Times New Roman"/>
          <w:b/>
          <w:sz w:val="32"/>
          <w:szCs w:val="20"/>
        </w:rPr>
        <w:t>4.成本指标</w:t>
      </w:r>
    </w:p>
    <w:p w14:paraId="3392364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指标1：开展药械化监督检查，年度指标值：≤200元/人/次，实际完成指标值：≤200元/人/次。</w:t>
      </w:r>
    </w:p>
    <w:p w14:paraId="1583EA6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简体" w:cs="Times New Roman"/>
          <w:sz w:val="32"/>
          <w:szCs w:val="20"/>
        </w:rPr>
      </w:pPr>
      <w:r>
        <w:rPr>
          <w:rFonts w:hint="default" w:ascii="Times New Roman" w:hAnsi="Times New Roman" w:eastAsia="仿宋" w:cs="Times New Roman"/>
          <w:sz w:val="32"/>
          <w:szCs w:val="32"/>
        </w:rPr>
        <w:t>指标2：开展药械化培训，年度指标值：≤400元/人/次，实际完成指标值：≤400元/人/次。</w:t>
      </w:r>
    </w:p>
    <w:p w14:paraId="3BD1C1D7">
      <w:pPr>
        <w:keepNext w:val="0"/>
        <w:keepLines w:val="0"/>
        <w:pageBreakBefore w:val="0"/>
        <w:widowControl w:val="0"/>
        <w:numPr>
          <w:ilvl w:val="0"/>
          <w:numId w:val="0"/>
        </w:numPr>
        <w:tabs>
          <w:tab w:val="left" w:pos="6425"/>
        </w:tabs>
        <w:kinsoku/>
        <w:wordWrap/>
        <w:overflowPunct/>
        <w:topLinePunct w:val="0"/>
        <w:autoSpaceDE/>
        <w:autoSpaceDN/>
        <w:bidi w:val="0"/>
        <w:spacing w:line="600" w:lineRule="exact"/>
        <w:ind w:firstLine="643" w:firstLineChars="200"/>
        <w:jc w:val="left"/>
        <w:textAlignment w:val="auto"/>
        <w:outlineLvl w:val="0"/>
        <w:rPr>
          <w:rFonts w:hint="default" w:ascii="Times New Roman" w:hAnsi="Times New Roman" w:eastAsia="方正仿宋简体" w:cs="Times New Roman"/>
          <w:b/>
          <w:sz w:val="32"/>
          <w:szCs w:val="20"/>
        </w:rPr>
      </w:pPr>
      <w:r>
        <w:rPr>
          <w:rFonts w:hint="default" w:ascii="Times New Roman" w:hAnsi="Times New Roman" w:eastAsia="方正仿宋简体" w:cs="Times New Roman"/>
          <w:b/>
          <w:sz w:val="32"/>
          <w:szCs w:val="20"/>
        </w:rPr>
        <w:t>5.效益指标</w:t>
      </w:r>
    </w:p>
    <w:p w14:paraId="3888C20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指标1：辖区内发生与补助资金相关的重大“两品一械”安全事故，年度指标值：0次，实际完成指标值：0次。</w:t>
      </w:r>
    </w:p>
    <w:p w14:paraId="2095938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简体" w:cs="Times New Roman"/>
          <w:sz w:val="32"/>
          <w:szCs w:val="20"/>
        </w:rPr>
      </w:pPr>
      <w:r>
        <w:rPr>
          <w:rFonts w:hint="default" w:ascii="Times New Roman" w:hAnsi="Times New Roman" w:eastAsia="仿宋" w:cs="Times New Roman"/>
          <w:sz w:val="32"/>
          <w:szCs w:val="32"/>
        </w:rPr>
        <w:t>指标2：“两品一械”安全监管能力，年度指标值：不断提高，实际完成指标值：不断提高。</w:t>
      </w:r>
    </w:p>
    <w:p w14:paraId="15661A67">
      <w:pPr>
        <w:keepNext w:val="0"/>
        <w:keepLines w:val="0"/>
        <w:pageBreakBefore w:val="0"/>
        <w:widowControl w:val="0"/>
        <w:numPr>
          <w:ilvl w:val="0"/>
          <w:numId w:val="0"/>
        </w:numPr>
        <w:tabs>
          <w:tab w:val="left" w:pos="6425"/>
        </w:tabs>
        <w:kinsoku/>
        <w:wordWrap/>
        <w:overflowPunct/>
        <w:topLinePunct w:val="0"/>
        <w:autoSpaceDE/>
        <w:autoSpaceDN/>
        <w:bidi w:val="0"/>
        <w:spacing w:line="600" w:lineRule="exact"/>
        <w:ind w:firstLine="643" w:firstLineChars="200"/>
        <w:jc w:val="left"/>
        <w:textAlignment w:val="auto"/>
        <w:outlineLvl w:val="0"/>
        <w:rPr>
          <w:rFonts w:hint="default" w:ascii="Times New Roman" w:hAnsi="Times New Roman" w:eastAsia="方正仿宋简体" w:cs="Times New Roman"/>
          <w:b/>
          <w:sz w:val="32"/>
          <w:szCs w:val="20"/>
        </w:rPr>
      </w:pPr>
      <w:r>
        <w:rPr>
          <w:rFonts w:hint="default" w:ascii="Times New Roman" w:hAnsi="Times New Roman" w:eastAsia="方正仿宋简体" w:cs="Times New Roman"/>
          <w:b/>
          <w:sz w:val="32"/>
          <w:szCs w:val="20"/>
        </w:rPr>
        <w:t>6.满意度指标</w:t>
      </w:r>
    </w:p>
    <w:p w14:paraId="4D09807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指标1：药品生产企业和监管部门对监管满意度，年度指标值：≥90%，实际完成指标值：≥90%。</w:t>
      </w:r>
    </w:p>
    <w:p w14:paraId="5E76C5D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指标2：药品经营企业满意度，年度指标值：≥90%，实际完成指标值：≥90%。</w:t>
      </w:r>
    </w:p>
    <w:p w14:paraId="71D4D73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简体" w:cs="Times New Roman"/>
          <w:sz w:val="32"/>
          <w:szCs w:val="20"/>
        </w:rPr>
      </w:pPr>
      <w:r>
        <w:rPr>
          <w:rFonts w:hint="default" w:ascii="Times New Roman" w:hAnsi="Times New Roman" w:eastAsia="仿宋" w:cs="Times New Roman"/>
          <w:sz w:val="32"/>
          <w:szCs w:val="32"/>
        </w:rPr>
        <w:t>指标3：培训对象对培训工作的满意度，年度指标值：≥85%，实际完成指标值：≥85%。</w:t>
      </w:r>
    </w:p>
    <w:p w14:paraId="724025CC">
      <w:pPr>
        <w:keepNext w:val="0"/>
        <w:keepLines w:val="0"/>
        <w:pageBreakBefore w:val="0"/>
        <w:widowControl w:val="0"/>
        <w:numPr>
          <w:ilvl w:val="0"/>
          <w:numId w:val="0"/>
        </w:numPr>
        <w:tabs>
          <w:tab w:val="left" w:pos="6425"/>
        </w:tabs>
        <w:kinsoku/>
        <w:wordWrap/>
        <w:overflowPunct/>
        <w:topLinePunct w:val="0"/>
        <w:autoSpaceDE/>
        <w:autoSpaceDN/>
        <w:bidi w:val="0"/>
        <w:spacing w:line="600" w:lineRule="exact"/>
        <w:ind w:firstLine="640" w:firstLineChars="200"/>
        <w:jc w:val="left"/>
        <w:textAlignment w:val="auto"/>
        <w:outlineLvl w:val="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三、偏离绩效目标的原因和下一步改进措施</w:t>
      </w:r>
    </w:p>
    <w:p w14:paraId="26C8CE0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目前没有存在偏离绩效目标的原因。</w:t>
      </w:r>
    </w:p>
    <w:p w14:paraId="32302CD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四、绩效自评结果拟应用和公开情况</w:t>
      </w:r>
    </w:p>
    <w:p w14:paraId="08CBFC5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本项目绩效评价结果拟用于指导安居区更好的规划药品监管工作，发挥项目资金的效益最大化，相关评价结果将随年度决算一并公开。</w:t>
      </w:r>
    </w:p>
    <w:p w14:paraId="3237E4DB">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五、其他需要说明的情况</w:t>
      </w:r>
    </w:p>
    <w:p w14:paraId="3B3505C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无。</w:t>
      </w:r>
    </w:p>
    <w:p w14:paraId="4DD589C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sz w:val="32"/>
          <w:szCs w:val="32"/>
        </w:rPr>
      </w:pPr>
    </w:p>
    <w:p w14:paraId="57EB606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附</w:t>
      </w:r>
      <w:r>
        <w:rPr>
          <w:rFonts w:hint="eastAsia" w:eastAsia="仿宋" w:cs="Times New Roman"/>
          <w:sz w:val="32"/>
          <w:szCs w:val="32"/>
          <w:lang w:val="en-US" w:eastAsia="zh-CN"/>
        </w:rPr>
        <w:t>表</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2024年中央药品监管补助资金绩效目标自评表</w:t>
      </w:r>
    </w:p>
    <w:p w14:paraId="73A27396">
      <w:pPr>
        <w:pStyle w:val="27"/>
        <w:spacing w:line="540" w:lineRule="exact"/>
        <w:ind w:firstLine="0" w:firstLineChars="0"/>
        <w:rPr>
          <w:rFonts w:hint="default" w:ascii="Times New Roman" w:hAnsi="Times New Roman" w:cs="Times New Roman"/>
          <w:sz w:val="32"/>
          <w:szCs w:val="32"/>
        </w:rPr>
      </w:pPr>
    </w:p>
    <w:p w14:paraId="41FB15E9">
      <w:pPr>
        <w:pStyle w:val="27"/>
        <w:rPr>
          <w:rFonts w:hint="default" w:ascii="Times New Roman" w:hAnsi="Times New Roman" w:cs="Times New Roman"/>
          <w:lang w:val="en-US" w:eastAsia="zh-CN"/>
        </w:rPr>
        <w:sectPr>
          <w:footerReference r:id="rId15" w:type="default"/>
          <w:pgSz w:w="11906" w:h="16838"/>
          <w:pgMar w:top="1157" w:right="1463" w:bottom="1157" w:left="1463" w:header="851" w:footer="992" w:gutter="0"/>
          <w:pgNumType w:fmt="decimal"/>
          <w:cols w:space="425" w:num="1"/>
          <w:docGrid w:type="lines" w:linePitch="312" w:charSpace="0"/>
        </w:sectPr>
      </w:pPr>
    </w:p>
    <w:p w14:paraId="2C74C310">
      <w:pPr>
        <w:pStyle w:val="27"/>
        <w:keepNext w:val="0"/>
        <w:keepLines w:val="0"/>
        <w:pageBreakBefore w:val="0"/>
        <w:kinsoku/>
        <w:wordWrap/>
        <w:overflowPunct/>
        <w:topLinePunct w:val="0"/>
        <w:autoSpaceDE/>
        <w:autoSpaceDN/>
        <w:bidi w:val="0"/>
        <w:adjustRightInd/>
        <w:snapToGrid/>
        <w:spacing w:line="400" w:lineRule="exact"/>
        <w:ind w:left="0" w:leftChars="0" w:firstLine="0" w:firstLineChars="0"/>
        <w:jc w:val="left"/>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附表</w:t>
      </w:r>
    </w:p>
    <w:tbl>
      <w:tblPr>
        <w:tblStyle w:val="20"/>
        <w:tblW w:w="48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7"/>
        <w:gridCol w:w="2916"/>
        <w:gridCol w:w="2925"/>
        <w:gridCol w:w="5235"/>
        <w:gridCol w:w="705"/>
        <w:gridCol w:w="825"/>
        <w:gridCol w:w="645"/>
      </w:tblGrid>
      <w:tr w14:paraId="4361C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7"/>
            <w:tcBorders>
              <w:top w:val="nil"/>
              <w:left w:val="nil"/>
              <w:bottom w:val="nil"/>
              <w:right w:val="nil"/>
            </w:tcBorders>
            <w:shd w:val="clear" w:color="auto" w:fill="auto"/>
            <w:noWrap/>
            <w:vAlign w:val="bottom"/>
          </w:tcPr>
          <w:p w14:paraId="7A485225">
            <w:pPr>
              <w:keepNext w:val="0"/>
              <w:keepLines w:val="0"/>
              <w:widowControl/>
              <w:suppressLineNumbers w:val="0"/>
              <w:jc w:val="center"/>
              <w:textAlignment w:val="bottom"/>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黑体" w:cs="Times New Roman"/>
                <w:color w:val="auto"/>
                <w:kern w:val="2"/>
                <w:sz w:val="32"/>
                <w:szCs w:val="32"/>
                <w:highlight w:val="none"/>
                <w:lang w:val="en-US" w:eastAsia="zh-CN" w:bidi="ar-SA"/>
              </w:rPr>
              <w:t>2024年中央药品监管补助资金绩效目标自评表</w:t>
            </w:r>
          </w:p>
        </w:tc>
      </w:tr>
      <w:tr w14:paraId="5D761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6" w:type="pct"/>
            <w:tcBorders>
              <w:top w:val="single" w:color="000000" w:sz="4" w:space="0"/>
              <w:left w:val="single" w:color="000000" w:sz="4" w:space="0"/>
              <w:bottom w:val="single" w:color="000000" w:sz="4" w:space="0"/>
              <w:right w:val="nil"/>
            </w:tcBorders>
            <w:shd w:val="clear" w:color="auto" w:fill="auto"/>
            <w:vAlign w:val="center"/>
          </w:tcPr>
          <w:p w14:paraId="7F5DCD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指标类型</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D02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评分指标</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92B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指标解释和评价要点</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96B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评分规则</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023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分值（分）</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0AB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得分（分）</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CD2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测算过程</w:t>
            </w:r>
          </w:p>
        </w:tc>
      </w:tr>
      <w:tr w14:paraId="747A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6" w:type="pct"/>
            <w:vMerge w:val="restart"/>
            <w:tcBorders>
              <w:top w:val="nil"/>
              <w:left w:val="single" w:color="000000" w:sz="4" w:space="0"/>
              <w:bottom w:val="single" w:color="000000" w:sz="4" w:space="0"/>
              <w:right w:val="nil"/>
            </w:tcBorders>
            <w:shd w:val="clear" w:color="auto" w:fill="auto"/>
            <w:vAlign w:val="center"/>
          </w:tcPr>
          <w:p w14:paraId="41AE4B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总体情况</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21D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103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当年预算执行率（不含结转资金）</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6FA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预算执行率≥90%得10分，80%≤预算执行率＜90%得9分，70%≤预算执行率＜80%得8分，60%≤预算执行率＜70%得7分，预算执行率低于60%不得分。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30B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493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A9E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DE69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6" w:type="pct"/>
            <w:vMerge w:val="continue"/>
            <w:tcBorders>
              <w:top w:val="nil"/>
              <w:left w:val="single" w:color="000000" w:sz="4" w:space="0"/>
              <w:bottom w:val="single" w:color="000000" w:sz="4" w:space="0"/>
              <w:right w:val="nil"/>
            </w:tcBorders>
            <w:shd w:val="clear" w:color="auto" w:fill="auto"/>
            <w:vAlign w:val="center"/>
          </w:tcPr>
          <w:p w14:paraId="7E9ECF7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7F1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材料报送及时性</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9B2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年度工作中，各省局报送材料的及时性</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7BEA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晚报一次扣0.5分，扣完为止。</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75C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CE8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60F9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r>
      <w:tr w14:paraId="413AA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6" w:type="pct"/>
            <w:vMerge w:val="continue"/>
            <w:tcBorders>
              <w:top w:val="nil"/>
              <w:left w:val="single" w:color="000000" w:sz="4" w:space="0"/>
              <w:bottom w:val="single" w:color="000000" w:sz="4" w:space="0"/>
              <w:right w:val="nil"/>
            </w:tcBorders>
            <w:shd w:val="clear" w:color="auto" w:fill="auto"/>
            <w:vAlign w:val="center"/>
          </w:tcPr>
          <w:p w14:paraId="2988D08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20CA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支持国家局转移支付相关工作</w:t>
            </w:r>
          </w:p>
        </w:tc>
        <w:tc>
          <w:tcPr>
            <w:tcW w:w="10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9220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在工作中提出好的意见建议、创新思路（经研究后采纳的），协助开展管理办法制修订、课题研究，参加座谈、专项工作等</w:t>
            </w:r>
          </w:p>
        </w:tc>
        <w:tc>
          <w:tcPr>
            <w:tcW w:w="1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6B29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有支持相关工作的，每项加1分，最高2分，无相关工作不加分。</w:t>
            </w:r>
          </w:p>
        </w:tc>
        <w:tc>
          <w:tcPr>
            <w:tcW w:w="2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1CCF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C89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2A5BB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r>
      <w:tr w14:paraId="42702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66" w:type="pct"/>
            <w:vMerge w:val="continue"/>
            <w:tcBorders>
              <w:top w:val="nil"/>
              <w:left w:val="single" w:color="000000" w:sz="4" w:space="0"/>
              <w:bottom w:val="single" w:color="000000" w:sz="4" w:space="0"/>
              <w:right w:val="nil"/>
            </w:tcBorders>
            <w:shd w:val="clear" w:color="auto" w:fill="auto"/>
            <w:vAlign w:val="center"/>
          </w:tcPr>
          <w:p w14:paraId="537A3B7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5DE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分配科学性</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B8F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严格按照补助资金管理办法提供测算因素</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E9857">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iCs w:val="0"/>
                <w:color w:val="000000"/>
                <w:kern w:val="0"/>
                <w:sz w:val="18"/>
                <w:szCs w:val="18"/>
                <w:u w:val="none"/>
                <w:lang w:val="en-US" w:eastAsia="zh-CN" w:bidi="ar"/>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B9E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5E1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5AE7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r>
      <w:tr w14:paraId="6E6A2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6" w:type="pct"/>
            <w:vMerge w:val="continue"/>
            <w:tcBorders>
              <w:top w:val="nil"/>
              <w:left w:val="single" w:color="000000" w:sz="4" w:space="0"/>
              <w:bottom w:val="single" w:color="000000" w:sz="4" w:space="0"/>
              <w:right w:val="nil"/>
            </w:tcBorders>
            <w:shd w:val="clear" w:color="auto" w:fill="auto"/>
            <w:vAlign w:val="center"/>
          </w:tcPr>
          <w:p w14:paraId="2191A00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3A5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下达及时性</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CC9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在要求时限内分解下达</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E68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省药监局发文30工作日内下达得2分，45工作日内下达的得1分，超过45个工作日下达的不得分。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20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928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1F20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r>
      <w:tr w14:paraId="63B19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6" w:type="pct"/>
            <w:vMerge w:val="continue"/>
            <w:tcBorders>
              <w:top w:val="nil"/>
              <w:left w:val="single" w:color="000000" w:sz="4" w:space="0"/>
              <w:bottom w:val="single" w:color="000000" w:sz="4" w:space="0"/>
              <w:right w:val="nil"/>
            </w:tcBorders>
            <w:shd w:val="clear" w:color="auto" w:fill="auto"/>
            <w:vAlign w:val="center"/>
          </w:tcPr>
          <w:p w14:paraId="7A907BC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352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拨付合理性</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A27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严格按照补助资金管理办法拨付资金</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EFB59">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iCs w:val="0"/>
                <w:color w:val="000000"/>
                <w:kern w:val="0"/>
                <w:sz w:val="18"/>
                <w:szCs w:val="18"/>
                <w:u w:val="none"/>
                <w:lang w:val="en-US" w:eastAsia="zh-CN" w:bidi="ar"/>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476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E9F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966E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r>
      <w:tr w14:paraId="32812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6" w:type="pct"/>
            <w:vMerge w:val="continue"/>
            <w:tcBorders>
              <w:top w:val="nil"/>
              <w:left w:val="single" w:color="000000" w:sz="4" w:space="0"/>
              <w:bottom w:val="single" w:color="000000" w:sz="4" w:space="0"/>
              <w:right w:val="nil"/>
            </w:tcBorders>
            <w:shd w:val="clear" w:color="auto" w:fill="auto"/>
            <w:vAlign w:val="center"/>
          </w:tcPr>
          <w:p w14:paraId="2CC76A4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BC7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使用规范性</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65A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严格按照补助资金管理办法规范使用补助资金</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2D073">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iCs w:val="0"/>
                <w:color w:val="000000"/>
                <w:kern w:val="0"/>
                <w:sz w:val="18"/>
                <w:szCs w:val="18"/>
                <w:u w:val="none"/>
                <w:lang w:val="en-US" w:eastAsia="zh-CN" w:bidi="ar"/>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C7A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DF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3E0D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r>
      <w:tr w14:paraId="5C1DC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6" w:type="pct"/>
            <w:vMerge w:val="continue"/>
            <w:tcBorders>
              <w:top w:val="nil"/>
              <w:left w:val="single" w:color="000000" w:sz="4" w:space="0"/>
              <w:bottom w:val="single" w:color="000000" w:sz="4" w:space="0"/>
              <w:right w:val="nil"/>
            </w:tcBorders>
            <w:shd w:val="clear" w:color="auto" w:fill="auto"/>
            <w:vAlign w:val="center"/>
          </w:tcPr>
          <w:p w14:paraId="4B14F31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D34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执行准确性</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AA0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严格按照补助资金管理办法规定的督促和指导本省药监局加快预算执行进度</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437B3">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iCs w:val="0"/>
                <w:color w:val="000000"/>
                <w:kern w:val="0"/>
                <w:sz w:val="18"/>
                <w:szCs w:val="18"/>
                <w:u w:val="none"/>
                <w:lang w:val="en-US" w:eastAsia="zh-CN" w:bidi="ar"/>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143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D69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E582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r>
      <w:tr w14:paraId="72BD6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6" w:type="pct"/>
            <w:vMerge w:val="continue"/>
            <w:tcBorders>
              <w:top w:val="nil"/>
              <w:left w:val="single" w:color="000000" w:sz="4" w:space="0"/>
              <w:bottom w:val="single" w:color="000000" w:sz="4" w:space="0"/>
              <w:right w:val="nil"/>
            </w:tcBorders>
            <w:shd w:val="clear" w:color="auto" w:fill="auto"/>
            <w:vAlign w:val="center"/>
          </w:tcPr>
          <w:p w14:paraId="492F4D3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B58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预算绩效管理情况</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860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指导本省药监系统及时开展绩效评价</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27657">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iCs w:val="0"/>
                <w:color w:val="000000"/>
                <w:kern w:val="0"/>
                <w:sz w:val="18"/>
                <w:szCs w:val="18"/>
                <w:u w:val="none"/>
                <w:lang w:val="en-US" w:eastAsia="zh-CN" w:bidi="ar"/>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EF1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253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989C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r>
      <w:tr w14:paraId="55134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6" w:type="pct"/>
            <w:vMerge w:val="continue"/>
            <w:tcBorders>
              <w:top w:val="nil"/>
              <w:left w:val="single" w:color="000000" w:sz="4" w:space="0"/>
              <w:bottom w:val="single" w:color="000000" w:sz="4" w:space="0"/>
              <w:right w:val="nil"/>
            </w:tcBorders>
            <w:shd w:val="clear" w:color="auto" w:fill="auto"/>
            <w:vAlign w:val="center"/>
          </w:tcPr>
          <w:p w14:paraId="6593276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591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支出责任履行情况</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E88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资金下达后立即发文要求本省做好补助资金使用管理等工作</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EA0C6">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iCs w:val="0"/>
                <w:color w:val="000000"/>
                <w:kern w:val="0"/>
                <w:sz w:val="18"/>
                <w:szCs w:val="18"/>
                <w:u w:val="none"/>
                <w:lang w:val="en-US" w:eastAsia="zh-CN" w:bidi="ar"/>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16C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7B0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4F0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r>
      <w:tr w14:paraId="5BB04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6" w:type="pct"/>
            <w:vMerge w:val="continue"/>
            <w:tcBorders>
              <w:top w:val="nil"/>
              <w:left w:val="single" w:color="000000" w:sz="4" w:space="0"/>
              <w:bottom w:val="single" w:color="000000" w:sz="4" w:space="0"/>
              <w:right w:val="nil"/>
            </w:tcBorders>
            <w:shd w:val="clear" w:color="auto" w:fill="auto"/>
            <w:vAlign w:val="center"/>
          </w:tcPr>
          <w:p w14:paraId="5887526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2B9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政策目标实现情况</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C3F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均已完成年初设定的绩效目标</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0485E">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宋体" w:cs="Times New Roman"/>
                <w:i w:val="0"/>
                <w:iCs w:val="0"/>
                <w:color w:val="000000"/>
                <w:kern w:val="0"/>
                <w:sz w:val="18"/>
                <w:szCs w:val="18"/>
                <w:u w:val="none"/>
                <w:lang w:val="en-US" w:eastAsia="zh-CN" w:bidi="ar"/>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119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29B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BBB9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r>
      <w:tr w14:paraId="27A5C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116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A94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化妆品抽样检验完成率</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563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完成率=实际完成量/年初任务量</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EB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95%≤完成率＜130%得5分，80%≤完成率＜95%得4分，60%≤完成率＜80%得3分，完成率＜60%或≥130%不得分，无任务得2.5分，计划单列市只抽不检的，由所在省局确定抽/检比例，核定批次数。</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83C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11C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587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5C32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4CC4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D78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化妆品安全风险监测完成率</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456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完成率=实际完成量/年初任务量</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05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95%≤完成率＜130%得3分，80%≤完成率＜95%得2分，60%≤完成率＜80%得1分，完成率＜60%或≥130%不得分，无任务得1.5分。计划单列市任务数由所在省局按工作量确定。</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BA3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D08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49CB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r>
      <w:tr w14:paraId="7FE34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23F9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363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每百万人口化妆品不良反应报告数量</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C45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50份/每百万人口</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9B1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每百万人口≥50份得4分，40份≤每百万人口＜50份得3分，每百万人口＜40份不得分。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208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274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B7EB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r>
      <w:tr w14:paraId="62EA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6EFD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A81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主持/参与医疗器械重点监测品种</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A4A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完成率=监测数量/年初任务量</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931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完成率100%得3分，完成率＜100%不得分。计划单列市参照省局得分。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1B8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EEE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A44F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r>
      <w:tr w14:paraId="0842A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213A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55A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每百万人口医疗器械不良事件报告数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2E3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200份/每百万人口</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007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每百万人口≥200份得3分，160份≤每百万人口＜200份得2分，每百万人口＜160份不得分。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6FC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FC4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376B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r>
      <w:tr w14:paraId="7DFF5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E08C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6EE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国家医疗器械抽检实际抽样检验批次</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354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完成率=实际抽样数/预计抽到数</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A9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95%≤完成率＜130%得5分，80%≤完成率＜95%得4分，60%≤完成率＜80%得3分，完成率＜60%或≥130%不得分。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D93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77D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7930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r>
      <w:tr w14:paraId="7FAD6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340D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FDE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化学药品生产企业监管企业数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9D6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完成率=实际完成量/年初任务量</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DBC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95%≤完成率＜130%得2分，80%≤完成率＜95%得1.5分，60%≤完成率＜80%得1分，完成率＜60%或≥130%不得分。计划单列市参照省局得分。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6D3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AEB4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594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不适用</w:t>
            </w:r>
          </w:p>
        </w:tc>
      </w:tr>
      <w:tr w14:paraId="4D8CD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0CC5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C51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跟踪核实特殊药品销售流向批次，重点关注第二类精神药品流向</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39F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≥5批次/每次检查</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796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达到批次要求得2分，未达到不得分。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77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22E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8D16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r>
      <w:tr w14:paraId="74407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3F96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16B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中药生产企业监管检查企业数</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B7C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完成率=实际完成量/年初任务量</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FE9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95%≤完成率＜130%得2分，80%≤完成率＜95%得1.5分，60%≤完成率＜80%得1分，完成率＜60%或≥130%不得分，无任务得1分，计划单列市参照省局得分。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2C0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152A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738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不适用</w:t>
            </w:r>
          </w:p>
        </w:tc>
      </w:tr>
      <w:tr w14:paraId="036E9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81E2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132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药品抽检品种完成率</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427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完成率=实际完成量/年初任务量</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56E4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完成率100%得4分，完成率＜100%不得分，无任务得2分，计划单列市参照省局得分。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C96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E26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C6DC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r>
      <w:tr w14:paraId="5DC2C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1ECB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AC3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每百万人口药品不良反应报告数量</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BF0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800份/每百万人口</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9AB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每百万人口≥800份得3分，640份≤每百万人口＜800份得2分，每百万人口＜640份不得分。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7A0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56A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E32C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r>
      <w:tr w14:paraId="1CC13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2E59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05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形成热点事件舆情案例总结或舆论引导评估报告</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329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≥5篇</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1A16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≥5篇得3分，4篇得2分，3篇以下不得分。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C40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89B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B5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不适用</w:t>
            </w:r>
          </w:p>
        </w:tc>
      </w:tr>
      <w:tr w14:paraId="52CAD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CB47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997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开展科普宣传活动</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19F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开展省级药品安全宣传周等科普宣传活动</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696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开展省级药品安全宣传周活动得2分，发布科普视频、政策图解等得1分，最高3分，未开展活动且未发布科普信息不得分。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11C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69C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B1D1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r>
      <w:tr w14:paraId="4C275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49E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A98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抽检不符合规定化妆品处置率</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F7F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D34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处置率100%得1分，未达到100%不得分，无任务得0.5分。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4B1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8FD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56D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0F91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6AFB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46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风险监测问题化妆品处置率</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A60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3E9D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处置率100%得1分，未达到100%不得分，无任务得0.5分。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6DE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773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F561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r>
      <w:tr w14:paraId="3107B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C3A9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03A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各省化妆品抽检、风险监测、不良反应工作完成情况（质量）</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46F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根据国家局年度考核中化妆品抽检、风险监测、不良反应监测3个考核项目的总体排名情况确定</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BAF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排名前90%得3分，后10%得2分。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D0D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30D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8039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r>
      <w:tr w14:paraId="61E8F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CA03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540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检查无菌和植入类医疗器械生产企业完成比率</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41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完成率100%</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860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完成率100%得1分，未达到100%不得分，计划单列市得分参照省局。</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B0E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F5EE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C95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不适用</w:t>
            </w:r>
          </w:p>
        </w:tc>
      </w:tr>
      <w:tr w14:paraId="2C229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099D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8D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检查无菌和植入类医疗器械经营企业完成比率</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567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完成率≥15%</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838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完成率≥15%得1分，未达到15%不得分。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F74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FA2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356E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r>
      <w:tr w14:paraId="086F0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467C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69E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国家医疗器械抽检不合格产品处置率</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BCA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处置率100%</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0F0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处置率100%得1分，未达到100%不得分。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FE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01D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E89B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r>
      <w:tr w14:paraId="48F99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AAE8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918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完成国家医疗器械抽检品种质量分析报告</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EFA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各省对质量分析报告的贡献（每个品种质量分析报告赋值为1，几家共同完成的，分别记几分之一）</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6D9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全覆盖得2分，未达到不得分，无任务得1分。计划单列市参照省局得分。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F85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2FC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6CC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不适用</w:t>
            </w:r>
          </w:p>
        </w:tc>
      </w:tr>
      <w:tr w14:paraId="486E8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0036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DEA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各省医疗器械抽检、不良反应工作完成情况（质量）</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694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32A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国家监督抽检中发现省局辖区内5起以上（含）疫情防控类和集采医疗器械注册人监督抽检不合格的扣1分；同一企业同品种连续两年国家监督抽检不合格的扣1分；不良事件报告质量明显低于全国平均水平的扣1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6D8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593F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B72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不适用</w:t>
            </w:r>
          </w:p>
        </w:tc>
      </w:tr>
      <w:tr w14:paraId="42620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E460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45A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配合完成疫苗、血液制品、细胞治疗类药品年度巡查，开展后续督促整改、核实确认等工作覆盖率</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14A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覆盖率100%</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EC3A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覆盖率100%得1分，未达到100%不得分。计划单列市参照省局得分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A6F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9A4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E1B5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r>
      <w:tr w14:paraId="42A45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4415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69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对中药注射剂上市许可持有人及其生产企业、中药配方颗粒生产企业监督检查覆盖率</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F53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覆盖率100%</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594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覆盖率100%得1分，未达到100%不得分。计划单列市参照省局得分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31B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48BB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575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不适用</w:t>
            </w:r>
          </w:p>
        </w:tc>
      </w:tr>
      <w:tr w14:paraId="70555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29AB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A24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麻醉药品、精神药品和药品类易制毒化学品生产企业检查</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637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麻醉药品、第一类精神药品、药品类易制毒化学品生产企业检查频次≥4次</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第二类精神药品生产企业检查频次≥2次/年</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96A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达到检查频次得1分，未达到不得分，计划单列市参照省局得分。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BD8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8DDB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FA0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不适用</w:t>
            </w:r>
          </w:p>
        </w:tc>
      </w:tr>
      <w:tr w14:paraId="7E5B2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5D9B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C5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麻醉药品、精神药品和药品类易制毒化学品经营企业检查</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344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麻醉药品、第一类精神药品、药品类易制毒化学品经营企业检查频次≥2次</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第二类精神药品经营企业检查频次≥1次/年</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C9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达到检查频次得1分，未达到不得分，计划单列市参照省局得分。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CF6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2CE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CF3D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r>
      <w:tr w14:paraId="5EAB6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F5A9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854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放射性药品、医疗用毒性药品生产经营企业检查</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434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≥1次/年</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98E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达到检查频次得1分，未达到不得分，计划单列市参照省局得分。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21F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5A04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079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不适用</w:t>
            </w:r>
          </w:p>
        </w:tc>
      </w:tr>
      <w:tr w14:paraId="02A8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FA87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0D9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特殊药品流失案件查处率</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E8E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查处率100%</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57F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查处率100%得1分，无流失案件得1分，未达到100%不得分。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B2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9CB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8D71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r>
      <w:tr w14:paraId="1742D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606C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47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国家药品抽检不合格产品处置率</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464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处置率100%</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9CA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处置率100%得2分，未达到100%不得分，计划单列市参照省局得分。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57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423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0FA7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r>
      <w:tr w14:paraId="5809C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E66F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3C4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药品定期安全性更新报告审核率</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BA6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审核率100%</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AFA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审核率100%得2分，未达到100%不得分，计划单列市参照省局得分。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254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2CB2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368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不适用</w:t>
            </w:r>
          </w:p>
        </w:tc>
      </w:tr>
      <w:tr w14:paraId="01630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E8C7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4F8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各省药品抽检、不良反应工作完成情况（质量）</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55D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根据国家局年度考核中药品抽检、不良反应监测2个考核项目的总体排名情况确定</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C2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排名前90%得3分，后10%得2分，计划单列市参照省局得分。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C1C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FCD9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宋体" w:cs="Times New Roman"/>
                <w:i w:val="0"/>
                <w:iCs w:val="0"/>
                <w:color w:val="000000"/>
                <w:kern w:val="0"/>
                <w:sz w:val="18"/>
                <w:szCs w:val="18"/>
                <w:u w:val="none"/>
                <w:lang w:val="en-US" w:eastAsia="zh-CN" w:bidi="ar"/>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E97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不适用</w:t>
            </w:r>
          </w:p>
        </w:tc>
      </w:tr>
      <w:tr w14:paraId="7A0BC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D1A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8C0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公众对药品监管工作的满意度</w:t>
            </w:r>
          </w:p>
        </w:tc>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A35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3FF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满意度大于等于85%的得3分，75%-85%（不含）得2分，65%-75%（不含）的得1分，小于70%的不得分，未开展不得分。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435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13B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AE1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B32C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13F8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总分</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FA9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102</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1DD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3FE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bl>
    <w:p w14:paraId="77109116">
      <w:pPr>
        <w:pStyle w:val="27"/>
        <w:rPr>
          <w:rFonts w:hint="default" w:ascii="Times New Roman" w:hAnsi="Times New Roman" w:cs="Times New Roman"/>
          <w:lang w:val="en-US" w:eastAsia="zh-CN"/>
        </w:rPr>
        <w:sectPr>
          <w:footerReference r:id="rId16" w:type="default"/>
          <w:pgSz w:w="16838" w:h="11906" w:orient="landscape"/>
          <w:pgMar w:top="1463" w:right="1157" w:bottom="1463" w:left="1157" w:header="851" w:footer="992" w:gutter="0"/>
          <w:pgNumType w:fmt="decimal"/>
          <w:cols w:space="425" w:num="1"/>
          <w:docGrid w:type="lines" w:linePitch="312" w:charSpace="0"/>
        </w:sectPr>
      </w:pPr>
    </w:p>
    <w:p w14:paraId="3B9F184F">
      <w:pPr>
        <w:keepNext w:val="0"/>
        <w:keepLines w:val="0"/>
        <w:pageBreakBefore w:val="0"/>
        <w:kinsoku/>
        <w:wordWrap/>
        <w:overflowPunct/>
        <w:topLinePunct w:val="0"/>
        <w:autoSpaceDE/>
        <w:autoSpaceDN/>
        <w:bidi w:val="0"/>
        <w:spacing w:line="572" w:lineRule="exact"/>
        <w:jc w:val="center"/>
        <w:textAlignment w:val="auto"/>
        <w:outlineLvl w:val="0"/>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lang w:val="en-US" w:eastAsia="zh-CN"/>
        </w:rPr>
        <w:t>专项预算项目绩效评价报告</w:t>
      </w:r>
    </w:p>
    <w:p w14:paraId="13DF37BC">
      <w:pPr>
        <w:spacing w:line="600" w:lineRule="exact"/>
        <w:jc w:val="center"/>
        <w:outlineLvl w:val="0"/>
        <w:rPr>
          <w:rFonts w:hint="default" w:ascii="Times New Roman" w:hAnsi="Times New Roman" w:eastAsia="黑体" w:cs="Times New Roman"/>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lang w:val="en-US" w:eastAsia="zh-CN"/>
        </w:rPr>
        <w:t>（“转企升规”激励资金）</w:t>
      </w:r>
    </w:p>
    <w:p w14:paraId="36C9578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简体" w:cs="Times New Roman"/>
          <w:sz w:val="32"/>
          <w:szCs w:val="32"/>
          <w:lang w:val="zh-CN"/>
        </w:rPr>
      </w:pPr>
      <w:r>
        <w:rPr>
          <w:rFonts w:hint="default" w:ascii="Times New Roman" w:hAnsi="Times New Roman" w:eastAsia="方正黑体简体" w:cs="Times New Roman"/>
          <w:sz w:val="32"/>
          <w:szCs w:val="32"/>
        </w:rPr>
        <w:t>一、</w:t>
      </w:r>
      <w:r>
        <w:rPr>
          <w:rFonts w:hint="default" w:ascii="Times New Roman" w:hAnsi="Times New Roman" w:eastAsia="方正黑体简体" w:cs="Times New Roman"/>
          <w:sz w:val="32"/>
          <w:szCs w:val="32"/>
          <w:lang w:val="zh-CN"/>
        </w:rPr>
        <w:t>项目概况</w:t>
      </w:r>
    </w:p>
    <w:p w14:paraId="04DBAC2A">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（一）设立背景及基本情况</w:t>
      </w:r>
    </w:p>
    <w:p w14:paraId="218C4B05">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b/>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为深入贯彻党中央、国务院关于扶持个体工商户发展的决策部署及省委、省政府“转企升规”工作要求，快推动我区个体工商户转型升级为公司制现代企业，进一步增强市场竞争能力，促进我市民营经济切实转型升级。</w:t>
      </w:r>
    </w:p>
    <w:p w14:paraId="384D483A">
      <w:pPr>
        <w:spacing w:line="600" w:lineRule="exact"/>
        <w:ind w:firstLine="640"/>
        <w:outlineLvl w:val="2"/>
        <w:rPr>
          <w:rFonts w:hint="default" w:ascii="楷体_GB2312" w:hAnsi="楷体_GB2312" w:eastAsia="楷体_GB2312" w:cs="楷体_GB2312"/>
          <w:b/>
          <w:color w:val="auto"/>
          <w:sz w:val="32"/>
          <w:szCs w:val="32"/>
          <w:highlight w:val="none"/>
          <w:lang w:val="en-US" w:eastAsia="zh-CN"/>
        </w:rPr>
      </w:pPr>
      <w:r>
        <w:rPr>
          <w:rFonts w:hint="default" w:ascii="楷体_GB2312" w:hAnsi="楷体_GB2312" w:eastAsia="楷体_GB2312" w:cs="楷体_GB2312"/>
          <w:b/>
          <w:color w:val="auto"/>
          <w:sz w:val="32"/>
          <w:szCs w:val="32"/>
          <w:highlight w:val="none"/>
          <w:lang w:val="en-US" w:eastAsia="zh-CN"/>
        </w:rPr>
        <w:t>（二）实施目的及支持方向</w:t>
      </w:r>
    </w:p>
    <w:p w14:paraId="7DC6A1AF">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640" w:firstLineChars="200"/>
        <w:contextualSpacing/>
        <w:jc w:val="both"/>
        <w:textAlignment w:val="auto"/>
        <w:rPr>
          <w:rFonts w:hint="default" w:ascii="Times New Roman" w:hAnsi="Times New Roman" w:eastAsia="方正仿宋简体" w:cs="Times New Roman"/>
          <w:color w:val="4F81BD" w:themeColor="accent1"/>
          <w:kern w:val="2"/>
          <w:sz w:val="32"/>
          <w:szCs w:val="32"/>
          <w:lang w:val="en-US" w:eastAsia="zh-CN" w:bidi="ar-SA"/>
          <w14:textFill>
            <w14:solidFill>
              <w14:schemeClr w14:val="accent1"/>
            </w14:solidFill>
          </w14:textFill>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构建个体工商户分型分类培育政策体系的工作要求，坚持“政策引导、主体自愿、分类指导、科学推进”的原则，通过改革创新破解制度性障碍、机制性梗阻和政策性堵点，畅通“个转企”各领域、各环节，支持个体工商户转型升级，扩大经营规模、完善治理结构、提升市场竞争力，促进市场主体高质量发展。</w:t>
      </w:r>
    </w:p>
    <w:p w14:paraId="35FCFE09">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en-US" w:eastAsia="zh-CN"/>
        </w:rPr>
        <w:t>（三）预算安排及分配管理</w:t>
      </w:r>
    </w:p>
    <w:p w14:paraId="7E20AFB9">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kern w:val="2"/>
          <w:sz w:val="32"/>
          <w:szCs w:val="32"/>
          <w:lang w:val="zh-CN"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按照“统筹兼顾、重点突出、钱随事走、据实据效”的基本原则，根据《关于下达2022年“转企升规”财政激励资金的通知》遂财建[2022]165号）、《关于清算下达2022年度“转企升规”财政激励资金的通知》遂财建[2023]191号）、《关于预下达2023年“个转企”市级奖励资金的通知》遂财建[2024]2号）、《关于清算下达2023年“转企升规”财政激励资金的通知》遂财建[2024]74号）及区级财政安排项目资金共下达省市区“转企升规”财政激励资金</w:t>
      </w:r>
      <w:r>
        <w:rPr>
          <w:rFonts w:hint="eastAsia" w:eastAsia="仿宋" w:cs="Times New Roman"/>
          <w:color w:val="000000" w:themeColor="text1"/>
          <w:kern w:val="2"/>
          <w:sz w:val="32"/>
          <w:szCs w:val="32"/>
          <w:lang w:val="en-US" w:eastAsia="zh-CN" w:bidi="ar-SA"/>
          <w14:textFill>
            <w14:solidFill>
              <w14:schemeClr w14:val="tx1"/>
            </w14:solidFill>
          </w14:textFill>
        </w:rPr>
        <w:t>114.65</w:t>
      </w: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万元。</w:t>
      </w:r>
    </w:p>
    <w:p w14:paraId="343E1BDE">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w:t>
      </w:r>
      <w:r>
        <w:rPr>
          <w:rFonts w:hint="default" w:ascii="楷体_GB2312" w:hAnsi="楷体_GB2312" w:eastAsia="楷体_GB2312" w:cs="楷体_GB2312"/>
          <w:b/>
          <w:color w:val="auto"/>
          <w:sz w:val="32"/>
          <w:szCs w:val="32"/>
          <w:highlight w:val="none"/>
          <w:lang w:val="en-US" w:eastAsia="zh-CN"/>
        </w:rPr>
        <w:t>四</w:t>
      </w:r>
      <w:r>
        <w:rPr>
          <w:rFonts w:hint="default" w:ascii="楷体_GB2312" w:hAnsi="楷体_GB2312" w:eastAsia="楷体_GB2312" w:cs="楷体_GB2312"/>
          <w:b/>
          <w:color w:val="auto"/>
          <w:sz w:val="32"/>
          <w:szCs w:val="32"/>
          <w:highlight w:val="none"/>
          <w:lang w:val="zh-CN" w:eastAsia="zh-CN"/>
        </w:rPr>
        <w:t>）项目绩效目标设置</w:t>
      </w:r>
    </w:p>
    <w:p w14:paraId="4BFB1BDB">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kern w:val="2"/>
          <w:sz w:val="32"/>
          <w:szCs w:val="32"/>
          <w:lang w:val="zh-CN"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项目整体目标：扩大经营规模、完善治理结构、提升市场竞争力。</w:t>
      </w:r>
    </w:p>
    <w:p w14:paraId="7757B688">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zh-CN" w:eastAsia="zh-CN" w:bidi="ar-SA"/>
          <w14:textFill>
            <w14:solidFill>
              <w14:schemeClr w14:val="tx1"/>
            </w14:solidFill>
          </w14:textFill>
        </w:rPr>
        <w:t>区域和具体绩效目标</w:t>
      </w: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设置：</w:t>
      </w:r>
    </w:p>
    <w:p w14:paraId="7647131E">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数量指标：支持个体户“个转企”。重点支持优质的中小企业发展项目数≤115户。</w:t>
      </w:r>
    </w:p>
    <w:p w14:paraId="10773AE0">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质量指标：个转企完成质量。个体工商户转型为现代公司制企业≥90%。</w:t>
      </w:r>
    </w:p>
    <w:p w14:paraId="60146C56">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时效指标：项目完成时间2024年12月前。</w:t>
      </w:r>
    </w:p>
    <w:p w14:paraId="105D610D">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成本指标：按照省市标准用于支持和服务企业≤115万元。</w:t>
      </w:r>
    </w:p>
    <w:p w14:paraId="10E2FEE5">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效益指标：企业发展信心进一步提高，“转企升规”社会氛围进一步提高，“转企升规”积极性进一步提升。</w:t>
      </w:r>
    </w:p>
    <w:p w14:paraId="36D01EC8">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满意度指标：企业满意度≥90%。</w:t>
      </w:r>
    </w:p>
    <w:p w14:paraId="0DB532C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简体" w:cs="Times New Roman"/>
          <w:sz w:val="32"/>
          <w:szCs w:val="32"/>
          <w:lang w:eastAsia="zh-CN"/>
        </w:rPr>
      </w:pPr>
      <w:r>
        <w:rPr>
          <w:rFonts w:hint="default" w:ascii="Times New Roman" w:hAnsi="Times New Roman" w:eastAsia="方正黑体简体" w:cs="Times New Roman"/>
          <w:sz w:val="32"/>
          <w:szCs w:val="32"/>
        </w:rPr>
        <w:t>二、</w:t>
      </w:r>
      <w:r>
        <w:rPr>
          <w:rFonts w:hint="default" w:ascii="Times New Roman" w:hAnsi="Times New Roman" w:eastAsia="方正黑体简体" w:cs="Times New Roman"/>
          <w:sz w:val="32"/>
          <w:szCs w:val="32"/>
          <w:lang w:eastAsia="zh-CN"/>
        </w:rPr>
        <w:t>评价实施</w:t>
      </w:r>
    </w:p>
    <w:p w14:paraId="79027A5E">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（一）评价目的</w:t>
      </w:r>
    </w:p>
    <w:p w14:paraId="56D173D8">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全面、科学的评估“转企升规”专项资金使用效益，总结经验，查找存在的问题，为后续资金管理和决策提供有力依据，进一步规范财政资金的管理，强化财政支出绩效理念，提升单位责任意识，提高资金使用效益。</w:t>
      </w:r>
    </w:p>
    <w:p w14:paraId="6DA0CC4B">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eastAsia" w:ascii="楷体_GB2312" w:hAnsi="楷体_GB2312" w:eastAsia="楷体_GB2312" w:cs="楷体_GB2312"/>
          <w:b/>
          <w:color w:val="auto"/>
          <w:sz w:val="32"/>
          <w:szCs w:val="32"/>
          <w:highlight w:val="none"/>
          <w:lang w:val="zh-CN" w:eastAsia="zh-CN"/>
        </w:rPr>
        <w:t>（二）</w:t>
      </w:r>
      <w:r>
        <w:rPr>
          <w:rFonts w:hint="default" w:ascii="楷体_GB2312" w:hAnsi="楷体_GB2312" w:eastAsia="楷体_GB2312" w:cs="楷体_GB2312"/>
          <w:b/>
          <w:color w:val="auto"/>
          <w:sz w:val="32"/>
          <w:szCs w:val="32"/>
          <w:highlight w:val="none"/>
          <w:lang w:val="zh-CN" w:eastAsia="zh-CN"/>
        </w:rPr>
        <w:t>预设问题及评价重点</w:t>
      </w:r>
    </w:p>
    <w:p w14:paraId="32A48065">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1.资金使用是否符合预算安排和资金管理办法。</w:t>
      </w:r>
    </w:p>
    <w:p w14:paraId="4F385E4D">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2.项目是否按时完成，目标是否达成。</w:t>
      </w:r>
    </w:p>
    <w:p w14:paraId="744B7CF7">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3.企业对补助资金的满意度是否达到预期。</w:t>
      </w:r>
    </w:p>
    <w:p w14:paraId="2E77816A">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（三）评价选点</w:t>
      </w:r>
    </w:p>
    <w:p w14:paraId="0AFAE57B">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kern w:val="2"/>
          <w:sz w:val="32"/>
          <w:szCs w:val="32"/>
          <w:lang w:val="zh-CN"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zh-CN" w:eastAsia="zh-CN" w:bidi="ar-SA"/>
          <w14:textFill>
            <w14:solidFill>
              <w14:schemeClr w14:val="tx1"/>
            </w14:solidFill>
          </w14:textFill>
        </w:rPr>
        <w:t>项目绩效自评所抽样点位遂宁市安居区市场监督管理局，覆盖辖区企业。</w:t>
      </w:r>
    </w:p>
    <w:p w14:paraId="7094DEDA">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（四）评价方法</w:t>
      </w:r>
    </w:p>
    <w:p w14:paraId="6F4D97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default" w:ascii="Times New Roman" w:hAnsi="Times New Roman" w:eastAsia="方正仿宋简体" w:cs="Times New Roman"/>
          <w:sz w:val="32"/>
          <w:szCs w:val="32"/>
          <w:lang w:eastAsia="zh-CN"/>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该项目主要是通过单位自评法进行评价。</w:t>
      </w:r>
    </w:p>
    <w:p w14:paraId="2942F923">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w:t>
      </w:r>
      <w:r>
        <w:rPr>
          <w:rFonts w:hint="default" w:ascii="楷体_GB2312" w:hAnsi="楷体_GB2312" w:eastAsia="楷体_GB2312" w:cs="楷体_GB2312"/>
          <w:b/>
          <w:color w:val="auto"/>
          <w:sz w:val="32"/>
          <w:szCs w:val="32"/>
          <w:highlight w:val="none"/>
          <w:lang w:val="en-US" w:eastAsia="zh-CN"/>
        </w:rPr>
        <w:t>五</w:t>
      </w:r>
      <w:r>
        <w:rPr>
          <w:rFonts w:hint="default" w:ascii="楷体_GB2312" w:hAnsi="楷体_GB2312" w:eastAsia="楷体_GB2312" w:cs="楷体_GB2312"/>
          <w:b/>
          <w:color w:val="auto"/>
          <w:sz w:val="32"/>
          <w:szCs w:val="32"/>
          <w:highlight w:val="none"/>
          <w:lang w:val="zh-CN" w:eastAsia="zh-CN"/>
        </w:rPr>
        <w:t>）评价组织</w:t>
      </w:r>
    </w:p>
    <w:p w14:paraId="75B1C9FE">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kern w:val="2"/>
          <w:sz w:val="32"/>
          <w:szCs w:val="32"/>
          <w:lang w:val="zh-CN"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zh-CN" w:eastAsia="zh-CN" w:bidi="ar-SA"/>
          <w14:textFill>
            <w14:solidFill>
              <w14:schemeClr w14:val="tx1"/>
            </w14:solidFill>
          </w14:textFill>
        </w:rPr>
        <w:t>评价组人员主要由相关股室、办公室人员构成，相关股室负责项目的实施、绩效评价，办公室负责项目的监管。</w:t>
      </w:r>
    </w:p>
    <w:p w14:paraId="7A568FC8">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方正仿宋简体" w:cs="Times New Roman"/>
          <w:color w:val="auto"/>
          <w:sz w:val="32"/>
          <w:szCs w:val="32"/>
          <w:highlight w:val="none"/>
          <w:u w:val="none"/>
          <w:lang w:val="zh-CN"/>
        </w:rPr>
      </w:pPr>
      <w:r>
        <w:rPr>
          <w:rFonts w:hint="default" w:ascii="Times New Roman" w:hAnsi="Times New Roman" w:eastAsia="方正黑体简体" w:cs="Times New Roman"/>
          <w:sz w:val="32"/>
          <w:szCs w:val="32"/>
        </w:rPr>
        <w:t>三、</w:t>
      </w:r>
      <w:r>
        <w:rPr>
          <w:rFonts w:hint="default" w:ascii="Times New Roman" w:hAnsi="Times New Roman" w:eastAsia="方正黑体简体" w:cs="Times New Roman"/>
          <w:sz w:val="32"/>
          <w:szCs w:val="32"/>
          <w:lang w:eastAsia="zh-CN"/>
        </w:rPr>
        <w:t>绩效分析</w:t>
      </w:r>
      <w:r>
        <w:rPr>
          <w:rFonts w:hint="default" w:ascii="Times New Roman" w:hAnsi="Times New Roman" w:eastAsia="方正仿宋简体" w:cs="Times New Roman"/>
          <w:color w:val="auto"/>
          <w:sz w:val="32"/>
          <w:szCs w:val="32"/>
          <w:highlight w:val="none"/>
          <w:u w:val="none"/>
          <w:lang w:val="zh-CN"/>
        </w:rPr>
        <w:tab/>
      </w:r>
    </w:p>
    <w:p w14:paraId="794120D4">
      <w:pPr>
        <w:spacing w:line="600" w:lineRule="exact"/>
        <w:ind w:firstLine="640"/>
        <w:outlineLvl w:val="2"/>
        <w:rPr>
          <w:rFonts w:hint="default" w:ascii="楷体_GB2312" w:hAnsi="楷体_GB2312" w:eastAsia="楷体_GB2312" w:cs="楷体_GB2312"/>
          <w:b/>
          <w:color w:val="auto"/>
          <w:sz w:val="32"/>
          <w:szCs w:val="32"/>
          <w:highlight w:val="none"/>
          <w:lang w:val="en-US" w:eastAsia="zh-CN"/>
        </w:rPr>
      </w:pPr>
      <w:r>
        <w:rPr>
          <w:rFonts w:hint="default" w:ascii="楷体_GB2312" w:hAnsi="楷体_GB2312" w:eastAsia="楷体_GB2312" w:cs="楷体_GB2312"/>
          <w:b/>
          <w:color w:val="auto"/>
          <w:sz w:val="32"/>
          <w:szCs w:val="32"/>
          <w:highlight w:val="none"/>
          <w:lang w:val="zh-CN" w:eastAsia="zh-CN"/>
        </w:rPr>
        <w:t>（一）</w:t>
      </w:r>
      <w:r>
        <w:rPr>
          <w:rFonts w:hint="default" w:ascii="楷体_GB2312" w:hAnsi="楷体_GB2312" w:eastAsia="楷体_GB2312" w:cs="楷体_GB2312"/>
          <w:b/>
          <w:color w:val="auto"/>
          <w:sz w:val="32"/>
          <w:szCs w:val="32"/>
          <w:highlight w:val="none"/>
          <w:lang w:val="en-US" w:eastAsia="zh-CN"/>
        </w:rPr>
        <w:t>通用指标</w:t>
      </w:r>
      <w:r>
        <w:rPr>
          <w:rFonts w:hint="default" w:ascii="楷体_GB2312" w:hAnsi="楷体_GB2312" w:eastAsia="楷体_GB2312" w:cs="楷体_GB2312"/>
          <w:b/>
          <w:color w:val="auto"/>
          <w:sz w:val="32"/>
          <w:szCs w:val="32"/>
          <w:highlight w:val="none"/>
          <w:lang w:val="zh-CN" w:eastAsia="zh-CN"/>
        </w:rPr>
        <w:t>绩效分析</w:t>
      </w:r>
    </w:p>
    <w:p w14:paraId="2D3AABC4">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1.项目决策。项目决策程序严密，符合资金管理基本规范和决策程序要求。项目规划符合</w:t>
      </w:r>
      <w:r>
        <w:rPr>
          <w:rFonts w:hint="eastAsia" w:eastAsia="仿宋" w:cs="Times New Roman"/>
          <w:color w:val="000000" w:themeColor="text1"/>
          <w:kern w:val="2"/>
          <w:sz w:val="32"/>
          <w:szCs w:val="32"/>
          <w:lang w:val="en-US" w:eastAsia="zh-CN" w:bidi="ar-SA"/>
          <w14:textFill>
            <w14:solidFill>
              <w14:schemeClr w14:val="tx1"/>
            </w14:solidFill>
          </w14:textFill>
        </w:rPr>
        <w:t>中央、省委</w:t>
      </w: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市要求，绩效目标设置科学合理，资金投向符合本地实际，符合政府支持范围和财政事权支出责任划分规定</w:t>
      </w:r>
    </w:p>
    <w:p w14:paraId="0AE4C305">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2.项目管理。紧紧围绕财经法规和内部财务管理制度的规定开支，资金支付有完整的审批程序和手续，做到专款专用，保证资金使用合规性，资金使用无截留、挤占、挪用、虚列支出等，全过程实行绩效监控，确保项目顺利完成。</w:t>
      </w:r>
    </w:p>
    <w:p w14:paraId="23757FBE">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3.项目实施。项目资金财政拨付及时，资金使用和项目实施符合规定，单位执行到位。</w:t>
      </w:r>
    </w:p>
    <w:p w14:paraId="74A4846B">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4.项目结果。项目目标基本达成，实施结果与绩效目标相匹配。</w:t>
      </w:r>
    </w:p>
    <w:p w14:paraId="2FEAA17B">
      <w:pPr>
        <w:spacing w:line="600" w:lineRule="exact"/>
        <w:ind w:firstLine="640"/>
        <w:outlineLvl w:val="2"/>
        <w:rPr>
          <w:rFonts w:hint="default" w:ascii="楷体_GB2312" w:hAnsi="楷体_GB2312" w:eastAsia="楷体_GB2312" w:cs="楷体_GB2312"/>
          <w:b/>
          <w:color w:val="auto"/>
          <w:sz w:val="32"/>
          <w:szCs w:val="32"/>
          <w:highlight w:val="none"/>
          <w:lang w:val="zh-CN" w:eastAsia="zh-CN"/>
        </w:rPr>
      </w:pPr>
      <w:r>
        <w:rPr>
          <w:rFonts w:hint="default" w:ascii="楷体_GB2312" w:hAnsi="楷体_GB2312" w:eastAsia="楷体_GB2312" w:cs="楷体_GB2312"/>
          <w:b/>
          <w:color w:val="auto"/>
          <w:sz w:val="32"/>
          <w:szCs w:val="32"/>
          <w:highlight w:val="none"/>
          <w:lang w:val="zh-CN" w:eastAsia="zh-CN"/>
        </w:rPr>
        <w:t>（二）</w:t>
      </w:r>
      <w:r>
        <w:rPr>
          <w:rFonts w:hint="default" w:ascii="楷体_GB2312" w:hAnsi="楷体_GB2312" w:eastAsia="楷体_GB2312" w:cs="楷体_GB2312"/>
          <w:b/>
          <w:color w:val="auto"/>
          <w:sz w:val="32"/>
          <w:szCs w:val="32"/>
          <w:highlight w:val="none"/>
          <w:lang w:val="en-US" w:eastAsia="zh-CN"/>
        </w:rPr>
        <w:t>专用指标</w:t>
      </w:r>
      <w:r>
        <w:rPr>
          <w:rFonts w:hint="default" w:ascii="楷体_GB2312" w:hAnsi="楷体_GB2312" w:eastAsia="楷体_GB2312" w:cs="楷体_GB2312"/>
          <w:b/>
          <w:color w:val="auto"/>
          <w:sz w:val="32"/>
          <w:szCs w:val="32"/>
          <w:highlight w:val="none"/>
          <w:lang w:val="zh-CN" w:eastAsia="zh-CN"/>
        </w:rPr>
        <w:t>绩效分析</w:t>
      </w:r>
    </w:p>
    <w:p w14:paraId="45E396EE">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zh-CN" w:eastAsia="zh-CN" w:bidi="ar-SA"/>
          <w14:textFill>
            <w14:solidFill>
              <w14:schemeClr w14:val="tx1"/>
            </w14:solidFill>
          </w14:textFill>
        </w:rPr>
        <w:t>该项目属于产业发展</w:t>
      </w: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类</w:t>
      </w:r>
      <w:r>
        <w:rPr>
          <w:rFonts w:hint="default" w:ascii="Times New Roman" w:hAnsi="Times New Roman" w:eastAsia="仿宋" w:cs="Times New Roman"/>
          <w:color w:val="000000" w:themeColor="text1"/>
          <w:kern w:val="2"/>
          <w:sz w:val="32"/>
          <w:szCs w:val="32"/>
          <w:lang w:val="zh-CN" w:eastAsia="zh-CN" w:bidi="ar-SA"/>
          <w14:textFill>
            <w14:solidFill>
              <w14:schemeClr w14:val="tx1"/>
            </w14:solidFill>
          </w14:textFill>
        </w:rPr>
        <w:t>。项目</w:t>
      </w: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资金用于企业补助，符合规定，审批程序合规，满意度评价达100%。</w:t>
      </w:r>
    </w:p>
    <w:p w14:paraId="1596681E">
      <w:pPr>
        <w:spacing w:line="600" w:lineRule="exact"/>
        <w:ind w:firstLine="640"/>
        <w:outlineLvl w:val="2"/>
        <w:rPr>
          <w:rFonts w:hint="default" w:ascii="楷体_GB2312" w:hAnsi="楷体_GB2312" w:eastAsia="楷体_GB2312" w:cs="楷体_GB2312"/>
          <w:b/>
          <w:color w:val="auto"/>
          <w:sz w:val="32"/>
          <w:szCs w:val="32"/>
          <w:highlight w:val="none"/>
          <w:lang w:val="en-US" w:eastAsia="zh-CN"/>
        </w:rPr>
      </w:pPr>
      <w:r>
        <w:rPr>
          <w:rFonts w:hint="default" w:ascii="楷体_GB2312" w:hAnsi="楷体_GB2312" w:eastAsia="楷体_GB2312" w:cs="楷体_GB2312"/>
          <w:b/>
          <w:color w:val="auto"/>
          <w:sz w:val="32"/>
          <w:szCs w:val="32"/>
          <w:highlight w:val="none"/>
          <w:lang w:val="zh-CN" w:eastAsia="zh-CN"/>
        </w:rPr>
        <w:t>（三）</w:t>
      </w:r>
      <w:r>
        <w:rPr>
          <w:rFonts w:hint="default" w:ascii="楷体_GB2312" w:hAnsi="楷体_GB2312" w:eastAsia="楷体_GB2312" w:cs="楷体_GB2312"/>
          <w:b/>
          <w:color w:val="auto"/>
          <w:sz w:val="32"/>
          <w:szCs w:val="32"/>
          <w:highlight w:val="none"/>
          <w:lang w:val="en-US" w:eastAsia="zh-CN"/>
        </w:rPr>
        <w:t>个性指标</w:t>
      </w:r>
      <w:r>
        <w:rPr>
          <w:rFonts w:hint="default" w:ascii="楷体_GB2312" w:hAnsi="楷体_GB2312" w:eastAsia="楷体_GB2312" w:cs="楷体_GB2312"/>
          <w:b/>
          <w:color w:val="auto"/>
          <w:sz w:val="32"/>
          <w:szCs w:val="32"/>
          <w:highlight w:val="none"/>
          <w:lang w:val="zh-CN" w:eastAsia="zh-CN"/>
        </w:rPr>
        <w:t>绩效分析</w:t>
      </w:r>
    </w:p>
    <w:p w14:paraId="48881678">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zh-CN" w:eastAsia="zh-CN" w:bidi="ar-SA"/>
          <w14:textFill>
            <w14:solidFill>
              <w14:schemeClr w14:val="tx1"/>
            </w14:solidFill>
          </w14:textFill>
        </w:rPr>
        <w:t>（1）数量指标：</w:t>
      </w: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支持个体户“个转企”。重点支持优质的中小企业发展项目数≤115户。</w:t>
      </w:r>
    </w:p>
    <w:p w14:paraId="053F12C6">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kern w:val="2"/>
          <w:sz w:val="32"/>
          <w:szCs w:val="32"/>
          <w:lang w:val="zh-CN"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完成情况：2024年度共重点支持优质的中小企业发展项目数114户，其中2022年度“个转企”66户、2023年度“个转企”48户。</w:t>
      </w:r>
    </w:p>
    <w:p w14:paraId="69AA5E62">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（2）质量指标：个转企完成质量。个体工商户转型为现代公司制企业≥90%。</w:t>
      </w:r>
    </w:p>
    <w:p w14:paraId="36F112B5">
      <w:pPr>
        <w:pStyle w:val="9"/>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完成情况：个体工商户转型为现代公司制企业≥90%。</w:t>
      </w:r>
    </w:p>
    <w:p w14:paraId="6C96FB45">
      <w:pPr>
        <w:keepNext w:val="0"/>
        <w:keepLines w:val="0"/>
        <w:pageBreakBefore w:val="0"/>
        <w:widowControl w:val="0"/>
        <w:kinsoku/>
        <w:wordWrap/>
        <w:overflowPunct/>
        <w:topLinePunct w:val="0"/>
        <w:autoSpaceDE/>
        <w:autoSpaceDN/>
        <w:bidi w:val="0"/>
        <w:adjustRightInd/>
        <w:snapToGrid/>
        <w:spacing w:after="0" w:line="600" w:lineRule="exact"/>
        <w:ind w:firstLine="640"/>
        <w:jc w:val="both"/>
        <w:textAlignment w:val="auto"/>
        <w:outlineLvl w:val="9"/>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（3）时间指标。项目完成时间2024年12月前。</w:t>
      </w:r>
    </w:p>
    <w:p w14:paraId="2E9698A7">
      <w:pPr>
        <w:keepNext w:val="0"/>
        <w:keepLines w:val="0"/>
        <w:pageBreakBefore w:val="0"/>
        <w:widowControl w:val="0"/>
        <w:kinsoku/>
        <w:wordWrap/>
        <w:overflowPunct/>
        <w:topLinePunct w:val="0"/>
        <w:autoSpaceDE/>
        <w:autoSpaceDN/>
        <w:bidi w:val="0"/>
        <w:adjustRightInd/>
        <w:snapToGrid/>
        <w:spacing w:after="0" w:line="600" w:lineRule="exact"/>
        <w:ind w:firstLine="640"/>
        <w:jc w:val="both"/>
        <w:textAlignment w:val="auto"/>
        <w:outlineLvl w:val="9"/>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完成情况：项目完成时间2024年。</w:t>
      </w:r>
    </w:p>
    <w:p w14:paraId="0048EFB8">
      <w:pPr>
        <w:keepNext w:val="0"/>
        <w:keepLines w:val="0"/>
        <w:pageBreakBefore w:val="0"/>
        <w:widowControl w:val="0"/>
        <w:kinsoku/>
        <w:wordWrap/>
        <w:overflowPunct/>
        <w:topLinePunct w:val="0"/>
        <w:autoSpaceDE/>
        <w:autoSpaceDN/>
        <w:bidi w:val="0"/>
        <w:adjustRightInd/>
        <w:snapToGrid/>
        <w:spacing w:after="0" w:line="600" w:lineRule="exact"/>
        <w:ind w:firstLine="640"/>
        <w:jc w:val="both"/>
        <w:textAlignment w:val="auto"/>
        <w:outlineLvl w:val="9"/>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（4）成本指标。按照省市标准用于支持和服务企业≤115万元。</w:t>
      </w:r>
    </w:p>
    <w:p w14:paraId="7C213490">
      <w:pPr>
        <w:keepNext w:val="0"/>
        <w:keepLines w:val="0"/>
        <w:pageBreakBefore w:val="0"/>
        <w:widowControl w:val="0"/>
        <w:kinsoku/>
        <w:wordWrap/>
        <w:overflowPunct/>
        <w:topLinePunct w:val="0"/>
        <w:autoSpaceDE/>
        <w:autoSpaceDN/>
        <w:bidi w:val="0"/>
        <w:adjustRightInd/>
        <w:snapToGrid/>
        <w:spacing w:after="0" w:line="600" w:lineRule="exact"/>
        <w:ind w:firstLine="640"/>
        <w:jc w:val="both"/>
        <w:textAlignment w:val="auto"/>
        <w:outlineLvl w:val="9"/>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完成情况：按照省市标准用于支持和服务企业113.85万元。</w:t>
      </w:r>
    </w:p>
    <w:p w14:paraId="0521BDA2">
      <w:pPr>
        <w:keepNext w:val="0"/>
        <w:keepLines w:val="0"/>
        <w:pageBreakBefore w:val="0"/>
        <w:widowControl w:val="0"/>
        <w:kinsoku/>
        <w:wordWrap/>
        <w:overflowPunct/>
        <w:topLinePunct w:val="0"/>
        <w:autoSpaceDE/>
        <w:autoSpaceDN/>
        <w:bidi w:val="0"/>
        <w:adjustRightInd/>
        <w:snapToGrid/>
        <w:spacing w:after="0" w:line="600" w:lineRule="exact"/>
        <w:ind w:firstLine="640"/>
        <w:jc w:val="both"/>
        <w:textAlignment w:val="auto"/>
        <w:outlineLvl w:val="9"/>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（5）效益指标。企业发展信心进一步提高，“转企升规”社会氛围进一步提高，“转企升规”积极性进一步提升。</w:t>
      </w:r>
    </w:p>
    <w:p w14:paraId="5E2D3FB6">
      <w:pPr>
        <w:keepNext w:val="0"/>
        <w:keepLines w:val="0"/>
        <w:pageBreakBefore w:val="0"/>
        <w:widowControl w:val="0"/>
        <w:kinsoku/>
        <w:wordWrap/>
        <w:overflowPunct/>
        <w:topLinePunct w:val="0"/>
        <w:autoSpaceDE/>
        <w:autoSpaceDN/>
        <w:bidi w:val="0"/>
        <w:adjustRightInd/>
        <w:snapToGrid/>
        <w:spacing w:after="0" w:line="600" w:lineRule="exact"/>
        <w:ind w:firstLine="640"/>
        <w:jc w:val="both"/>
        <w:textAlignment w:val="auto"/>
        <w:outlineLvl w:val="9"/>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完成情况：企业发展信心进一步提高，“转企升规”社会氛围进一步提高，“转企升规”积极性进一步提升。</w:t>
      </w:r>
    </w:p>
    <w:p w14:paraId="4B4D32B3">
      <w:pPr>
        <w:keepNext w:val="0"/>
        <w:keepLines w:val="0"/>
        <w:pageBreakBefore w:val="0"/>
        <w:widowControl w:val="0"/>
        <w:kinsoku/>
        <w:wordWrap/>
        <w:overflowPunct/>
        <w:topLinePunct w:val="0"/>
        <w:autoSpaceDE/>
        <w:autoSpaceDN/>
        <w:bidi w:val="0"/>
        <w:adjustRightInd/>
        <w:snapToGrid/>
        <w:spacing w:after="0" w:line="600" w:lineRule="exact"/>
        <w:ind w:firstLine="640"/>
        <w:jc w:val="both"/>
        <w:textAlignment w:val="auto"/>
        <w:outlineLvl w:val="9"/>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（6）满意度指标。企业满意度≥90%。</w:t>
      </w:r>
    </w:p>
    <w:p w14:paraId="68E43267">
      <w:pPr>
        <w:keepNext w:val="0"/>
        <w:keepLines w:val="0"/>
        <w:pageBreakBefore w:val="0"/>
        <w:widowControl w:val="0"/>
        <w:kinsoku/>
        <w:wordWrap/>
        <w:overflowPunct/>
        <w:topLinePunct w:val="0"/>
        <w:autoSpaceDE/>
        <w:autoSpaceDN/>
        <w:bidi w:val="0"/>
        <w:adjustRightInd/>
        <w:snapToGrid/>
        <w:spacing w:after="0" w:line="600" w:lineRule="exact"/>
        <w:ind w:firstLine="640"/>
        <w:jc w:val="both"/>
        <w:textAlignment w:val="auto"/>
        <w:outlineLvl w:val="9"/>
        <w:rPr>
          <w:rFonts w:hint="default" w:ascii="Times New Roman" w:hAnsi="Times New Roman" w:eastAsia="方正仿宋简体" w:cs="Times New Roman"/>
          <w:color w:val="auto"/>
          <w:kern w:val="2"/>
          <w:sz w:val="32"/>
          <w:szCs w:val="32"/>
          <w:lang w:val="en-US" w:eastAsia="zh-CN"/>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完成情况：企业满意度100%。</w:t>
      </w:r>
    </w:p>
    <w:p w14:paraId="733D7FAC">
      <w:pPr>
        <w:pStyle w:val="10"/>
        <w:keepNext w:val="0"/>
        <w:keepLines w:val="0"/>
        <w:pageBreakBefore w:val="0"/>
        <w:numPr>
          <w:ilvl w:val="0"/>
          <w:numId w:val="0"/>
        </w:numPr>
        <w:tabs>
          <w:tab w:val="left" w:pos="2160"/>
        </w:tabs>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方正仿宋简体" w:cs="Times New Roman"/>
          <w:color w:val="auto"/>
          <w:sz w:val="32"/>
          <w:szCs w:val="32"/>
          <w:highlight w:val="none"/>
          <w:u w:val="none"/>
        </w:rPr>
      </w:pPr>
      <w:r>
        <w:rPr>
          <w:rFonts w:hint="default" w:ascii="Times New Roman" w:hAnsi="Times New Roman" w:eastAsia="方正黑体简体" w:cs="Times New Roman"/>
          <w:kern w:val="2"/>
          <w:sz w:val="32"/>
          <w:szCs w:val="32"/>
          <w:lang w:val="en-US" w:eastAsia="zh-CN" w:bidi="ar-SA"/>
        </w:rPr>
        <w:t>四、评价结论</w:t>
      </w:r>
    </w:p>
    <w:p w14:paraId="2005100F">
      <w:pPr>
        <w:pStyle w:val="10"/>
        <w:keepNext w:val="0"/>
        <w:keepLines w:val="0"/>
        <w:pageBreakBefore w:val="0"/>
        <w:numPr>
          <w:ilvl w:val="0"/>
          <w:numId w:val="0"/>
        </w:numPr>
        <w:tabs>
          <w:tab w:val="left" w:pos="2160"/>
        </w:tabs>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“转企升规”激励资金项目实施情况良好，资金使用合规，目标达成率高，企业满意度高。绩效自评总体得分为100分，评价结果为优。</w:t>
      </w:r>
    </w:p>
    <w:p w14:paraId="56D9DCCA">
      <w:pPr>
        <w:pStyle w:val="10"/>
        <w:keepNext w:val="0"/>
        <w:keepLines w:val="0"/>
        <w:pageBreakBefore w:val="0"/>
        <w:numPr>
          <w:ilvl w:val="0"/>
          <w:numId w:val="0"/>
        </w:numPr>
        <w:tabs>
          <w:tab w:val="left" w:pos="2160"/>
        </w:tabs>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方正黑体简体" w:cs="Times New Roman"/>
          <w:kern w:val="2"/>
          <w:sz w:val="32"/>
          <w:szCs w:val="32"/>
          <w:lang w:val="en-US" w:eastAsia="zh-CN" w:bidi="ar-SA"/>
        </w:rPr>
      </w:pPr>
      <w:r>
        <w:rPr>
          <w:rFonts w:hint="default" w:ascii="Times New Roman" w:hAnsi="Times New Roman" w:eastAsia="方正黑体简体" w:cs="Times New Roman"/>
          <w:kern w:val="2"/>
          <w:sz w:val="32"/>
          <w:szCs w:val="32"/>
          <w:lang w:val="en-US" w:eastAsia="zh-CN" w:bidi="ar-SA"/>
        </w:rPr>
        <w:t>五、存在主要问题</w:t>
      </w:r>
    </w:p>
    <w:p w14:paraId="2E2D94AA">
      <w:pPr>
        <w:pStyle w:val="10"/>
        <w:keepNext w:val="0"/>
        <w:keepLines w:val="0"/>
        <w:pageBreakBefore w:val="0"/>
        <w:numPr>
          <w:ilvl w:val="0"/>
          <w:numId w:val="0"/>
        </w:numPr>
        <w:tabs>
          <w:tab w:val="left" w:pos="2160"/>
        </w:tabs>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方正仿宋简体" w:cs="Times New Roman"/>
          <w:b w:val="0"/>
          <w:bCs w:val="0"/>
          <w:kern w:val="2"/>
          <w:position w:val="0"/>
          <w:sz w:val="32"/>
          <w:szCs w:val="32"/>
          <w:highlight w:val="none"/>
          <w:lang w:val="en-US" w:eastAsia="zh-CN" w:bidi="ar-SA"/>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无。</w:t>
      </w:r>
    </w:p>
    <w:p w14:paraId="2EF0AD72">
      <w:pPr>
        <w:pStyle w:val="10"/>
        <w:keepNext w:val="0"/>
        <w:keepLines w:val="0"/>
        <w:pageBreakBefore w:val="0"/>
        <w:numPr>
          <w:ilvl w:val="0"/>
          <w:numId w:val="0"/>
        </w:numPr>
        <w:tabs>
          <w:tab w:val="left" w:pos="2160"/>
        </w:tabs>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方正黑体简体" w:cs="Times New Roman"/>
          <w:kern w:val="2"/>
          <w:sz w:val="32"/>
          <w:szCs w:val="32"/>
          <w:lang w:val="zh-CN" w:eastAsia="zh-CN" w:bidi="ar-SA"/>
        </w:rPr>
      </w:pPr>
      <w:r>
        <w:rPr>
          <w:rFonts w:hint="default" w:ascii="Times New Roman" w:hAnsi="Times New Roman" w:eastAsia="方正黑体简体" w:cs="Times New Roman"/>
          <w:kern w:val="2"/>
          <w:sz w:val="32"/>
          <w:szCs w:val="32"/>
          <w:lang w:val="zh-CN" w:eastAsia="zh-CN" w:bidi="ar-SA"/>
        </w:rPr>
        <w:t>六、改进建议</w:t>
      </w:r>
    </w:p>
    <w:p w14:paraId="251861B1">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无。</w:t>
      </w:r>
    </w:p>
    <w:p w14:paraId="524F2307">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kern w:val="2"/>
          <w:sz w:val="32"/>
          <w:szCs w:val="32"/>
          <w:lang w:val="en" w:eastAsia="zh-CN" w:bidi="ar-SA"/>
          <w14:textFill>
            <w14:solidFill>
              <w14:schemeClr w14:val="tx1"/>
            </w14:solidFill>
          </w14:textFill>
        </w:rPr>
      </w:pPr>
    </w:p>
    <w:p w14:paraId="0A6BF1B5">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sectPr>
          <w:footerReference r:id="rId17" w:type="default"/>
          <w:pgSz w:w="11906" w:h="16838"/>
          <w:pgMar w:top="1157" w:right="1463" w:bottom="1157" w:left="1463" w:header="851" w:footer="992" w:gutter="0"/>
          <w:pgNumType w:fmt="decimal"/>
          <w:cols w:space="425" w:num="1"/>
          <w:docGrid w:type="lines" w:linePitch="312" w:charSpace="0"/>
        </w:sect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附表：专项资金绩效目标完成情况自评表</w:t>
      </w:r>
    </w:p>
    <w:p w14:paraId="1828E76E">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contextualSpacing/>
        <w:jc w:val="left"/>
        <w:textAlignment w:val="auto"/>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pPr>
      <w:r>
        <w:rPr>
          <w:rFonts w:hint="default" w:ascii="Times New Roman" w:hAnsi="Times New Roman" w:eastAsia="黑体" w:cs="Times New Roman"/>
          <w:b w:val="0"/>
          <w:bCs w:val="0"/>
          <w:color w:val="auto"/>
          <w:kern w:val="0"/>
          <w:sz w:val="32"/>
          <w:szCs w:val="32"/>
          <w:highlight w:val="none"/>
          <w:u w:val="none"/>
          <w:shd w:val="clear" w:color="auto" w:fill="FFFFFF"/>
          <w:lang w:val="zh-CN" w:eastAsia="zh-CN"/>
        </w:rPr>
        <w:t>附表</w:t>
      </w:r>
    </w:p>
    <w:tbl>
      <w:tblPr>
        <w:tblStyle w:val="2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73"/>
        <w:gridCol w:w="951"/>
        <w:gridCol w:w="1099"/>
        <w:gridCol w:w="1157"/>
        <w:gridCol w:w="991"/>
        <w:gridCol w:w="852"/>
        <w:gridCol w:w="935"/>
        <w:gridCol w:w="824"/>
        <w:gridCol w:w="1628"/>
      </w:tblGrid>
      <w:tr w14:paraId="6D2D6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5000" w:type="pct"/>
            <w:gridSpan w:val="9"/>
            <w:shd w:val="clear" w:color="auto" w:fill="auto"/>
            <w:vAlign w:val="center"/>
          </w:tcPr>
          <w:p w14:paraId="0D36976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Times New Roman" w:hAnsi="Times New Roman" w:cs="Times New Roman"/>
                <w:sz w:val="32"/>
                <w:szCs w:val="32"/>
              </w:rPr>
            </w:pPr>
            <w:r>
              <w:rPr>
                <w:rFonts w:hint="default" w:ascii="Times New Roman" w:hAnsi="Times New Roman" w:eastAsia="黑体" w:cs="Times New Roman"/>
                <w:b w:val="0"/>
                <w:bCs w:val="0"/>
                <w:i w:val="0"/>
                <w:color w:val="000000"/>
                <w:kern w:val="0"/>
                <w:sz w:val="32"/>
                <w:szCs w:val="32"/>
                <w:u w:val="none"/>
                <w:lang w:val="en-US" w:eastAsia="zh-CN" w:bidi="ar"/>
              </w:rPr>
              <w:t>专项资金绩效目标完成情况自评表</w:t>
            </w:r>
          </w:p>
        </w:tc>
      </w:tr>
      <w:tr w14:paraId="53A5E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0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4242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29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79E7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“转企升规”激励资金</w:t>
            </w:r>
          </w:p>
        </w:tc>
      </w:tr>
      <w:tr w14:paraId="30158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0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1197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预算单位</w:t>
            </w:r>
          </w:p>
        </w:tc>
        <w:tc>
          <w:tcPr>
            <w:tcW w:w="29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EF04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遂宁市安居区市场监督管理局</w:t>
            </w:r>
          </w:p>
        </w:tc>
      </w:tr>
      <w:tr w14:paraId="3919F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0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8B7F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项目类型</w:t>
            </w:r>
          </w:p>
        </w:tc>
        <w:tc>
          <w:tcPr>
            <w:tcW w:w="29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AF7D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省、市、区专项</w:t>
            </w:r>
          </w:p>
        </w:tc>
      </w:tr>
      <w:tr w14:paraId="539D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jc w:val="center"/>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E6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 概况</w:t>
            </w:r>
          </w:p>
        </w:tc>
        <w:tc>
          <w:tcPr>
            <w:tcW w:w="17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4CA0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中长期规划（名称、文号，仅指常年项目）</w:t>
            </w:r>
          </w:p>
        </w:tc>
        <w:tc>
          <w:tcPr>
            <w:tcW w:w="29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59FA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促进个体工商户发展条例》、《四川省人民政府办公厅关于做好“十四五”时期“转企升规”工作的通知》（川办函〔2021〕91号）、《四川省人民政府办公厅印发关于进一步激发市场活力推动当前经济运行持续向好的若干政策措施的通知》（川办发〔2023〕32号）</w:t>
            </w:r>
          </w:p>
        </w:tc>
      </w:tr>
      <w:tr w14:paraId="0BD96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2D4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8A3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资金管理办法（名称、文号）</w:t>
            </w:r>
          </w:p>
        </w:tc>
        <w:tc>
          <w:tcPr>
            <w:tcW w:w="29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65B6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《关于下达2022年“转企升规”财政激励资金的通知》遂财建[2022]165号）</w:t>
            </w:r>
          </w:p>
        </w:tc>
      </w:tr>
      <w:tr w14:paraId="33D89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E61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800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绩效分配方式</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ED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sym w:font="Wingdings 2" w:char="00A3"/>
            </w:r>
            <w:r>
              <w:rPr>
                <w:rFonts w:hint="default" w:ascii="Times New Roman" w:hAnsi="Times New Roman" w:eastAsia="宋体" w:cs="Times New Roman"/>
                <w:i w:val="0"/>
                <w:iCs w:val="0"/>
                <w:color w:val="000000"/>
                <w:kern w:val="0"/>
                <w:sz w:val="18"/>
                <w:szCs w:val="18"/>
                <w:u w:val="none"/>
                <w:lang w:val="en-US" w:eastAsia="zh-CN" w:bidi="ar"/>
              </w:rPr>
              <w:t>因素法</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933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√项目法</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DC8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√据实据效</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B6E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£因素法与项目法相结合</w:t>
            </w:r>
          </w:p>
        </w:tc>
      </w:tr>
      <w:tr w14:paraId="36B4A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745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4B54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立项依据</w:t>
            </w:r>
          </w:p>
        </w:tc>
        <w:tc>
          <w:tcPr>
            <w:tcW w:w="29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B566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遂宁市人民政府办公室关于印发《遂宁市“小升规”工作实施方案（2022-2023年）》《遂宁市“个转企”工作实施方案（2022-2023年）》的通知</w:t>
            </w:r>
          </w:p>
        </w:tc>
      </w:tr>
      <w:tr w14:paraId="561DE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843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7FEE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使用范围</w:t>
            </w:r>
          </w:p>
        </w:tc>
        <w:tc>
          <w:tcPr>
            <w:tcW w:w="29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14D8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个体转型升级为企业</w:t>
            </w:r>
          </w:p>
        </w:tc>
      </w:tr>
      <w:tr w14:paraId="69AF8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33B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1BFC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申报（补助）条件</w:t>
            </w:r>
          </w:p>
        </w:tc>
        <w:tc>
          <w:tcPr>
            <w:tcW w:w="29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4FCC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符合“个转企”申报条件并升级成功</w:t>
            </w:r>
          </w:p>
        </w:tc>
      </w:tr>
      <w:tr w14:paraId="297FC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CDE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7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9F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项目起止年限</w:t>
            </w:r>
          </w:p>
        </w:tc>
        <w:tc>
          <w:tcPr>
            <w:tcW w:w="29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F06F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2023年-2024年</w:t>
            </w:r>
          </w:p>
        </w:tc>
      </w:tr>
      <w:tr w14:paraId="4EE72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124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项目资金</w:t>
            </w:r>
          </w:p>
          <w:p w14:paraId="29C533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2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394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  年度资金总额：</w:t>
            </w:r>
          </w:p>
        </w:tc>
        <w:tc>
          <w:tcPr>
            <w:tcW w:w="29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879B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113.85</w:t>
            </w:r>
          </w:p>
        </w:tc>
      </w:tr>
      <w:tr w14:paraId="148EE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8D5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119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      其中：财政拨款</w:t>
            </w:r>
          </w:p>
        </w:tc>
        <w:tc>
          <w:tcPr>
            <w:tcW w:w="29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010D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113.85</w:t>
            </w:r>
          </w:p>
        </w:tc>
      </w:tr>
      <w:tr w14:paraId="5C619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5" w:hRule="atLeast"/>
          <w:jc w:val="center"/>
        </w:trPr>
        <w:tc>
          <w:tcPr>
            <w:tcW w:w="8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C5C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C20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            其他资金</w:t>
            </w:r>
          </w:p>
        </w:tc>
        <w:tc>
          <w:tcPr>
            <w:tcW w:w="29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CFAA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7EFA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 w:hRule="atLeast"/>
          <w:jc w:val="center"/>
        </w:trPr>
        <w:tc>
          <w:tcPr>
            <w:tcW w:w="3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369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总体 目标</w:t>
            </w:r>
          </w:p>
        </w:tc>
        <w:tc>
          <w:tcPr>
            <w:tcW w:w="468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655F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年度目标</w:t>
            </w:r>
          </w:p>
        </w:tc>
      </w:tr>
      <w:tr w14:paraId="1BA53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jc w:val="center"/>
        </w:trPr>
        <w:tc>
          <w:tcPr>
            <w:tcW w:w="3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73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68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86A2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扩大经营规模、完善治理结构、提升市场竞争力</w:t>
            </w:r>
          </w:p>
        </w:tc>
      </w:tr>
      <w:tr w14:paraId="771FD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18" w:type="pct"/>
            <w:vMerge w:val="restart"/>
            <w:tcBorders>
              <w:top w:val="single" w:color="000000" w:sz="4" w:space="0"/>
              <w:left w:val="single" w:color="000000" w:sz="4" w:space="0"/>
              <w:bottom w:val="single" w:color="000000" w:sz="4" w:space="0"/>
            </w:tcBorders>
            <w:shd w:val="clear" w:color="auto" w:fill="auto"/>
            <w:vAlign w:val="center"/>
          </w:tcPr>
          <w:p w14:paraId="5E461F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绩效 指标</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421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95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BC7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278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488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CEA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4C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E80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实际完成指标值</w:t>
            </w:r>
          </w:p>
        </w:tc>
      </w:tr>
      <w:tr w14:paraId="3A5BE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18" w:type="pct"/>
            <w:vMerge w:val="continue"/>
            <w:tcBorders>
              <w:top w:val="single" w:color="000000" w:sz="4" w:space="0"/>
              <w:left w:val="single" w:color="000000" w:sz="4" w:space="0"/>
              <w:bottom w:val="single" w:color="000000" w:sz="4" w:space="0"/>
            </w:tcBorders>
            <w:shd w:val="clear" w:color="auto" w:fill="auto"/>
            <w:vAlign w:val="center"/>
          </w:tcPr>
          <w:p w14:paraId="5ABD82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411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801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5E6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重点支持优质的中小企业发展项目数</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BC8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ACE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880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户</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58E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24F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2024年度兑现114户</w:t>
            </w:r>
          </w:p>
        </w:tc>
      </w:tr>
      <w:tr w14:paraId="7A4F3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jc w:val="center"/>
        </w:trPr>
        <w:tc>
          <w:tcPr>
            <w:tcW w:w="318" w:type="pct"/>
            <w:vMerge w:val="continue"/>
            <w:tcBorders>
              <w:top w:val="single" w:color="000000" w:sz="4" w:space="0"/>
              <w:left w:val="single" w:color="000000" w:sz="4" w:space="0"/>
              <w:bottom w:val="single" w:color="000000" w:sz="4" w:space="0"/>
            </w:tcBorders>
            <w:shd w:val="clear" w:color="auto" w:fill="auto"/>
            <w:vAlign w:val="center"/>
          </w:tcPr>
          <w:p w14:paraId="0E17FA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73A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D3D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DF6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个体工商户转型为现代公司制企业</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E4B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EDC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3B3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10A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A68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≥90%</w:t>
            </w:r>
          </w:p>
        </w:tc>
      </w:tr>
      <w:tr w14:paraId="01308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18" w:type="pct"/>
            <w:vMerge w:val="continue"/>
            <w:tcBorders>
              <w:top w:val="single" w:color="000000" w:sz="4" w:space="0"/>
              <w:left w:val="single" w:color="000000" w:sz="4" w:space="0"/>
              <w:bottom w:val="single" w:color="000000" w:sz="4" w:space="0"/>
            </w:tcBorders>
            <w:shd w:val="clear" w:color="auto" w:fill="auto"/>
            <w:vAlign w:val="center"/>
          </w:tcPr>
          <w:p w14:paraId="11D78B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7F9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B08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55F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.项目完成时间</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420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6D5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2024年</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8B1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F62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DED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2024年</w:t>
            </w:r>
          </w:p>
        </w:tc>
      </w:tr>
      <w:tr w14:paraId="7EE16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0" w:hRule="atLeast"/>
          <w:jc w:val="center"/>
        </w:trPr>
        <w:tc>
          <w:tcPr>
            <w:tcW w:w="318" w:type="pct"/>
            <w:vMerge w:val="continue"/>
            <w:tcBorders>
              <w:top w:val="single" w:color="000000" w:sz="4" w:space="0"/>
              <w:left w:val="single" w:color="000000" w:sz="4" w:space="0"/>
              <w:bottom w:val="single" w:color="000000" w:sz="4" w:space="0"/>
            </w:tcBorders>
            <w:shd w:val="clear" w:color="auto" w:fill="auto"/>
            <w:vAlign w:val="center"/>
          </w:tcPr>
          <w:p w14:paraId="5FAEEB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9E9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523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经济效益</w:t>
            </w:r>
          </w:p>
          <w:p w14:paraId="1DDA3A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CE1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企业发展信心</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4FC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009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进一步提高</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212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6D8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949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进一步提高</w:t>
            </w:r>
          </w:p>
        </w:tc>
      </w:tr>
      <w:tr w14:paraId="2928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18" w:type="pct"/>
            <w:vMerge w:val="continue"/>
            <w:tcBorders>
              <w:top w:val="single" w:color="000000" w:sz="4" w:space="0"/>
              <w:left w:val="single" w:color="000000" w:sz="4" w:space="0"/>
              <w:bottom w:val="single" w:color="000000" w:sz="4" w:space="0"/>
            </w:tcBorders>
            <w:shd w:val="clear" w:color="auto" w:fill="auto"/>
            <w:vAlign w:val="center"/>
          </w:tcPr>
          <w:p w14:paraId="4D2A3F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E1D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10" w:type="pct"/>
            <w:tcBorders>
              <w:top w:val="single" w:color="000000" w:sz="4" w:space="0"/>
              <w:left w:val="single" w:color="000000" w:sz="4" w:space="0"/>
              <w:right w:val="single" w:color="000000" w:sz="4" w:space="0"/>
            </w:tcBorders>
            <w:shd w:val="clear" w:color="auto" w:fill="auto"/>
            <w:vAlign w:val="center"/>
          </w:tcPr>
          <w:p w14:paraId="77480D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社会效益</w:t>
            </w:r>
          </w:p>
          <w:p w14:paraId="6482FF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E0C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“转企升规”社会氛围</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C54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E40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进一步提高</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957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1E8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0C3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进一步提高</w:t>
            </w:r>
          </w:p>
        </w:tc>
      </w:tr>
      <w:tr w14:paraId="08F83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18" w:type="pct"/>
            <w:vMerge w:val="continue"/>
            <w:tcBorders>
              <w:top w:val="single" w:color="000000" w:sz="4" w:space="0"/>
              <w:left w:val="single" w:color="000000" w:sz="4" w:space="0"/>
              <w:bottom w:val="single" w:color="000000" w:sz="4" w:space="0"/>
            </w:tcBorders>
            <w:shd w:val="clear" w:color="auto" w:fill="auto"/>
            <w:vAlign w:val="center"/>
          </w:tcPr>
          <w:p w14:paraId="0A511C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C21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10" w:type="pct"/>
            <w:tcBorders>
              <w:top w:val="single" w:color="000000" w:sz="4" w:space="0"/>
              <w:left w:val="single" w:color="000000" w:sz="4" w:space="0"/>
              <w:right w:val="single" w:color="000000" w:sz="4" w:space="0"/>
            </w:tcBorders>
            <w:shd w:val="clear" w:color="auto" w:fill="auto"/>
            <w:vAlign w:val="center"/>
          </w:tcPr>
          <w:p w14:paraId="79FEA0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D68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企业“转企升规”积极性</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F3D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C8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进一步提升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28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1B3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4B0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进一步提升</w:t>
            </w:r>
          </w:p>
        </w:tc>
      </w:tr>
      <w:tr w14:paraId="1CD11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18" w:type="pct"/>
            <w:vMerge w:val="continue"/>
            <w:tcBorders>
              <w:top w:val="single" w:color="000000" w:sz="4" w:space="0"/>
              <w:left w:val="single" w:color="000000" w:sz="4" w:space="0"/>
              <w:bottom w:val="single" w:color="000000" w:sz="4" w:space="0"/>
            </w:tcBorders>
            <w:shd w:val="clear" w:color="auto" w:fill="auto"/>
            <w:vAlign w:val="center"/>
          </w:tcPr>
          <w:p w14:paraId="2C8A26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27" w:type="pct"/>
            <w:tcBorders>
              <w:top w:val="single" w:color="000000" w:sz="4" w:space="0"/>
              <w:left w:val="single" w:color="000000" w:sz="4" w:space="0"/>
              <w:right w:val="single" w:color="000000" w:sz="4" w:space="0"/>
            </w:tcBorders>
            <w:shd w:val="clear" w:color="auto" w:fill="auto"/>
            <w:vAlign w:val="center"/>
          </w:tcPr>
          <w:p w14:paraId="079346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满意度</w:t>
            </w:r>
          </w:p>
          <w:p w14:paraId="507F18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指标</w:t>
            </w:r>
          </w:p>
        </w:tc>
        <w:tc>
          <w:tcPr>
            <w:tcW w:w="610" w:type="pct"/>
            <w:tcBorders>
              <w:top w:val="single" w:color="000000" w:sz="4" w:space="0"/>
              <w:left w:val="single" w:color="000000" w:sz="4" w:space="0"/>
              <w:right w:val="single" w:color="000000" w:sz="4" w:space="0"/>
            </w:tcBorders>
            <w:shd w:val="clear" w:color="auto" w:fill="auto"/>
            <w:vAlign w:val="center"/>
          </w:tcPr>
          <w:p w14:paraId="146859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服务对象</w:t>
            </w:r>
          </w:p>
          <w:p w14:paraId="24C722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753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企业满意度</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A5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C0B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40B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C87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A2E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企业满意度100%</w:t>
            </w:r>
          </w:p>
        </w:tc>
      </w:tr>
      <w:tr w14:paraId="3DEF3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18" w:type="pct"/>
            <w:vMerge w:val="continue"/>
            <w:tcBorders>
              <w:top w:val="single" w:color="000000" w:sz="4" w:space="0"/>
              <w:left w:val="single" w:color="000000" w:sz="4" w:space="0"/>
              <w:bottom w:val="single" w:color="000000" w:sz="4" w:space="0"/>
            </w:tcBorders>
            <w:shd w:val="clear" w:color="auto" w:fill="auto"/>
            <w:vAlign w:val="center"/>
          </w:tcPr>
          <w:p w14:paraId="67B8AA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A81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620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经济成本</w:t>
            </w:r>
          </w:p>
          <w:p w14:paraId="31ADB9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指标</w:t>
            </w:r>
          </w:p>
        </w:tc>
        <w:tc>
          <w:tcPr>
            <w:tcW w:w="641" w:type="pct"/>
            <w:tcBorders>
              <w:top w:val="single" w:color="000000" w:sz="4" w:space="0"/>
              <w:bottom w:val="single" w:color="000000" w:sz="4" w:space="0"/>
              <w:right w:val="single" w:color="000000" w:sz="4" w:space="0"/>
            </w:tcBorders>
            <w:shd w:val="clear" w:color="auto" w:fill="auto"/>
            <w:vAlign w:val="center"/>
          </w:tcPr>
          <w:p w14:paraId="643BE2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按照省市标准用于支持和服务企业</w:t>
            </w:r>
          </w:p>
          <w:p w14:paraId="19EE0F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B40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A8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8A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BB5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2AF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支持和服务企业113.85万元</w:t>
            </w:r>
          </w:p>
        </w:tc>
      </w:tr>
    </w:tbl>
    <w:p w14:paraId="5125D406">
      <w:pPr>
        <w:pStyle w:val="26"/>
        <w:rPr>
          <w:rFonts w:hint="default" w:ascii="Times New Roman" w:hAnsi="Times New Roman" w:cs="Times New Roman"/>
        </w:rPr>
      </w:pPr>
    </w:p>
    <w:p w14:paraId="71EC310E">
      <w:pPr>
        <w:spacing w:line="600" w:lineRule="exact"/>
        <w:jc w:val="both"/>
        <w:outlineLvl w:val="0"/>
        <w:rPr>
          <w:rFonts w:hint="default" w:ascii="Times New Roman" w:hAnsi="Times New Roman" w:eastAsia="黑体" w:cs="Times New Roman"/>
          <w:color w:val="auto"/>
          <w:sz w:val="44"/>
          <w:szCs w:val="44"/>
          <w:highlight w:val="none"/>
        </w:rPr>
      </w:pPr>
    </w:p>
    <w:p w14:paraId="309B0648">
      <w:pPr>
        <w:pStyle w:val="26"/>
        <w:rPr>
          <w:rFonts w:hint="default" w:ascii="Times New Roman" w:hAnsi="Times New Roman" w:eastAsia="黑体" w:cs="Times New Roman"/>
          <w:color w:val="auto"/>
          <w:sz w:val="44"/>
          <w:szCs w:val="44"/>
          <w:highlight w:val="none"/>
        </w:rPr>
      </w:pPr>
    </w:p>
    <w:p w14:paraId="3C297573">
      <w:pPr>
        <w:pStyle w:val="26"/>
        <w:rPr>
          <w:rFonts w:hint="default" w:ascii="Times New Roman" w:hAnsi="Times New Roman" w:eastAsia="黑体" w:cs="Times New Roman"/>
          <w:color w:val="auto"/>
          <w:sz w:val="44"/>
          <w:szCs w:val="44"/>
          <w:highlight w:val="none"/>
        </w:rPr>
      </w:pPr>
    </w:p>
    <w:p w14:paraId="1B2EA366">
      <w:pPr>
        <w:spacing w:line="600" w:lineRule="exact"/>
        <w:jc w:val="center"/>
        <w:outlineLvl w:val="0"/>
        <w:rPr>
          <w:rFonts w:hint="default" w:ascii="Times New Roman" w:hAnsi="Times New Roman" w:eastAsia="仿宋" w:cs="Times New Roman"/>
          <w:b w:val="0"/>
          <w:color w:val="auto"/>
          <w:highlight w:val="none"/>
        </w:rPr>
      </w:pPr>
      <w:r>
        <w:rPr>
          <w:rFonts w:hint="default" w:ascii="Times New Roman" w:hAnsi="Times New Roman" w:eastAsia="黑体" w:cs="Times New Roman"/>
          <w:color w:val="auto"/>
          <w:sz w:val="44"/>
          <w:szCs w:val="44"/>
          <w:highlight w:val="none"/>
        </w:rPr>
        <w:t>第</w:t>
      </w:r>
      <w:r>
        <w:rPr>
          <w:rStyle w:val="36"/>
          <w:rFonts w:hint="default" w:ascii="Times New Roman" w:hAnsi="Times New Roman" w:eastAsia="黑体" w:cs="Times New Roman"/>
          <w:b w:val="0"/>
          <w:color w:val="auto"/>
          <w:highlight w:val="none"/>
        </w:rPr>
        <w:t>五部分 附表</w:t>
      </w:r>
      <w:bookmarkEnd w:id="52"/>
      <w:bookmarkEnd w:id="54"/>
      <w:bookmarkStart w:id="56" w:name="_Toc15396619"/>
    </w:p>
    <w:p w14:paraId="4FDA5166">
      <w:pPr>
        <w:pStyle w:val="3"/>
        <w:keepNext/>
        <w:keepLines/>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highlight w:val="none"/>
        </w:rPr>
      </w:pPr>
      <w:r>
        <w:rPr>
          <w:rFonts w:hint="default" w:ascii="Times New Roman" w:hAnsi="Times New Roman" w:eastAsia="仿宋" w:cs="Times New Roman"/>
          <w:b w:val="0"/>
          <w:color w:val="auto"/>
          <w:highlight w:val="none"/>
        </w:rPr>
        <w:t>一、收</w:t>
      </w:r>
      <w:r>
        <w:rPr>
          <w:rStyle w:val="37"/>
          <w:rFonts w:hint="default" w:ascii="Times New Roman" w:hAnsi="Times New Roman" w:eastAsia="仿宋" w:cs="Times New Roman"/>
          <w:b w:val="0"/>
          <w:bCs w:val="0"/>
          <w:color w:val="auto"/>
          <w:highlight w:val="none"/>
        </w:rPr>
        <w:t>入支出决算总表</w:t>
      </w:r>
      <w:bookmarkEnd w:id="56"/>
    </w:p>
    <w:p w14:paraId="1A49CACC">
      <w:pPr>
        <w:pStyle w:val="3"/>
        <w:keepNext/>
        <w:keepLines/>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highlight w:val="none"/>
        </w:rPr>
      </w:pPr>
      <w:bookmarkStart w:id="57" w:name="_Toc15396620"/>
      <w:r>
        <w:rPr>
          <w:rFonts w:hint="default" w:ascii="Times New Roman" w:hAnsi="Times New Roman" w:eastAsia="仿宋" w:cs="Times New Roman"/>
          <w:b w:val="0"/>
          <w:color w:val="auto"/>
          <w:highlight w:val="none"/>
        </w:rPr>
        <w:t>二、收</w:t>
      </w:r>
      <w:r>
        <w:rPr>
          <w:rStyle w:val="37"/>
          <w:rFonts w:hint="default" w:ascii="Times New Roman" w:hAnsi="Times New Roman" w:eastAsia="仿宋" w:cs="Times New Roman"/>
          <w:b w:val="0"/>
          <w:bCs w:val="0"/>
          <w:color w:val="auto"/>
          <w:highlight w:val="none"/>
        </w:rPr>
        <w:t>入决算表</w:t>
      </w:r>
      <w:bookmarkEnd w:id="57"/>
    </w:p>
    <w:p w14:paraId="792FA72E">
      <w:pPr>
        <w:pStyle w:val="3"/>
        <w:keepNext/>
        <w:keepLines/>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highlight w:val="none"/>
        </w:rPr>
      </w:pPr>
      <w:bookmarkStart w:id="58" w:name="_Toc15396621"/>
      <w:r>
        <w:rPr>
          <w:rStyle w:val="37"/>
          <w:rFonts w:hint="default" w:ascii="Times New Roman" w:hAnsi="Times New Roman" w:eastAsia="仿宋" w:cs="Times New Roman"/>
          <w:b w:val="0"/>
          <w:bCs w:val="0"/>
          <w:color w:val="auto"/>
          <w:highlight w:val="none"/>
        </w:rPr>
        <w:t>三、</w:t>
      </w:r>
      <w:r>
        <w:rPr>
          <w:rFonts w:hint="default" w:ascii="Times New Roman" w:hAnsi="Times New Roman" w:eastAsia="仿宋" w:cs="Times New Roman"/>
          <w:b w:val="0"/>
          <w:color w:val="auto"/>
          <w:highlight w:val="none"/>
        </w:rPr>
        <w:t>支</w:t>
      </w:r>
      <w:r>
        <w:rPr>
          <w:rStyle w:val="37"/>
          <w:rFonts w:hint="default" w:ascii="Times New Roman" w:hAnsi="Times New Roman" w:eastAsia="仿宋" w:cs="Times New Roman"/>
          <w:b w:val="0"/>
          <w:bCs w:val="0"/>
          <w:color w:val="auto"/>
          <w:highlight w:val="none"/>
        </w:rPr>
        <w:t>出决算表</w:t>
      </w:r>
      <w:bookmarkEnd w:id="58"/>
    </w:p>
    <w:p w14:paraId="111FA87E">
      <w:pPr>
        <w:pStyle w:val="3"/>
        <w:keepNext/>
        <w:keepLines/>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val="0"/>
          <w:color w:val="auto"/>
          <w:highlight w:val="none"/>
        </w:rPr>
      </w:pPr>
      <w:bookmarkStart w:id="59" w:name="_Toc15396622"/>
      <w:r>
        <w:rPr>
          <w:rStyle w:val="37"/>
          <w:rFonts w:hint="default" w:ascii="Times New Roman" w:hAnsi="Times New Roman" w:eastAsia="仿宋" w:cs="Times New Roman"/>
          <w:b w:val="0"/>
          <w:bCs w:val="0"/>
          <w:color w:val="auto"/>
          <w:highlight w:val="none"/>
        </w:rPr>
        <w:t>四、</w:t>
      </w:r>
      <w:r>
        <w:rPr>
          <w:rFonts w:hint="default" w:ascii="Times New Roman" w:hAnsi="Times New Roman" w:eastAsia="仿宋" w:cs="Times New Roman"/>
          <w:b w:val="0"/>
          <w:color w:val="auto"/>
          <w:highlight w:val="none"/>
        </w:rPr>
        <w:t>财</w:t>
      </w:r>
      <w:r>
        <w:rPr>
          <w:rStyle w:val="37"/>
          <w:rFonts w:hint="default" w:ascii="Times New Roman" w:hAnsi="Times New Roman" w:eastAsia="仿宋" w:cs="Times New Roman"/>
          <w:b w:val="0"/>
          <w:bCs w:val="0"/>
          <w:color w:val="auto"/>
          <w:highlight w:val="none"/>
        </w:rPr>
        <w:t>政拨款收入支出决算总表</w:t>
      </w:r>
      <w:bookmarkEnd w:id="59"/>
    </w:p>
    <w:p w14:paraId="216AE586">
      <w:pPr>
        <w:pStyle w:val="3"/>
        <w:keepNext/>
        <w:keepLines/>
        <w:pageBreakBefore w:val="0"/>
        <w:widowControl w:val="0"/>
        <w:kinsoku/>
        <w:wordWrap/>
        <w:overflowPunct/>
        <w:topLinePunct w:val="0"/>
        <w:autoSpaceDE/>
        <w:autoSpaceDN/>
        <w:bidi w:val="0"/>
        <w:adjustRightInd/>
        <w:snapToGrid/>
        <w:spacing w:line="600" w:lineRule="exact"/>
        <w:textAlignment w:val="auto"/>
        <w:rPr>
          <w:rStyle w:val="37"/>
          <w:rFonts w:hint="default" w:ascii="Times New Roman" w:hAnsi="Times New Roman" w:eastAsia="仿宋" w:cs="Times New Roman"/>
          <w:b w:val="0"/>
          <w:bCs w:val="0"/>
          <w:color w:val="auto"/>
          <w:highlight w:val="none"/>
        </w:rPr>
      </w:pPr>
      <w:bookmarkStart w:id="60" w:name="_Toc15396623"/>
      <w:r>
        <w:rPr>
          <w:rStyle w:val="37"/>
          <w:rFonts w:hint="default" w:ascii="Times New Roman" w:hAnsi="Times New Roman" w:eastAsia="仿宋" w:cs="Times New Roman"/>
          <w:b w:val="0"/>
          <w:bCs w:val="0"/>
          <w:color w:val="auto"/>
          <w:highlight w:val="none"/>
        </w:rPr>
        <w:t>五、</w:t>
      </w:r>
      <w:r>
        <w:rPr>
          <w:rFonts w:hint="default" w:ascii="Times New Roman" w:hAnsi="Times New Roman" w:eastAsia="仿宋" w:cs="Times New Roman"/>
          <w:b w:val="0"/>
          <w:color w:val="auto"/>
          <w:highlight w:val="none"/>
        </w:rPr>
        <w:t>财</w:t>
      </w:r>
      <w:r>
        <w:rPr>
          <w:rStyle w:val="37"/>
          <w:rFonts w:hint="default" w:ascii="Times New Roman" w:hAnsi="Times New Roman" w:eastAsia="仿宋" w:cs="Times New Roman"/>
          <w:b w:val="0"/>
          <w:bCs w:val="0"/>
          <w:color w:val="auto"/>
          <w:highlight w:val="none"/>
        </w:rPr>
        <w:t>政拨款支出决算明细表</w:t>
      </w:r>
      <w:bookmarkEnd w:id="60"/>
      <w:bookmarkStart w:id="61" w:name="_Toc15396624"/>
    </w:p>
    <w:p w14:paraId="5E5D1CDA">
      <w:pPr>
        <w:pStyle w:val="3"/>
        <w:keepNext/>
        <w:keepLines/>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highlight w:val="none"/>
        </w:rPr>
      </w:pPr>
      <w:r>
        <w:rPr>
          <w:rStyle w:val="37"/>
          <w:rFonts w:hint="default" w:ascii="Times New Roman" w:hAnsi="Times New Roman" w:eastAsia="仿宋" w:cs="Times New Roman"/>
          <w:b w:val="0"/>
          <w:bCs w:val="0"/>
          <w:color w:val="auto"/>
          <w:highlight w:val="none"/>
        </w:rPr>
        <w:t>六、</w:t>
      </w:r>
      <w:r>
        <w:rPr>
          <w:rFonts w:hint="default" w:ascii="Times New Roman" w:hAnsi="Times New Roman" w:eastAsia="仿宋" w:cs="Times New Roman"/>
          <w:b w:val="0"/>
          <w:color w:val="auto"/>
          <w:highlight w:val="none"/>
        </w:rPr>
        <w:t>一</w:t>
      </w:r>
      <w:r>
        <w:rPr>
          <w:rStyle w:val="37"/>
          <w:rFonts w:hint="default" w:ascii="Times New Roman" w:hAnsi="Times New Roman" w:eastAsia="仿宋" w:cs="Times New Roman"/>
          <w:b w:val="0"/>
          <w:bCs w:val="0"/>
          <w:color w:val="auto"/>
          <w:highlight w:val="none"/>
        </w:rPr>
        <w:t>般公共预算财政拨款支出决算表</w:t>
      </w:r>
      <w:bookmarkEnd w:id="61"/>
    </w:p>
    <w:p w14:paraId="78C33AB3">
      <w:pPr>
        <w:pStyle w:val="3"/>
        <w:keepNext/>
        <w:keepLines/>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highlight w:val="none"/>
        </w:rPr>
      </w:pPr>
      <w:bookmarkStart w:id="62" w:name="_Toc15396625"/>
      <w:r>
        <w:rPr>
          <w:rStyle w:val="37"/>
          <w:rFonts w:hint="default" w:ascii="Times New Roman" w:hAnsi="Times New Roman" w:eastAsia="仿宋" w:cs="Times New Roman"/>
          <w:b w:val="0"/>
          <w:bCs w:val="0"/>
          <w:color w:val="auto"/>
          <w:highlight w:val="none"/>
        </w:rPr>
        <w:t>七、</w:t>
      </w:r>
      <w:r>
        <w:rPr>
          <w:rFonts w:hint="default" w:ascii="Times New Roman" w:hAnsi="Times New Roman" w:eastAsia="仿宋" w:cs="Times New Roman"/>
          <w:b w:val="0"/>
          <w:color w:val="auto"/>
          <w:highlight w:val="none"/>
        </w:rPr>
        <w:t>一</w:t>
      </w:r>
      <w:r>
        <w:rPr>
          <w:rStyle w:val="37"/>
          <w:rFonts w:hint="default" w:ascii="Times New Roman" w:hAnsi="Times New Roman" w:eastAsia="仿宋" w:cs="Times New Roman"/>
          <w:b w:val="0"/>
          <w:bCs w:val="0"/>
          <w:color w:val="auto"/>
          <w:highlight w:val="none"/>
        </w:rPr>
        <w:t>般公共预算财政拨款支出决算明细表</w:t>
      </w:r>
      <w:bookmarkEnd w:id="62"/>
    </w:p>
    <w:p w14:paraId="4C5B666C">
      <w:pPr>
        <w:pStyle w:val="3"/>
        <w:keepNext/>
        <w:keepLines/>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highlight w:val="none"/>
        </w:rPr>
      </w:pPr>
      <w:bookmarkStart w:id="63" w:name="_Toc15396626"/>
      <w:r>
        <w:rPr>
          <w:rStyle w:val="37"/>
          <w:rFonts w:hint="default" w:ascii="Times New Roman" w:hAnsi="Times New Roman" w:eastAsia="仿宋" w:cs="Times New Roman"/>
          <w:b w:val="0"/>
          <w:bCs w:val="0"/>
          <w:color w:val="auto"/>
          <w:highlight w:val="none"/>
        </w:rPr>
        <w:t>八、</w:t>
      </w:r>
      <w:r>
        <w:rPr>
          <w:rFonts w:hint="default" w:ascii="Times New Roman" w:hAnsi="Times New Roman" w:eastAsia="仿宋" w:cs="Times New Roman"/>
          <w:b w:val="0"/>
          <w:color w:val="auto"/>
          <w:highlight w:val="none"/>
        </w:rPr>
        <w:t>一</w:t>
      </w:r>
      <w:r>
        <w:rPr>
          <w:rStyle w:val="37"/>
          <w:rFonts w:hint="default" w:ascii="Times New Roman" w:hAnsi="Times New Roman" w:eastAsia="仿宋" w:cs="Times New Roman"/>
          <w:b w:val="0"/>
          <w:bCs w:val="0"/>
          <w:color w:val="auto"/>
          <w:highlight w:val="none"/>
        </w:rPr>
        <w:t>般公共预算财政拨款基本支出决算表</w:t>
      </w:r>
      <w:bookmarkEnd w:id="63"/>
    </w:p>
    <w:p w14:paraId="0ABABC2E">
      <w:pPr>
        <w:pStyle w:val="3"/>
        <w:keepNext/>
        <w:keepLines/>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highlight w:val="none"/>
        </w:rPr>
      </w:pPr>
      <w:bookmarkStart w:id="64" w:name="_Toc15396627"/>
      <w:r>
        <w:rPr>
          <w:rStyle w:val="37"/>
          <w:rFonts w:hint="default" w:ascii="Times New Roman" w:hAnsi="Times New Roman" w:eastAsia="仿宋" w:cs="Times New Roman"/>
          <w:b w:val="0"/>
          <w:bCs w:val="0"/>
          <w:color w:val="auto"/>
          <w:highlight w:val="none"/>
        </w:rPr>
        <w:t>九、</w:t>
      </w:r>
      <w:r>
        <w:rPr>
          <w:rFonts w:hint="default" w:ascii="Times New Roman" w:hAnsi="Times New Roman" w:eastAsia="仿宋" w:cs="Times New Roman"/>
          <w:b w:val="0"/>
          <w:color w:val="auto"/>
          <w:highlight w:val="none"/>
        </w:rPr>
        <w:t>一</w:t>
      </w:r>
      <w:r>
        <w:rPr>
          <w:rStyle w:val="37"/>
          <w:rFonts w:hint="default" w:ascii="Times New Roman" w:hAnsi="Times New Roman" w:eastAsia="仿宋" w:cs="Times New Roman"/>
          <w:b w:val="0"/>
          <w:bCs w:val="0"/>
          <w:color w:val="auto"/>
          <w:highlight w:val="none"/>
        </w:rPr>
        <w:t>般公共预算财政拨款项目支出决算表</w:t>
      </w:r>
      <w:bookmarkEnd w:id="64"/>
    </w:p>
    <w:p w14:paraId="7FF7D4E2">
      <w:pPr>
        <w:pStyle w:val="3"/>
        <w:keepNext/>
        <w:keepLines/>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highlight w:val="none"/>
        </w:rPr>
      </w:pPr>
      <w:bookmarkStart w:id="65" w:name="_Toc15396628"/>
      <w:r>
        <w:rPr>
          <w:rStyle w:val="37"/>
          <w:rFonts w:hint="default" w:ascii="Times New Roman" w:hAnsi="Times New Roman" w:eastAsia="仿宋" w:cs="Times New Roman"/>
          <w:b w:val="0"/>
          <w:bCs w:val="0"/>
          <w:color w:val="auto"/>
          <w:highlight w:val="none"/>
        </w:rPr>
        <w:t>十、</w:t>
      </w:r>
      <w:bookmarkEnd w:id="65"/>
      <w:r>
        <w:rPr>
          <w:rFonts w:hint="default" w:ascii="Times New Roman" w:hAnsi="Times New Roman" w:eastAsia="仿宋" w:cs="Times New Roman"/>
          <w:b w:val="0"/>
          <w:color w:val="auto"/>
          <w:highlight w:val="none"/>
        </w:rPr>
        <w:t>政</w:t>
      </w:r>
      <w:r>
        <w:rPr>
          <w:rStyle w:val="37"/>
          <w:rFonts w:hint="default" w:ascii="Times New Roman" w:hAnsi="Times New Roman" w:eastAsia="仿宋" w:cs="Times New Roman"/>
          <w:b w:val="0"/>
          <w:bCs w:val="0"/>
          <w:color w:val="auto"/>
          <w:highlight w:val="none"/>
        </w:rPr>
        <w:t>府性基金预算财政拨款收入支出决算表</w:t>
      </w:r>
    </w:p>
    <w:p w14:paraId="3AF49A77">
      <w:pPr>
        <w:pStyle w:val="3"/>
        <w:keepNext/>
        <w:keepLines/>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highlight w:val="none"/>
        </w:rPr>
      </w:pPr>
      <w:bookmarkStart w:id="66" w:name="_Toc15396629"/>
      <w:r>
        <w:rPr>
          <w:rStyle w:val="37"/>
          <w:rFonts w:hint="default" w:ascii="Times New Roman" w:hAnsi="Times New Roman" w:eastAsia="仿宋" w:cs="Times New Roman"/>
          <w:b w:val="0"/>
          <w:bCs w:val="0"/>
          <w:color w:val="auto"/>
          <w:highlight w:val="none"/>
        </w:rPr>
        <w:t>十一、</w:t>
      </w:r>
      <w:bookmarkEnd w:id="66"/>
      <w:r>
        <w:rPr>
          <w:rFonts w:hint="default" w:ascii="Times New Roman" w:hAnsi="Times New Roman" w:eastAsia="仿宋" w:cs="Times New Roman"/>
          <w:b w:val="0"/>
          <w:color w:val="auto"/>
          <w:highlight w:val="none"/>
        </w:rPr>
        <w:t>国</w:t>
      </w:r>
      <w:r>
        <w:rPr>
          <w:rStyle w:val="37"/>
          <w:rFonts w:hint="default" w:ascii="Times New Roman" w:hAnsi="Times New Roman" w:eastAsia="仿宋" w:cs="Times New Roman"/>
          <w:b w:val="0"/>
          <w:bCs w:val="0"/>
          <w:color w:val="auto"/>
          <w:highlight w:val="none"/>
        </w:rPr>
        <w:t>有资本经营预算</w:t>
      </w:r>
      <w:r>
        <w:rPr>
          <w:rStyle w:val="37"/>
          <w:rFonts w:hint="default" w:ascii="Times New Roman" w:hAnsi="Times New Roman" w:eastAsia="仿宋" w:cs="Times New Roman"/>
          <w:b w:val="0"/>
          <w:bCs w:val="0"/>
          <w:color w:val="auto"/>
          <w:highlight w:val="none"/>
          <w:lang w:eastAsia="zh-CN"/>
        </w:rPr>
        <w:t>财政拨款收入</w:t>
      </w:r>
      <w:r>
        <w:rPr>
          <w:rStyle w:val="37"/>
          <w:rFonts w:hint="default" w:ascii="Times New Roman" w:hAnsi="Times New Roman" w:eastAsia="仿宋" w:cs="Times New Roman"/>
          <w:b w:val="0"/>
          <w:bCs w:val="0"/>
          <w:color w:val="auto"/>
          <w:highlight w:val="none"/>
        </w:rPr>
        <w:t>支出决算表</w:t>
      </w:r>
    </w:p>
    <w:p w14:paraId="7D9F7DDE">
      <w:pPr>
        <w:pStyle w:val="3"/>
        <w:keepNext/>
        <w:keepLines/>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highlight w:val="none"/>
        </w:rPr>
      </w:pPr>
      <w:bookmarkStart w:id="67" w:name="_Toc15396630"/>
      <w:r>
        <w:rPr>
          <w:rStyle w:val="37"/>
          <w:rFonts w:hint="default" w:ascii="Times New Roman" w:hAnsi="Times New Roman" w:eastAsia="仿宋" w:cs="Times New Roman"/>
          <w:b w:val="0"/>
          <w:bCs w:val="0"/>
          <w:color w:val="auto"/>
          <w:highlight w:val="none"/>
        </w:rPr>
        <w:t>十二、</w:t>
      </w:r>
      <w:bookmarkEnd w:id="67"/>
      <w:r>
        <w:rPr>
          <w:rStyle w:val="37"/>
          <w:rFonts w:hint="default" w:ascii="Times New Roman" w:hAnsi="Times New Roman" w:eastAsia="仿宋" w:cs="Times New Roman"/>
          <w:b w:val="0"/>
          <w:bCs w:val="0"/>
          <w:color w:val="auto"/>
          <w:highlight w:val="none"/>
          <w:lang w:eastAsia="zh-CN"/>
        </w:rPr>
        <w:t>国有资本经营预算财政拨款支出决算表</w:t>
      </w:r>
    </w:p>
    <w:p w14:paraId="210668CF">
      <w:pPr>
        <w:pStyle w:val="3"/>
        <w:keepNext/>
        <w:keepLines/>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highlight w:val="none"/>
          <w:lang w:eastAsia="zh-CN"/>
        </w:rPr>
      </w:pPr>
      <w:bookmarkStart w:id="68" w:name="_Toc15396631"/>
      <w:r>
        <w:rPr>
          <w:rStyle w:val="37"/>
          <w:rFonts w:hint="default" w:ascii="Times New Roman" w:hAnsi="Times New Roman" w:eastAsia="仿宋" w:cs="Times New Roman"/>
          <w:b w:val="0"/>
          <w:bCs w:val="0"/>
          <w:color w:val="auto"/>
          <w:highlight w:val="none"/>
        </w:rPr>
        <w:t>十三、</w:t>
      </w:r>
      <w:bookmarkEnd w:id="68"/>
      <w:r>
        <w:rPr>
          <w:rStyle w:val="37"/>
          <w:rFonts w:hint="default" w:ascii="Times New Roman" w:hAnsi="Times New Roman" w:eastAsia="仿宋" w:cs="Times New Roman"/>
          <w:b w:val="0"/>
          <w:bCs w:val="0"/>
          <w:color w:val="auto"/>
          <w:highlight w:val="none"/>
          <w:lang w:eastAsia="zh-CN"/>
        </w:rPr>
        <w:t>财政拨款“三公”经费支出决算表</w:t>
      </w:r>
    </w:p>
    <w:sectPr>
      <w:pgSz w:w="11906" w:h="16838"/>
      <w:pgMar w:top="1157" w:right="1463" w:bottom="1157" w:left="146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9592EA-9F34-476E-9406-BFF0C71F1DF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84E64A2-AA0D-4ADF-BDB1-0C2A1348E432}"/>
  </w:font>
  <w:font w:name="仿宋">
    <w:panose1 w:val="02010609060101010101"/>
    <w:charset w:val="86"/>
    <w:family w:val="modern"/>
    <w:pitch w:val="default"/>
    <w:sig w:usb0="800002BF" w:usb1="38CF7CFA" w:usb2="00000016" w:usb3="00000000" w:csb0="00040001" w:csb1="00000000"/>
    <w:embedRegular r:id="rId3" w:fontKey="{E96EE50F-74D4-43C4-A69E-33A84CC4FE1F}"/>
  </w:font>
  <w:font w:name="方正仿宋简体">
    <w:panose1 w:val="02000000000000000000"/>
    <w:charset w:val="86"/>
    <w:family w:val="auto"/>
    <w:pitch w:val="default"/>
    <w:sig w:usb0="A00002BF" w:usb1="184F6CFA" w:usb2="00000012" w:usb3="00000000" w:csb0="00040001" w:csb1="00000000"/>
    <w:embedRegular r:id="rId4" w:fontKey="{F6D9D71F-D1AD-40C8-B3A5-0816CAE0C3D9}"/>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UI">
    <w:altName w:val="宋体"/>
    <w:panose1 w:val="020B0503020204020204"/>
    <w:charset w:val="86"/>
    <w:family w:val="auto"/>
    <w:pitch w:val="default"/>
    <w:sig w:usb0="00000000" w:usb1="00000000" w:usb2="00000016" w:usb3="00000000" w:csb0="0004001F" w:csb1="00000000"/>
  </w:font>
  <w:font w:name="方正小标宋简体">
    <w:panose1 w:val="02010600010101010101"/>
    <w:charset w:val="86"/>
    <w:family w:val="script"/>
    <w:pitch w:val="default"/>
    <w:sig w:usb0="00000001" w:usb1="080E0000" w:usb2="00000000" w:usb3="00000000" w:csb0="00040000" w:csb1="00000000"/>
    <w:embedRegular r:id="rId5" w:fontKey="{E5E85BCA-07BD-42B4-ABBC-2F60C85A5CE3}"/>
  </w:font>
  <w:font w:name="楷体_GB2312">
    <w:panose1 w:val="02010609030101010101"/>
    <w:charset w:val="86"/>
    <w:family w:val="auto"/>
    <w:pitch w:val="default"/>
    <w:sig w:usb0="00000001" w:usb1="080E0000" w:usb2="00000000" w:usb3="00000000" w:csb0="00040000" w:csb1="00000000"/>
    <w:embedRegular r:id="rId6" w:fontKey="{06E1AEAE-338F-4519-BC96-D8AD86D1D429}"/>
  </w:font>
  <w:font w:name="楷体">
    <w:panose1 w:val="02010609060101010101"/>
    <w:charset w:val="86"/>
    <w:family w:val="auto"/>
    <w:pitch w:val="default"/>
    <w:sig w:usb0="800002BF" w:usb1="38CF7CFA" w:usb2="00000016" w:usb3="00000000" w:csb0="00040001" w:csb1="00000000"/>
    <w:embedRegular r:id="rId7" w:fontKey="{2FA4CBB9-138E-4589-9559-8D6DA23E8311}"/>
  </w:font>
  <w:font w:name="方正黑体简体">
    <w:panose1 w:val="02000000000000000000"/>
    <w:charset w:val="86"/>
    <w:family w:val="auto"/>
    <w:pitch w:val="default"/>
    <w:sig w:usb0="A00002BF" w:usb1="184F6CFA" w:usb2="00000012" w:usb3="00000000" w:csb0="00040001" w:csb1="00000000"/>
    <w:embedRegular r:id="rId8" w:fontKey="{EF732594-3ECB-4C86-8C9B-20996E780B03}"/>
  </w:font>
  <w:font w:name="微软雅黑">
    <w:panose1 w:val="020B0503020204020204"/>
    <w:charset w:val="86"/>
    <w:family w:val="auto"/>
    <w:pitch w:val="default"/>
    <w:sig w:usb0="80000287" w:usb1="280F3C52" w:usb2="00000016" w:usb3="00000000" w:csb0="0004001F" w:csb1="00000000"/>
    <w:embedRegular r:id="rId9" w:fontKey="{C1B25E4D-828D-4738-A5C9-5B8E9B9C1AF3}"/>
  </w:font>
  <w:font w:name="Wingdings 2">
    <w:panose1 w:val="05020102010507070707"/>
    <w:charset w:val="00"/>
    <w:family w:val="auto"/>
    <w:pitch w:val="default"/>
    <w:sig w:usb0="00000000" w:usb1="00000000" w:usb2="00000000" w:usb3="00000000" w:csb0="80000000" w:csb1="00000000"/>
    <w:embedRegular r:id="rId10" w:fontKey="{58FFEF43-ADFC-4F74-B5A6-3B96AD2568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3C152">
    <w:pPr>
      <w:pStyle w:val="14"/>
      <w:tabs>
        <w:tab w:val="left" w:pos="8270"/>
        <w:tab w:val="clear" w:pos="4153"/>
      </w:tabs>
      <w:rPr>
        <w:rFonts w:hint="eastAsia" w:eastAsia="宋体"/>
        <w:lang w:eastAsia="zh-CN"/>
      </w:rPr>
    </w:pPr>
    <w:r>
      <w:rPr>
        <w:rFonts w:hint="eastAsia"/>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DF445">
    <w:pPr>
      <w:pStyle w:val="14"/>
      <w:tabs>
        <w:tab w:val="left" w:pos="2241"/>
        <w:tab w:val="clear" w:pos="4153"/>
      </w:tabs>
      <w:spacing w:beforeLines="0" w:afterLines="0"/>
      <w:ind w:right="360" w:firstLine="360"/>
      <w:rPr>
        <w:rFonts w:hint="default" w:ascii="Times New Roman" w:eastAsia="Times New Roman"/>
        <w:sz w:val="18"/>
        <w:szCs w:val="20"/>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F8A7D">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93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F9F8A7D">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93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rFonts w:hint="eastAsia" w:ascii="Times New Roman" w:eastAsia="宋体"/>
        <w:sz w:val="18"/>
        <w:szCs w:val="20"/>
        <w:lang w:eastAsia="zh-CN"/>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AE985">
    <w:pPr>
      <w:pStyle w:val="14"/>
      <w:tabs>
        <w:tab w:val="left" w:pos="2241"/>
        <w:tab w:val="clear" w:pos="4153"/>
      </w:tabs>
      <w:spacing w:beforeLines="0" w:afterLines="0"/>
      <w:ind w:right="360" w:firstLine="360"/>
      <w:rPr>
        <w:rFonts w:hint="default" w:ascii="Times New Roman" w:eastAsia="Times New Roman"/>
        <w:sz w:val="18"/>
        <w:szCs w:val="20"/>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F3EEE">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98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D3F3EEE">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98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rFonts w:hint="eastAsia" w:ascii="Times New Roman" w:eastAsia="宋体"/>
        <w:sz w:val="18"/>
        <w:szCs w:val="20"/>
        <w:lang w:eastAsia="zh-CN"/>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1DB42">
    <w:pPr>
      <w:pStyle w:val="14"/>
      <w:tabs>
        <w:tab w:val="left" w:pos="2241"/>
        <w:tab w:val="clear" w:pos="4153"/>
      </w:tabs>
      <w:spacing w:beforeLines="0" w:afterLines="0"/>
      <w:ind w:right="360" w:firstLine="360"/>
      <w:rPr>
        <w:rFonts w:hint="default" w:ascii="Times New Roman" w:eastAsia="Times New Roman"/>
        <w:sz w:val="18"/>
        <w:szCs w:val="20"/>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F5ABD">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102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86F5ABD">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102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rFonts w:hint="eastAsia" w:ascii="Times New Roman" w:eastAsia="宋体"/>
        <w:sz w:val="18"/>
        <w:szCs w:val="20"/>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CCE4C">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2FC22">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54014">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A725F">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20A725F">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8C008">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D8B74">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62D8B74">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3DED9">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F3411">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32F3411">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75957">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7C914">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9C7C914">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B7DBE">
    <w:pPr>
      <w:pStyle w:val="14"/>
      <w:tabs>
        <w:tab w:val="left" w:pos="2241"/>
        <w:tab w:val="clear" w:pos="4153"/>
      </w:tabs>
      <w:spacing w:beforeLines="0" w:afterLines="0"/>
      <w:ind w:right="360" w:firstLine="360"/>
      <w:rPr>
        <w:rFonts w:hint="default" w:ascii="Times New Roman" w:eastAsia="Times New Roman"/>
        <w:sz w:val="18"/>
        <w:szCs w:val="20"/>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4B7BD">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334B7BD">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rFonts w:hint="eastAsia" w:ascii="Times New Roman" w:eastAsia="宋体"/>
        <w:sz w:val="18"/>
        <w:szCs w:val="20"/>
        <w:lang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DCEC0">
    <w:pPr>
      <w:pStyle w:val="14"/>
      <w:tabs>
        <w:tab w:val="left" w:pos="2241"/>
        <w:tab w:val="clear" w:pos="4153"/>
      </w:tabs>
      <w:spacing w:beforeLines="0" w:afterLines="0"/>
      <w:ind w:right="360" w:firstLine="360"/>
      <w:rPr>
        <w:rFonts w:hint="default" w:ascii="Times New Roman" w:eastAsia="Times New Roman"/>
        <w:sz w:val="18"/>
        <w:szCs w:val="20"/>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0762A">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84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BE0762A">
                    <w:pPr>
                      <w:pStyle w:val="1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84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rFonts w:hint="eastAsia" w:ascii="Times New Roman" w:eastAsia="宋体"/>
        <w:sz w:val="18"/>
        <w:szCs w:val="20"/>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05580">
    <w:pPr>
      <w:pBdr>
        <w:bottom w:val="none" w:color="auto" w:sz="0" w:space="0"/>
      </w:pBd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F85B2">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22DA2">
    <w:pPr>
      <w:tabs>
        <w:tab w:val="center" w:pos="4153"/>
        <w:tab w:val="right"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40EA65"/>
    <w:multiLevelType w:val="singleLevel"/>
    <w:tmpl w:val="A840EA65"/>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EFD1C53"/>
    <w:multiLevelType w:val="singleLevel"/>
    <w:tmpl w:val="DEFD1C53"/>
    <w:lvl w:ilvl="0" w:tentative="0">
      <w:start w:val="1"/>
      <w:numFmt w:val="decimal"/>
      <w:pStyle w:val="5"/>
      <w:lvlText w:val="%1."/>
      <w:lvlJc w:val="left"/>
      <w:pPr>
        <w:tabs>
          <w:tab w:val="left" w:pos="360"/>
        </w:tabs>
        <w:ind w:left="360" w:hanging="360"/>
      </w:p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63F94254"/>
    <w:multiLevelType w:val="multilevel"/>
    <w:tmpl w:val="63F94254"/>
    <w:lvl w:ilvl="0" w:tentative="0">
      <w:start w:val="2"/>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19"/>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NzI0MmRmOWJmNmRhYzQxNzRiNWUxZTY4ZTg4OT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586C"/>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432B"/>
    <w:rsid w:val="00FA23E8"/>
    <w:rsid w:val="00FD3CC1"/>
    <w:rsid w:val="00FF1E02"/>
    <w:rsid w:val="00FF30B4"/>
    <w:rsid w:val="015975B8"/>
    <w:rsid w:val="016960C3"/>
    <w:rsid w:val="01AE77C6"/>
    <w:rsid w:val="02143E91"/>
    <w:rsid w:val="02FE3E7B"/>
    <w:rsid w:val="035717DD"/>
    <w:rsid w:val="03920A67"/>
    <w:rsid w:val="03C01B03"/>
    <w:rsid w:val="04032CC1"/>
    <w:rsid w:val="041E29A5"/>
    <w:rsid w:val="0440480D"/>
    <w:rsid w:val="04E470A0"/>
    <w:rsid w:val="050D4849"/>
    <w:rsid w:val="05123C0E"/>
    <w:rsid w:val="05742F2E"/>
    <w:rsid w:val="059705B7"/>
    <w:rsid w:val="06643D02"/>
    <w:rsid w:val="066E0107"/>
    <w:rsid w:val="06826B71"/>
    <w:rsid w:val="06884914"/>
    <w:rsid w:val="069A65B0"/>
    <w:rsid w:val="07567677"/>
    <w:rsid w:val="07996F6E"/>
    <w:rsid w:val="07B93E4E"/>
    <w:rsid w:val="07C056E2"/>
    <w:rsid w:val="082D6FB0"/>
    <w:rsid w:val="085E53BC"/>
    <w:rsid w:val="08D613F6"/>
    <w:rsid w:val="09181A0E"/>
    <w:rsid w:val="0959261A"/>
    <w:rsid w:val="095D56DA"/>
    <w:rsid w:val="09620693"/>
    <w:rsid w:val="0A2032A3"/>
    <w:rsid w:val="0A5D3673"/>
    <w:rsid w:val="0A5E1883"/>
    <w:rsid w:val="0AAC240E"/>
    <w:rsid w:val="0AFA13CC"/>
    <w:rsid w:val="0B38299E"/>
    <w:rsid w:val="0B436651"/>
    <w:rsid w:val="0B521208"/>
    <w:rsid w:val="0B777F1C"/>
    <w:rsid w:val="0B852C60"/>
    <w:rsid w:val="0B8C6B1D"/>
    <w:rsid w:val="0C514C17"/>
    <w:rsid w:val="0CEC2F96"/>
    <w:rsid w:val="0CEE487D"/>
    <w:rsid w:val="0D1E3C2F"/>
    <w:rsid w:val="0D9B2111"/>
    <w:rsid w:val="0DDE2831"/>
    <w:rsid w:val="0DEB4C9E"/>
    <w:rsid w:val="0DFE0E5D"/>
    <w:rsid w:val="0F3330FE"/>
    <w:rsid w:val="0F961B6D"/>
    <w:rsid w:val="0F98263C"/>
    <w:rsid w:val="0FD37F53"/>
    <w:rsid w:val="101860EC"/>
    <w:rsid w:val="103C2486"/>
    <w:rsid w:val="10BF041C"/>
    <w:rsid w:val="10C055FF"/>
    <w:rsid w:val="10C1473A"/>
    <w:rsid w:val="10E548CC"/>
    <w:rsid w:val="10FB0E30"/>
    <w:rsid w:val="10FB40F0"/>
    <w:rsid w:val="110E7779"/>
    <w:rsid w:val="11303073"/>
    <w:rsid w:val="118107EC"/>
    <w:rsid w:val="11B9789B"/>
    <w:rsid w:val="127B4B72"/>
    <w:rsid w:val="13041ED8"/>
    <w:rsid w:val="13316DBA"/>
    <w:rsid w:val="13BC4C6B"/>
    <w:rsid w:val="13D07895"/>
    <w:rsid w:val="13D50BC4"/>
    <w:rsid w:val="13D77899"/>
    <w:rsid w:val="14294AD0"/>
    <w:rsid w:val="146975C2"/>
    <w:rsid w:val="14847F58"/>
    <w:rsid w:val="14922675"/>
    <w:rsid w:val="157A34B5"/>
    <w:rsid w:val="15B374C4"/>
    <w:rsid w:val="161950F5"/>
    <w:rsid w:val="16957EB9"/>
    <w:rsid w:val="169A1CB5"/>
    <w:rsid w:val="16B90E9A"/>
    <w:rsid w:val="16BB723D"/>
    <w:rsid w:val="16F22091"/>
    <w:rsid w:val="16F72C63"/>
    <w:rsid w:val="178A1D29"/>
    <w:rsid w:val="179395B6"/>
    <w:rsid w:val="17BF5D4B"/>
    <w:rsid w:val="17CC40F0"/>
    <w:rsid w:val="17D17958"/>
    <w:rsid w:val="18253800"/>
    <w:rsid w:val="189866C8"/>
    <w:rsid w:val="18C354F3"/>
    <w:rsid w:val="197113F3"/>
    <w:rsid w:val="19E00326"/>
    <w:rsid w:val="1A330456"/>
    <w:rsid w:val="1A5B5BFF"/>
    <w:rsid w:val="1AA04810"/>
    <w:rsid w:val="1AED78E2"/>
    <w:rsid w:val="1B2129A5"/>
    <w:rsid w:val="1BAC100B"/>
    <w:rsid w:val="1BC0345A"/>
    <w:rsid w:val="1BDA00D1"/>
    <w:rsid w:val="1BE8440E"/>
    <w:rsid w:val="1C4C3A51"/>
    <w:rsid w:val="1CB71C7B"/>
    <w:rsid w:val="1D0205B4"/>
    <w:rsid w:val="1D155CEE"/>
    <w:rsid w:val="1D924C74"/>
    <w:rsid w:val="1E27307F"/>
    <w:rsid w:val="1EB4768C"/>
    <w:rsid w:val="1EE82404"/>
    <w:rsid w:val="1F174603"/>
    <w:rsid w:val="1F443106"/>
    <w:rsid w:val="1F763E6B"/>
    <w:rsid w:val="1F7E0296"/>
    <w:rsid w:val="1FF35744"/>
    <w:rsid w:val="200C59D1"/>
    <w:rsid w:val="2031368A"/>
    <w:rsid w:val="20B326D1"/>
    <w:rsid w:val="20BD316F"/>
    <w:rsid w:val="20BE2ECD"/>
    <w:rsid w:val="21115269"/>
    <w:rsid w:val="21153BB9"/>
    <w:rsid w:val="211F40F0"/>
    <w:rsid w:val="21214CB2"/>
    <w:rsid w:val="217C0935"/>
    <w:rsid w:val="21F7445F"/>
    <w:rsid w:val="22495E2B"/>
    <w:rsid w:val="2270362B"/>
    <w:rsid w:val="22EA1B0C"/>
    <w:rsid w:val="22FF7A6F"/>
    <w:rsid w:val="23860B96"/>
    <w:rsid w:val="23D06DE6"/>
    <w:rsid w:val="240371BF"/>
    <w:rsid w:val="24113C2E"/>
    <w:rsid w:val="2435126F"/>
    <w:rsid w:val="24AA3130"/>
    <w:rsid w:val="24CD2595"/>
    <w:rsid w:val="24EB3FF0"/>
    <w:rsid w:val="24EF57A9"/>
    <w:rsid w:val="25381017"/>
    <w:rsid w:val="253A3592"/>
    <w:rsid w:val="254D4C97"/>
    <w:rsid w:val="2556240D"/>
    <w:rsid w:val="258B383C"/>
    <w:rsid w:val="262542E9"/>
    <w:rsid w:val="269A7CD9"/>
    <w:rsid w:val="26DB60FD"/>
    <w:rsid w:val="26F31DC8"/>
    <w:rsid w:val="27302346"/>
    <w:rsid w:val="27B0758A"/>
    <w:rsid w:val="28510198"/>
    <w:rsid w:val="288822B5"/>
    <w:rsid w:val="298E38FB"/>
    <w:rsid w:val="29FD04D3"/>
    <w:rsid w:val="2A094D30"/>
    <w:rsid w:val="2A13795C"/>
    <w:rsid w:val="2A6D0A46"/>
    <w:rsid w:val="2AA809EC"/>
    <w:rsid w:val="2AB36371"/>
    <w:rsid w:val="2B6A1B7F"/>
    <w:rsid w:val="2B6A237B"/>
    <w:rsid w:val="2BA12F99"/>
    <w:rsid w:val="2BEA0B91"/>
    <w:rsid w:val="2C155C0E"/>
    <w:rsid w:val="2C1A1476"/>
    <w:rsid w:val="2C815051"/>
    <w:rsid w:val="2C8A61B5"/>
    <w:rsid w:val="2CC27E3F"/>
    <w:rsid w:val="2CE657FC"/>
    <w:rsid w:val="2D0C4103"/>
    <w:rsid w:val="2DB2459B"/>
    <w:rsid w:val="2DF04E50"/>
    <w:rsid w:val="2E114AFB"/>
    <w:rsid w:val="2E9B472B"/>
    <w:rsid w:val="2F040D46"/>
    <w:rsid w:val="2F9B0B20"/>
    <w:rsid w:val="308B0771"/>
    <w:rsid w:val="309464E4"/>
    <w:rsid w:val="311D6658"/>
    <w:rsid w:val="31272698"/>
    <w:rsid w:val="316A0C60"/>
    <w:rsid w:val="31745184"/>
    <w:rsid w:val="319F7F4E"/>
    <w:rsid w:val="324E3C27"/>
    <w:rsid w:val="3263753C"/>
    <w:rsid w:val="327F32FA"/>
    <w:rsid w:val="32843ADD"/>
    <w:rsid w:val="3304709D"/>
    <w:rsid w:val="34433534"/>
    <w:rsid w:val="345E559A"/>
    <w:rsid w:val="34840E39"/>
    <w:rsid w:val="352B0250"/>
    <w:rsid w:val="352B7207"/>
    <w:rsid w:val="354E492D"/>
    <w:rsid w:val="35611EC4"/>
    <w:rsid w:val="356D29C9"/>
    <w:rsid w:val="35AC6A9D"/>
    <w:rsid w:val="35AD26BE"/>
    <w:rsid w:val="35F15ED0"/>
    <w:rsid w:val="364C5817"/>
    <w:rsid w:val="36AA5135"/>
    <w:rsid w:val="3712748D"/>
    <w:rsid w:val="37403D5B"/>
    <w:rsid w:val="37416BB7"/>
    <w:rsid w:val="376D39B2"/>
    <w:rsid w:val="37E16F03"/>
    <w:rsid w:val="38044D88"/>
    <w:rsid w:val="380C6D00"/>
    <w:rsid w:val="386A68D5"/>
    <w:rsid w:val="38804D57"/>
    <w:rsid w:val="38AC3CD1"/>
    <w:rsid w:val="38B84141"/>
    <w:rsid w:val="38D469F0"/>
    <w:rsid w:val="390E5EBF"/>
    <w:rsid w:val="391E1E7A"/>
    <w:rsid w:val="39B56F26"/>
    <w:rsid w:val="39DC7D6B"/>
    <w:rsid w:val="39F03816"/>
    <w:rsid w:val="3A232F1C"/>
    <w:rsid w:val="3A891042"/>
    <w:rsid w:val="3A95632F"/>
    <w:rsid w:val="3B112686"/>
    <w:rsid w:val="3B4B7658"/>
    <w:rsid w:val="3B6250C4"/>
    <w:rsid w:val="3BAB7073"/>
    <w:rsid w:val="3BAE3989"/>
    <w:rsid w:val="3BE63123"/>
    <w:rsid w:val="3C0C2FEF"/>
    <w:rsid w:val="3CEA4D9C"/>
    <w:rsid w:val="3CF113B5"/>
    <w:rsid w:val="3D0A407E"/>
    <w:rsid w:val="3D585014"/>
    <w:rsid w:val="3D98207C"/>
    <w:rsid w:val="3DB12D3F"/>
    <w:rsid w:val="3DF82469"/>
    <w:rsid w:val="3E03620E"/>
    <w:rsid w:val="3E2919ED"/>
    <w:rsid w:val="3E32264F"/>
    <w:rsid w:val="3E364931"/>
    <w:rsid w:val="3E78745D"/>
    <w:rsid w:val="3EC96FE5"/>
    <w:rsid w:val="3EDB18C5"/>
    <w:rsid w:val="3F40552C"/>
    <w:rsid w:val="3FF517E6"/>
    <w:rsid w:val="4061721C"/>
    <w:rsid w:val="406A5475"/>
    <w:rsid w:val="408370FD"/>
    <w:rsid w:val="40CA1DAF"/>
    <w:rsid w:val="40FA4E7B"/>
    <w:rsid w:val="4134048C"/>
    <w:rsid w:val="414443B2"/>
    <w:rsid w:val="417B7384"/>
    <w:rsid w:val="419378A9"/>
    <w:rsid w:val="4194717D"/>
    <w:rsid w:val="4226071D"/>
    <w:rsid w:val="42AC04F6"/>
    <w:rsid w:val="42BE4EAF"/>
    <w:rsid w:val="4367207E"/>
    <w:rsid w:val="436C2613"/>
    <w:rsid w:val="43896C90"/>
    <w:rsid w:val="439237EA"/>
    <w:rsid w:val="43E81820"/>
    <w:rsid w:val="44202F4A"/>
    <w:rsid w:val="446347C7"/>
    <w:rsid w:val="44A678F3"/>
    <w:rsid w:val="44E268DA"/>
    <w:rsid w:val="45863281"/>
    <w:rsid w:val="45F03CF3"/>
    <w:rsid w:val="461B7E6D"/>
    <w:rsid w:val="46F32B98"/>
    <w:rsid w:val="46FF153C"/>
    <w:rsid w:val="47017063"/>
    <w:rsid w:val="47025732"/>
    <w:rsid w:val="4721495D"/>
    <w:rsid w:val="47541B0D"/>
    <w:rsid w:val="47835AC3"/>
    <w:rsid w:val="4832149E"/>
    <w:rsid w:val="48D24C1A"/>
    <w:rsid w:val="49216293"/>
    <w:rsid w:val="497603DB"/>
    <w:rsid w:val="4A130EDB"/>
    <w:rsid w:val="4A310808"/>
    <w:rsid w:val="4A363DC0"/>
    <w:rsid w:val="4A627F82"/>
    <w:rsid w:val="4A994ABA"/>
    <w:rsid w:val="4ACA0315"/>
    <w:rsid w:val="4B0E749A"/>
    <w:rsid w:val="4B4F25DA"/>
    <w:rsid w:val="4B8458A1"/>
    <w:rsid w:val="4BE068DB"/>
    <w:rsid w:val="4C433C79"/>
    <w:rsid w:val="4C6F4A6E"/>
    <w:rsid w:val="4D196FC1"/>
    <w:rsid w:val="4D577224"/>
    <w:rsid w:val="4E7E543D"/>
    <w:rsid w:val="4E90704C"/>
    <w:rsid w:val="4EAB630A"/>
    <w:rsid w:val="4ECE2238"/>
    <w:rsid w:val="4ED0244B"/>
    <w:rsid w:val="4EE72FE2"/>
    <w:rsid w:val="4F8E7901"/>
    <w:rsid w:val="4FA65DF3"/>
    <w:rsid w:val="4FCE7CFE"/>
    <w:rsid w:val="507C716B"/>
    <w:rsid w:val="507C775A"/>
    <w:rsid w:val="50CD6207"/>
    <w:rsid w:val="511300BE"/>
    <w:rsid w:val="51235D0B"/>
    <w:rsid w:val="515F6508"/>
    <w:rsid w:val="51EE6435"/>
    <w:rsid w:val="523522B6"/>
    <w:rsid w:val="5285323E"/>
    <w:rsid w:val="53060259"/>
    <w:rsid w:val="53193986"/>
    <w:rsid w:val="537E6D0A"/>
    <w:rsid w:val="53965B53"/>
    <w:rsid w:val="53E35BF2"/>
    <w:rsid w:val="545A24A8"/>
    <w:rsid w:val="54650B8A"/>
    <w:rsid w:val="54701DC0"/>
    <w:rsid w:val="54D36FFD"/>
    <w:rsid w:val="55050666"/>
    <w:rsid w:val="552A3C28"/>
    <w:rsid w:val="55402F1C"/>
    <w:rsid w:val="556F5ADF"/>
    <w:rsid w:val="55A41C2D"/>
    <w:rsid w:val="55C45E2B"/>
    <w:rsid w:val="55D968F4"/>
    <w:rsid w:val="560475B9"/>
    <w:rsid w:val="563F6719"/>
    <w:rsid w:val="564B02FA"/>
    <w:rsid w:val="56A765A0"/>
    <w:rsid w:val="56F55E42"/>
    <w:rsid w:val="573214BA"/>
    <w:rsid w:val="57A23F4A"/>
    <w:rsid w:val="57B85564"/>
    <w:rsid w:val="57D04F5B"/>
    <w:rsid w:val="57DA386F"/>
    <w:rsid w:val="58A85CD2"/>
    <w:rsid w:val="58B03F8E"/>
    <w:rsid w:val="58B448BD"/>
    <w:rsid w:val="58D25B36"/>
    <w:rsid w:val="5A380B96"/>
    <w:rsid w:val="5A867B53"/>
    <w:rsid w:val="5ADC3C17"/>
    <w:rsid w:val="5AF92295"/>
    <w:rsid w:val="5B266C40"/>
    <w:rsid w:val="5B5544AA"/>
    <w:rsid w:val="5B590DC3"/>
    <w:rsid w:val="5C0830AE"/>
    <w:rsid w:val="5C2038A9"/>
    <w:rsid w:val="5C2124E2"/>
    <w:rsid w:val="5C743AE8"/>
    <w:rsid w:val="5CA53718"/>
    <w:rsid w:val="5CD71FC4"/>
    <w:rsid w:val="5D541F4B"/>
    <w:rsid w:val="5DE132F2"/>
    <w:rsid w:val="5E483371"/>
    <w:rsid w:val="5E5341F0"/>
    <w:rsid w:val="5E6948D1"/>
    <w:rsid w:val="5EB83071"/>
    <w:rsid w:val="5ECA1FD8"/>
    <w:rsid w:val="5F4C7DD5"/>
    <w:rsid w:val="5F683745"/>
    <w:rsid w:val="5F7C32D2"/>
    <w:rsid w:val="60874982"/>
    <w:rsid w:val="6094289E"/>
    <w:rsid w:val="614A72C7"/>
    <w:rsid w:val="615A3AE7"/>
    <w:rsid w:val="61C40671"/>
    <w:rsid w:val="61C80A51"/>
    <w:rsid w:val="61EA5B50"/>
    <w:rsid w:val="61FF1F18"/>
    <w:rsid w:val="62035CCD"/>
    <w:rsid w:val="62203570"/>
    <w:rsid w:val="622E69AA"/>
    <w:rsid w:val="623A6EC9"/>
    <w:rsid w:val="62993AB4"/>
    <w:rsid w:val="62E23D94"/>
    <w:rsid w:val="62F63724"/>
    <w:rsid w:val="62FA68A0"/>
    <w:rsid w:val="63696001"/>
    <w:rsid w:val="638304BF"/>
    <w:rsid w:val="63A70B3A"/>
    <w:rsid w:val="63B652AB"/>
    <w:rsid w:val="63B84AF5"/>
    <w:rsid w:val="63C77BC4"/>
    <w:rsid w:val="63F36710"/>
    <w:rsid w:val="64090D33"/>
    <w:rsid w:val="643A3DC4"/>
    <w:rsid w:val="64833355"/>
    <w:rsid w:val="648F1CFA"/>
    <w:rsid w:val="656C445B"/>
    <w:rsid w:val="65962C14"/>
    <w:rsid w:val="65982E30"/>
    <w:rsid w:val="660109D5"/>
    <w:rsid w:val="66282AD4"/>
    <w:rsid w:val="662B0C58"/>
    <w:rsid w:val="663C37BC"/>
    <w:rsid w:val="66611474"/>
    <w:rsid w:val="669727BE"/>
    <w:rsid w:val="66CE3709"/>
    <w:rsid w:val="66DF5346"/>
    <w:rsid w:val="670F30EB"/>
    <w:rsid w:val="674A015A"/>
    <w:rsid w:val="675E59B4"/>
    <w:rsid w:val="67963887"/>
    <w:rsid w:val="67D53EC8"/>
    <w:rsid w:val="68112A26"/>
    <w:rsid w:val="6823150A"/>
    <w:rsid w:val="68C323B1"/>
    <w:rsid w:val="68C47A98"/>
    <w:rsid w:val="694227E4"/>
    <w:rsid w:val="69881A7B"/>
    <w:rsid w:val="6A5071EF"/>
    <w:rsid w:val="6AD761A9"/>
    <w:rsid w:val="6ADE12E5"/>
    <w:rsid w:val="6B056600"/>
    <w:rsid w:val="6B860F2F"/>
    <w:rsid w:val="6BC4403B"/>
    <w:rsid w:val="6C054650"/>
    <w:rsid w:val="6C0E5BFA"/>
    <w:rsid w:val="6C4A05C8"/>
    <w:rsid w:val="6D010507"/>
    <w:rsid w:val="6D323B6A"/>
    <w:rsid w:val="6DBD51C9"/>
    <w:rsid w:val="6DF8446C"/>
    <w:rsid w:val="6DFC32D2"/>
    <w:rsid w:val="6E380D0C"/>
    <w:rsid w:val="6E451F91"/>
    <w:rsid w:val="6E7E3605"/>
    <w:rsid w:val="6EBC7280"/>
    <w:rsid w:val="6ECC3C23"/>
    <w:rsid w:val="6EE113A4"/>
    <w:rsid w:val="6F0E2EC2"/>
    <w:rsid w:val="6FC07433"/>
    <w:rsid w:val="6FF0441E"/>
    <w:rsid w:val="6FF5CC65"/>
    <w:rsid w:val="70566167"/>
    <w:rsid w:val="70E61A3D"/>
    <w:rsid w:val="70F52EE5"/>
    <w:rsid w:val="715C0E4B"/>
    <w:rsid w:val="71D85AD8"/>
    <w:rsid w:val="72473C14"/>
    <w:rsid w:val="724A736A"/>
    <w:rsid w:val="72734D90"/>
    <w:rsid w:val="72B7541C"/>
    <w:rsid w:val="72E45404"/>
    <w:rsid w:val="73243F55"/>
    <w:rsid w:val="733F5A10"/>
    <w:rsid w:val="73AD73D5"/>
    <w:rsid w:val="73B6EB34"/>
    <w:rsid w:val="73EC34D4"/>
    <w:rsid w:val="742A7349"/>
    <w:rsid w:val="74342603"/>
    <w:rsid w:val="744731E5"/>
    <w:rsid w:val="74566390"/>
    <w:rsid w:val="74615D3A"/>
    <w:rsid w:val="74884070"/>
    <w:rsid w:val="750E27C7"/>
    <w:rsid w:val="756E0929"/>
    <w:rsid w:val="759E1D9D"/>
    <w:rsid w:val="75DF4163"/>
    <w:rsid w:val="761D3776"/>
    <w:rsid w:val="76236746"/>
    <w:rsid w:val="76E3355F"/>
    <w:rsid w:val="76ED3CEE"/>
    <w:rsid w:val="778769C8"/>
    <w:rsid w:val="77A77481"/>
    <w:rsid w:val="7814751C"/>
    <w:rsid w:val="78450BF6"/>
    <w:rsid w:val="787768D5"/>
    <w:rsid w:val="788569AE"/>
    <w:rsid w:val="78F23B18"/>
    <w:rsid w:val="795135CA"/>
    <w:rsid w:val="79CA42A6"/>
    <w:rsid w:val="79EE5BA4"/>
    <w:rsid w:val="7A2822D2"/>
    <w:rsid w:val="7A811C8D"/>
    <w:rsid w:val="7A894339"/>
    <w:rsid w:val="7A97325F"/>
    <w:rsid w:val="7ABC5938"/>
    <w:rsid w:val="7AD973D3"/>
    <w:rsid w:val="7B42141C"/>
    <w:rsid w:val="7BCE6D01"/>
    <w:rsid w:val="7BF018D1"/>
    <w:rsid w:val="7CB4634A"/>
    <w:rsid w:val="7D084EB2"/>
    <w:rsid w:val="7D5F1C5F"/>
    <w:rsid w:val="7E220001"/>
    <w:rsid w:val="7E885398"/>
    <w:rsid w:val="7EAB3D79"/>
    <w:rsid w:val="7EE60311"/>
    <w:rsid w:val="7EEF11D3"/>
    <w:rsid w:val="7FA30C79"/>
    <w:rsid w:val="7FB14DC3"/>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99"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2034" w:semiHidden="0"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0"/>
    <w:unhideWhenUsed/>
    <w:qFormat/>
    <w:uiPriority w:val="9"/>
    <w:pPr>
      <w:keepNext/>
      <w:keepLines/>
      <w:spacing w:before="260" w:after="260" w:line="416" w:lineRule="auto"/>
      <w:outlineLvl w:val="2"/>
    </w:pPr>
    <w:rPr>
      <w:b/>
      <w:bCs/>
      <w:sz w:val="32"/>
      <w:szCs w:val="32"/>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List Number"/>
    <w:basedOn w:val="1"/>
    <w:semiHidden/>
    <w:unhideWhenUsed/>
    <w:qFormat/>
    <w:uiPriority w:val="99"/>
    <w:pPr>
      <w:numPr>
        <w:ilvl w:val="0"/>
        <w:numId w:val="1"/>
      </w:numPr>
    </w:pPr>
  </w:style>
  <w:style w:type="paragraph" w:styleId="6">
    <w:name w:val="Normal Indent"/>
    <w:basedOn w:val="1"/>
    <w:qFormat/>
    <w:uiPriority w:val="2034"/>
    <w:pPr>
      <w:ind w:firstLine="630"/>
    </w:pPr>
    <w:rPr>
      <w:kern w:val="0"/>
    </w:rPr>
  </w:style>
  <w:style w:type="paragraph" w:styleId="7">
    <w:name w:val="index 5"/>
    <w:basedOn w:val="1"/>
    <w:next w:val="1"/>
    <w:qFormat/>
    <w:uiPriority w:val="99"/>
    <w:pPr>
      <w:ind w:left="1680"/>
    </w:pPr>
  </w:style>
  <w:style w:type="paragraph" w:styleId="8">
    <w:name w:val="annotation text"/>
    <w:basedOn w:val="1"/>
    <w:semiHidden/>
    <w:unhideWhenUsed/>
    <w:qFormat/>
    <w:uiPriority w:val="99"/>
    <w:pPr>
      <w:jc w:val="left"/>
    </w:pPr>
  </w:style>
  <w:style w:type="paragraph" w:styleId="9">
    <w:name w:val="Salutation"/>
    <w:basedOn w:val="1"/>
    <w:next w:val="1"/>
    <w:unhideWhenUsed/>
    <w:qFormat/>
    <w:uiPriority w:val="99"/>
    <w:pPr>
      <w:spacing w:beforeLines="0" w:afterLines="0"/>
    </w:pPr>
    <w:rPr>
      <w:rFonts w:hint="eastAsia"/>
      <w:sz w:val="21"/>
      <w:szCs w:val="20"/>
    </w:rPr>
  </w:style>
  <w:style w:type="paragraph" w:styleId="10">
    <w:name w:val="Body Text"/>
    <w:basedOn w:val="1"/>
    <w:link w:val="34"/>
    <w:qFormat/>
    <w:uiPriority w:val="99"/>
    <w:pPr>
      <w:spacing w:beforeLines="30"/>
    </w:pPr>
    <w:rPr>
      <w:rFonts w:ascii="仿宋_GB2312" w:eastAsia="仿宋_GB2312"/>
      <w:kern w:val="0"/>
      <w:sz w:val="30"/>
    </w:rPr>
  </w:style>
  <w:style w:type="paragraph" w:styleId="11">
    <w:name w:val="Body Text Indent"/>
    <w:basedOn w:val="1"/>
    <w:qFormat/>
    <w:uiPriority w:val="0"/>
    <w:pPr>
      <w:spacing w:after="120"/>
      <w:ind w:leftChars="200"/>
    </w:pPr>
    <w:rPr>
      <w:rFonts w:ascii="仿宋_GB2312"/>
      <w:szCs w:val="32"/>
    </w:rPr>
  </w:style>
  <w:style w:type="paragraph" w:styleId="12">
    <w:name w:val="toc 3"/>
    <w:basedOn w:val="1"/>
    <w:next w:val="1"/>
    <w:unhideWhenUsed/>
    <w:qFormat/>
    <w:uiPriority w:val="39"/>
    <w:pPr>
      <w:tabs>
        <w:tab w:val="right" w:leader="dot" w:pos="8296"/>
      </w:tabs>
      <w:ind w:left="840" w:leftChars="400"/>
    </w:pPr>
  </w:style>
  <w:style w:type="paragraph" w:styleId="13">
    <w:name w:val="Balloon Text"/>
    <w:basedOn w:val="1"/>
    <w:link w:val="39"/>
    <w:semiHidden/>
    <w:unhideWhenUsed/>
    <w:qFormat/>
    <w:uiPriority w:val="99"/>
    <w:rPr>
      <w:sz w:val="18"/>
      <w:szCs w:val="18"/>
    </w:rPr>
  </w:style>
  <w:style w:type="paragraph" w:styleId="14">
    <w:name w:val="footer"/>
    <w:basedOn w:val="1"/>
    <w:link w:val="32"/>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1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7">
    <w:name w:val="toc 2"/>
    <w:basedOn w:val="1"/>
    <w:next w:val="1"/>
    <w:unhideWhenUsed/>
    <w:qFormat/>
    <w:uiPriority w:val="39"/>
    <w:pPr>
      <w:tabs>
        <w:tab w:val="right" w:leader="dot" w:pos="8296"/>
      </w:tabs>
      <w:ind w:left="420" w:leftChars="200"/>
    </w:pPr>
  </w:style>
  <w:style w:type="paragraph" w:styleId="1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9">
    <w:name w:val="Body Text First Indent 2"/>
    <w:basedOn w:val="11"/>
    <w:unhideWhenUsed/>
    <w:qFormat/>
    <w:uiPriority w:val="99"/>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99"/>
    <w:rPr>
      <w:b/>
    </w:rPr>
  </w:style>
  <w:style w:type="character" w:styleId="24">
    <w:name w:val="page number"/>
    <w:basedOn w:val="22"/>
    <w:unhideWhenUsed/>
    <w:qFormat/>
    <w:uiPriority w:val="99"/>
    <w:rPr>
      <w:rFonts w:hint="default" w:ascii="Times New Roman"/>
      <w:sz w:val="24"/>
    </w:rPr>
  </w:style>
  <w:style w:type="character" w:styleId="25">
    <w:name w:val="Hyperlink"/>
    <w:basedOn w:val="22"/>
    <w:unhideWhenUsed/>
    <w:qFormat/>
    <w:uiPriority w:val="99"/>
    <w:rPr>
      <w:color w:val="0000FF" w:themeColor="hyperlink"/>
      <w:u w:val="single"/>
      <w14:textFill>
        <w14:solidFill>
          <w14:schemeClr w14:val="hlink"/>
        </w14:solidFill>
      </w14:textFill>
    </w:rPr>
  </w:style>
  <w:style w:type="paragraph" w:customStyle="1" w:styleId="26">
    <w:name w:val="footer1"/>
    <w:basedOn w:val="1"/>
    <w:unhideWhenUsed/>
    <w:qFormat/>
    <w:uiPriority w:val="99"/>
    <w:pPr>
      <w:tabs>
        <w:tab w:val="center" w:pos="4153"/>
        <w:tab w:val="right" w:pos="8306"/>
      </w:tabs>
      <w:snapToGrid w:val="0"/>
      <w:jc w:val="left"/>
    </w:pPr>
    <w:rPr>
      <w:rFonts w:hint="eastAsia"/>
      <w:sz w:val="18"/>
      <w:szCs w:val="20"/>
    </w:rPr>
  </w:style>
  <w:style w:type="paragraph" w:customStyle="1" w:styleId="27">
    <w:name w:val="常用样式（方正仿宋简）"/>
    <w:basedOn w:val="1"/>
    <w:unhideWhenUsed/>
    <w:qFormat/>
    <w:uiPriority w:val="99"/>
    <w:pPr>
      <w:spacing w:beforeLines="0" w:afterLines="0" w:line="560" w:lineRule="exact"/>
      <w:ind w:firstLine="640" w:firstLineChars="200"/>
    </w:pPr>
    <w:rPr>
      <w:rFonts w:hint="eastAsia" w:eastAsia="方正仿宋简体"/>
      <w:sz w:val="32"/>
    </w:rPr>
  </w:style>
  <w:style w:type="paragraph" w:customStyle="1" w:styleId="28">
    <w:name w:val="Default"/>
    <w:next w:val="7"/>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30">
    <w:name w:val="Header Char"/>
    <w:basedOn w:val="22"/>
    <w:semiHidden/>
    <w:qFormat/>
    <w:uiPriority w:val="99"/>
    <w:rPr>
      <w:rFonts w:ascii="Times New Roman" w:hAnsi="Times New Roman"/>
      <w:sz w:val="18"/>
      <w:szCs w:val="18"/>
    </w:rPr>
  </w:style>
  <w:style w:type="character" w:customStyle="1" w:styleId="31">
    <w:name w:val="Footer Char"/>
    <w:basedOn w:val="22"/>
    <w:semiHidden/>
    <w:qFormat/>
    <w:uiPriority w:val="99"/>
    <w:rPr>
      <w:rFonts w:ascii="Times New Roman" w:hAnsi="Times New Roman"/>
      <w:sz w:val="18"/>
      <w:szCs w:val="18"/>
    </w:rPr>
  </w:style>
  <w:style w:type="character" w:customStyle="1" w:styleId="32">
    <w:name w:val="页脚 Char"/>
    <w:link w:val="14"/>
    <w:qFormat/>
    <w:locked/>
    <w:uiPriority w:val="99"/>
    <w:rPr>
      <w:sz w:val="18"/>
    </w:rPr>
  </w:style>
  <w:style w:type="character" w:customStyle="1" w:styleId="33">
    <w:name w:val="Body Text Char"/>
    <w:basedOn w:val="22"/>
    <w:semiHidden/>
    <w:qFormat/>
    <w:uiPriority w:val="99"/>
    <w:rPr>
      <w:rFonts w:ascii="Times New Roman" w:hAnsi="Times New Roman"/>
      <w:szCs w:val="24"/>
    </w:rPr>
  </w:style>
  <w:style w:type="character" w:customStyle="1" w:styleId="34">
    <w:name w:val="正文文本 Char"/>
    <w:link w:val="10"/>
    <w:qFormat/>
    <w:locked/>
    <w:uiPriority w:val="99"/>
    <w:rPr>
      <w:rFonts w:ascii="仿宋_GB2312" w:hAnsi="Times New Roman" w:eastAsia="仿宋_GB2312"/>
      <w:sz w:val="24"/>
    </w:rPr>
  </w:style>
  <w:style w:type="paragraph" w:styleId="35">
    <w:name w:val="List Paragraph"/>
    <w:basedOn w:val="1"/>
    <w:qFormat/>
    <w:uiPriority w:val="34"/>
    <w:pPr>
      <w:ind w:firstLine="420" w:firstLineChars="200"/>
    </w:pPr>
  </w:style>
  <w:style w:type="character" w:customStyle="1" w:styleId="36">
    <w:name w:val="标题 1 Char"/>
    <w:basedOn w:val="22"/>
    <w:link w:val="2"/>
    <w:qFormat/>
    <w:uiPriority w:val="9"/>
    <w:rPr>
      <w:rFonts w:ascii="Times New Roman" w:hAnsi="Times New Roman"/>
      <w:b/>
      <w:bCs/>
      <w:kern w:val="44"/>
      <w:sz w:val="44"/>
      <w:szCs w:val="44"/>
    </w:rPr>
  </w:style>
  <w:style w:type="character" w:customStyle="1" w:styleId="37">
    <w:name w:val="标题 2 Char"/>
    <w:basedOn w:val="22"/>
    <w:link w:val="3"/>
    <w:qFormat/>
    <w:uiPriority w:val="9"/>
    <w:rPr>
      <w:rFonts w:asciiTheme="majorHAnsi" w:hAnsiTheme="majorHAnsi" w:eastAsiaTheme="majorEastAsia" w:cstheme="majorBidi"/>
      <w:b/>
      <w:bCs/>
      <w:kern w:val="2"/>
      <w:sz w:val="32"/>
      <w:szCs w:val="32"/>
    </w:rPr>
  </w:style>
  <w:style w:type="paragraph" w:customStyle="1" w:styleId="3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2"/>
    <w:link w:val="13"/>
    <w:semiHidden/>
    <w:qFormat/>
    <w:uiPriority w:val="99"/>
    <w:rPr>
      <w:rFonts w:ascii="Times New Roman" w:hAnsi="Times New Roman"/>
      <w:kern w:val="2"/>
      <w:sz w:val="18"/>
      <w:szCs w:val="18"/>
    </w:rPr>
  </w:style>
  <w:style w:type="character" w:customStyle="1" w:styleId="40">
    <w:name w:val="标题 3 Char"/>
    <w:basedOn w:val="22"/>
    <w:link w:val="4"/>
    <w:qFormat/>
    <w:uiPriority w:val="9"/>
    <w:rPr>
      <w:rFonts w:ascii="Times New Roman" w:hAnsi="Times New Roman"/>
      <w:b/>
      <w:bCs/>
      <w:kern w:val="2"/>
      <w:sz w:val="32"/>
      <w:szCs w:val="32"/>
    </w:rPr>
  </w:style>
  <w:style w:type="paragraph" w:customStyle="1" w:styleId="41">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2">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43">
    <w:name w:val="font71"/>
    <w:basedOn w:val="22"/>
    <w:qFormat/>
    <w:uiPriority w:val="0"/>
    <w:rPr>
      <w:rFonts w:ascii="仿宋_GB2312" w:eastAsia="仿宋_GB2312" w:cs="仿宋_GB2312"/>
      <w:color w:val="000000"/>
      <w:sz w:val="22"/>
      <w:szCs w:val="22"/>
      <w:u w:val="none"/>
    </w:rPr>
  </w:style>
  <w:style w:type="character" w:customStyle="1" w:styleId="44">
    <w:name w:val="font81"/>
    <w:basedOn w:val="22"/>
    <w:qFormat/>
    <w:uiPriority w:val="0"/>
    <w:rPr>
      <w:rFonts w:hint="default" w:ascii="Times New Roman" w:hAnsi="Times New Roman" w:cs="Times New Roman"/>
      <w:color w:val="000000"/>
      <w:sz w:val="22"/>
      <w:szCs w:val="22"/>
      <w:u w:val="none"/>
    </w:rPr>
  </w:style>
  <w:style w:type="character" w:customStyle="1" w:styleId="45">
    <w:name w:val="font91"/>
    <w:basedOn w:val="22"/>
    <w:qFormat/>
    <w:uiPriority w:val="0"/>
    <w:rPr>
      <w:rFonts w:hint="eastAsia" w:ascii="仿宋_GB2312" w:eastAsia="仿宋_GB2312" w:cs="仿宋_GB2312"/>
      <w:color w:val="000000"/>
      <w:sz w:val="22"/>
      <w:szCs w:val="22"/>
      <w:u w:val="none"/>
    </w:rPr>
  </w:style>
  <w:style w:type="character" w:customStyle="1" w:styleId="46">
    <w:name w:val="font101"/>
    <w:basedOn w:val="22"/>
    <w:qFormat/>
    <w:uiPriority w:val="0"/>
    <w:rPr>
      <w:rFonts w:ascii="Arial" w:hAnsi="Arial" w:cs="Arial"/>
      <w:color w:val="000000"/>
      <w:sz w:val="22"/>
      <w:szCs w:val="22"/>
      <w:u w:val="none"/>
    </w:rPr>
  </w:style>
  <w:style w:type="character" w:customStyle="1" w:styleId="47">
    <w:name w:val="font21"/>
    <w:basedOn w:val="22"/>
    <w:qFormat/>
    <w:uiPriority w:val="0"/>
    <w:rPr>
      <w:rFonts w:ascii="宋体" w:hAnsi="宋体" w:eastAsia="宋体" w:cs="宋体"/>
      <w:color w:val="000000"/>
      <w:sz w:val="18"/>
      <w:szCs w:val="18"/>
      <w:u w:val="none"/>
    </w:rPr>
  </w:style>
  <w:style w:type="character" w:customStyle="1" w:styleId="48">
    <w:name w:val="font11"/>
    <w:basedOn w:val="22"/>
    <w:qFormat/>
    <w:uiPriority w:val="0"/>
    <w:rPr>
      <w:rFonts w:hint="eastAsia" w:ascii="宋体" w:hAnsi="宋体" w:eastAsia="宋体" w:cs="宋体"/>
      <w:b/>
      <w:bCs/>
      <w:color w:val="000000"/>
      <w:sz w:val="24"/>
      <w:szCs w:val="24"/>
      <w:u w:val="none"/>
    </w:rPr>
  </w:style>
  <w:style w:type="character" w:customStyle="1" w:styleId="49">
    <w:name w:val="font121"/>
    <w:basedOn w:val="22"/>
    <w:qFormat/>
    <w:uiPriority w:val="0"/>
    <w:rPr>
      <w:rFonts w:hint="eastAsia" w:ascii="宋体" w:hAnsi="宋体" w:eastAsia="宋体" w:cs="宋体"/>
      <w:color w:val="000000"/>
      <w:sz w:val="24"/>
      <w:szCs w:val="24"/>
      <w:u w:val="none"/>
    </w:rPr>
  </w:style>
  <w:style w:type="character" w:customStyle="1" w:styleId="50">
    <w:name w:val="font31"/>
    <w:basedOn w:val="22"/>
    <w:qFormat/>
    <w:uiPriority w:val="0"/>
    <w:rPr>
      <w:rFonts w:hint="eastAsia" w:ascii="Microsoft YaHei UI" w:hAnsi="Microsoft YaHei UI" w:eastAsia="Microsoft YaHei UI" w:cs="Microsoft YaHei UI"/>
      <w:color w:val="000000"/>
      <w:sz w:val="20"/>
      <w:szCs w:val="20"/>
      <w:u w:val="none"/>
    </w:rPr>
  </w:style>
  <w:style w:type="character" w:customStyle="1" w:styleId="51">
    <w:name w:val="font51"/>
    <w:basedOn w:val="22"/>
    <w:qFormat/>
    <w:uiPriority w:val="0"/>
    <w:rPr>
      <w:rFonts w:hint="default" w:ascii="Times New Roman" w:hAnsi="Times New Roman" w:cs="Times New Roman"/>
      <w:color w:val="000000"/>
      <w:sz w:val="20"/>
      <w:szCs w:val="20"/>
      <w:u w:val="none"/>
    </w:rPr>
  </w:style>
  <w:style w:type="character" w:customStyle="1" w:styleId="52">
    <w:name w:val="font4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chart" Target="charts/chart8.xml"/><Relationship Id="rId25" Type="http://schemas.openxmlformats.org/officeDocument/2006/relationships/chart" Target="charts/chart7.xml"/><Relationship Id="rId24" Type="http://schemas.openxmlformats.org/officeDocument/2006/relationships/chart" Target="charts/chart6.xml"/><Relationship Id="rId23" Type="http://schemas.openxmlformats.org/officeDocument/2006/relationships/chart" Target="charts/chart5.xml"/><Relationship Id="rId22" Type="http://schemas.openxmlformats.org/officeDocument/2006/relationships/chart" Target="charts/chart4.xml"/><Relationship Id="rId21" Type="http://schemas.openxmlformats.org/officeDocument/2006/relationships/chart" Target="charts/chart3.xml"/><Relationship Id="rId20" Type="http://schemas.openxmlformats.org/officeDocument/2006/relationships/chart" Target="charts/chart2.xml"/><Relationship Id="rId2" Type="http://schemas.openxmlformats.org/officeDocument/2006/relationships/settings" Target="settings.xml"/><Relationship Id="rId19" Type="http://schemas.openxmlformats.org/officeDocument/2006/relationships/chart" Target="charts/chart1.xml"/><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dministrator\Desktop\2024&#24180;&#20915;&#31639;&#20844;&#24320;\&#22270;&#34920;2021&#2418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24&#24180;&#20915;&#31639;&#20844;&#24320;\&#22270;&#34920;2021&#2418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4&#24180;&#20915;&#31639;&#20844;&#24320;\&#22270;&#34920;2021&#24180;.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dministrator\Desktop\2024&#24180;&#20915;&#31639;&#20844;&#24320;\&#22270;&#34920;2021&#2418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24&#24180;&#20915;&#31639;&#20844;&#24320;\&#22270;&#34920;2021&#2418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24&#24180;&#20915;&#31639;&#20844;&#24320;\&#22270;&#34920;2021&#2418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24&#24180;&#20915;&#31639;&#20844;&#24320;\&#22270;&#34920;2021&#2418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inistrator\Desktop\2024&#24180;&#20915;&#31639;&#20844;&#24320;\&#22270;&#34920;2021&#2418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rPr altLang="en-US" sz="1600" b="1" i="0" u="none" strike="noStrike" baseline="0">
                <a:solidFill>
                  <a:srgbClr val="000000"/>
                </a:solidFill>
                <a:latin typeface="宋体" panose="02010600030101010101" charset="-122"/>
                <a:ea typeface="宋体" panose="02010600030101010101" charset="-122"/>
                <a:cs typeface="宋体" panose="02010600030101010101" charset="-122"/>
              </a:rPr>
              <a:t>收、支决算总计变动情况图</a:t>
            </a:r>
            <a:r>
              <a:rPr altLang="en-US" sz="1000" b="1" i="0" u="none" strike="noStrike" baseline="0">
                <a:solidFill>
                  <a:srgbClr val="000000"/>
                </a:solidFill>
                <a:latin typeface="宋体" panose="02010600030101010101" charset="-122"/>
                <a:ea typeface="宋体" panose="02010600030101010101" charset="-122"/>
                <a:cs typeface="宋体" panose="02010600030101010101" charset="-122"/>
              </a:rPr>
              <a:t>（</a:t>
            </a:r>
            <a:r>
              <a:rPr sz="1000" b="1" i="0" u="none" strike="noStrike" baseline="0">
                <a:solidFill>
                  <a:srgbClr val="000000"/>
                </a:solidFill>
                <a:latin typeface="宋体" panose="02010600030101010101" charset="-122"/>
                <a:ea typeface="宋体" panose="02010600030101010101" charset="-122"/>
                <a:cs typeface="宋体" panose="02010600030101010101" charset="-122"/>
              </a:rPr>
              <a:t>单位万元）</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82398266313508"/>
          <c:y val="0.0313479623824451"/>
        </c:manualLayout>
      </c:layout>
      <c:overlay val="0"/>
    </c:title>
    <c:autoTitleDeleted val="0"/>
    <c:plotArea>
      <c:layout/>
      <c:barChart>
        <c:barDir val="col"/>
        <c:grouping val="clustered"/>
        <c:varyColors val="0"/>
        <c:ser>
          <c:idx val="0"/>
          <c:order val="0"/>
          <c:tx>
            <c:strRef>
              <c:f>[图表2021年.xls]Sheet1!$B$1</c:f>
              <c:strCache>
                <c:ptCount val="1"/>
                <c:pt idx="0">
                  <c:v>2024</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[图表2021年.xls]Sheet1!$A$2:$A$3</c:f>
              <c:strCache>
                <c:ptCount val="2"/>
                <c:pt idx="0">
                  <c:v>收人总计</c:v>
                </c:pt>
                <c:pt idx="1">
                  <c:v>支出总计</c:v>
                </c:pt>
              </c:strCache>
            </c:strRef>
          </c:cat>
          <c:val>
            <c:numRef>
              <c:f>[图表2021年.xls]Sheet1!$B$2:$B$3</c:f>
              <c:numCache>
                <c:formatCode>General</c:formatCode>
                <c:ptCount val="2"/>
                <c:pt idx="0">
                  <c:v>2141.27</c:v>
                </c:pt>
                <c:pt idx="1">
                  <c:v>2141.27</c:v>
                </c:pt>
              </c:numCache>
            </c:numRef>
          </c:val>
        </c:ser>
        <c:ser>
          <c:idx val="1"/>
          <c:order val="1"/>
          <c:tx>
            <c:strRef>
              <c:f>[图表2021年.xls]Sheet1!$C$1</c:f>
              <c:strCache>
                <c:ptCount val="1"/>
                <c:pt idx="0">
                  <c:v>2023</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[图表2021年.xls]Sheet1!$A$2:$A$3</c:f>
              <c:strCache>
                <c:ptCount val="2"/>
                <c:pt idx="0">
                  <c:v>收人总计</c:v>
                </c:pt>
                <c:pt idx="1">
                  <c:v>支出总计</c:v>
                </c:pt>
              </c:strCache>
            </c:strRef>
          </c:cat>
          <c:val>
            <c:numRef>
              <c:f>[图表2021年.xls]Sheet1!$C$2:$C$3</c:f>
              <c:numCache>
                <c:formatCode>General</c:formatCode>
                <c:ptCount val="2"/>
                <c:pt idx="0">
                  <c:v>2090.17</c:v>
                </c:pt>
                <c:pt idx="1">
                  <c:v>2090.17</c:v>
                </c:pt>
              </c:numCache>
            </c:numRef>
          </c:val>
        </c:ser>
        <c:dLbls>
          <c:showLegendKey val="0"/>
          <c:showVal val="0"/>
          <c:showCatName val="0"/>
          <c:showSerName val="0"/>
          <c:showPercent val="0"/>
          <c:showBubbleSize val="0"/>
        </c:dLbls>
        <c:gapWidth val="150"/>
        <c:overlap val="0"/>
        <c:axId val="54662894"/>
        <c:axId val="80998942"/>
      </c:barChart>
      <c:catAx>
        <c:axId val="5466289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0998942"/>
        <c:crosses val="autoZero"/>
        <c:auto val="1"/>
        <c:lblAlgn val="ctr"/>
        <c:lblOffset val="100"/>
        <c:noMultiLvlLbl val="0"/>
      </c:catAx>
      <c:valAx>
        <c:axId val="8099894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466289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9021cb1d-3324-4a7d-8d7b-79500f8dda80}"/>
      </c:ext>
    </c:extLst>
  </c:chart>
  <c:txPr>
    <a:bodyPr wrap="square"/>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Pt>
            <c:idx val="5"/>
            <c:bubble3D val="0"/>
            <c:explosion val="0"/>
            <c:spPr>
              <a:solidFill>
                <a:schemeClr val="accent6"/>
              </a:solidFill>
              <a:ln w="19050">
                <a:solidFill>
                  <a:schemeClr val="lt1"/>
                </a:solidFill>
              </a:ln>
              <a:effectLst/>
            </c:spPr>
          </c:dPt>
          <c:dPt>
            <c:idx val="6"/>
            <c:bubble3D val="0"/>
            <c:explosion val="0"/>
            <c:spPr>
              <a:solidFill>
                <a:schemeClr val="accent1">
                  <a:lumMod val="60000"/>
                </a:schemeClr>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[图表2021年.xls]Sheet1!$K$2:$K$8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[图表2021年.xls]Sheet1!$L$2:$L$8</c:f>
              <c:numCache>
                <c:formatCode>0.00%</c:formatCode>
                <c:ptCount val="7"/>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765c81e-5d86-4e33-bb16-06d98ffb978c}"/>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333333"/>
                </a:solidFill>
                <a:latin typeface="宋体" panose="02010600030101010101" charset="-122"/>
                <a:ea typeface="宋体" panose="02010600030101010101" charset="-122"/>
                <a:cs typeface="宋体" panose="02010600030101010101" charset="-122"/>
              </a:rPr>
              <a:t>支出决算结构图（</a:t>
            </a:r>
            <a:r>
              <a:rPr sz="1000" b="0" i="0" u="none" strike="noStrike" baseline="0">
                <a:solidFill>
                  <a:srgbClr val="333333"/>
                </a:solidFill>
                <a:latin typeface="宋体" panose="02010600030101010101" charset="-122"/>
                <a:ea typeface="宋体" panose="02010600030101010101" charset="-122"/>
                <a:cs typeface="宋体" panose="02010600030101010101" charset="-122"/>
              </a:rPr>
              <a:t>单位：万元</a:t>
            </a:r>
            <a:r>
              <a:rPr sz="14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[图表2021年.xls]Sheet1!$K$29:$K$30</c:f>
              <c:strCache>
                <c:ptCount val="2"/>
                <c:pt idx="0">
                  <c:v>基本支出</c:v>
                </c:pt>
                <c:pt idx="1">
                  <c:v>项目支出</c:v>
                </c:pt>
              </c:strCache>
            </c:strRef>
          </c:cat>
          <c:val>
            <c:numRef>
              <c:f>[图表2021年.xls]Sheet1!$L$29:$L$30</c:f>
              <c:numCache>
                <c:formatCode>0.00%</c:formatCode>
                <c:ptCount val="2"/>
                <c:pt idx="0">
                  <c:v>0.809</c:v>
                </c:pt>
                <c:pt idx="1">
                  <c:v>0.191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384583333333333"/>
          <c:y val="0.87250528293026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1481828-706d-4665-a0ff-64dbfc8adbbc}"/>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rPr sz="1400" b="1" i="0" u="none" strike="noStrike" baseline="0">
                <a:solidFill>
                  <a:srgbClr val="000000"/>
                </a:solidFill>
                <a:latin typeface="宋体" panose="02010600030101010101" charset="-122"/>
                <a:ea typeface="宋体" panose="02010600030101010101" charset="-122"/>
                <a:cs typeface="宋体" panose="02010600030101010101" charset="-122"/>
              </a:rPr>
              <a:t>财政拨款收、支决算总计变动图</a:t>
            </a:r>
            <a:r>
              <a:rPr lang="en-US" altLang="zh-CN" sz="1800" b="1" i="0" u="none" strike="noStrike" baseline="0">
                <a:solidFill>
                  <a:srgbClr val="000000"/>
                </a:solidFill>
                <a:latin typeface="Calibri" panose="020F0502020204030204" pitchFamily="2" charset="0"/>
                <a:ea typeface="Calibri" panose="020F0502020204030204" pitchFamily="2" charset="0"/>
                <a:cs typeface="Calibri" panose="020F0502020204030204" pitchFamily="2" charset="0"/>
              </a:rPr>
              <a:t> </a:t>
            </a:r>
            <a:r>
              <a:rPr altLang="en-US" sz="1000" b="1" i="0" u="none" strike="noStrike" baseline="0">
                <a:solidFill>
                  <a:srgbClr val="000000"/>
                </a:solidFill>
                <a:latin typeface="宋体" panose="02010600030101010101" charset="-122"/>
                <a:ea typeface="宋体" panose="02010600030101010101" charset="-122"/>
                <a:cs typeface="宋体" panose="02010600030101010101" charset="-122"/>
              </a:rPr>
              <a:t>（</a:t>
            </a:r>
            <a:r>
              <a:rPr sz="1000" b="1" i="0" u="none" strike="noStrike" baseline="0">
                <a:solidFill>
                  <a:srgbClr val="000000"/>
                </a:solidFill>
                <a:latin typeface="宋体" panose="02010600030101010101" charset="-122"/>
                <a:ea typeface="宋体" panose="02010600030101010101" charset="-122"/>
                <a:cs typeface="宋体" panose="02010600030101010101" charset="-122"/>
              </a:rPr>
              <a:t>单位万元）</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82398266313508"/>
          <c:y val="0.0313479623824451"/>
        </c:manualLayout>
      </c:layout>
      <c:overlay val="0"/>
    </c:title>
    <c:autoTitleDeleted val="0"/>
    <c:plotArea>
      <c:layout>
        <c:manualLayout>
          <c:layoutTarget val="inner"/>
          <c:xMode val="edge"/>
          <c:yMode val="edge"/>
          <c:x val="0.0846478025285972"/>
          <c:y val="0.191098317094774"/>
          <c:w val="0.788079470198676"/>
          <c:h val="0.692869796279894"/>
        </c:manualLayout>
      </c:layout>
      <c:barChart>
        <c:barDir val="col"/>
        <c:grouping val="clustered"/>
        <c:varyColors val="0"/>
        <c:ser>
          <c:idx val="0"/>
          <c:order val="0"/>
          <c:tx>
            <c:strRef>
              <c:f>[图表2021年.xls]Sheet1!$B$1</c:f>
              <c:strCache>
                <c:ptCount val="1"/>
                <c:pt idx="0">
                  <c:v>2024</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[图表2021年.xls]Sheet1!$A$2:$A$3</c:f>
              <c:strCache>
                <c:ptCount val="2"/>
                <c:pt idx="0">
                  <c:v>收人总计</c:v>
                </c:pt>
                <c:pt idx="1">
                  <c:v>支出总计</c:v>
                </c:pt>
              </c:strCache>
            </c:strRef>
          </c:cat>
          <c:val>
            <c:numRef>
              <c:f>[图表2021年.xls]Sheet1!$B$2:$B$3</c:f>
              <c:numCache>
                <c:formatCode>General</c:formatCode>
                <c:ptCount val="2"/>
                <c:pt idx="0">
                  <c:v>2141.27</c:v>
                </c:pt>
                <c:pt idx="1">
                  <c:v>2141.27</c:v>
                </c:pt>
              </c:numCache>
            </c:numRef>
          </c:val>
        </c:ser>
        <c:ser>
          <c:idx val="1"/>
          <c:order val="1"/>
          <c:tx>
            <c:strRef>
              <c:f>[图表2021年.xls]Sheet1!$C$1</c:f>
              <c:strCache>
                <c:ptCount val="1"/>
                <c:pt idx="0">
                  <c:v>2023</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[图表2021年.xls]Sheet1!$A$2:$A$3</c:f>
              <c:strCache>
                <c:ptCount val="2"/>
                <c:pt idx="0">
                  <c:v>收人总计</c:v>
                </c:pt>
                <c:pt idx="1">
                  <c:v>支出总计</c:v>
                </c:pt>
              </c:strCache>
            </c:strRef>
          </c:cat>
          <c:val>
            <c:numRef>
              <c:f>[图表2021年.xls]Sheet1!$C$2:$C$3</c:f>
              <c:numCache>
                <c:formatCode>General</c:formatCode>
                <c:ptCount val="2"/>
                <c:pt idx="0">
                  <c:v>2090.17</c:v>
                </c:pt>
                <c:pt idx="1">
                  <c:v>2090.17</c:v>
                </c:pt>
              </c:numCache>
            </c:numRef>
          </c:val>
        </c:ser>
        <c:dLbls>
          <c:showLegendKey val="0"/>
          <c:showVal val="0"/>
          <c:showCatName val="0"/>
          <c:showSerName val="0"/>
          <c:showPercent val="0"/>
          <c:showBubbleSize val="0"/>
        </c:dLbls>
        <c:gapWidth val="150"/>
        <c:overlap val="0"/>
        <c:axId val="350443123"/>
        <c:axId val="43992778"/>
      </c:barChart>
      <c:catAx>
        <c:axId val="350443123"/>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3992778"/>
        <c:crosses val="autoZero"/>
        <c:auto val="1"/>
        <c:lblAlgn val="ctr"/>
        <c:lblOffset val="100"/>
        <c:noMultiLvlLbl val="0"/>
      </c:catAx>
      <c:valAx>
        <c:axId val="4399277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50443123"/>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5506a52-8b72-45c1-ab81-724d0c283704}"/>
      </c:ext>
    </c:extLst>
  </c:chart>
  <c:txPr>
    <a:bodyPr wrap="square"/>
    <a:lstStyle/>
    <a:p>
      <a:pPr>
        <a:defRPr lang="zh-CN"/>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333333"/>
                </a:solidFill>
                <a:latin typeface="宋体" panose="02010600030101010101" charset="-122"/>
                <a:ea typeface="宋体" panose="02010600030101010101" charset="-122"/>
                <a:cs typeface="宋体" panose="02010600030101010101" charset="-122"/>
              </a:rPr>
              <a:t>一般公共预算财政拨款支出决算变动（</a:t>
            </a:r>
            <a:r>
              <a:rPr sz="1200" b="0" i="0" u="none" strike="noStrike" baseline="0">
                <a:solidFill>
                  <a:srgbClr val="333333"/>
                </a:solidFill>
                <a:latin typeface="宋体" panose="02010600030101010101" charset="-122"/>
                <a:ea typeface="宋体" panose="02010600030101010101" charset="-122"/>
                <a:cs typeface="宋体" panose="02010600030101010101" charset="-122"/>
              </a:rPr>
              <a:t>单位：万元</a:t>
            </a:r>
            <a:r>
              <a:rPr sz="14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08888888888889"/>
          <c:y val="0.0208333333333333"/>
        </c:manualLayout>
      </c:layout>
      <c:overlay val="0"/>
      <c:spPr>
        <a:noFill/>
        <a:ln>
          <a:noFill/>
        </a:ln>
        <a:effectLst/>
      </c:spPr>
    </c:title>
    <c:autoTitleDeleted val="0"/>
    <c:plotArea>
      <c:layout/>
      <c:barChart>
        <c:barDir val="col"/>
        <c:grouping val="clustered"/>
        <c:varyColors val="0"/>
        <c:ser>
          <c:idx val="0"/>
          <c:order val="0"/>
          <c:tx>
            <c:strRef>
              <c:f>[图表2021年.xls]Sheet1!$A$43</c:f>
              <c:strCache>
                <c:ptCount val="1"/>
                <c:pt idx="0">
                  <c:v>一般公共预算财政拨款支出</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[图表2021年.xls]Sheet1!$B$42:$C$42</c:f>
              <c:numCache>
                <c:formatCode>General</c:formatCode>
                <c:ptCount val="2"/>
                <c:pt idx="0">
                  <c:v>2024</c:v>
                </c:pt>
                <c:pt idx="1">
                  <c:v>2023</c:v>
                </c:pt>
              </c:numCache>
            </c:numRef>
          </c:cat>
          <c:val>
            <c:numRef>
              <c:f>[图表2021年.xls]Sheet1!$B$43:$C$43</c:f>
              <c:numCache>
                <c:formatCode>General</c:formatCode>
                <c:ptCount val="2"/>
                <c:pt idx="0">
                  <c:v>2141.27</c:v>
                </c:pt>
                <c:pt idx="1">
                  <c:v>2056.17</c:v>
                </c:pt>
              </c:numCache>
            </c:numRef>
          </c:val>
        </c:ser>
        <c:dLbls>
          <c:showLegendKey val="0"/>
          <c:showVal val="0"/>
          <c:showCatName val="0"/>
          <c:showSerName val="0"/>
          <c:showPercent val="0"/>
          <c:showBubbleSize val="0"/>
        </c:dLbls>
        <c:gapWidth val="219"/>
        <c:overlap val="-27"/>
        <c:axId val="640949353"/>
        <c:axId val="884556427"/>
      </c:barChart>
      <c:catAx>
        <c:axId val="64094935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4556427"/>
        <c:crosses val="autoZero"/>
        <c:auto val="1"/>
        <c:lblAlgn val="ctr"/>
        <c:lblOffset val="100"/>
        <c:noMultiLvlLbl val="0"/>
      </c:catAx>
      <c:valAx>
        <c:axId val="88455642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0949353"/>
        <c:crosses val="autoZero"/>
        <c:crossBetween val="between"/>
      </c:valAx>
      <c:spPr>
        <a:noFill/>
        <a:ln>
          <a:noFill/>
        </a:ln>
        <a:effectLst/>
      </c:spPr>
    </c:plotArea>
    <c:plotVisOnly val="1"/>
    <c:dispBlanksAs val="gap"/>
    <c:showDLblsOverMax val="0"/>
    <c:extLst>
      <c:ext uri="{0b15fc19-7d7d-44ad-8c2d-2c3a37ce22c3}">
        <chartProps xmlns="https://web.wps.cn/et/2018/main" chartId="{2cc914b0-582f-4e51-b189-45f05903175f}"/>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Pt>
            <c:idx val="5"/>
            <c:bubble3D val="0"/>
            <c:explosion val="0"/>
            <c:spPr>
              <a:solidFill>
                <a:schemeClr val="accent6"/>
              </a:solidFill>
              <a:ln w="19050">
                <a:solidFill>
                  <a:schemeClr val="lt1"/>
                </a:solidFill>
              </a:ln>
              <a:effectLst/>
            </c:spPr>
          </c:dPt>
          <c:dPt>
            <c:idx val="6"/>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[图表2021年.xls]Sheet1!$I$45:$I$51</c:f>
              <c:strCache>
                <c:ptCount val="7"/>
                <c:pt idx="0">
                  <c:v>一般公共服务（类）支出</c:v>
                </c:pt>
                <c:pt idx="1">
                  <c:v>社会保障和就业（类）</c:v>
                </c:pt>
                <c:pt idx="2">
                  <c:v>卫生健康支出（类）</c:v>
                </c:pt>
                <c:pt idx="3">
                  <c:v>资源勘探工业信息等支出</c:v>
                </c:pt>
                <c:pt idx="4">
                  <c:v>商业服务业等支出</c:v>
                </c:pt>
                <c:pt idx="5">
                  <c:v>住房保障支出（类）</c:v>
                </c:pt>
                <c:pt idx="6">
                  <c:v>灾害防治及应急管理支出（类）</c:v>
                </c:pt>
              </c:strCache>
            </c:strRef>
          </c:cat>
          <c:val>
            <c:numRef>
              <c:f>[图表2021年.xls]Sheet1!$J$45:$J$51</c:f>
              <c:numCache>
                <c:formatCode>0.00%</c:formatCode>
                <c:ptCount val="7"/>
                <c:pt idx="0">
                  <c:v>0.7129</c:v>
                </c:pt>
                <c:pt idx="1">
                  <c:v>0.1273</c:v>
                </c:pt>
                <c:pt idx="2">
                  <c:v>0.043</c:v>
                </c:pt>
                <c:pt idx="3">
                  <c:v>0.0211</c:v>
                </c:pt>
                <c:pt idx="4">
                  <c:v>0.032</c:v>
                </c:pt>
                <c:pt idx="5">
                  <c:v>0.0563</c:v>
                </c:pt>
                <c:pt idx="6">
                  <c:v>0.0074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10f97da-2fe5-413b-bc29-cc7518e9d6bd}"/>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基本支出决算结构图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[图表2021年.xls]Sheet1!$A$63:$A$64</c:f>
              <c:strCache>
                <c:ptCount val="2"/>
                <c:pt idx="0">
                  <c:v>人员经费</c:v>
                </c:pt>
                <c:pt idx="1">
                  <c:v>公用经费</c:v>
                </c:pt>
              </c:strCache>
            </c:strRef>
          </c:cat>
          <c:val>
            <c:numRef>
              <c:f>[图表2021年.xls]Sheet1!$B$63:$B$64</c:f>
              <c:numCache>
                <c:formatCode>0.00%</c:formatCode>
                <c:ptCount val="2"/>
                <c:pt idx="0">
                  <c:v>0.878</c:v>
                </c:pt>
                <c:pt idx="1">
                  <c:v>0.122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a751cb0-271d-439f-a794-8601195032f2}"/>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[图表2021年.xls]Sheet1!$A$85:$A$86</c:f>
              <c:strCache>
                <c:ptCount val="2"/>
                <c:pt idx="0">
                  <c:v>公务用车购置及运行维护费</c:v>
                </c:pt>
                <c:pt idx="1">
                  <c:v>公务接待</c:v>
                </c:pt>
              </c:strCache>
            </c:strRef>
          </c:cat>
          <c:val>
            <c:numRef>
              <c:f>[图表2021年.xls]Sheet1!$B$85:$B$86</c:f>
              <c:numCache>
                <c:formatCode>0.00%</c:formatCode>
                <c:ptCount val="2"/>
                <c:pt idx="0">
                  <c:v>0.8066</c:v>
                </c:pt>
                <c:pt idx="1">
                  <c:v>0.1934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022b12b-3607-42ea-b8ff-3b2f42fbe2e2}"/>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drawings/_rels/drawing1.xml.rels><?xml version="1.0" encoding="UTF-8" standalone="yes"?>
<Relationships xmlns="http://schemas.openxmlformats.org/package/2006/relationships"><Relationship Id="rId1" Type="http://schemas.openxmlformats.org/officeDocument/2006/relationships/image" Target="../media/image1.emf"/></Relationships>
</file>

<file path=word/drawings/_rels/drawing2.xml.rels><?xml version="1.0" encoding="UTF-8" standalone="yes"?>
<Relationships xmlns="http://schemas.openxmlformats.org/package/2006/relationships"><Relationship Id="rId1" Type="http://schemas.openxmlformats.org/officeDocument/2006/relationships/image" Target="../media/image1.emf"/></Relationships>
</file>

<file path=word/drawings/drawing1.xml><?xml version="1.0" encoding="utf-8"?>
<c:userShapes xmlns:c="http://schemas.openxmlformats.org/drawingml/2006/chart">
  <cdr:relSizeAnchor xmlns:cdr="http://schemas.openxmlformats.org/drawingml/2006/chartDrawing">
    <cdr:from>
      <cdr:x>0.276700782661048</cdr:x>
      <cdr:y>1.54004954582989</cdr:y>
    </cdr:from>
    <cdr:to>
      <cdr:x>0.946297411198073</cdr:x>
      <cdr:y>1</cdr:y>
    </cdr:to>
    <cdr:pic xmlns:a="http://schemas.openxmlformats.org/drawingml/2006/main">
      <cdr:nvPicPr>
        <cdr:cNvPr id="2" name="图片 1"/>
        <cdr:cNvPicPr/>
      </cdr:nvPicPr>
      <cdr:blipFill>
        <a:blip xmlns:r="http://schemas.openxmlformats.org/officeDocument/2006/relationships" r:embed="rId1"/>
        <a:stretch>
          <a:fillRect/>
        </a:stretch>
      </cdr:blipFill>
      <cdr:spPr>
        <a:xfrm>
          <a:off x="2298" y="4785"/>
          <a:ext cx="5562" cy="2584"/>
        </a:xfrm>
        <a:prstGeom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0.276700782661048</cdr:x>
      <cdr:y>1.54004954582989</cdr:y>
    </cdr:from>
    <cdr:to>
      <cdr:x>0.946297411198073</cdr:x>
      <cdr:y>1</cdr:y>
    </cdr:to>
    <cdr:pic xmlns:a="http://schemas.openxmlformats.org/drawingml/2006/main">
      <cdr:nvPicPr>
        <cdr:cNvPr id="2" name="图片 1"/>
        <cdr:cNvPicPr/>
      </cdr:nvPicPr>
      <cdr:blipFill>
        <a:blip xmlns:r="http://schemas.openxmlformats.org/officeDocument/2006/relationships" r:embed="rId1"/>
        <a:stretch>
          <a:fillRect/>
        </a:stretch>
      </cdr:blipFill>
      <cdr:spPr>
        <a:xfrm>
          <a:off x="2298" y="4785"/>
          <a:ext cx="5561" cy="2584"/>
        </a:xfrm>
        <a:prstGeom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111</Pages>
  <Words>12085</Words>
  <Characters>13085</Characters>
  <Lines>61</Lines>
  <Paragraphs>17</Paragraphs>
  <TotalTime>89</TotalTime>
  <ScaleCrop>false</ScaleCrop>
  <LinksUpToDate>false</LinksUpToDate>
  <CharactersWithSpaces>13124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Administrator</cp:lastModifiedBy>
  <cp:lastPrinted>2025-08-21T14:57:00Z</cp:lastPrinted>
  <dcterms:modified xsi:type="dcterms:W3CDTF">2025-09-19T05:55:35Z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A3D82B06649646E7B4F24F9568A8F3D5_12</vt:lpwstr>
  </property>
  <property fmtid="{D5CDD505-2E9C-101B-9397-08002B2CF9AE}" pid="4" name="KSOTemplateDocerSaveRecord">
    <vt:lpwstr>eyJoZGlkIjoiMjcwYjc0NzEyMzZlNTZmOWU5MGU4MTc5MzFmMjczNTkifQ==</vt:lpwstr>
  </property>
</Properties>
</file>