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0C12F">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77193"/>
      <w:bookmarkStart w:id="3" w:name="_Toc15396597"/>
      <w:bookmarkStart w:id="4" w:name="_Toc15396475"/>
      <w:bookmarkStart w:id="5" w:name="_Toc15378441"/>
    </w:p>
    <w:p w14:paraId="412DC096">
      <w:pPr>
        <w:pStyle w:val="7"/>
        <w:rPr>
          <w:rFonts w:hint="eastAsia" w:ascii="Times New Roman" w:hAnsi="Times New Roman" w:eastAsia="方正小标宋简体" w:cs="Times New Roman"/>
          <w:color w:val="auto"/>
          <w:kern w:val="2"/>
          <w:sz w:val="72"/>
          <w:szCs w:val="72"/>
          <w:highlight w:val="none"/>
          <w:lang w:val="en-US" w:eastAsia="zh-CN" w:bidi="ar-SA"/>
        </w:rPr>
      </w:pPr>
    </w:p>
    <w:p w14:paraId="13F4F763">
      <w:pPr>
        <w:pStyle w:val="7"/>
        <w:rPr>
          <w:rFonts w:hint="eastAsia" w:ascii="Times New Roman" w:hAnsi="Times New Roman" w:eastAsia="方正小标宋简体" w:cs="Times New Roman"/>
          <w:color w:val="auto"/>
          <w:kern w:val="2"/>
          <w:sz w:val="72"/>
          <w:szCs w:val="72"/>
          <w:highlight w:val="none"/>
          <w:lang w:val="en-US" w:eastAsia="zh-CN" w:bidi="ar-SA"/>
        </w:rPr>
      </w:pPr>
    </w:p>
    <w:p w14:paraId="49250CFF">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w:t>
      </w: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4</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年度</w:t>
      </w:r>
    </w:p>
    <w:p w14:paraId="7764A234">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遂宁市安居区综合行政执法局</w:t>
      </w:r>
    </w:p>
    <w:p w14:paraId="4B0D26EE">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p>
    <w:p w14:paraId="18BCF38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5AE0BBA0">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59A4C8C">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0E736044">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972C2C8">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38540C3">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02E95BC">
      <w:pPr>
        <w:widowControl/>
        <w:jc w:val="center"/>
        <w:rPr>
          <w:rFonts w:ascii="Times New Roman" w:hAnsi="Times New Roman" w:eastAsia="黑体" w:cstheme="minorBidi"/>
          <w:color w:val="auto"/>
          <w:sz w:val="28"/>
          <w:szCs w:val="28"/>
          <w:highlight w:val="none"/>
        </w:rPr>
      </w:pPr>
    </w:p>
    <w:p w14:paraId="6A1A5C14">
      <w:pPr>
        <w:pStyle w:val="16"/>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bookmarkStart w:id="92" w:name="_GoBack"/>
      <w:bookmarkEnd w:id="92"/>
      <w:r>
        <w:rPr>
          <w:rFonts w:hint="eastAsia" w:ascii="Times New Roman" w:hAnsi="Times New Roman" w:eastAsia="仿宋_GB2312" w:cs="仿宋_GB2312"/>
          <w:color w:val="auto"/>
          <w:sz w:val="32"/>
          <w:szCs w:val="32"/>
          <w:highlight w:val="none"/>
        </w:rPr>
        <w:t>日</w:t>
      </w:r>
    </w:p>
    <w:p w14:paraId="0B49883E">
      <w:pPr>
        <w:rPr>
          <w:rFonts w:ascii="Times New Roman" w:hAnsi="Times New Roman"/>
          <w:color w:val="auto"/>
          <w:highlight w:val="none"/>
        </w:rPr>
      </w:pPr>
    </w:p>
    <w:sdt>
      <w:sdtPr>
        <w:rPr>
          <w:rFonts w:ascii="宋体" w:hAnsi="宋体" w:eastAsia="宋体" w:cs="Times New Roman"/>
          <w:kern w:val="2"/>
          <w:sz w:val="24"/>
          <w:szCs w:val="24"/>
          <w:lang w:val="en-US" w:eastAsia="zh-CN" w:bidi="ar-SA"/>
        </w:rPr>
        <w:id w:val="147475981"/>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14:paraId="3F268C6B">
          <w:pPr>
            <w:spacing w:before="0" w:beforeLines="0" w:after="0" w:afterLines="0" w:line="240" w:lineRule="auto"/>
            <w:ind w:left="0" w:leftChars="0" w:right="0" w:rightChars="0" w:firstLine="0" w:firstLineChars="0"/>
            <w:jc w:val="center"/>
            <w:rPr>
              <w:sz w:val="24"/>
              <w:szCs w:val="24"/>
            </w:rPr>
          </w:pPr>
        </w:p>
        <w:p w14:paraId="51436082">
          <w:pPr>
            <w:pStyle w:val="16"/>
            <w:tabs>
              <w:tab w:val="right" w:leader="dot" w:pos="8306"/>
              <w:tab w:val="clear" w:pos="8296"/>
            </w:tabs>
          </w:pPr>
          <w:r>
            <w:rPr>
              <w:sz w:val="24"/>
              <w:szCs w:val="24"/>
            </w:rPr>
            <w:fldChar w:fldCharType="begin"/>
          </w:r>
          <w:r>
            <w:rPr>
              <w:sz w:val="24"/>
              <w:szCs w:val="24"/>
            </w:rPr>
            <w:instrText xml:space="preserve">TOC \o "1-2" \h \u </w:instrText>
          </w:r>
          <w:r>
            <w:rPr>
              <w:sz w:val="24"/>
              <w:szCs w:val="24"/>
            </w:rPr>
            <w:fldChar w:fldCharType="separate"/>
          </w:r>
          <w:r>
            <w:rPr>
              <w:szCs w:val="24"/>
            </w:rPr>
            <w:fldChar w:fldCharType="begin"/>
          </w:r>
          <w:r>
            <w:rPr>
              <w:szCs w:val="24"/>
            </w:rPr>
            <w:instrText xml:space="preserve"> HYPERLINK \l _Toc1789 </w:instrText>
          </w:r>
          <w:r>
            <w:rPr>
              <w:szCs w:val="24"/>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_Toc1789 \h </w:instrText>
          </w:r>
          <w:r>
            <w:fldChar w:fldCharType="separate"/>
          </w:r>
          <w:r>
            <w:t>- 1 -</w:t>
          </w:r>
          <w:r>
            <w:fldChar w:fldCharType="end"/>
          </w:r>
          <w:r>
            <w:rPr>
              <w:szCs w:val="24"/>
            </w:rPr>
            <w:fldChar w:fldCharType="end"/>
          </w:r>
        </w:p>
        <w:p w14:paraId="3D356FD2">
          <w:pPr>
            <w:pStyle w:val="18"/>
            <w:tabs>
              <w:tab w:val="right" w:leader="dot" w:pos="8306"/>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_Toc15182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w:t>
          </w:r>
          <w:r>
            <w:rPr>
              <w:rFonts w:hint="eastAsia" w:ascii="宋体" w:hAnsi="宋体" w:eastAsia="宋体" w:cs="宋体"/>
              <w:sz w:val="28"/>
              <w:szCs w:val="28"/>
              <w:highlight w:val="none"/>
              <w:lang w:eastAsia="zh-CN"/>
            </w:rPr>
            <w:t>部门职责</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_Toc15182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- 1 -</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0FD50DDA">
          <w:pPr>
            <w:pStyle w:val="18"/>
            <w:tabs>
              <w:tab w:val="right" w:leader="dot" w:pos="8306"/>
              <w:tab w:val="clear" w:pos="8296"/>
            </w:tabs>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_Toc3755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二、机构设置</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_Toc3755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- 3 -</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26C6E8D">
          <w:pPr>
            <w:pStyle w:val="16"/>
            <w:tabs>
              <w:tab w:val="right" w:leader="dot" w:pos="8306"/>
              <w:tab w:val="clear" w:pos="8296"/>
            </w:tabs>
          </w:pPr>
          <w:r>
            <w:rPr>
              <w:szCs w:val="24"/>
            </w:rPr>
            <w:fldChar w:fldCharType="begin"/>
          </w:r>
          <w:r>
            <w:rPr>
              <w:szCs w:val="24"/>
            </w:rPr>
            <w:instrText xml:space="preserve"> HYPERLINK \l _Toc25683 </w:instrText>
          </w:r>
          <w:r>
            <w:rPr>
              <w:szCs w:val="24"/>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_Toc25683 \h </w:instrText>
          </w:r>
          <w:r>
            <w:fldChar w:fldCharType="separate"/>
          </w:r>
          <w:r>
            <w:t>- 4 -</w:t>
          </w:r>
          <w:r>
            <w:fldChar w:fldCharType="end"/>
          </w:r>
          <w:r>
            <w:rPr>
              <w:szCs w:val="24"/>
            </w:rPr>
            <w:fldChar w:fldCharType="end"/>
          </w:r>
        </w:p>
        <w:p w14:paraId="1D0A8EE9">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_Toc21008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_Toc21008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8E233D">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_Toc25326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二、收入决算情况说明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_Toc25326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608B1A">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_Toc29065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_Toc29065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051357">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_Toc25179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_Toc25179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F2C22C">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_Toc22065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_Toc22065 \h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F206DF8">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_Toc13864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_Toc13864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9FA2E0">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_Toc31608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七、财政拨款“三公”经费支出决算情况说明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_Toc31608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94AB84">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_Toc11408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_Toc11408 \h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4EBD914">
          <w:pPr>
            <w:pStyle w:val="18"/>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_Toc6498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_Toc6498 \h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FCCA40">
          <w:pPr>
            <w:pStyle w:val="18"/>
            <w:tabs>
              <w:tab w:val="right" w:leader="dot" w:pos="8306"/>
              <w:tab w:val="clear" w:pos="829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十、</w:t>
          </w:r>
          <w:r>
            <w:rPr>
              <w:rFonts w:hint="eastAsia" w:ascii="宋体" w:hAnsi="宋体" w:eastAsia="宋体" w:cs="宋体"/>
              <w:sz w:val="28"/>
              <w:szCs w:val="28"/>
              <w:highlight w:val="none"/>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_Toc2315 \h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096EF3">
          <w:pPr>
            <w:pStyle w:val="16"/>
            <w:tabs>
              <w:tab w:val="right" w:leader="dot" w:pos="8306"/>
              <w:tab w:val="clear" w:pos="8296"/>
            </w:tabs>
          </w:pPr>
          <w:r>
            <w:rPr>
              <w:szCs w:val="24"/>
            </w:rPr>
            <w:fldChar w:fldCharType="begin"/>
          </w:r>
          <w:r>
            <w:rPr>
              <w:szCs w:val="24"/>
            </w:rPr>
            <w:instrText xml:space="preserve"> HYPERLINK \l _Toc13411 </w:instrText>
          </w:r>
          <w:r>
            <w:rPr>
              <w:szCs w:val="24"/>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_Toc13411 \h </w:instrText>
          </w:r>
          <w:r>
            <w:fldChar w:fldCharType="separate"/>
          </w:r>
          <w:r>
            <w:t>- 18 -</w:t>
          </w:r>
          <w:r>
            <w:fldChar w:fldCharType="end"/>
          </w:r>
          <w:r>
            <w:rPr>
              <w:szCs w:val="24"/>
            </w:rPr>
            <w:fldChar w:fldCharType="end"/>
          </w:r>
        </w:p>
        <w:p w14:paraId="2FA3A1B2">
          <w:pPr>
            <w:pStyle w:val="16"/>
            <w:tabs>
              <w:tab w:val="right" w:leader="dot" w:pos="8306"/>
              <w:tab w:val="clear" w:pos="8296"/>
            </w:tabs>
          </w:pPr>
          <w:r>
            <w:rPr>
              <w:szCs w:val="24"/>
            </w:rPr>
            <w:fldChar w:fldCharType="begin"/>
          </w:r>
          <w:r>
            <w:rPr>
              <w:szCs w:val="24"/>
            </w:rPr>
            <w:instrText xml:space="preserve"> HYPERLINK \l _Toc11606 </w:instrText>
          </w:r>
          <w:r>
            <w:rPr>
              <w:szCs w:val="24"/>
            </w:rP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_Toc11606 \h </w:instrText>
          </w:r>
          <w:r>
            <w:fldChar w:fldCharType="separate"/>
          </w:r>
          <w:r>
            <w:t>- 22 -</w:t>
          </w:r>
          <w:r>
            <w:fldChar w:fldCharType="end"/>
          </w:r>
          <w:r>
            <w:rPr>
              <w:szCs w:val="24"/>
            </w:rPr>
            <w:fldChar w:fldCharType="end"/>
          </w:r>
        </w:p>
        <w:p w14:paraId="0D7DF1EA">
          <w:pPr>
            <w:pStyle w:val="16"/>
            <w:tabs>
              <w:tab w:val="right" w:leader="dot" w:pos="8306"/>
              <w:tab w:val="clear" w:pos="8296"/>
            </w:tabs>
          </w:pPr>
          <w:r>
            <w:rPr>
              <w:szCs w:val="24"/>
            </w:rPr>
            <w:fldChar w:fldCharType="begin"/>
          </w:r>
          <w:r>
            <w:rPr>
              <w:szCs w:val="24"/>
            </w:rPr>
            <w:instrText xml:space="preserve"> HYPERLINK \l _Toc21437 </w:instrText>
          </w:r>
          <w:r>
            <w:rPr>
              <w:szCs w:val="24"/>
            </w:rPr>
            <w:fldChar w:fldCharType="separate"/>
          </w:r>
          <w:r>
            <w:rPr>
              <w:rFonts w:hint="eastAsia" w:ascii="Times New Roman" w:hAnsi="Times New Roman" w:eastAsia="黑体"/>
              <w:szCs w:val="44"/>
              <w:highlight w:val="none"/>
            </w:rPr>
            <w:t>第</w:t>
          </w:r>
          <w:r>
            <w:rPr>
              <w:rFonts w:hint="eastAsia" w:ascii="Times New Roman" w:hAnsi="Times New Roman" w:eastAsia="黑体"/>
              <w:highlight w:val="none"/>
            </w:rPr>
            <w:t xml:space="preserve">五部分 </w:t>
          </w:r>
          <w:r>
            <w:rPr>
              <w:rFonts w:hint="eastAsia" w:ascii="Times New Roman" w:hAnsi="Times New Roman" w:eastAsia="黑体"/>
              <w:highlight w:val="none"/>
              <w:lang w:val="en-US" w:eastAsia="zh-CN"/>
            </w:rPr>
            <w:t xml:space="preserve"> </w:t>
          </w:r>
          <w:r>
            <w:rPr>
              <w:rFonts w:hint="eastAsia" w:ascii="Times New Roman" w:hAnsi="Times New Roman" w:eastAsia="黑体"/>
              <w:highlight w:val="none"/>
            </w:rPr>
            <w:t>附表</w:t>
          </w:r>
          <w:r>
            <w:tab/>
          </w:r>
          <w:r>
            <w:fldChar w:fldCharType="begin"/>
          </w:r>
          <w:r>
            <w:instrText xml:space="preserve"> PAGEREF _Toc21437 \h </w:instrText>
          </w:r>
          <w:r>
            <w:fldChar w:fldCharType="separate"/>
          </w:r>
          <w:r>
            <w:t>- 64 -</w:t>
          </w:r>
          <w:r>
            <w:fldChar w:fldCharType="end"/>
          </w:r>
          <w:r>
            <w:rPr>
              <w:szCs w:val="24"/>
            </w:rPr>
            <w:fldChar w:fldCharType="end"/>
          </w:r>
          <w:r>
            <w:rPr>
              <w:szCs w:val="24"/>
            </w:rPr>
            <w:fldChar w:fldCharType="end"/>
          </w:r>
        </w:p>
      </w:sdtContent>
    </w:sdt>
    <w:p w14:paraId="4CEF28A9">
      <w:pPr>
        <w:pStyle w:val="3"/>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bookmarkStart w:id="6" w:name="_Toc15396599"/>
      <w:bookmarkStart w:id="7" w:name="_Toc15377196"/>
    </w:p>
    <w:p w14:paraId="03827138">
      <w:pPr>
        <w:pStyle w:val="3"/>
        <w:jc w:val="center"/>
        <w:rPr>
          <w:rFonts w:ascii="Times New Roman" w:hAnsi="Times New Roman" w:eastAsia="黑体"/>
          <w:color w:val="auto"/>
          <w:sz w:val="32"/>
          <w:szCs w:val="32"/>
          <w:highlight w:val="none"/>
        </w:rPr>
      </w:pPr>
      <w:bookmarkStart w:id="8" w:name="_Toc1789"/>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4"/>
          <w:rFonts w:hint="eastAsia" w:ascii="Times New Roman" w:hAnsi="Times New Roman" w:eastAsia="方正小标宋简体" w:cs="方正小标宋简体"/>
          <w:b w:val="0"/>
          <w:bCs w:val="0"/>
          <w:color w:val="auto"/>
          <w:highlight w:val="none"/>
        </w:rPr>
        <w:t>部门概况</w:t>
      </w:r>
      <w:bookmarkEnd w:id="6"/>
      <w:bookmarkEnd w:id="7"/>
      <w:bookmarkEnd w:id="8"/>
    </w:p>
    <w:p w14:paraId="706FF10E">
      <w:pPr>
        <w:pStyle w:val="4"/>
        <w:rPr>
          <w:rFonts w:hint="eastAsia" w:ascii="Times New Roman" w:hAnsi="Times New Roman" w:eastAsia="黑体"/>
          <w:b w:val="0"/>
          <w:color w:val="auto"/>
          <w:highlight w:val="none"/>
          <w:lang w:eastAsia="zh-CN"/>
        </w:rPr>
      </w:pPr>
      <w:bookmarkStart w:id="9" w:name="_Toc15396600"/>
      <w:bookmarkStart w:id="10" w:name="_Toc15377197"/>
      <w:bookmarkStart w:id="11" w:name="_Toc15182"/>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196A1D5A">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（1）贯彻执行国家、省、市、区城市管理领域综合行政执法的方针、政策和法律、法规；起草制定安居区城市管理领域综合行政执法的规范性文件。</w:t>
      </w:r>
    </w:p>
    <w:p w14:paraId="13A3C9BA">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（2）负责全区数字化城管建设、运行工作的统筹规划、规范管理、指挥协调和检查考核评比工作；牵头推进智慧城市建设工作。</w:t>
      </w:r>
    </w:p>
    <w:p w14:paraId="50C986BE">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（3）负责城市建成区公用市政环卫设施、公用园林绿化和环境卫生运行管理工作。负责临时占用城市道路设置摊点、非机动车辆（含共享单车）占道停放的行政管理。</w:t>
      </w:r>
    </w:p>
    <w:p w14:paraId="0CFC7B4D">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4）依法履行法律法规规定的相关行政审批事项：负责关闭、闲置或者拆除生活垃圾处置的设施、场所核准。负责关闭、闲置、拆除城市环卫设施许可。负责从事生活垃圾（含粪便）经营性清扫、收集、运输、处理服务审批。负责城市建筑垃圾处置核准；负责设置大型户外广告及在城市建筑物、设施上悬挂、张贴宣传品审批。负责特殊车辆在城市道路上行驶（包括经过城市桥梁）审批。负责临时性建筑物搭建、堆放物料、占道施工审批。负责工程建设涉及城市绿地、树木审批。市政设施建设类(占用、挖掘城市道路审批。依附于城市道路建设各种管线、杆线等设施)审批。</w:t>
      </w:r>
    </w:p>
    <w:p w14:paraId="075F654F">
      <w:pPr>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（5）以区综合行政执法局名义，负责城市规划区内城市管理综合执法（相对集中行政处罚权）工作，对涉及城市管理行政执法的各项工作综合协调、督促、检查，具体行使以下行政处罚权：</w:t>
      </w:r>
    </w:p>
    <w:p w14:paraId="43064591">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①</w:t>
      </w:r>
      <w:r>
        <w:rPr>
          <w:rFonts w:hint="eastAsia" w:ascii="仿宋_GB2312" w:hAnsi="仿宋" w:eastAsia="仿宋_GB2312" w:cs="仿宋"/>
          <w:bCs/>
          <w:color w:val="000000"/>
          <w:sz w:val="32"/>
          <w:szCs w:val="32"/>
        </w:rPr>
        <w:t>行使住房城乡建设领域法律、法规、规章规定的全部行政处罚权（市容环境卫生管理方面法律、法规、规章规定的行政处罚权仅在城市规划区范围内行使，其余住建领域行政处罚权在全区范围内行使）。</w:t>
      </w:r>
    </w:p>
    <w:p w14:paraId="28FD0C41">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②</w:t>
      </w:r>
      <w:r>
        <w:rPr>
          <w:rFonts w:hint="eastAsia" w:ascii="仿宋_GB2312" w:hAnsi="仿宋" w:eastAsia="仿宋_GB2312" w:cs="仿宋"/>
          <w:bCs/>
          <w:color w:val="000000"/>
          <w:sz w:val="32"/>
          <w:szCs w:val="32"/>
        </w:rPr>
        <w:t>行使生态环境管理方面城市社会生活噪声污染、建筑施工噪声污染、建筑施工扬尘污染、餐饮服务业油烟污染、露天烧烤污染、城市焚烧沥青塑料垃圾等烟尘和恶臭污染、露天焚烧秸秆落叶等烟尘污染、燃放烟花爆竹污染等的行政处罚权。</w:t>
      </w:r>
    </w:p>
    <w:p w14:paraId="731B4502">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③</w:t>
      </w:r>
      <w:r>
        <w:rPr>
          <w:rFonts w:hint="eastAsia" w:ascii="仿宋_GB2312" w:hAnsi="仿宋" w:eastAsia="仿宋_GB2312" w:cs="仿宋"/>
          <w:bCs/>
          <w:color w:val="000000"/>
          <w:sz w:val="32"/>
          <w:szCs w:val="32"/>
        </w:rPr>
        <w:t>行使市场监督管理方面户外公共场所无固定场所的无照运营、违规设置户外广告和户外公共场所食品销售、餐饮摊点无证经营，以及户外违法回收贩卖药品等的行政处罚权。</w:t>
      </w:r>
    </w:p>
    <w:p w14:paraId="330B0C9E">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④</w:t>
      </w:r>
      <w:r>
        <w:rPr>
          <w:rFonts w:hint="eastAsia" w:ascii="仿宋_GB2312" w:hAnsi="仿宋" w:eastAsia="仿宋_GB2312" w:cs="仿宋"/>
          <w:bCs/>
          <w:color w:val="000000"/>
          <w:sz w:val="32"/>
          <w:szCs w:val="32"/>
        </w:rPr>
        <w:t>行使水务管理方面向城市河道倾倒废弃物和垃圾及违规取土、城市河道违法建筑物拆除等的行政处罚权。</w:t>
      </w:r>
    </w:p>
    <w:p w14:paraId="2A784AF7">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⑤</w:t>
      </w:r>
      <w:r>
        <w:rPr>
          <w:rFonts w:hint="eastAsia" w:ascii="仿宋_GB2312" w:hAnsi="仿宋" w:eastAsia="仿宋_GB2312" w:cs="仿宋"/>
          <w:bCs/>
          <w:color w:val="000000"/>
          <w:sz w:val="32"/>
          <w:szCs w:val="32"/>
        </w:rPr>
        <w:t>行使公安交通管理方面非机动车违法停放行为的行政处罚权。</w:t>
      </w:r>
    </w:p>
    <w:p w14:paraId="7895F30B">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实施与上述范围内法律法规规定的行政处罚权的行政强制措施。</w:t>
      </w:r>
    </w:p>
    <w:p w14:paraId="6B3C9A7E">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（6）按照中央和省委综合执法改革部署，行使依法划入的相关行政处罚权和监督检查权。</w:t>
      </w:r>
    </w:p>
    <w:p w14:paraId="51DAAA64">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（7）负责职责范围内的安全生产和职业健康、生态环境保护、审批服务便民化、依法治理等工作。</w:t>
      </w:r>
    </w:p>
    <w:p w14:paraId="47DD2964">
      <w:pPr>
        <w:ind w:firstLine="709"/>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（8）完成区委、区政府和遂宁市城市管理行政执法局交办的其他事项。</w:t>
      </w:r>
    </w:p>
    <w:p w14:paraId="13632BD7">
      <w:pPr>
        <w:pStyle w:val="4"/>
        <w:rPr>
          <w:rStyle w:val="35"/>
          <w:rFonts w:ascii="Times New Roman" w:hAnsi="Times New Roman"/>
          <w:b w:val="0"/>
          <w:bCs w:val="0"/>
          <w:color w:val="auto"/>
          <w:highlight w:val="none"/>
        </w:rPr>
      </w:pPr>
      <w:bookmarkStart w:id="12" w:name="_Toc3755"/>
      <w:bookmarkStart w:id="13" w:name="_Toc15377200"/>
      <w:bookmarkStart w:id="14" w:name="_Toc15396601"/>
      <w:r>
        <w:rPr>
          <w:rFonts w:hint="eastAsia" w:ascii="Times New Roman" w:hAnsi="Times New Roman" w:eastAsia="黑体"/>
          <w:b w:val="0"/>
          <w:color w:val="auto"/>
          <w:highlight w:val="none"/>
        </w:rPr>
        <w:t>二、机</w:t>
      </w:r>
      <w:r>
        <w:rPr>
          <w:rStyle w:val="35"/>
          <w:rFonts w:hint="eastAsia" w:ascii="Times New Roman" w:hAnsi="Times New Roman" w:eastAsia="黑体"/>
          <w:b w:val="0"/>
          <w:bCs w:val="0"/>
          <w:color w:val="auto"/>
          <w:highlight w:val="none"/>
        </w:rPr>
        <w:t>构设置</w:t>
      </w:r>
      <w:bookmarkEnd w:id="12"/>
      <w:bookmarkEnd w:id="13"/>
      <w:bookmarkEnd w:id="14"/>
    </w:p>
    <w:p w14:paraId="26A2CABE">
      <w:pPr>
        <w:ind w:firstLine="709"/>
        <w:rPr>
          <w:rFonts w:hint="eastAsia" w:ascii="仿宋_GB2312" w:hAnsi="仿宋" w:eastAsia="仿宋_GB2312" w:cs="仿宋"/>
          <w:bCs/>
          <w:color w:val="000000"/>
          <w:sz w:val="32"/>
          <w:szCs w:val="32"/>
        </w:rPr>
      </w:pPr>
      <w:bookmarkStart w:id="15" w:name="_Toc15377204"/>
      <w:bookmarkStart w:id="16" w:name="_Toc15396602"/>
      <w:r>
        <w:rPr>
          <w:rFonts w:hint="default" w:ascii="仿宋_GB2312" w:hAnsi="仿宋" w:eastAsia="仿宋_GB2312" w:cs="仿宋"/>
          <w:bCs/>
          <w:color w:val="000000"/>
          <w:sz w:val="32"/>
          <w:szCs w:val="32"/>
        </w:rPr>
        <w:t>区综合执法局下属二级单</w:t>
      </w:r>
      <w:r>
        <w:rPr>
          <w:rFonts w:hint="default" w:ascii="仿宋_GB2312" w:hAnsi="仿宋" w:eastAsia="仿宋_GB2312" w:cs="仿宋"/>
          <w:bCs/>
          <w:color w:val="000000"/>
          <w:sz w:val="32"/>
          <w:szCs w:val="32"/>
          <w:highlight w:val="none"/>
        </w:rPr>
        <w:t>位3个，其中行政单位0个，参照公务员法管理的事业单位0个，其他事业单位3个。</w:t>
      </w:r>
      <w:r>
        <w:rPr>
          <w:rFonts w:hint="default" w:ascii="仿宋_GB2312" w:hAnsi="仿宋" w:eastAsia="仿宋_GB2312" w:cs="仿宋"/>
          <w:bCs/>
          <w:color w:val="000000"/>
          <w:sz w:val="32"/>
          <w:szCs w:val="32"/>
        </w:rPr>
        <w:t>纳入202</w:t>
      </w:r>
      <w:r>
        <w:rPr>
          <w:rFonts w:hint="eastAsia" w:ascii="仿宋_GB2312" w:hAnsi="仿宋" w:eastAsia="仿宋_GB2312" w:cs="仿宋"/>
          <w:bCs/>
          <w:color w:val="000000"/>
          <w:sz w:val="32"/>
          <w:szCs w:val="32"/>
          <w:lang w:val="en-US" w:eastAsia="zh-CN"/>
        </w:rPr>
        <w:t>4</w:t>
      </w:r>
      <w:r>
        <w:rPr>
          <w:rFonts w:hint="default" w:ascii="仿宋_GB2312" w:hAnsi="仿宋" w:eastAsia="仿宋_GB2312" w:cs="仿宋"/>
          <w:bCs/>
          <w:color w:val="000000"/>
          <w:sz w:val="32"/>
          <w:szCs w:val="32"/>
        </w:rPr>
        <w:t>年度部门决算编制范围的二级预算单位包括：执法监察大队、市政园林服务所、环境卫生服务所。</w:t>
      </w:r>
    </w:p>
    <w:p w14:paraId="0B88A2B7">
      <w:pPr>
        <w:rPr>
          <w:rFonts w:hint="eastAsia" w:ascii="Times New Roman" w:hAnsi="Times New Roman" w:eastAsia="方正小标宋简体" w:cs="方正小标宋简体"/>
          <w:b w:val="0"/>
          <w:color w:val="auto"/>
          <w:highlight w:val="none"/>
        </w:rPr>
      </w:pPr>
    </w:p>
    <w:p w14:paraId="0BEA4E1A">
      <w:pPr>
        <w:pStyle w:val="25"/>
        <w:rPr>
          <w:rFonts w:hint="eastAsia" w:ascii="Times New Roman" w:hAnsi="Times New Roman" w:eastAsia="方正小标宋简体" w:cs="方正小标宋简体"/>
          <w:b w:val="0"/>
          <w:color w:val="auto"/>
          <w:highlight w:val="none"/>
        </w:rPr>
      </w:pPr>
    </w:p>
    <w:p w14:paraId="5E214CF1">
      <w:pPr>
        <w:pStyle w:val="25"/>
        <w:rPr>
          <w:rFonts w:hint="eastAsia" w:ascii="Times New Roman" w:hAnsi="Times New Roman" w:eastAsia="方正小标宋简体" w:cs="方正小标宋简体"/>
          <w:b w:val="0"/>
          <w:color w:val="auto"/>
          <w:highlight w:val="none"/>
        </w:rPr>
      </w:pPr>
    </w:p>
    <w:p w14:paraId="1E49E363">
      <w:pPr>
        <w:pStyle w:val="3"/>
        <w:jc w:val="center"/>
        <w:rPr>
          <w:rFonts w:hint="eastAsia" w:ascii="Times New Roman" w:hAnsi="Times New Roman" w:eastAsia="方正小标宋简体" w:cs="方正小标宋简体"/>
          <w:b w:val="0"/>
          <w:color w:val="auto"/>
          <w:highlight w:val="none"/>
        </w:rPr>
      </w:pPr>
    </w:p>
    <w:p w14:paraId="3F1DFA3C">
      <w:pPr>
        <w:rPr>
          <w:rFonts w:hint="eastAsia" w:ascii="Times New Roman" w:hAnsi="Times New Roman" w:eastAsia="方正小标宋简体" w:cs="方正小标宋简体"/>
          <w:b w:val="0"/>
          <w:color w:val="auto"/>
          <w:highlight w:val="none"/>
        </w:rPr>
      </w:pPr>
    </w:p>
    <w:p w14:paraId="15BA026A">
      <w:pPr>
        <w:pStyle w:val="12"/>
        <w:rPr>
          <w:rFonts w:hint="eastAsia" w:ascii="Times New Roman" w:hAnsi="Times New Roman" w:eastAsia="方正小标宋简体" w:cs="方正小标宋简体"/>
          <w:b w:val="0"/>
          <w:color w:val="auto"/>
          <w:highlight w:val="none"/>
        </w:rPr>
      </w:pPr>
    </w:p>
    <w:p w14:paraId="6FB01470">
      <w:pPr>
        <w:pStyle w:val="12"/>
        <w:rPr>
          <w:rFonts w:hint="eastAsia" w:ascii="Times New Roman" w:hAnsi="Times New Roman" w:eastAsia="方正小标宋简体" w:cs="方正小标宋简体"/>
          <w:b w:val="0"/>
          <w:color w:val="auto"/>
          <w:highlight w:val="none"/>
        </w:rPr>
      </w:pPr>
    </w:p>
    <w:p w14:paraId="3C7EB521">
      <w:pPr>
        <w:rPr>
          <w:rFonts w:hint="eastAsia"/>
        </w:rPr>
      </w:pPr>
    </w:p>
    <w:p w14:paraId="13398EE6">
      <w:pPr>
        <w:pStyle w:val="3"/>
        <w:jc w:val="center"/>
        <w:rPr>
          <w:rFonts w:hint="eastAsia" w:ascii="Times New Roman" w:hAnsi="Times New Roman" w:eastAsia="方正小标宋简体" w:cs="方正小标宋简体"/>
          <w:b w:val="0"/>
          <w:color w:val="auto"/>
          <w:highlight w:val="none"/>
        </w:rPr>
      </w:pPr>
      <w:bookmarkStart w:id="17" w:name="_Toc2568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14:paraId="3B09812D">
      <w:pPr>
        <w:rPr>
          <w:rFonts w:ascii="Times New Roman" w:hAnsi="Times New Roman"/>
          <w:color w:val="auto"/>
          <w:highlight w:val="none"/>
        </w:rPr>
      </w:pPr>
    </w:p>
    <w:p w14:paraId="3B15B597">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18" w:name="_Toc15396603"/>
      <w:bookmarkStart w:id="19" w:name="_Toc15377205"/>
      <w:bookmarkStart w:id="20" w:name="_Toc21008"/>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5"/>
          <w:rFonts w:hint="eastAsia" w:ascii="Times New Roman" w:hAnsi="Times New Roman" w:eastAsia="黑体"/>
          <w:b w:val="0"/>
          <w:color w:val="auto"/>
          <w:highlight w:val="none"/>
        </w:rPr>
        <w:t>入支出决算总体情况说明</w:t>
      </w:r>
      <w:bookmarkEnd w:id="18"/>
      <w:bookmarkEnd w:id="19"/>
      <w:bookmarkEnd w:id="20"/>
    </w:p>
    <w:p w14:paraId="3A82E9E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2024年度收、支总计均为6,390.34万元。与2023年度相比，收、支总计各减少3,944.75万元，</w:t>
      </w:r>
      <w:r>
        <w:rPr>
          <w:rFonts w:hint="eastAsia" w:ascii="Times New Roman" w:hAnsi="Times New Roman" w:eastAsia="仿宋_GB2312" w:cs="仿宋_GB2312"/>
          <w:color w:val="auto"/>
          <w:sz w:val="32"/>
          <w:szCs w:val="32"/>
          <w:highlight w:val="none"/>
        </w:rPr>
        <w:t>下降</w:t>
      </w:r>
      <w:r>
        <w:rPr>
          <w:rFonts w:hint="eastAsia" w:ascii="仿宋" w:hAnsi="仿宋" w:eastAsia="仿宋" w:cs="Times New Roman"/>
          <w:color w:val="auto"/>
          <w:sz w:val="32"/>
          <w:szCs w:val="32"/>
          <w:highlight w:val="none"/>
          <w:lang w:val="en-US" w:eastAsia="zh-CN"/>
        </w:rPr>
        <w:t>38.17%。主要变动原因系本年度“城市管理经费”项目通过其他预算途径转拨。</w:t>
      </w:r>
    </w:p>
    <w:p w14:paraId="0AEE475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2BEE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E560CBF">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96604"/>
      <w:bookmarkStart w:id="22" w:name="_Toc25326"/>
      <w:bookmarkStart w:id="23" w:name="_Toc15377206"/>
      <w:r>
        <w:rPr>
          <w:rFonts w:hint="eastAsia" w:ascii="Times New Roman" w:hAnsi="Times New Roman" w:eastAsia="黑体"/>
          <w:color w:val="auto"/>
          <w:sz w:val="32"/>
          <w:szCs w:val="32"/>
          <w:highlight w:val="none"/>
          <w:lang w:eastAsia="zh-CN"/>
        </w:rPr>
        <w:t>二、收入决算情况说明</w:t>
      </w:r>
      <w:bookmarkEnd w:id="21"/>
      <w:bookmarkEnd w:id="22"/>
      <w:bookmarkEnd w:id="23"/>
    </w:p>
    <w:p w14:paraId="3B30CB5B">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4" w:name="_Toc28550"/>
      <w:bookmarkStart w:id="25" w:name="_Toc8621"/>
      <w:r>
        <w:rPr>
          <w:rFonts w:hint="eastAsia" w:ascii="Times New Roman" w:hAnsi="Times New Roman" w:eastAsia="仿宋_GB2312" w:cs="仿宋_GB2312"/>
          <w:color w:val="auto"/>
          <w:sz w:val="32"/>
          <w:szCs w:val="32"/>
          <w:highlight w:val="none"/>
          <w:lang w:eastAsia="zh-CN"/>
        </w:rPr>
        <w:t>2024年度本年收入合计6390.34万元，其中：一般公共预算财政拨款收入1,352.34万元，占</w:t>
      </w:r>
      <w:r>
        <w:rPr>
          <w:rFonts w:hint="eastAsia" w:eastAsia="仿宋_GB2312" w:cs="仿宋_GB2312"/>
          <w:color w:val="auto"/>
          <w:sz w:val="32"/>
          <w:szCs w:val="32"/>
          <w:highlight w:val="none"/>
          <w:lang w:val="en-US" w:eastAsia="zh-CN"/>
        </w:rPr>
        <w:t>21.16</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eastAsia="仿宋_GB2312" w:cs="仿宋_GB2312"/>
          <w:color w:val="auto"/>
          <w:sz w:val="32"/>
          <w:szCs w:val="32"/>
          <w:highlight w:val="none"/>
          <w:lang w:val="en-US" w:eastAsia="zh-CN"/>
        </w:rPr>
        <w:t>5,038.00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78.84</w:t>
      </w:r>
      <w:r>
        <w:rPr>
          <w:rFonts w:hint="eastAsia" w:ascii="Times New Roman" w:hAnsi="Times New Roman" w:eastAsia="仿宋_GB2312" w:cs="仿宋_GB2312"/>
          <w:color w:val="auto"/>
          <w:sz w:val="32"/>
          <w:szCs w:val="32"/>
          <w:highlight w:val="none"/>
          <w:lang w:eastAsia="zh-CN"/>
        </w:rPr>
        <w:t>%。</w:t>
      </w:r>
      <w:bookmarkEnd w:id="24"/>
      <w:bookmarkEnd w:id="25"/>
    </w:p>
    <w:p w14:paraId="46687EA2">
      <w:pPr>
        <w:pStyle w:val="3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bookmarkStart w:id="26" w:name="_Toc25559"/>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26"/>
    </w:p>
    <w:p w14:paraId="55169138">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E888FB5">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27" w:name="_Toc15396605"/>
      <w:bookmarkStart w:id="28" w:name="_Toc29065"/>
      <w:bookmarkStart w:id="2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5"/>
          <w:rFonts w:hint="eastAsia" w:ascii="Times New Roman" w:hAnsi="Times New Roman" w:eastAsia="黑体"/>
          <w:b w:val="0"/>
          <w:color w:val="auto"/>
          <w:highlight w:val="none"/>
        </w:rPr>
        <w:t>出决算情况说明</w:t>
      </w:r>
      <w:bookmarkEnd w:id="27"/>
      <w:bookmarkEnd w:id="28"/>
      <w:bookmarkEnd w:id="29"/>
    </w:p>
    <w:p w14:paraId="3DC478FB">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30" w:name="_Toc5023"/>
      <w:bookmarkStart w:id="31" w:name="_Toc7607"/>
      <w:r>
        <w:rPr>
          <w:rFonts w:hint="eastAsia" w:ascii="Times New Roman" w:hAnsi="Times New Roman" w:eastAsia="仿宋_GB2312" w:cs="仿宋_GB2312"/>
          <w:color w:val="auto"/>
          <w:sz w:val="32"/>
          <w:szCs w:val="32"/>
          <w:highlight w:val="none"/>
          <w:lang w:eastAsia="zh-CN"/>
        </w:rPr>
        <w:t>2024年度本年支出合计6,390.34万元，其中：基本支出926.71万元，占</w:t>
      </w:r>
      <w:r>
        <w:rPr>
          <w:rFonts w:hint="eastAsia" w:eastAsia="仿宋_GB2312" w:cs="仿宋_GB2312"/>
          <w:color w:val="auto"/>
          <w:sz w:val="32"/>
          <w:szCs w:val="32"/>
          <w:highlight w:val="none"/>
          <w:lang w:val="en-US" w:eastAsia="zh-CN"/>
        </w:rPr>
        <w:t>14.50</w:t>
      </w:r>
      <w:r>
        <w:rPr>
          <w:rFonts w:hint="eastAsia" w:ascii="Times New Roman" w:hAnsi="Times New Roman" w:eastAsia="仿宋_GB2312" w:cs="仿宋_GB2312"/>
          <w:color w:val="auto"/>
          <w:sz w:val="32"/>
          <w:szCs w:val="32"/>
          <w:highlight w:val="none"/>
          <w:lang w:eastAsia="zh-CN"/>
        </w:rPr>
        <w:t>%；项目支出5,463.63万元，占</w:t>
      </w:r>
      <w:r>
        <w:rPr>
          <w:rFonts w:hint="eastAsia" w:eastAsia="仿宋_GB2312" w:cs="仿宋_GB2312"/>
          <w:color w:val="auto"/>
          <w:sz w:val="32"/>
          <w:szCs w:val="32"/>
          <w:highlight w:val="none"/>
          <w:lang w:val="en-US" w:eastAsia="zh-CN"/>
        </w:rPr>
        <w:t>85.50</w:t>
      </w:r>
      <w:r>
        <w:rPr>
          <w:rFonts w:hint="eastAsia" w:ascii="Times New Roman" w:hAnsi="Times New Roman" w:eastAsia="仿宋_GB2312" w:cs="仿宋_GB2312"/>
          <w:color w:val="auto"/>
          <w:sz w:val="32"/>
          <w:szCs w:val="32"/>
          <w:highlight w:val="none"/>
          <w:lang w:eastAsia="zh-CN"/>
        </w:rPr>
        <w:t>%。</w:t>
      </w:r>
      <w:bookmarkEnd w:id="30"/>
      <w:bookmarkEnd w:id="31"/>
    </w:p>
    <w:p w14:paraId="1103B4ED">
      <w:pPr>
        <w:pStyle w:val="3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bookmarkStart w:id="32" w:name="_Toc6605"/>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32"/>
    </w:p>
    <w:p w14:paraId="7FB99C20">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D21786A">
      <w:pPr>
        <w:spacing w:line="600" w:lineRule="exact"/>
        <w:ind w:firstLine="640" w:firstLineChars="200"/>
        <w:outlineLvl w:val="1"/>
        <w:rPr>
          <w:rStyle w:val="35"/>
          <w:rFonts w:ascii="Times New Roman" w:hAnsi="Times New Roman" w:eastAsia="黑体"/>
          <w:b w:val="0"/>
          <w:color w:val="auto"/>
          <w:highlight w:val="none"/>
        </w:rPr>
      </w:pPr>
      <w:bookmarkStart w:id="33" w:name="_Toc15396606"/>
      <w:bookmarkStart w:id="34" w:name="_Toc25179"/>
      <w:bookmarkStart w:id="35" w:name="_Toc15377208"/>
      <w:r>
        <w:rPr>
          <w:rFonts w:hint="eastAsia" w:ascii="Times New Roman" w:hAnsi="Times New Roman" w:eastAsia="黑体"/>
          <w:color w:val="auto"/>
          <w:sz w:val="32"/>
          <w:szCs w:val="32"/>
          <w:highlight w:val="none"/>
        </w:rPr>
        <w:t>四、财</w:t>
      </w:r>
      <w:r>
        <w:rPr>
          <w:rStyle w:val="35"/>
          <w:rFonts w:hint="eastAsia" w:ascii="Times New Roman" w:hAnsi="Times New Roman" w:eastAsia="黑体"/>
          <w:b w:val="0"/>
          <w:color w:val="auto"/>
          <w:highlight w:val="none"/>
        </w:rPr>
        <w:t>政拨款收入支出决算总体情况说明</w:t>
      </w:r>
      <w:bookmarkEnd w:id="33"/>
      <w:bookmarkEnd w:id="34"/>
      <w:bookmarkEnd w:id="35"/>
    </w:p>
    <w:p w14:paraId="2A5C7D6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2024年度财政拨款收入、支出总计均为6,390.34万元。与2023年度相比，财政拨款收入、支出总计各减少3,944.75万元，下降38.17%。主要变动原因系本年度“城市管理经费”项目通过其他预算途径转拨。</w:t>
      </w:r>
    </w:p>
    <w:p w14:paraId="6C8B5B7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70309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0E4C1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BB49425">
      <w:pPr>
        <w:spacing w:line="600" w:lineRule="exact"/>
        <w:ind w:firstLine="640" w:firstLineChars="200"/>
        <w:outlineLvl w:val="1"/>
        <w:rPr>
          <w:rStyle w:val="35"/>
          <w:rFonts w:ascii="Times New Roman" w:hAnsi="Times New Roman" w:eastAsia="黑体"/>
          <w:b w:val="0"/>
          <w:color w:val="auto"/>
          <w:highlight w:val="none"/>
        </w:rPr>
      </w:pPr>
      <w:bookmarkStart w:id="36" w:name="_Toc22065"/>
      <w:bookmarkStart w:id="37" w:name="_Toc15377209"/>
      <w:bookmarkStart w:id="38"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般公共预算财政拨款支出决算情况说明</w:t>
      </w:r>
      <w:bookmarkEnd w:id="36"/>
      <w:bookmarkEnd w:id="37"/>
      <w:bookmarkEnd w:id="38"/>
    </w:p>
    <w:p w14:paraId="6250A4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9"/>
    </w:p>
    <w:p w14:paraId="079FD9B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1,352.34万元，占本年支出合计的21.16%。与2023年度相比，一般公共预算财政拨款支出减少6,982.75万元，下降83.78%。主要变动原因系本年度根据区级总预算工作安排，将“城镇生活垃圾分类处置建设”、“生活垃圾分类和处理设施提标改造项目”、“智慧城市（数字城管）建设”等新增项目资金通过政府性基金预算财政拨款收支。</w:t>
      </w:r>
    </w:p>
    <w:p w14:paraId="68F76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AF19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E9446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0"/>
    </w:p>
    <w:p w14:paraId="25CCDA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352.34万元，主要用于以下方面：一般公共服务支出0</w:t>
      </w:r>
      <w:r>
        <w:rPr>
          <w:rFonts w:hint="eastAsia" w:eastAsia="仿宋_GB2312" w:cs="仿宋_GB2312"/>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万元，占0</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节能环保支出</w:t>
      </w:r>
      <w:r>
        <w:rPr>
          <w:rFonts w:hint="eastAsia" w:ascii="Times New Roman" w:hAnsi="Times New Roman" w:eastAsia="仿宋_GB2312" w:cs="Times New Roman"/>
          <w:b w:val="0"/>
          <w:bCs w:val="0"/>
          <w:i w:val="0"/>
          <w:iCs w:val="0"/>
          <w:color w:val="auto"/>
          <w:sz w:val="32"/>
          <w:szCs w:val="32"/>
          <w:highlight w:val="none"/>
          <w:lang w:val="en-US" w:eastAsia="zh-CN"/>
        </w:rPr>
        <w:t>40</w:t>
      </w:r>
      <w:r>
        <w:rPr>
          <w:rFonts w:hint="default" w:ascii="Times New Roman" w:hAnsi="Times New Roman" w:eastAsia="仿宋_GB2312" w:cs="Times New Roman"/>
          <w:b w:val="0"/>
          <w:bCs w:val="0"/>
          <w:i w:val="0"/>
          <w:iCs w:val="0"/>
          <w:color w:val="auto"/>
          <w:sz w:val="32"/>
          <w:szCs w:val="32"/>
          <w:highlight w:val="none"/>
        </w:rPr>
        <w:t>万元，占</w:t>
      </w:r>
      <w:r>
        <w:rPr>
          <w:rFonts w:hint="eastAsia" w:ascii="Times New Roman" w:hAnsi="Times New Roman" w:cs="Times New Roman"/>
          <w:b w:val="0"/>
          <w:bCs w:val="0"/>
          <w:i w:val="0"/>
          <w:iCs w:val="0"/>
          <w:color w:val="auto"/>
          <w:sz w:val="32"/>
          <w:szCs w:val="32"/>
          <w:highlight w:val="none"/>
          <w:lang w:val="en-US" w:eastAsia="zh-CN"/>
        </w:rPr>
        <w:t>2.96</w:t>
      </w:r>
      <w:r>
        <w:rPr>
          <w:rFonts w:hint="default" w:ascii="Times New Roman" w:hAnsi="Times New Roman" w:eastAsia="仿宋_GB2312" w:cs="Times New Roman"/>
          <w:b w:val="0"/>
          <w:bCs w:val="0"/>
          <w:i w:val="0"/>
          <w:iCs w:val="0"/>
          <w:color w:val="auto"/>
          <w:sz w:val="32"/>
          <w:szCs w:val="32"/>
          <w:highlight w:val="none"/>
        </w:rPr>
        <w:t>%；城乡社区支出1,191.65万元，占</w:t>
      </w:r>
      <w:r>
        <w:rPr>
          <w:rFonts w:hint="eastAsia" w:ascii="Times New Roman" w:hAnsi="Times New Roman" w:cs="Times New Roman"/>
          <w:b w:val="0"/>
          <w:bCs w:val="0"/>
          <w:i w:val="0"/>
          <w:iCs w:val="0"/>
          <w:color w:val="auto"/>
          <w:sz w:val="32"/>
          <w:szCs w:val="32"/>
          <w:highlight w:val="none"/>
          <w:lang w:val="en-US" w:eastAsia="zh-CN"/>
        </w:rPr>
        <w:t>88.12</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社会保障和就业支出61.65万元，占</w:t>
      </w:r>
      <w:r>
        <w:rPr>
          <w:rFonts w:hint="eastAsia" w:eastAsia="仿宋_GB2312" w:cs="仿宋_GB2312"/>
          <w:color w:val="auto"/>
          <w:kern w:val="2"/>
          <w:sz w:val="32"/>
          <w:szCs w:val="32"/>
          <w:highlight w:val="none"/>
          <w:lang w:val="en-US" w:eastAsia="zh-CN" w:bidi="ar-SA"/>
        </w:rPr>
        <w:t>4.56%</w:t>
      </w:r>
      <w:r>
        <w:rPr>
          <w:rFonts w:hint="eastAsia" w:ascii="Times New Roman" w:hAnsi="Times New Roman" w:eastAsia="仿宋_GB2312" w:cs="仿宋_GB2312"/>
          <w:color w:val="auto"/>
          <w:kern w:val="2"/>
          <w:sz w:val="32"/>
          <w:szCs w:val="32"/>
          <w:highlight w:val="none"/>
          <w:lang w:val="en-US" w:eastAsia="zh-CN" w:bidi="ar-SA"/>
        </w:rPr>
        <w:t>；卫生健康支出20.47万元，占</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%；住房保障支出38.13万元，占</w:t>
      </w:r>
      <w:r>
        <w:rPr>
          <w:rFonts w:hint="eastAsia" w:eastAsia="仿宋_GB2312" w:cs="仿宋_GB2312"/>
          <w:color w:val="auto"/>
          <w:kern w:val="2"/>
          <w:sz w:val="32"/>
          <w:szCs w:val="32"/>
          <w:highlight w:val="none"/>
          <w:lang w:val="en-US" w:eastAsia="zh-CN" w:bidi="ar-SA"/>
        </w:rPr>
        <w:t>2.82</w:t>
      </w:r>
      <w:r>
        <w:rPr>
          <w:rFonts w:hint="eastAsia" w:ascii="Times New Roman" w:hAnsi="Times New Roman" w:eastAsia="仿宋_GB2312" w:cs="仿宋_GB2312"/>
          <w:color w:val="auto"/>
          <w:kern w:val="2"/>
          <w:sz w:val="32"/>
          <w:szCs w:val="32"/>
          <w:highlight w:val="none"/>
          <w:lang w:val="en-US" w:eastAsia="zh-CN" w:bidi="ar-SA"/>
        </w:rPr>
        <w:t>%。</w:t>
      </w:r>
    </w:p>
    <w:p w14:paraId="72EA6FA5">
      <w:pPr>
        <w:pStyle w:val="17"/>
        <w:rPr>
          <w:rFonts w:hint="eastAsia"/>
          <w:lang w:val="en-US" w:eastAsia="zh-CN"/>
        </w:rPr>
      </w:pPr>
      <w:r>
        <w:rPr>
          <w:rFonts w:hint="eastAsia"/>
          <w:lang w:val="en-US" w:eastAsia="zh-CN"/>
        </w:rPr>
        <w:drawing>
          <wp:inline distT="0" distB="0" distL="114300" distR="114300">
            <wp:extent cx="5240655" cy="3223895"/>
            <wp:effectExtent l="5080" t="4445" r="12065"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B10D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6EE8E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1"/>
    </w:p>
    <w:p w14:paraId="107FC3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444"/>
      <w:bookmarkStart w:id="43" w:name="_Toc15377213"/>
      <w:bookmarkStart w:id="44"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352.34</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2"/>
      <w:bookmarkEnd w:id="43"/>
      <w:bookmarkEnd w:id="44"/>
    </w:p>
    <w:p w14:paraId="64D5011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bookmarkStart w:id="45" w:name="_Toc15377214"/>
      <w:bookmarkStart w:id="46" w:name="_Toc15396608"/>
      <w:r>
        <w:rPr>
          <w:rStyle w:val="22"/>
          <w:rFonts w:hint="default" w:ascii="Times New Roman" w:hAnsi="Times New Roman" w:eastAsia="仿宋_GB2312" w:cs="Times New Roman"/>
          <w:b w:val="0"/>
          <w:bCs w:val="0"/>
          <w:i w:val="0"/>
          <w:iCs w:val="0"/>
          <w:color w:val="auto"/>
          <w:sz w:val="32"/>
          <w:szCs w:val="32"/>
          <w:highlight w:val="none"/>
        </w:rPr>
        <w:t>1.社会保障和就业（类）行政事业单位养老支出（款）行政单位离退休（项）: 支出决算为</w:t>
      </w:r>
      <w:r>
        <w:rPr>
          <w:rStyle w:val="22"/>
          <w:rFonts w:hint="eastAsia" w:ascii="Times New Roman" w:hAnsi="Times New Roman" w:cs="Times New Roman"/>
          <w:b w:val="0"/>
          <w:bCs w:val="0"/>
          <w:i w:val="0"/>
          <w:iCs w:val="0"/>
          <w:color w:val="auto"/>
          <w:sz w:val="32"/>
          <w:szCs w:val="32"/>
          <w:highlight w:val="none"/>
          <w:lang w:val="en-US" w:eastAsia="zh-CN"/>
        </w:rPr>
        <w:t>6.73</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32460413">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Style w:val="22"/>
          <w:rFonts w:hint="eastAsia" w:ascii="Times New Roman" w:hAnsi="Times New Roman" w:cs="Times New Roman"/>
          <w:b w:val="0"/>
          <w:bCs w:val="0"/>
          <w:i w:val="0"/>
          <w:iCs w:val="0"/>
          <w:color w:val="auto"/>
          <w:sz w:val="32"/>
          <w:szCs w:val="32"/>
          <w:highlight w:val="none"/>
          <w:lang w:val="en-US" w:eastAsia="zh-CN"/>
        </w:rPr>
        <w:t>2</w:t>
      </w:r>
      <w:r>
        <w:rPr>
          <w:rStyle w:val="22"/>
          <w:rFonts w:hint="default" w:ascii="Times New Roman" w:hAnsi="Times New Roman" w:eastAsia="仿宋_GB2312" w:cs="Times New Roman"/>
          <w:b w:val="0"/>
          <w:bCs w:val="0"/>
          <w:i w:val="0"/>
          <w:iCs w:val="0"/>
          <w:color w:val="auto"/>
          <w:sz w:val="32"/>
          <w:szCs w:val="32"/>
          <w:highlight w:val="none"/>
        </w:rPr>
        <w:t>.社会保障和就业（类）行政事业单位养老支出（款）机关事业单位基本养老保险缴费支出（项）: 支出决算为</w:t>
      </w:r>
      <w:r>
        <w:rPr>
          <w:rStyle w:val="22"/>
          <w:rFonts w:hint="eastAsia" w:ascii="Times New Roman" w:hAnsi="Times New Roman" w:cs="Times New Roman"/>
          <w:b w:val="0"/>
          <w:bCs w:val="0"/>
          <w:i w:val="0"/>
          <w:iCs w:val="0"/>
          <w:color w:val="auto"/>
          <w:sz w:val="32"/>
          <w:szCs w:val="32"/>
          <w:highlight w:val="none"/>
          <w:lang w:val="en-US" w:eastAsia="zh-CN"/>
        </w:rPr>
        <w:t>53.25</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032B6FEB">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Style w:val="22"/>
          <w:rFonts w:hint="eastAsia" w:ascii="Times New Roman" w:hAnsi="Times New Roman" w:cs="Times New Roman"/>
          <w:b w:val="0"/>
          <w:bCs w:val="0"/>
          <w:i w:val="0"/>
          <w:iCs w:val="0"/>
          <w:color w:val="auto"/>
          <w:sz w:val="32"/>
          <w:szCs w:val="32"/>
          <w:highlight w:val="none"/>
          <w:lang w:val="en-US" w:eastAsia="zh-CN"/>
        </w:rPr>
        <w:t>3</w:t>
      </w:r>
      <w:r>
        <w:rPr>
          <w:rStyle w:val="22"/>
          <w:rFonts w:hint="default" w:ascii="Times New Roman" w:hAnsi="Times New Roman" w:eastAsia="仿宋_GB2312" w:cs="Times New Roman"/>
          <w:b w:val="0"/>
          <w:bCs w:val="0"/>
          <w:i w:val="0"/>
          <w:iCs w:val="0"/>
          <w:color w:val="auto"/>
          <w:sz w:val="32"/>
          <w:szCs w:val="32"/>
          <w:highlight w:val="none"/>
        </w:rPr>
        <w:t>.</w:t>
      </w:r>
      <w:r>
        <w:rPr>
          <w:rFonts w:hint="eastAsia" w:ascii="仿宋" w:hAnsi="仿宋" w:eastAsia="仿宋"/>
          <w:bCs/>
          <w:sz w:val="32"/>
          <w:szCs w:val="32"/>
        </w:rPr>
        <w:t>社会保障和就业（类）其他社会保障和就业支出（款）其他社会保障和就业支出（项）</w:t>
      </w:r>
      <w:r>
        <w:rPr>
          <w:rFonts w:ascii="仿宋" w:hAnsi="仿宋" w:eastAsia="仿宋"/>
          <w:bCs/>
          <w:sz w:val="32"/>
          <w:szCs w:val="32"/>
        </w:rPr>
        <w:t>:</w:t>
      </w:r>
      <w:r>
        <w:rPr>
          <w:rStyle w:val="22"/>
          <w:rFonts w:hint="default" w:ascii="Times New Roman" w:hAnsi="Times New Roman" w:eastAsia="仿宋_GB2312" w:cs="Times New Roman"/>
          <w:b w:val="0"/>
          <w:bCs w:val="0"/>
          <w:i w:val="0"/>
          <w:iCs w:val="0"/>
          <w:color w:val="auto"/>
          <w:sz w:val="32"/>
          <w:szCs w:val="32"/>
          <w:highlight w:val="none"/>
        </w:rPr>
        <w:t>支出决算为1.67万元，完成预算100%，决算数等于预算数。</w:t>
      </w:r>
    </w:p>
    <w:p w14:paraId="097F0637">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rPr>
        <w:t>卫生健康（类）行政事业单位医疗（款）行政单位医疗（项）: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4.40</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6F34A5B4">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5.</w:t>
      </w:r>
      <w:r>
        <w:rPr>
          <w:rFonts w:hint="default" w:ascii="Times New Roman" w:hAnsi="Times New Roman" w:eastAsia="仿宋_GB2312" w:cs="Times New Roman"/>
          <w:b w:val="0"/>
          <w:bCs w:val="0"/>
          <w:i w:val="0"/>
          <w:iCs w:val="0"/>
          <w:color w:val="auto"/>
          <w:sz w:val="32"/>
          <w:szCs w:val="32"/>
          <w:highlight w:val="none"/>
        </w:rPr>
        <w:t>卫生健康（类）行政事业单位医疗（款）事业单位医疗（项）:</w:t>
      </w:r>
      <w:r>
        <w:rPr>
          <w:rStyle w:val="22"/>
          <w:rFonts w:hint="default" w:ascii="Times New Roman" w:hAnsi="Times New Roman" w:eastAsia="仿宋_GB2312" w:cs="Times New Roman"/>
          <w:b w:val="0"/>
          <w:bCs w:val="0"/>
          <w:i w:val="0"/>
          <w:iCs w:val="0"/>
          <w:color w:val="auto"/>
          <w:sz w:val="32"/>
          <w:szCs w:val="32"/>
          <w:highlight w:val="none"/>
        </w:rPr>
        <w:t>支出决算为9.87万元，完成预算100%，决算数等于预算数。</w:t>
      </w:r>
    </w:p>
    <w:p w14:paraId="3CBF902F">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rPr>
        <w:t>卫生健康（类）行政事业单位医疗（款）公务员医疗补助（项）: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6.20</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6A731E61">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7.</w:t>
      </w:r>
      <w:r>
        <w:rPr>
          <w:rFonts w:hint="default" w:ascii="Times New Roman" w:hAnsi="Times New Roman" w:eastAsia="仿宋_GB2312" w:cs="Times New Roman"/>
          <w:b w:val="0"/>
          <w:bCs w:val="0"/>
          <w:i w:val="0"/>
          <w:iCs w:val="0"/>
          <w:color w:val="auto"/>
          <w:sz w:val="32"/>
          <w:szCs w:val="32"/>
          <w:highlight w:val="none"/>
        </w:rPr>
        <w:t>节能环保（类）污染防治（款）其他污染防治支出（项）: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40.00</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5D637495">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一般公共服务支出（类）市场监督管理事务（款）事业运行（项）: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0.45</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7819E336">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rPr>
        <w:t>城乡社区（类）城乡社区管理事务（款）行政运行（项）: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555.96</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51862674">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10.</w:t>
      </w:r>
      <w:r>
        <w:rPr>
          <w:rFonts w:hint="default" w:ascii="Times New Roman" w:hAnsi="Times New Roman" w:eastAsia="仿宋_GB2312" w:cs="Times New Roman"/>
          <w:b w:val="0"/>
          <w:bCs w:val="0"/>
          <w:i w:val="0"/>
          <w:iCs w:val="0"/>
          <w:color w:val="auto"/>
          <w:sz w:val="32"/>
          <w:szCs w:val="32"/>
          <w:highlight w:val="none"/>
        </w:rPr>
        <w:t>城乡社区（类）城乡社区管理事务（款）城管执法（项）: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38.09</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15D3AFEC">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11.</w:t>
      </w:r>
      <w:r>
        <w:rPr>
          <w:rFonts w:hint="default" w:ascii="Times New Roman" w:hAnsi="Times New Roman" w:eastAsia="仿宋_GB2312" w:cs="Times New Roman"/>
          <w:b w:val="0"/>
          <w:bCs w:val="0"/>
          <w:i w:val="0"/>
          <w:iCs w:val="0"/>
          <w:color w:val="auto"/>
          <w:sz w:val="32"/>
          <w:szCs w:val="32"/>
          <w:highlight w:val="none"/>
        </w:rPr>
        <w:t>城乡社区（类）城乡社区管理事务（款）其他城乡社区管理事务支出（项）: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265.66</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2BBA81EC">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12.</w:t>
      </w:r>
      <w:r>
        <w:rPr>
          <w:rFonts w:hint="default" w:ascii="Times New Roman" w:hAnsi="Times New Roman" w:eastAsia="仿宋_GB2312" w:cs="Times New Roman"/>
          <w:b w:val="0"/>
          <w:bCs w:val="0"/>
          <w:i w:val="0"/>
          <w:iCs w:val="0"/>
          <w:color w:val="auto"/>
          <w:sz w:val="32"/>
          <w:szCs w:val="32"/>
          <w:highlight w:val="none"/>
        </w:rPr>
        <w:t>城乡社区（类）城乡社区环境卫生（款）城乡社区环境卫生（项）: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71.93</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12CFE396">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13.</w:t>
      </w:r>
      <w:r>
        <w:rPr>
          <w:rFonts w:hint="default" w:ascii="Times New Roman" w:hAnsi="Times New Roman" w:eastAsia="仿宋_GB2312" w:cs="Times New Roman"/>
          <w:b w:val="0"/>
          <w:bCs w:val="0"/>
          <w:i w:val="0"/>
          <w:iCs w:val="0"/>
          <w:color w:val="auto"/>
          <w:sz w:val="32"/>
          <w:szCs w:val="32"/>
          <w:highlight w:val="none"/>
        </w:rPr>
        <w:t>城乡社区（类）城乡社区环境卫生（款）其他城乡社区支出（项）: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cs="Times New Roman"/>
          <w:b w:val="0"/>
          <w:bCs w:val="0"/>
          <w:i w:val="0"/>
          <w:iCs w:val="0"/>
          <w:color w:val="auto"/>
          <w:sz w:val="32"/>
          <w:szCs w:val="32"/>
          <w:highlight w:val="none"/>
          <w:lang w:val="en-US" w:eastAsia="zh-CN"/>
        </w:rPr>
        <w:t>260</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p>
    <w:p w14:paraId="7F9978A4">
      <w:pPr>
        <w:tabs>
          <w:tab w:val="right" w:pos="8306"/>
        </w:tabs>
        <w:spacing w:line="600" w:lineRule="exact"/>
        <w:ind w:firstLine="640"/>
        <w:outlineLvl w:val="1"/>
        <w:rPr>
          <w:rStyle w:val="22"/>
          <w:rFonts w:hint="default" w:ascii="Times New Roman" w:hAnsi="Times New Roman" w:eastAsia="仿宋_GB2312" w:cs="Times New Roman"/>
          <w:b w:val="0"/>
          <w:bCs w:val="0"/>
          <w:i w:val="0"/>
          <w:iCs w:val="0"/>
          <w:color w:val="auto"/>
          <w:sz w:val="32"/>
          <w:szCs w:val="32"/>
          <w:highlight w:val="none"/>
        </w:rPr>
      </w:pPr>
      <w:bookmarkStart w:id="47" w:name="_Toc18018"/>
      <w:r>
        <w:rPr>
          <w:rFonts w:hint="eastAsia" w:ascii="Times New Roman" w:hAnsi="Times New Roman" w:cs="Times New Roman"/>
          <w:b w:val="0"/>
          <w:bCs w:val="0"/>
          <w:i w:val="0"/>
          <w:iCs w:val="0"/>
          <w:color w:val="auto"/>
          <w:sz w:val="32"/>
          <w:szCs w:val="32"/>
          <w:highlight w:val="none"/>
          <w:lang w:val="en-US" w:eastAsia="zh-CN"/>
        </w:rPr>
        <w:t>14.住房保障支出（类）住房改革支出（款）住房公积金（项）:</w:t>
      </w:r>
      <w:r>
        <w:rPr>
          <w:rStyle w:val="22"/>
          <w:rFonts w:hint="default" w:ascii="Times New Roman" w:hAnsi="Times New Roman" w:eastAsia="仿宋_GB2312" w:cs="Times New Roman"/>
          <w:b w:val="0"/>
          <w:bCs w:val="0"/>
          <w:i w:val="0"/>
          <w:iCs w:val="0"/>
          <w:color w:val="auto"/>
          <w:sz w:val="32"/>
          <w:szCs w:val="32"/>
          <w:highlight w:val="none"/>
        </w:rPr>
        <w:t>支出决算为</w:t>
      </w:r>
      <w:r>
        <w:rPr>
          <w:rStyle w:val="22"/>
          <w:rFonts w:hint="eastAsia" w:ascii="Times New Roman" w:hAnsi="Times New Roman" w:eastAsia="仿宋_GB2312" w:cs="Times New Roman"/>
          <w:b w:val="0"/>
          <w:bCs w:val="0"/>
          <w:i w:val="0"/>
          <w:iCs w:val="0"/>
          <w:color w:val="auto"/>
          <w:sz w:val="32"/>
          <w:szCs w:val="32"/>
          <w:highlight w:val="none"/>
          <w:lang w:val="en-US" w:eastAsia="zh-CN"/>
        </w:rPr>
        <w:t>38.13</w:t>
      </w:r>
      <w:r>
        <w:rPr>
          <w:rStyle w:val="22"/>
          <w:rFonts w:hint="default" w:ascii="Times New Roman" w:hAnsi="Times New Roman" w:eastAsia="仿宋_GB2312" w:cs="Times New Roman"/>
          <w:b w:val="0"/>
          <w:bCs w:val="0"/>
          <w:i w:val="0"/>
          <w:iCs w:val="0"/>
          <w:color w:val="auto"/>
          <w:sz w:val="32"/>
          <w:szCs w:val="32"/>
          <w:highlight w:val="none"/>
        </w:rPr>
        <w:t>万元，完成预算100%，决算数等于预算数。</w:t>
      </w:r>
      <w:bookmarkEnd w:id="47"/>
    </w:p>
    <w:p w14:paraId="409D3096">
      <w:pPr>
        <w:tabs>
          <w:tab w:val="right" w:pos="8306"/>
        </w:tabs>
        <w:spacing w:line="600" w:lineRule="exact"/>
        <w:ind w:firstLine="640"/>
        <w:outlineLvl w:val="1"/>
        <w:rPr>
          <w:rStyle w:val="35"/>
          <w:rFonts w:ascii="Times New Roman" w:hAnsi="Times New Roman"/>
          <w:color w:val="auto"/>
          <w:highlight w:val="none"/>
        </w:rPr>
      </w:pPr>
      <w:bookmarkStart w:id="48" w:name="_Toc1386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般公共预算财政拨款基本支出决算情况说明</w:t>
      </w:r>
      <w:bookmarkEnd w:id="45"/>
      <w:bookmarkEnd w:id="46"/>
      <w:bookmarkEnd w:id="48"/>
      <w:r>
        <w:rPr>
          <w:rStyle w:val="35"/>
          <w:rFonts w:ascii="Times New Roman" w:hAnsi="Times New Roman" w:eastAsia="黑体"/>
          <w:b w:val="0"/>
          <w:color w:val="auto"/>
          <w:highlight w:val="none"/>
        </w:rPr>
        <w:tab/>
      </w:r>
    </w:p>
    <w:p w14:paraId="248B94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2024年度一般公共预算财政拨款基本支出926.71万元，其中：</w:t>
      </w:r>
    </w:p>
    <w:p w14:paraId="46D4F385">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人员经费845.80万元，主要包括：基本工资、津贴补贴、奖金、绩效工资、机关事业单位基本养老保险缴费、基本医疗保险缴费、公务员医疗补助缴费、其他社会保障缴费、住房公积金、其他工资福利支出等。</w:t>
      </w:r>
    </w:p>
    <w:p w14:paraId="7FEFD5AF">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71.21</w:t>
      </w:r>
      <w:r>
        <w:rPr>
          <w:rFonts w:hint="default" w:ascii="Times New Roman" w:hAnsi="Times New Roman" w:eastAsia="仿宋_GB2312" w:cs="Times New Roman"/>
          <w:b w:val="0"/>
          <w:bCs w:val="0"/>
          <w:i w:val="0"/>
          <w:iCs w:val="0"/>
          <w:color w:val="auto"/>
          <w:sz w:val="32"/>
          <w:szCs w:val="32"/>
          <w:highlight w:val="none"/>
        </w:rPr>
        <w:t>万元，主要包括：办公费</w:t>
      </w:r>
      <w:r>
        <w:rPr>
          <w:rFonts w:hint="eastAsia"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印刷费</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差旅费、</w:t>
      </w:r>
      <w:r>
        <w:rPr>
          <w:rFonts w:hint="default" w:ascii="Times New Roman" w:hAnsi="Times New Roman" w:eastAsia="仿宋_GB2312" w:cs="Times New Roman"/>
          <w:b w:val="0"/>
          <w:bCs w:val="0"/>
          <w:i w:val="0"/>
          <w:iCs w:val="0"/>
          <w:color w:val="auto"/>
          <w:sz w:val="32"/>
          <w:szCs w:val="32"/>
          <w:highlight w:val="none"/>
          <w:lang w:eastAsia="zh-CN"/>
        </w:rPr>
        <w:t>邮电费</w:t>
      </w:r>
      <w:r>
        <w:rPr>
          <w:rFonts w:hint="default" w:ascii="Times New Roman" w:hAnsi="Times New Roman" w:eastAsia="仿宋_GB2312" w:cs="Times New Roman"/>
          <w:b w:val="0"/>
          <w:bCs w:val="0"/>
          <w:i w:val="0"/>
          <w:iCs w:val="0"/>
          <w:color w:val="auto"/>
          <w:sz w:val="32"/>
          <w:szCs w:val="32"/>
          <w:highlight w:val="none"/>
        </w:rPr>
        <w:t>、公务接待费</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工会经费</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福利费、其他交通费、公务用车运行维护费</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其他商品和服务支出等。</w:t>
      </w:r>
    </w:p>
    <w:p w14:paraId="0B64282D">
      <w:pPr>
        <w:spacing w:line="600" w:lineRule="exact"/>
        <w:ind w:firstLine="640"/>
        <w:outlineLvl w:val="1"/>
        <w:rPr>
          <w:rStyle w:val="35"/>
          <w:rFonts w:ascii="Times New Roman" w:hAnsi="Times New Roman" w:eastAsia="黑体"/>
          <w:b w:val="0"/>
          <w:color w:val="auto"/>
          <w:highlight w:val="none"/>
        </w:rPr>
      </w:pPr>
      <w:bookmarkStart w:id="49" w:name="_Toc15377215"/>
      <w:bookmarkStart w:id="50" w:name="_Toc15396609"/>
      <w:bookmarkStart w:id="51" w:name="_Toc31608"/>
      <w:r>
        <w:rPr>
          <w:rFonts w:hint="eastAsia" w:ascii="Times New Roman" w:hAnsi="Times New Roman" w:eastAsia="黑体"/>
          <w:color w:val="auto"/>
          <w:sz w:val="32"/>
          <w:szCs w:val="32"/>
          <w:highlight w:val="none"/>
        </w:rPr>
        <w:t>七、</w:t>
      </w:r>
      <w:r>
        <w:rPr>
          <w:rStyle w:val="35"/>
          <w:rFonts w:hint="eastAsia" w:ascii="Times New Roman" w:hAnsi="Times New Roman" w:eastAsia="黑体"/>
          <w:b w:val="0"/>
          <w:color w:val="auto"/>
          <w:highlight w:val="none"/>
        </w:rPr>
        <w:t>财政拨款</w:t>
      </w:r>
      <w:r>
        <w:rPr>
          <w:rStyle w:val="35"/>
          <w:rFonts w:hint="eastAsia" w:ascii="Times New Roman" w:hAnsi="Times New Roman" w:eastAsia="黑体"/>
          <w:color w:val="auto"/>
          <w:highlight w:val="none"/>
        </w:rPr>
        <w:t>“</w:t>
      </w:r>
      <w:r>
        <w:rPr>
          <w:rStyle w:val="35"/>
          <w:rFonts w:hint="eastAsia" w:ascii="Times New Roman" w:hAnsi="Times New Roman" w:eastAsia="黑体"/>
          <w:b w:val="0"/>
          <w:color w:val="auto"/>
          <w:highlight w:val="none"/>
        </w:rPr>
        <w:t>三公”经费支出决算情况说明</w:t>
      </w:r>
      <w:bookmarkEnd w:id="49"/>
      <w:bookmarkEnd w:id="50"/>
      <w:bookmarkEnd w:id="51"/>
    </w:p>
    <w:p w14:paraId="638A29C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2"/>
    </w:p>
    <w:p w14:paraId="012318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20.68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6.47</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14:paraId="6241F5F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3"/>
    </w:p>
    <w:p w14:paraId="65BEC9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20.31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98.21</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0.37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1.79</w:t>
      </w:r>
      <w:r>
        <w:rPr>
          <w:rFonts w:hint="eastAsia" w:ascii="Times New Roman" w:hAnsi="Times New Roman" w:eastAsia="仿宋_GB2312" w:cs="仿宋_GB2312"/>
          <w:color w:val="auto"/>
          <w:kern w:val="2"/>
          <w:sz w:val="32"/>
          <w:szCs w:val="32"/>
          <w:highlight w:val="none"/>
          <w:lang w:val="en-US" w:eastAsia="zh-CN" w:bidi="ar-SA"/>
        </w:rPr>
        <w:t>%。具体情况如下：</w:t>
      </w:r>
    </w:p>
    <w:p w14:paraId="3F09945D">
      <w:pPr>
        <w:pStyle w:val="17"/>
        <w:rPr>
          <w:rFonts w:hint="eastAsia"/>
          <w:lang w:val="en-US" w:eastAsia="zh-CN"/>
        </w:rPr>
      </w:pPr>
      <w:r>
        <w:rPr>
          <w:rFonts w:hint="eastAsia"/>
          <w:lang w:val="en-US" w:eastAsia="zh-CN"/>
        </w:rPr>
        <w:drawing>
          <wp:inline distT="0" distB="0" distL="114300" distR="114300">
            <wp:extent cx="5130800" cy="27686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12CF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C8809A7">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rPr>
        <w:t>我单位未安排因公出国（境）</w:t>
      </w:r>
      <w:r>
        <w:rPr>
          <w:rFonts w:hint="eastAsia" w:ascii="仿宋_GB2312" w:eastAsia="仿宋_GB2312"/>
          <w:sz w:val="32"/>
          <w:szCs w:val="32"/>
          <w:lang w:eastAsia="zh-CN"/>
        </w:rPr>
        <w:t>。</w:t>
      </w:r>
    </w:p>
    <w:p w14:paraId="1D8BBE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20.31</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0.80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系车辆日常维护保养较好，维修费用支出较上年下降。</w:t>
      </w:r>
    </w:p>
    <w:p w14:paraId="3E67C3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皮卡</w:t>
      </w:r>
      <w:r>
        <w:rPr>
          <w:rFonts w:hint="eastAsia" w:ascii="Times New Roman" w:hAnsi="Times New Roman" w:eastAsia="仿宋_GB2312" w:cs="仿宋_GB2312"/>
          <w:color w:val="auto"/>
          <w:kern w:val="2"/>
          <w:sz w:val="32"/>
          <w:szCs w:val="32"/>
          <w:highlight w:val="none"/>
          <w:lang w:val="en-US" w:eastAsia="zh-CN" w:bidi="ar-SA"/>
        </w:rPr>
        <w:t>车</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环卫作业汽车6</w:t>
      </w:r>
      <w:r>
        <w:rPr>
          <w:rFonts w:hint="eastAsia" w:ascii="Times New Roman" w:hAnsi="Times New Roman" w:eastAsia="仿宋_GB2312" w:cs="仿宋_GB2312"/>
          <w:color w:val="auto"/>
          <w:kern w:val="2"/>
          <w:sz w:val="32"/>
          <w:szCs w:val="32"/>
          <w:highlight w:val="none"/>
          <w:lang w:val="en-US" w:eastAsia="zh-CN" w:bidi="ar-SA"/>
        </w:rPr>
        <w:t>辆。</w:t>
      </w:r>
    </w:p>
    <w:p w14:paraId="7A0E10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20.31</w:t>
      </w:r>
      <w:r>
        <w:rPr>
          <w:rFonts w:hint="eastAsia" w:ascii="Times New Roman" w:hAnsi="Times New Roman" w:eastAsia="仿宋_GB2312" w:cs="仿宋_GB2312"/>
          <w:color w:val="auto"/>
          <w:kern w:val="2"/>
          <w:sz w:val="32"/>
          <w:szCs w:val="32"/>
          <w:highlight w:val="none"/>
          <w:lang w:val="en-US" w:eastAsia="zh-CN" w:bidi="ar-SA"/>
        </w:rPr>
        <w:t>万元。主要用于单位执法执勤车辆所需的公务用车燃料费、维修费、过路过桥费、保险费等支出。</w:t>
      </w:r>
    </w:p>
    <w:p w14:paraId="10B8E0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0.37</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0.63</w:t>
      </w:r>
      <w:r>
        <w:rPr>
          <w:rFonts w:hint="eastAsia" w:ascii="Times New Roman" w:hAnsi="Times New Roman" w:eastAsia="仿宋_GB2312" w:cs="仿宋_GB2312"/>
          <w:color w:val="auto"/>
          <w:kern w:val="2"/>
          <w:sz w:val="32"/>
          <w:szCs w:val="32"/>
          <w:highlight w:val="none"/>
          <w:lang w:val="en-US" w:eastAsia="zh-CN" w:bidi="ar-SA"/>
        </w:rPr>
        <w:t>万元，下降6</w:t>
      </w:r>
      <w:r>
        <w:rPr>
          <w:rFonts w:hint="eastAsia" w:eastAsia="仿宋_GB2312" w:cs="仿宋_GB2312"/>
          <w:color w:val="auto"/>
          <w:kern w:val="2"/>
          <w:sz w:val="32"/>
          <w:szCs w:val="32"/>
          <w:highlight w:val="none"/>
          <w:lang w:val="en-US" w:eastAsia="zh-CN" w:bidi="ar-SA"/>
        </w:rPr>
        <w:t>3.14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系单位厉行勤俭节约，尽量少安排公务接待事项。</w:t>
      </w:r>
      <w:r>
        <w:rPr>
          <w:rFonts w:hint="eastAsia" w:ascii="Times New Roman" w:hAnsi="Times New Roman" w:eastAsia="仿宋_GB2312" w:cs="仿宋_GB2312"/>
          <w:color w:val="auto"/>
          <w:kern w:val="2"/>
          <w:sz w:val="32"/>
          <w:szCs w:val="32"/>
          <w:highlight w:val="none"/>
          <w:lang w:val="en-US" w:eastAsia="zh-CN" w:bidi="ar-SA"/>
        </w:rPr>
        <w:t>其中：</w:t>
      </w:r>
    </w:p>
    <w:p w14:paraId="03326533">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bookmarkStart w:id="54" w:name="_Toc15377218"/>
      <w:bookmarkStart w:id="55" w:name="_Toc15396610"/>
      <w:r>
        <w:rPr>
          <w:rFonts w:hint="default" w:ascii="Times New Roman" w:hAnsi="Times New Roman" w:eastAsia="仿宋_GB2312" w:cs="Times New Roman"/>
          <w:b w:val="0"/>
          <w:bCs w:val="0"/>
          <w:i w:val="0"/>
          <w:iCs w:val="0"/>
          <w:color w:val="auto"/>
          <w:sz w:val="32"/>
          <w:szCs w:val="32"/>
          <w:highlight w:val="none"/>
        </w:rPr>
        <w:t>国内公务接待支出</w:t>
      </w:r>
      <w:r>
        <w:rPr>
          <w:rFonts w:hint="eastAsia" w:ascii="Times New Roman" w:hAnsi="Times New Roman" w:cs="Times New Roman"/>
          <w:b w:val="0"/>
          <w:bCs w:val="0"/>
          <w:i w:val="0"/>
          <w:iCs w:val="0"/>
          <w:color w:val="auto"/>
          <w:sz w:val="32"/>
          <w:szCs w:val="32"/>
          <w:highlight w:val="none"/>
          <w:lang w:val="en-US" w:eastAsia="zh-CN"/>
        </w:rPr>
        <w:t>0.37</w:t>
      </w:r>
      <w:r>
        <w:rPr>
          <w:rFonts w:hint="default" w:ascii="Times New Roman" w:hAnsi="Times New Roman" w:eastAsia="仿宋_GB2312" w:cs="Times New Roman"/>
          <w:b w:val="0"/>
          <w:bCs w:val="0"/>
          <w:i w:val="0"/>
          <w:iCs w:val="0"/>
          <w:color w:val="auto"/>
          <w:sz w:val="32"/>
          <w:szCs w:val="32"/>
          <w:highlight w:val="none"/>
        </w:rPr>
        <w:t>万元</w:t>
      </w:r>
      <w:r>
        <w:rPr>
          <w:rFonts w:hint="eastAsia" w:ascii="仿宋_GB2312" w:eastAsia="仿宋_GB2312"/>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主要用于开展业务活动开支的用餐费。</w:t>
      </w:r>
      <w:r>
        <w:rPr>
          <w:rFonts w:hint="eastAsia" w:ascii="仿宋_GB2312" w:eastAsia="仿宋_GB2312"/>
          <w:sz w:val="32"/>
          <w:szCs w:val="32"/>
          <w:highlight w:val="none"/>
        </w:rPr>
        <w:t>国</w:t>
      </w:r>
      <w:r>
        <w:rPr>
          <w:rFonts w:hint="eastAsia" w:ascii="仿宋_GB2312" w:eastAsia="仿宋_GB2312"/>
          <w:sz w:val="32"/>
          <w:szCs w:val="32"/>
        </w:rPr>
        <w:t>内公务接待</w:t>
      </w:r>
      <w:r>
        <w:rPr>
          <w:rFonts w:hint="eastAsia" w:ascii="仿宋_GB2312"/>
          <w:sz w:val="32"/>
          <w:szCs w:val="32"/>
          <w:lang w:val="en-US" w:eastAsia="zh-CN"/>
        </w:rPr>
        <w:t>5</w:t>
      </w:r>
      <w:r>
        <w:rPr>
          <w:rFonts w:hint="eastAsia" w:ascii="仿宋_GB2312" w:eastAsia="仿宋_GB2312"/>
          <w:sz w:val="32"/>
          <w:szCs w:val="32"/>
        </w:rPr>
        <w:t>批次，</w:t>
      </w:r>
      <w:r>
        <w:rPr>
          <w:rFonts w:hint="eastAsia" w:ascii="仿宋_GB2312"/>
          <w:sz w:val="32"/>
          <w:szCs w:val="32"/>
          <w:lang w:val="en-US" w:eastAsia="zh-CN"/>
        </w:rPr>
        <w:t>33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具体内容包括：遂、潼、铜三地执法研讨会0.34万元、接待经开区市政公用事务中心来安学习0.03万元。</w:t>
      </w:r>
    </w:p>
    <w:p w14:paraId="43AD648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1C1F0CF8">
      <w:pPr>
        <w:spacing w:line="600" w:lineRule="exact"/>
        <w:ind w:firstLine="640"/>
        <w:outlineLvl w:val="1"/>
        <w:rPr>
          <w:rStyle w:val="35"/>
          <w:rFonts w:ascii="Times New Roman" w:hAnsi="Times New Roman" w:eastAsia="黑体"/>
          <w:color w:val="auto"/>
          <w:highlight w:val="none"/>
        </w:rPr>
      </w:pPr>
      <w:bookmarkStart w:id="56" w:name="_Toc11408"/>
      <w:r>
        <w:rPr>
          <w:rFonts w:hint="eastAsia" w:ascii="Times New Roman" w:hAnsi="Times New Roman" w:eastAsia="黑体"/>
          <w:color w:val="auto"/>
          <w:sz w:val="32"/>
          <w:szCs w:val="32"/>
          <w:highlight w:val="none"/>
        </w:rPr>
        <w:t>八、</w:t>
      </w:r>
      <w:r>
        <w:rPr>
          <w:rStyle w:val="35"/>
          <w:rFonts w:hint="eastAsia" w:ascii="Times New Roman" w:hAnsi="Times New Roman" w:eastAsia="黑体"/>
          <w:b w:val="0"/>
          <w:color w:val="auto"/>
          <w:highlight w:val="none"/>
        </w:rPr>
        <w:t>政府性基金预算支出决算情况说明</w:t>
      </w:r>
      <w:bookmarkEnd w:id="54"/>
      <w:bookmarkEnd w:id="55"/>
      <w:bookmarkEnd w:id="56"/>
    </w:p>
    <w:p w14:paraId="3A2B49F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eastAsia="仿宋_GB2312" w:cs="Times New Roman"/>
          <w:b w:val="0"/>
          <w:bCs w:val="0"/>
          <w:i w:val="0"/>
          <w:iCs w:val="0"/>
          <w:color w:val="auto"/>
          <w:sz w:val="32"/>
          <w:szCs w:val="32"/>
          <w:highlight w:val="none"/>
          <w:lang w:val="en-US" w:eastAsia="zh-CN"/>
        </w:rPr>
        <w:t>2024年度政府性基金预算财政拨款支出5038.00万元，占本年支出合计的78.84%。与2023年度相比，政府性基金预算财政拨款支出增加3,038.00万元，增长151.90%。主要变动原因系本年度根据区级总预算工作安排，将“城镇生活垃圾分类处置建设”、“生活垃圾分类和处理设施提标改造项目”、“智慧城市（数字城管）建设”等新增项目资金通过政府性基金预算财政拨款收支。</w:t>
      </w:r>
    </w:p>
    <w:p w14:paraId="55C0281E">
      <w:pPr>
        <w:numPr>
          <w:ilvl w:val="0"/>
          <w:numId w:val="0"/>
        </w:numPr>
        <w:spacing w:line="600" w:lineRule="exact"/>
        <w:ind w:left="630" w:leftChars="0"/>
        <w:outlineLvl w:val="1"/>
        <w:rPr>
          <w:rStyle w:val="35"/>
          <w:rFonts w:ascii="Times New Roman" w:hAnsi="Times New Roman" w:eastAsia="黑体"/>
          <w:b w:val="0"/>
          <w:color w:val="auto"/>
          <w:highlight w:val="none"/>
        </w:rPr>
      </w:pPr>
      <w:bookmarkStart w:id="57" w:name="_Toc6498"/>
      <w:bookmarkStart w:id="58" w:name="_Toc15377219"/>
      <w:bookmarkStart w:id="59" w:name="_Toc15396611"/>
      <w:r>
        <w:rPr>
          <w:rStyle w:val="35"/>
          <w:rFonts w:hint="eastAsia" w:ascii="Times New Roman" w:hAnsi="Times New Roman" w:eastAsia="黑体"/>
          <w:b w:val="0"/>
          <w:color w:val="auto"/>
          <w:highlight w:val="none"/>
          <w:lang w:eastAsia="zh-CN"/>
        </w:rPr>
        <w:t>九、</w:t>
      </w:r>
      <w:r>
        <w:rPr>
          <w:rStyle w:val="35"/>
          <w:rFonts w:hint="eastAsia" w:ascii="Times New Roman" w:hAnsi="Times New Roman" w:eastAsia="黑体"/>
          <w:b w:val="0"/>
          <w:color w:val="auto"/>
          <w:highlight w:val="none"/>
        </w:rPr>
        <w:t>国有资本经营预算支出决算情况说明</w:t>
      </w:r>
      <w:bookmarkEnd w:id="57"/>
      <w:bookmarkEnd w:id="58"/>
      <w:bookmarkEnd w:id="59"/>
    </w:p>
    <w:p w14:paraId="51A73A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09413D98">
      <w:pPr>
        <w:numPr>
          <w:ilvl w:val="0"/>
          <w:numId w:val="0"/>
        </w:numPr>
        <w:spacing w:line="600" w:lineRule="exact"/>
        <w:ind w:left="630" w:leftChars="0"/>
        <w:outlineLvl w:val="1"/>
        <w:rPr>
          <w:rStyle w:val="35"/>
          <w:rFonts w:hint="eastAsia" w:ascii="Times New Roman" w:hAnsi="Times New Roman" w:eastAsia="黑体"/>
          <w:b w:val="0"/>
          <w:color w:val="auto"/>
          <w:highlight w:val="none"/>
        </w:rPr>
      </w:pPr>
      <w:bookmarkStart w:id="60" w:name="_Toc2315"/>
      <w:bookmarkStart w:id="61" w:name="_Toc15377221"/>
      <w:bookmarkStart w:id="62" w:name="_Toc15396612"/>
      <w:r>
        <w:rPr>
          <w:rStyle w:val="35"/>
          <w:rFonts w:hint="eastAsia" w:ascii="Times New Roman" w:hAnsi="Times New Roman" w:eastAsia="黑体"/>
          <w:b w:val="0"/>
          <w:color w:val="auto"/>
          <w:highlight w:val="none"/>
          <w:lang w:eastAsia="zh-CN"/>
        </w:rPr>
        <w:t>十、</w:t>
      </w:r>
      <w:r>
        <w:rPr>
          <w:rStyle w:val="35"/>
          <w:rFonts w:hint="eastAsia" w:ascii="Times New Roman" w:hAnsi="Times New Roman" w:eastAsia="黑体"/>
          <w:b w:val="0"/>
          <w:color w:val="auto"/>
          <w:highlight w:val="none"/>
        </w:rPr>
        <w:t>其他重要事项的情况说明</w:t>
      </w:r>
      <w:bookmarkEnd w:id="60"/>
      <w:bookmarkEnd w:id="61"/>
      <w:bookmarkEnd w:id="62"/>
    </w:p>
    <w:p w14:paraId="62784AC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3" w:name="_Toc15377222"/>
      <w:r>
        <w:rPr>
          <w:rFonts w:hint="eastAsia" w:ascii="Times New Roman" w:hAnsi="Times New Roman" w:eastAsia="楷体_GB2312" w:cs="楷体_GB2312"/>
          <w:b/>
          <w:color w:val="auto"/>
          <w:sz w:val="32"/>
          <w:szCs w:val="32"/>
          <w:highlight w:val="none"/>
        </w:rPr>
        <w:t>（一）机关运行经费支出情况</w:t>
      </w:r>
      <w:bookmarkEnd w:id="63"/>
    </w:p>
    <w:p w14:paraId="431CA3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72.13</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9.96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系单位厉行勤俭节约，尽量减少费用开支。</w:t>
      </w:r>
    </w:p>
    <w:p w14:paraId="027D6B8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4" w:name="_Toc15377223"/>
      <w:r>
        <w:rPr>
          <w:rFonts w:hint="eastAsia" w:ascii="Times New Roman" w:hAnsi="Times New Roman" w:eastAsia="楷体_GB2312" w:cs="楷体_GB2312"/>
          <w:b/>
          <w:color w:val="auto"/>
          <w:sz w:val="32"/>
          <w:szCs w:val="32"/>
          <w:highlight w:val="none"/>
        </w:rPr>
        <w:t>（二）政府采购支出情况</w:t>
      </w:r>
      <w:bookmarkEnd w:id="64"/>
    </w:p>
    <w:p w14:paraId="302CD4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政府采购支出总额12.50万元，其中：政府采购货物支出10.10万元、政府采购工程支出0万元、政府采购服务支出2.40万元。授予中小企业合同金额12.50万元，占政府采购支出总额的</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0%，其中：授予小微企业合同金额0万元，占政府采购支出总额的0%。</w:t>
      </w:r>
    </w:p>
    <w:p w14:paraId="596703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5" w:name="_Toc15377224"/>
      <w:r>
        <w:rPr>
          <w:rFonts w:hint="eastAsia" w:ascii="Times New Roman" w:hAnsi="Times New Roman" w:eastAsia="楷体_GB2312" w:cs="楷体_GB2312"/>
          <w:b/>
          <w:color w:val="auto"/>
          <w:sz w:val="32"/>
          <w:szCs w:val="32"/>
          <w:highlight w:val="none"/>
        </w:rPr>
        <w:t>（三）国有资产占有使用情况</w:t>
      </w:r>
      <w:bookmarkEnd w:id="65"/>
    </w:p>
    <w:p w14:paraId="4D0443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辆，其他用车主要是用于</w:t>
      </w:r>
      <w:r>
        <w:rPr>
          <w:rFonts w:hint="eastAsia" w:eastAsia="仿宋_GB2312" w:cs="仿宋_GB2312"/>
          <w:color w:val="auto"/>
          <w:kern w:val="2"/>
          <w:sz w:val="32"/>
          <w:szCs w:val="32"/>
          <w:highlight w:val="none"/>
          <w:lang w:val="en-US" w:eastAsia="zh-CN" w:bidi="ar-SA"/>
        </w:rPr>
        <w:t>我区城市管理、卫生清洁等工作。</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261D4C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DB8BE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年度</w:t>
      </w:r>
      <w:r>
        <w:rPr>
          <w:rFonts w:hint="default" w:ascii="Times New Roman" w:hAnsi="Times New Roman" w:eastAsia="仿宋_GB2312" w:cs="Times New Roman"/>
          <w:b w:val="0"/>
          <w:bCs w:val="0"/>
          <w:i w:val="0"/>
          <w:iCs w:val="0"/>
          <w:color w:val="auto"/>
          <w:sz w:val="32"/>
          <w:szCs w:val="32"/>
          <w:highlight w:val="none"/>
        </w:rPr>
        <w:t>预算编制阶</w:t>
      </w:r>
      <w:r>
        <w:rPr>
          <w:rFonts w:hint="default" w:ascii="Times New Roman" w:hAnsi="Times New Roman" w:eastAsia="仿宋_GB2312" w:cs="仿宋_GB2312"/>
          <w:color w:val="auto"/>
          <w:kern w:val="2"/>
          <w:sz w:val="32"/>
          <w:szCs w:val="32"/>
          <w:highlight w:val="none"/>
          <w:lang w:val="en-US" w:eastAsia="zh-CN" w:bidi="ar-SA"/>
        </w:rPr>
        <w:t>段，组织</w:t>
      </w:r>
      <w:r>
        <w:rPr>
          <w:rFonts w:hint="eastAsia" w:ascii="Times New Roman" w:hAnsi="Times New Roman" w:eastAsia="仿宋_GB2312" w:cs="仿宋_GB2312"/>
          <w:color w:val="auto"/>
          <w:kern w:val="2"/>
          <w:sz w:val="32"/>
          <w:szCs w:val="32"/>
          <w:highlight w:val="none"/>
          <w:lang w:val="en-US" w:eastAsia="zh-CN" w:bidi="ar-SA"/>
        </w:rPr>
        <w:t>对城管执法整治工作经费、2018年公厕革命补助资金、2020年公厕革命补助资金、污染治理和节能减碳专项资金、城乡垃圾处理设施建设项目、2022年生活垃圾分类示范片区奖补资金</w:t>
      </w:r>
      <w:r>
        <w:rPr>
          <w:rFonts w:hint="default"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11个</w:t>
      </w:r>
      <w:r>
        <w:rPr>
          <w:rFonts w:hint="default" w:ascii="Times New Roman" w:hAnsi="Times New Roman" w:eastAsia="仿宋_GB2312" w:cs="仿宋_GB2312"/>
          <w:color w:val="auto"/>
          <w:kern w:val="2"/>
          <w:sz w:val="32"/>
          <w:szCs w:val="32"/>
          <w:highlight w:val="none"/>
          <w:lang w:val="en-US" w:eastAsia="zh-CN" w:bidi="ar-SA"/>
        </w:rPr>
        <w:t>项目开展了预算事前绩效评估</w:t>
      </w:r>
      <w:r>
        <w:rPr>
          <w:rFonts w:hint="eastAsia" w:ascii="Times New Roman" w:hAnsi="Times New Roman" w:eastAsia="仿宋_GB2312" w:cs="仿宋_GB2312"/>
          <w:color w:val="auto"/>
          <w:kern w:val="2"/>
          <w:sz w:val="32"/>
          <w:szCs w:val="32"/>
          <w:highlight w:val="none"/>
          <w:lang w:val="en-US" w:eastAsia="zh-CN" w:bidi="ar-SA"/>
        </w:rPr>
        <w:t>，对11个项目编制了绩效目标，预算执行过程中，选取11个项目开展绩效监控。</w:t>
      </w:r>
    </w:p>
    <w:p w14:paraId="0E601A6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城管执法整治工作经费、2018年公厕革命补助资金、2020年公厕革命补助资金、污染治理和节能减碳专项资金、城乡垃圾处理设施建设项目、2022年生活垃圾分类示范片区奖补资金</w:t>
      </w:r>
      <w:r>
        <w:rPr>
          <w:rFonts w:hint="eastAsia" w:eastAsia="仿宋_GB2312" w:cs="仿宋_GB2312"/>
          <w:color w:val="auto"/>
          <w:kern w:val="2"/>
          <w:sz w:val="32"/>
          <w:szCs w:val="32"/>
          <w:highlight w:val="none"/>
          <w:lang w:val="en-US" w:eastAsia="zh-CN" w:bidi="ar-SA"/>
        </w:rPr>
        <w:t>等项目支出绩效自评表</w:t>
      </w:r>
      <w:r>
        <w:rPr>
          <w:rFonts w:hint="eastAsia" w:ascii="Times New Roman" w:hAnsi="Times New Roman" w:eastAsia="仿宋_GB2312" w:cs="仿宋_GB2312"/>
          <w:color w:val="auto"/>
          <w:kern w:val="2"/>
          <w:sz w:val="32"/>
          <w:szCs w:val="32"/>
          <w:highlight w:val="none"/>
          <w:lang w:val="en-US" w:eastAsia="zh-CN" w:bidi="ar-SA"/>
        </w:rPr>
        <w:t>，其中，本单位</w:t>
      </w:r>
      <w:r>
        <w:rPr>
          <w:rFonts w:hint="default" w:ascii="Times New Roman" w:hAnsi="Times New Roman"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整体（含部门预算项目）绩效自评得分为9</w:t>
      </w:r>
      <w:r>
        <w:rPr>
          <w:rFonts w:hint="eastAsia" w:eastAsia="仿宋_GB2312" w:cs="仿宋_GB2312"/>
          <w:color w:val="auto"/>
          <w:kern w:val="2"/>
          <w:sz w:val="32"/>
          <w:szCs w:val="32"/>
          <w:highlight w:val="none"/>
          <w:lang w:val="en-US" w:eastAsia="zh-CN" w:bidi="ar-SA"/>
        </w:rPr>
        <w:t>2.40</w:t>
      </w:r>
      <w:r>
        <w:rPr>
          <w:rFonts w:hint="eastAsia" w:ascii="Times New Roman" w:hAnsi="Times New Roman" w:eastAsia="仿宋_GB2312" w:cs="仿宋_GB2312"/>
          <w:color w:val="auto"/>
          <w:kern w:val="2"/>
          <w:sz w:val="32"/>
          <w:szCs w:val="32"/>
          <w:highlight w:val="none"/>
          <w:lang w:val="en-US" w:eastAsia="zh-CN" w:bidi="ar-SA"/>
        </w:rPr>
        <w:t>分，绩效自评综述：单位预算编制及时，预算执行规范，资金综合管理制度健全，整体效益较好</w:t>
      </w:r>
      <w:r>
        <w:rPr>
          <w:rFonts w:hint="eastAsia" w:eastAsia="仿宋_GB2312" w:cs="仿宋_GB2312"/>
          <w:color w:val="auto"/>
          <w:kern w:val="2"/>
          <w:sz w:val="32"/>
          <w:szCs w:val="32"/>
          <w:highlight w:val="none"/>
          <w:lang w:val="en-US" w:eastAsia="zh-CN" w:bidi="ar-SA"/>
        </w:rPr>
        <w:t>；</w:t>
      </w:r>
      <w:r>
        <w:rPr>
          <w:rFonts w:hint="eastAsia" w:eastAsia="仿宋_GB2312" w:cs="Times New Roman"/>
          <w:b w:val="0"/>
          <w:bCs w:val="0"/>
          <w:i w:val="0"/>
          <w:iCs w:val="0"/>
          <w:color w:val="auto"/>
          <w:sz w:val="32"/>
          <w:szCs w:val="32"/>
          <w:highlight w:val="none"/>
          <w:lang w:eastAsia="zh-CN"/>
        </w:rPr>
        <w:t>城管执法整治工作经费</w:t>
      </w:r>
      <w:r>
        <w:rPr>
          <w:rFonts w:hint="eastAsia" w:eastAsia="仿宋_GB2312" w:cs="仿宋_GB2312"/>
          <w:color w:val="auto"/>
          <w:kern w:val="2"/>
          <w:sz w:val="32"/>
          <w:szCs w:val="32"/>
          <w:highlight w:val="none"/>
          <w:lang w:val="en-US" w:eastAsia="zh-CN" w:bidi="ar-SA"/>
        </w:rPr>
        <w:t>项目绩效自评综合得分为97分，绩效自评综述：通过各项专项整治，进一步美化城区环境，解除安全隐患，为广大居民营造干净整洁，保障了城区市容市貌秩序井然，增强了市民对良好生活环境的获得感和幸福感，文明法治的生活环境，活跃居民生活，促进安居经济健康发展；</w:t>
      </w:r>
      <w:r>
        <w:rPr>
          <w:rFonts w:hint="eastAsia" w:eastAsia="仿宋_GB2312" w:cs="Times New Roman"/>
          <w:b w:val="0"/>
          <w:bCs w:val="0"/>
          <w:i w:val="0"/>
          <w:iCs w:val="0"/>
          <w:color w:val="auto"/>
          <w:sz w:val="32"/>
          <w:szCs w:val="32"/>
          <w:highlight w:val="none"/>
          <w:lang w:eastAsia="zh-CN"/>
        </w:rPr>
        <w:t>城区违法建设综合治理考评激励</w:t>
      </w:r>
      <w:r>
        <w:rPr>
          <w:rFonts w:hint="eastAsia" w:eastAsia="仿宋_GB2312" w:cs="仿宋_GB2312"/>
          <w:color w:val="auto"/>
          <w:kern w:val="2"/>
          <w:sz w:val="32"/>
          <w:szCs w:val="32"/>
          <w:highlight w:val="none"/>
          <w:lang w:val="en-US" w:eastAsia="zh-CN" w:bidi="ar-SA"/>
        </w:rPr>
        <w:t>项目绩效自评综合得分为97分，绩效自评综述：项目的实施为城市管理和行政执法提供了坚实的硬件保障，让城市管理和行政执法工作更加得心应手，更好地做到人民城管为人民，让人民群众的获得感和幸福感不断增强；</w:t>
      </w:r>
      <w:r>
        <w:rPr>
          <w:rFonts w:hint="eastAsia" w:eastAsia="仿宋_GB2312" w:cs="Times New Roman"/>
          <w:b w:val="0"/>
          <w:bCs w:val="0"/>
          <w:i w:val="0"/>
          <w:iCs w:val="0"/>
          <w:color w:val="auto"/>
          <w:sz w:val="32"/>
          <w:szCs w:val="32"/>
          <w:highlight w:val="none"/>
          <w:lang w:eastAsia="zh-CN"/>
        </w:rPr>
        <w:t>城市管理经费</w:t>
      </w:r>
      <w:r>
        <w:rPr>
          <w:rFonts w:hint="eastAsia" w:eastAsia="仿宋_GB2312" w:cs="仿宋_GB2312"/>
          <w:color w:val="auto"/>
          <w:kern w:val="2"/>
          <w:sz w:val="32"/>
          <w:szCs w:val="32"/>
          <w:highlight w:val="none"/>
          <w:lang w:val="en-US" w:eastAsia="zh-CN" w:bidi="ar-SA"/>
        </w:rPr>
        <w:t>项目绩效自评综合得分为98分，绩效自评综述：该项目通过政府购买服务，引进绿化养护公司进行专业管理，有效保障了乔木、灌木、草坪的完好，确保优美的生态环境；</w:t>
      </w:r>
      <w:r>
        <w:rPr>
          <w:rFonts w:hint="eastAsia" w:eastAsia="仿宋_GB2312" w:cs="Times New Roman"/>
          <w:b w:val="0"/>
          <w:bCs w:val="0"/>
          <w:i w:val="0"/>
          <w:iCs w:val="0"/>
          <w:color w:val="auto"/>
          <w:sz w:val="32"/>
          <w:szCs w:val="32"/>
          <w:highlight w:val="none"/>
          <w:lang w:eastAsia="zh-CN"/>
        </w:rPr>
        <w:t>2020年公厕革命补助资金</w:t>
      </w:r>
      <w:r>
        <w:rPr>
          <w:rFonts w:hint="eastAsia" w:eastAsia="仿宋_GB2312" w:cs="仿宋_GB2312"/>
          <w:color w:val="auto"/>
          <w:kern w:val="2"/>
          <w:sz w:val="32"/>
          <w:szCs w:val="32"/>
          <w:highlight w:val="none"/>
          <w:lang w:val="en-US" w:eastAsia="zh-CN" w:bidi="ar-SA"/>
        </w:rPr>
        <w:t>项目绩效自评综合得分为98分，绩效自评综述：厕所布局合理，管理规范、整洁卫生、群众满意的标准，有效解决人民群众“找厕难”“如厕难”等问题；</w:t>
      </w:r>
      <w:r>
        <w:rPr>
          <w:rFonts w:hint="eastAsia" w:eastAsia="仿宋_GB2312" w:cs="Times New Roman"/>
          <w:b w:val="0"/>
          <w:bCs w:val="0"/>
          <w:i w:val="0"/>
          <w:iCs w:val="0"/>
          <w:color w:val="auto"/>
          <w:sz w:val="32"/>
          <w:szCs w:val="32"/>
          <w:highlight w:val="none"/>
          <w:lang w:eastAsia="zh-CN"/>
        </w:rPr>
        <w:t>2018年公厕革命补助资金</w:t>
      </w:r>
      <w:r>
        <w:rPr>
          <w:rFonts w:hint="eastAsia" w:eastAsia="仿宋_GB2312" w:cs="仿宋_GB2312"/>
          <w:color w:val="auto"/>
          <w:kern w:val="2"/>
          <w:sz w:val="32"/>
          <w:szCs w:val="32"/>
          <w:highlight w:val="none"/>
          <w:lang w:val="en-US" w:eastAsia="zh-CN" w:bidi="ar-SA"/>
        </w:rPr>
        <w:t>项目绩效自评综合得分为98分，绩效自评综述：厕所布局合理，管理规范、整洁卫生、群众满意的标准，有效解决人民群众“找厕难”“如厕难”等问题；</w:t>
      </w:r>
      <w:r>
        <w:rPr>
          <w:rFonts w:hint="eastAsia" w:eastAsia="仿宋_GB2312" w:cs="Times New Roman"/>
          <w:b w:val="0"/>
          <w:bCs w:val="0"/>
          <w:i w:val="0"/>
          <w:iCs w:val="0"/>
          <w:color w:val="auto"/>
          <w:sz w:val="32"/>
          <w:szCs w:val="32"/>
          <w:highlight w:val="none"/>
          <w:lang w:eastAsia="zh-CN"/>
        </w:rPr>
        <w:t>污染治理和节能减碳</w:t>
      </w:r>
      <w:r>
        <w:rPr>
          <w:rFonts w:hint="eastAsia" w:eastAsia="仿宋_GB2312" w:cs="仿宋_GB2312"/>
          <w:color w:val="auto"/>
          <w:kern w:val="2"/>
          <w:sz w:val="32"/>
          <w:szCs w:val="32"/>
          <w:highlight w:val="none"/>
          <w:lang w:val="en-US" w:eastAsia="zh-CN" w:bidi="ar-SA"/>
        </w:rPr>
        <w:t>项目绩效自评综合得分为98分，绩效自评综述：将集垃圾转运、清扫保洁、垃圾分类、城市管理、综合执法等相关职能于一体，实现综合办公，便于统一管理、统一调度、统一指挥，全面提升工作效能；</w:t>
      </w:r>
      <w:r>
        <w:rPr>
          <w:rFonts w:hint="eastAsia" w:eastAsia="仿宋_GB2312" w:cs="Times New Roman"/>
          <w:b w:val="0"/>
          <w:bCs w:val="0"/>
          <w:i w:val="0"/>
          <w:iCs w:val="0"/>
          <w:color w:val="auto"/>
          <w:sz w:val="32"/>
          <w:szCs w:val="32"/>
          <w:highlight w:val="none"/>
          <w:lang w:eastAsia="zh-CN"/>
        </w:rPr>
        <w:t>城乡垃圾处理设施建设</w:t>
      </w:r>
      <w:r>
        <w:rPr>
          <w:rFonts w:hint="eastAsia" w:eastAsia="仿宋_GB2312" w:cs="仿宋_GB2312"/>
          <w:color w:val="auto"/>
          <w:kern w:val="2"/>
          <w:sz w:val="32"/>
          <w:szCs w:val="32"/>
          <w:highlight w:val="none"/>
          <w:lang w:val="en-US" w:eastAsia="zh-CN" w:bidi="ar-SA"/>
        </w:rPr>
        <w:t>项目绩效自评综合得分为98分，绩效自评综述：对城市垃圾分类、垃圾转运、清扫保洁、绿化养护、城市管理、人员管理等方面进行智能监管，对生活垃圾分类从居民投放、收集、转运、处置等环节全流程闭环管理和全生命周期管理，为实现全区生活垃圾“减量化、资源化、无害化”目标；</w:t>
      </w:r>
      <w:r>
        <w:rPr>
          <w:rFonts w:hint="eastAsia" w:eastAsia="仿宋_GB2312" w:cs="Times New Roman"/>
          <w:b w:val="0"/>
          <w:bCs w:val="0"/>
          <w:i w:val="0"/>
          <w:iCs w:val="0"/>
          <w:color w:val="auto"/>
          <w:sz w:val="32"/>
          <w:szCs w:val="32"/>
          <w:highlight w:val="none"/>
          <w:lang w:eastAsia="zh-CN"/>
        </w:rPr>
        <w:t>2022年生活垃圾分类示范片区奖补资金</w:t>
      </w:r>
      <w:r>
        <w:rPr>
          <w:rFonts w:hint="eastAsia" w:eastAsia="仿宋_GB2312" w:cs="仿宋_GB2312"/>
          <w:color w:val="auto"/>
          <w:kern w:val="2"/>
          <w:sz w:val="32"/>
          <w:szCs w:val="32"/>
          <w:highlight w:val="none"/>
          <w:lang w:val="en-US" w:eastAsia="zh-CN" w:bidi="ar-SA"/>
        </w:rPr>
        <w:t>项目绩效自评综合得分为98分，绩效自评综述：坚持党建引领，依靠党组织推动、党员带动、党群互动等多种形式，大力推进垃圾分类工作，引领绿色低碳生活新时尚。干部率先垂范，养成良好的垃圾分类行为习惯，落实专人负责统计示范试点小区垃圾分类工作完成情况，促进垃圾分类工作落实；</w:t>
      </w:r>
      <w:r>
        <w:rPr>
          <w:rFonts w:hint="eastAsia" w:eastAsia="仿宋_GB2312" w:cs="Times New Roman"/>
          <w:b w:val="0"/>
          <w:bCs w:val="0"/>
          <w:i w:val="0"/>
          <w:iCs w:val="0"/>
          <w:color w:val="auto"/>
          <w:sz w:val="32"/>
          <w:szCs w:val="32"/>
          <w:highlight w:val="none"/>
          <w:lang w:eastAsia="zh-CN"/>
        </w:rPr>
        <w:t>遂宁市安居区城镇生活垃圾分类处置建设</w:t>
      </w:r>
      <w:r>
        <w:rPr>
          <w:rFonts w:hint="eastAsia" w:eastAsia="仿宋_GB2312" w:cs="仿宋_GB2312"/>
          <w:color w:val="auto"/>
          <w:kern w:val="2"/>
          <w:sz w:val="32"/>
          <w:szCs w:val="32"/>
          <w:highlight w:val="none"/>
          <w:lang w:val="en-US" w:eastAsia="zh-CN" w:bidi="ar-SA"/>
        </w:rPr>
        <w:t>项目绩效自评综合得分为98分，绩效自评综述：改善全区人居环境，增加民众环保意识，居民生活质量进一步提升；遂宁市安居区智慧城市（数字城管）建设项目绩效自评综合得分为98分，绩效自评综述：项目建成后能推动城市规划、建设、管理、运维全过程各环节数据融通，加强城市生命体征监测，推动城市体检与城市更新数据赋能、业务联动,具有良好的社会效益和经济效益,能进一步增强城市管理信息化、智慧化服务能力；遂宁市安居区生活垃圾分类和处理设施提标改造项目绩效自评综合得分为98分，绩效自评综述：有效补齐中心城区厨余垃圾处置能力短板，实现生活垃圾真正分类投放、分类收集、分类运输、分类处置。</w:t>
      </w:r>
    </w:p>
    <w:p w14:paraId="4FBE3FC0">
      <w:pPr>
        <w:pStyle w:val="24"/>
        <w:rPr>
          <w:rFonts w:hint="eastAsia"/>
          <w:lang w:val="en-US" w:eastAsia="zh-CN"/>
        </w:rPr>
      </w:pPr>
    </w:p>
    <w:p w14:paraId="04185D9B">
      <w:pPr>
        <w:pStyle w:val="24"/>
        <w:rPr>
          <w:rFonts w:hint="eastAsia"/>
          <w:lang w:val="en-US" w:eastAsia="zh-CN"/>
        </w:rPr>
      </w:pPr>
    </w:p>
    <w:p w14:paraId="725613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5E470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6" w:name="_Toc15377225"/>
      <w:bookmarkStart w:id="67" w:name="_Toc15396613"/>
    </w:p>
    <w:p w14:paraId="4AAB418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23E1BC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3B601C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8" w:name="_Toc1341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6"/>
      <w:bookmarkEnd w:id="67"/>
      <w:bookmarkEnd w:id="68"/>
    </w:p>
    <w:p w14:paraId="65C514E0">
      <w:pPr>
        <w:spacing w:line="600" w:lineRule="exact"/>
        <w:jc w:val="left"/>
        <w:rPr>
          <w:rFonts w:ascii="Times New Roman" w:hAnsi="Times New Roman"/>
          <w:b/>
          <w:color w:val="auto"/>
          <w:sz w:val="44"/>
          <w:szCs w:val="44"/>
          <w:highlight w:val="none"/>
        </w:rPr>
      </w:pPr>
    </w:p>
    <w:p w14:paraId="6864C5B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A5CF34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90DC7A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373217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25882E6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C2A620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2F90DF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161D481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253FC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9" w:name="_Toc15396614"/>
      <w:bookmarkStart w:id="70" w:name="_Toc15377226"/>
      <w:r>
        <w:rPr>
          <w:rFonts w:hint="eastAsia" w:ascii="Times New Roman" w:hAnsi="Times New Roman" w:eastAsia="仿宋_GB2312" w:cs="仿宋_GB2312"/>
          <w:color w:val="auto"/>
          <w:kern w:val="2"/>
          <w:sz w:val="32"/>
          <w:szCs w:val="32"/>
          <w:highlight w:val="none"/>
          <w:lang w:val="en-US" w:eastAsia="zh-CN" w:bidi="ar-SA"/>
        </w:rPr>
        <w:t xml:space="preserve">9.城乡社区支出（类）城乡社区管理事务（款）行政运行（项）:反映行政单位（包括实行公务员管理的事业单位）的基本支出 </w:t>
      </w:r>
    </w:p>
    <w:p w14:paraId="4347BC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10.城乡社区支出（类）城乡社区管理事务（款）一般行政管理事务（项）: 反映行政单位（包括实行公务员管理的事业单位）未单独设置项级科目的其他项目支出</w:t>
      </w:r>
    </w:p>
    <w:p w14:paraId="5AFEFB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11.城乡社区支出（类）城乡社区管理事务（款）城管执法（项）:反映城市管理综合行政执法、加强城市市容和环境卫生管理等方面的支出</w:t>
      </w:r>
    </w:p>
    <w:p w14:paraId="5E3E91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12.城乡社区支出（类）城乡社区管理事务（款）其他城乡社区管理事务支出（项）:反映除上述项目以外其他用于城乡社区管理事务方面的支出</w:t>
      </w:r>
    </w:p>
    <w:p w14:paraId="3DCBB0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13.城乡社区支出（类）城乡社区公共设施（款）其他城乡社区公共设施支出（项）: 反映除上述项目以外其他用于城乡社区公共设施方面的支出</w:t>
      </w:r>
    </w:p>
    <w:p w14:paraId="64B361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14.城乡社区支出（类）城乡社区环境卫生（款）城乡社区环境卫生（项）:反映城乡社区道路清扫、垃圾清运与处理、公厕建设与维护、园林绿化等方面的支出。</w:t>
      </w:r>
    </w:p>
    <w:p w14:paraId="462DF8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15.城乡社区支出（类）其他城乡社区支出（款）其他城乡社区支出（项）: 反映除上述项目以外其他用于城乡社区方面的支出</w:t>
      </w:r>
    </w:p>
    <w:p w14:paraId="751A02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16.社会保障和就业（类）行政事业单位养老支出（款）  机关事业单位基本养老保险缴费支出（项）: 指机关事业单位实施养老保险制度由单位缴纳的基本养老保险费支出。</w:t>
      </w:r>
    </w:p>
    <w:p w14:paraId="77C06D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17.社会保障和就业（类）其他社会保障和就业支出（款）其他社会保障和就业支出（项）: 指其他用于社会保障和就业方面的支出</w:t>
      </w:r>
    </w:p>
    <w:p w14:paraId="5AE940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18.卫生健康支出（类）行政事业单位医疗（款）行政单位医疗（项）: 指行政事业单位医疗方面的支出</w:t>
      </w:r>
    </w:p>
    <w:p w14:paraId="64DFC8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19.卫生健康支出（类）行政事业单位医疗（款）公务员医疗补助（项）: 指财政部门安排的公务员医疗补助经费。</w:t>
      </w:r>
    </w:p>
    <w:p w14:paraId="41BF1F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20.住房保障支出（类）住房改革支出（款）住房公积金（项）：指行政事业单位按人力资源和社会保障部、财政部规定的基本工资和津贴补贴以及规定比例为职工缴纳的住房公积金。</w:t>
      </w:r>
    </w:p>
    <w:p w14:paraId="6DD954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21.基本支出：指为保障机构正常运转、完成日常工作任务而发生的人员支出和公用支出。</w:t>
      </w:r>
    </w:p>
    <w:p w14:paraId="29AAF1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22.项目支出：指在基本支出之外为完成特定行政任务和事业发展目标所发生的支出。 </w:t>
      </w:r>
    </w:p>
    <w:p w14:paraId="18DF1A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23.经营支出：指事业单位在专业业务活动及其辅助活动之外开展非独立核算经营活动发生的支出。</w:t>
      </w:r>
    </w:p>
    <w:p w14:paraId="185A0E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三公”经费：指部门用财政拨款安排的因公出国（境）费、公务用车购置及运行费和公务接待费。其中，因公出国（境）费反映单位公务出国（境）的国际旅费、国外城市间交通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83E5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50C618">
      <w:pPr>
        <w:spacing w:line="600" w:lineRule="exact"/>
        <w:jc w:val="center"/>
        <w:outlineLvl w:val="0"/>
        <w:rPr>
          <w:rFonts w:hint="eastAsia" w:ascii="Times New Roman" w:hAnsi="Times New Roman" w:eastAsia="黑体"/>
          <w:color w:val="auto"/>
          <w:sz w:val="44"/>
          <w:szCs w:val="44"/>
          <w:highlight w:val="none"/>
        </w:rPr>
      </w:pPr>
    </w:p>
    <w:p w14:paraId="6557D0A9">
      <w:pPr>
        <w:spacing w:line="600" w:lineRule="exact"/>
        <w:jc w:val="center"/>
        <w:outlineLvl w:val="0"/>
        <w:rPr>
          <w:rFonts w:hint="eastAsia" w:ascii="Times New Roman" w:hAnsi="Times New Roman" w:eastAsia="黑体"/>
          <w:color w:val="auto"/>
          <w:sz w:val="44"/>
          <w:szCs w:val="44"/>
          <w:highlight w:val="none"/>
        </w:rPr>
      </w:pPr>
    </w:p>
    <w:p w14:paraId="0D45564A">
      <w:pPr>
        <w:spacing w:line="600" w:lineRule="exact"/>
        <w:jc w:val="center"/>
        <w:outlineLvl w:val="0"/>
        <w:rPr>
          <w:rFonts w:hint="eastAsia" w:ascii="Times New Roman" w:hAnsi="Times New Roman" w:eastAsia="黑体"/>
          <w:color w:val="auto"/>
          <w:sz w:val="44"/>
          <w:szCs w:val="44"/>
          <w:highlight w:val="none"/>
        </w:rPr>
      </w:pPr>
    </w:p>
    <w:p w14:paraId="1544FA50">
      <w:pPr>
        <w:spacing w:line="600" w:lineRule="exact"/>
        <w:jc w:val="center"/>
        <w:outlineLvl w:val="0"/>
        <w:rPr>
          <w:rFonts w:hint="eastAsia" w:ascii="Times New Roman" w:hAnsi="Times New Roman" w:eastAsia="黑体"/>
          <w:color w:val="auto"/>
          <w:sz w:val="44"/>
          <w:szCs w:val="44"/>
          <w:highlight w:val="none"/>
        </w:rPr>
      </w:pPr>
    </w:p>
    <w:p w14:paraId="7EA7AC9C">
      <w:pPr>
        <w:spacing w:line="600" w:lineRule="exact"/>
        <w:jc w:val="center"/>
        <w:outlineLvl w:val="0"/>
        <w:rPr>
          <w:rFonts w:hint="eastAsia" w:ascii="Times New Roman" w:hAnsi="Times New Roman" w:eastAsia="黑体"/>
          <w:color w:val="auto"/>
          <w:sz w:val="44"/>
          <w:szCs w:val="44"/>
          <w:highlight w:val="none"/>
        </w:rPr>
      </w:pPr>
    </w:p>
    <w:p w14:paraId="661FDFF4">
      <w:pPr>
        <w:spacing w:line="600" w:lineRule="exact"/>
        <w:jc w:val="center"/>
        <w:outlineLvl w:val="0"/>
        <w:rPr>
          <w:rFonts w:hint="eastAsia" w:ascii="Times New Roman" w:hAnsi="Times New Roman" w:eastAsia="黑体"/>
          <w:color w:val="auto"/>
          <w:sz w:val="44"/>
          <w:szCs w:val="44"/>
          <w:highlight w:val="none"/>
        </w:rPr>
      </w:pPr>
    </w:p>
    <w:p w14:paraId="2EEA1EEA">
      <w:pPr>
        <w:spacing w:line="600" w:lineRule="exact"/>
        <w:jc w:val="center"/>
        <w:outlineLvl w:val="0"/>
        <w:rPr>
          <w:rFonts w:hint="eastAsia" w:ascii="Times New Roman" w:hAnsi="Times New Roman" w:eastAsia="黑体"/>
          <w:color w:val="auto"/>
          <w:sz w:val="44"/>
          <w:szCs w:val="44"/>
          <w:highlight w:val="none"/>
        </w:rPr>
      </w:pPr>
    </w:p>
    <w:p w14:paraId="48C43C63">
      <w:pPr>
        <w:spacing w:line="600" w:lineRule="exact"/>
        <w:jc w:val="center"/>
        <w:outlineLvl w:val="0"/>
        <w:rPr>
          <w:rFonts w:hint="eastAsia" w:ascii="Times New Roman" w:hAnsi="Times New Roman" w:eastAsia="黑体"/>
          <w:color w:val="auto"/>
          <w:sz w:val="44"/>
          <w:szCs w:val="44"/>
          <w:highlight w:val="none"/>
        </w:rPr>
      </w:pPr>
    </w:p>
    <w:p w14:paraId="2D7999F0">
      <w:pPr>
        <w:spacing w:line="600" w:lineRule="exact"/>
        <w:jc w:val="center"/>
        <w:outlineLvl w:val="0"/>
        <w:rPr>
          <w:rFonts w:hint="eastAsia" w:ascii="Times New Roman" w:hAnsi="Times New Roman" w:eastAsia="黑体"/>
          <w:color w:val="auto"/>
          <w:sz w:val="44"/>
          <w:szCs w:val="44"/>
          <w:highlight w:val="none"/>
        </w:rPr>
      </w:pPr>
    </w:p>
    <w:p w14:paraId="4696859B">
      <w:pPr>
        <w:pStyle w:val="2"/>
        <w:widowControl w:val="0"/>
        <w:numPr>
          <w:ilvl w:val="0"/>
          <w:numId w:val="0"/>
        </w:numPr>
        <w:jc w:val="both"/>
        <w:rPr>
          <w:rFonts w:hint="eastAsia" w:ascii="Times New Roman" w:hAnsi="Times New Roman" w:eastAsia="黑体"/>
          <w:color w:val="auto"/>
          <w:sz w:val="44"/>
          <w:szCs w:val="44"/>
          <w:highlight w:val="none"/>
        </w:rPr>
      </w:pPr>
    </w:p>
    <w:p w14:paraId="4829696A">
      <w:pPr>
        <w:pStyle w:val="2"/>
        <w:widowControl w:val="0"/>
        <w:numPr>
          <w:ilvl w:val="0"/>
          <w:numId w:val="0"/>
        </w:numPr>
        <w:jc w:val="both"/>
        <w:rPr>
          <w:rFonts w:hint="eastAsia" w:ascii="Times New Roman" w:hAnsi="Times New Roman" w:eastAsia="黑体"/>
          <w:color w:val="auto"/>
          <w:sz w:val="44"/>
          <w:szCs w:val="44"/>
          <w:highlight w:val="none"/>
        </w:rPr>
      </w:pPr>
    </w:p>
    <w:p w14:paraId="644DC4B4">
      <w:pPr>
        <w:spacing w:line="600" w:lineRule="exact"/>
        <w:jc w:val="center"/>
        <w:outlineLvl w:val="0"/>
        <w:rPr>
          <w:rFonts w:hint="eastAsia" w:ascii="Times New Roman" w:hAnsi="Times New Roman" w:eastAsia="黑体"/>
          <w:color w:val="auto"/>
          <w:sz w:val="44"/>
          <w:szCs w:val="44"/>
          <w:highlight w:val="none"/>
        </w:rPr>
      </w:pPr>
    </w:p>
    <w:p w14:paraId="57EC8236">
      <w:pPr>
        <w:spacing w:line="600" w:lineRule="exact"/>
        <w:jc w:val="center"/>
        <w:outlineLvl w:val="0"/>
        <w:rPr>
          <w:rFonts w:hint="eastAsia" w:ascii="Times New Roman" w:hAnsi="Times New Roman" w:eastAsia="黑体"/>
          <w:color w:val="auto"/>
          <w:sz w:val="44"/>
          <w:szCs w:val="44"/>
          <w:highlight w:val="none"/>
        </w:rPr>
      </w:pPr>
    </w:p>
    <w:p w14:paraId="701E6866">
      <w:pPr>
        <w:spacing w:line="600" w:lineRule="exact"/>
        <w:jc w:val="center"/>
        <w:outlineLvl w:val="0"/>
        <w:rPr>
          <w:rFonts w:hint="eastAsia" w:ascii="Times New Roman" w:hAnsi="Times New Roman" w:eastAsia="黑体"/>
          <w:color w:val="auto"/>
          <w:sz w:val="44"/>
          <w:szCs w:val="44"/>
          <w:highlight w:val="none"/>
        </w:rPr>
      </w:pPr>
    </w:p>
    <w:p w14:paraId="039EBFDA">
      <w:pPr>
        <w:spacing w:line="600" w:lineRule="exact"/>
        <w:jc w:val="center"/>
        <w:outlineLvl w:val="0"/>
        <w:rPr>
          <w:rFonts w:hint="eastAsia" w:ascii="Times New Roman" w:hAnsi="Times New Roman" w:eastAsia="黑体"/>
          <w:color w:val="auto"/>
          <w:sz w:val="44"/>
          <w:szCs w:val="44"/>
          <w:highlight w:val="none"/>
        </w:rPr>
      </w:pPr>
    </w:p>
    <w:p w14:paraId="55EAE0B2">
      <w:pPr>
        <w:spacing w:line="600" w:lineRule="exact"/>
        <w:jc w:val="center"/>
        <w:outlineLvl w:val="0"/>
        <w:rPr>
          <w:rFonts w:hint="eastAsia" w:ascii="Times New Roman" w:hAnsi="Times New Roman" w:eastAsia="黑体"/>
          <w:color w:val="auto"/>
          <w:sz w:val="44"/>
          <w:szCs w:val="44"/>
          <w:highlight w:val="none"/>
        </w:rPr>
      </w:pPr>
    </w:p>
    <w:p w14:paraId="1712B138">
      <w:pPr>
        <w:spacing w:line="600" w:lineRule="exact"/>
        <w:jc w:val="center"/>
        <w:outlineLvl w:val="0"/>
        <w:rPr>
          <w:rFonts w:hint="eastAsia" w:ascii="Times New Roman" w:hAnsi="Times New Roman" w:eastAsia="黑体"/>
          <w:color w:val="auto"/>
          <w:sz w:val="44"/>
          <w:szCs w:val="44"/>
          <w:highlight w:val="none"/>
        </w:rPr>
      </w:pPr>
    </w:p>
    <w:p w14:paraId="0A91BCC8">
      <w:pPr>
        <w:spacing w:line="600" w:lineRule="exact"/>
        <w:jc w:val="center"/>
        <w:outlineLvl w:val="0"/>
        <w:rPr>
          <w:rFonts w:hint="eastAsia" w:ascii="Times New Roman" w:hAnsi="Times New Roman" w:eastAsia="黑体"/>
          <w:color w:val="auto"/>
          <w:sz w:val="44"/>
          <w:szCs w:val="44"/>
          <w:highlight w:val="none"/>
        </w:rPr>
      </w:pPr>
    </w:p>
    <w:p w14:paraId="1A230984">
      <w:pPr>
        <w:spacing w:line="600" w:lineRule="exact"/>
        <w:jc w:val="center"/>
        <w:outlineLvl w:val="0"/>
        <w:rPr>
          <w:rFonts w:hint="eastAsia" w:ascii="Times New Roman" w:hAnsi="Times New Roman" w:eastAsia="黑体"/>
          <w:color w:val="auto"/>
          <w:sz w:val="44"/>
          <w:szCs w:val="44"/>
          <w:highlight w:val="none"/>
        </w:rPr>
      </w:pPr>
    </w:p>
    <w:p w14:paraId="76C525A8">
      <w:pPr>
        <w:spacing w:line="600" w:lineRule="exact"/>
        <w:jc w:val="center"/>
        <w:outlineLvl w:val="0"/>
        <w:rPr>
          <w:rStyle w:val="34"/>
          <w:rFonts w:hint="eastAsia" w:ascii="Times New Roman" w:hAnsi="Times New Roman" w:eastAsia="黑体"/>
          <w:b w:val="0"/>
          <w:color w:val="auto"/>
          <w:highlight w:val="none"/>
          <w:lang w:eastAsia="zh-CN"/>
        </w:rPr>
      </w:pPr>
      <w:bookmarkStart w:id="71" w:name="_Toc1160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9"/>
      <w:bookmarkEnd w:id="71"/>
    </w:p>
    <w:p w14:paraId="43DA2FC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p>
    <w:p w14:paraId="00E5B2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遂宁市安居区综合行政执法局</w:t>
      </w:r>
    </w:p>
    <w:p w14:paraId="2D03B73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F09537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B2D345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B2CF6D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098F1465">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eastAsia="仿宋_GB2312"/>
          <w:color w:val="000000" w:themeColor="text1"/>
          <w:sz w:val="32"/>
          <w:szCs w:val="32"/>
          <w14:textFill>
            <w14:solidFill>
              <w14:schemeClr w14:val="tx1"/>
            </w14:solidFill>
          </w14:textFill>
        </w:rPr>
        <w:t>区</w:t>
      </w:r>
      <w:r>
        <w:rPr>
          <w:rFonts w:hint="eastAsia" w:eastAsia="仿宋_GB2312"/>
          <w:color w:val="000000" w:themeColor="text1"/>
          <w:sz w:val="32"/>
          <w:szCs w:val="32"/>
          <w14:textFill>
            <w14:solidFill>
              <w14:schemeClr w14:val="tx1"/>
            </w14:solidFill>
          </w14:textFill>
        </w:rPr>
        <w:t>综合行政执法局行政单位1个。下属事业单位3个</w:t>
      </w:r>
      <w:r>
        <w:rPr>
          <w:rFonts w:hint="default" w:ascii="Times New Roman" w:hAnsi="Times New Roman" w:eastAsia="仿宋_GB2312" w:cs="Times New Roman"/>
          <w:sz w:val="32"/>
          <w:szCs w:val="32"/>
          <w:lang w:val="zh-CN" w:eastAsia="zh-CN"/>
        </w:rPr>
        <w:t>。</w:t>
      </w: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3CDC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1.贯彻执行国家、省、市、区城市管理领域综合行政执法的方针、政策和法律、法规；起草制定安居区城市管理领域综合行政执法的规范性文件。</w:t>
      </w:r>
    </w:p>
    <w:p w14:paraId="5D7EB4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2.负责全区数字化城管建设、运行工作的统筹规划、规范管理、指挥协调和检查考核评比工作；牵头推进智慧城市建设工作。</w:t>
      </w:r>
    </w:p>
    <w:p w14:paraId="676D20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3.负责城市建成区公用市政环卫设施、公用园林绿化和环境卫生运行管理工作。负责临时占用城市道路设置摊点、非机动车辆（含共享单车）占道停放的行政管理。</w:t>
      </w:r>
    </w:p>
    <w:p w14:paraId="1C6082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依法履行法律法规规定的相关行政审批事项：负责关闭、闲置或者拆除生活垃圾处置的设施、场所核准。负责关闭、闲置、拆除城市环卫设施许可。负责从事生活垃圾（含粪便）经营性清扫、收集、运输、处理服务审批。负责城市建筑垃圾处置核准；负责设置大型户外广告及在城市建筑物、设施上悬挂、张贴宣传品审批。负责特殊车辆在城市道路上行驶（包括经过城市桥梁）审批。负责临时性建筑物搭建、堆放物料、占道施工审批。负责工程建设涉及城市绿地、树木审批。市政设施建设类(占用、挖掘城市道路审批。依附于城市道路建设各种管线、杆线等设施)审批。</w:t>
      </w:r>
    </w:p>
    <w:p w14:paraId="021333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5.以区综合行政执法局名义，负责城市规划区内城市管理综合执法（相对集中行政处罚权）工作，对涉及城市管理行政执法的各项工作综合协调、督促、检查，具体行使以下行政处罚权：</w:t>
      </w:r>
    </w:p>
    <w:p w14:paraId="44C377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（1）行使住房城乡建设领域法律、法规、规章规定的全部行政处罚权（市容环境卫生管理方面法律、法规、规章规定的行政处罚权仅在城市规划区范围内行使，其余住建领域行政处罚权在全区范围内行使）。</w:t>
      </w:r>
    </w:p>
    <w:p w14:paraId="5C8937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行使生态环境管理方面城市社会生活噪声污染、建筑施工噪声污染、建筑施工扬尘污染、餐饮服务业油烟污染、露天烧烤污染、城市焚烧沥青塑料垃圾等烟尘和恶臭污染、露天焚烧秸秆落叶等烟尘污染、燃放烟花爆竹污染等的行政处罚权。</w:t>
      </w:r>
    </w:p>
    <w:p w14:paraId="284A29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（3）行使市场监督管理方面户外公共场所无固定场所的无照运营、违规设置户外广告和户外公共场所食品销售、餐饮摊点无证经营，以及户外违法回收贩卖药品等的行政处罚权。</w:t>
      </w:r>
    </w:p>
    <w:p w14:paraId="6B10CF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（4）行使水务管理方面向城市河道倾倒废弃物和垃圾及违规取土、城市河道违法建筑物拆除等的行政处罚权。</w:t>
      </w:r>
    </w:p>
    <w:p w14:paraId="3722B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（5）行使公安交通管理方面非机动车违法停放行为的行政处罚权。</w:t>
      </w:r>
    </w:p>
    <w:p w14:paraId="7CA532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实施与上述范围内法律法规规定的行政处罚权的行政强制措施。</w:t>
      </w:r>
    </w:p>
    <w:p w14:paraId="1EBAE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6.按照中央和省委综合执法改革部署，行使依法划入的相关行政处罚权和监督检查权。</w:t>
      </w:r>
    </w:p>
    <w:p w14:paraId="5A9A80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7.负责职责范围内的安全生产和职业健康、生态环境保护、审批服务便民化、依法治理等工作。</w:t>
      </w:r>
    </w:p>
    <w:p w14:paraId="456A60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8.完成区委、区政府和遂宁市城市管理行政执法局交办的其他事项。</w:t>
      </w:r>
    </w:p>
    <w:p w14:paraId="763C97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9.有关职责分工。</w:t>
      </w:r>
    </w:p>
    <w:p w14:paraId="2F5A4F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与区自然资源规划局的有关职责分工。①建设项目方面：区自然资源和规划局负责审批和核发《建设项目选址意见书》《建设用地规划许可证》《建设工程规划许可证》和《建设工程规划条件核实合格证》，负责规划审批项目的行政检查和规划核实、对未取得土地使用权的违法建设行为进行行政处罚以及对已取得土地使用权的违法建设行为的评审定性。区综合执法局负责城市规划区范围内未取得建设工程规划许可证或者未按照建设工程规划许可证的规定进行建设行为的行政处罚。②户外广告方面：区自然资源规划局负责城市雕塑、占用城乡用地和空间的大型户外广告设施的规划审批。区综合执法局负责城市规划区内大型户外广告及在城市建筑物、设施上悬挂、张贴宣传品的审批，负责对违规设置的户外广告进行行政处罚。</w:t>
      </w:r>
    </w:p>
    <w:p w14:paraId="24D286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与区住建局的有关职责分工。①城市建设方面：区住建局负责住房保障、工程建设、建筑业和房屋装饰装修业、住宅与房地产业、勘察设计、造价咨询业、招标代理、房屋和市政工程招投标等活动中的建设和维护管理工作，开展前述范围的行政检查。区综合执法局负责对违反前述范围等方面法律、法规和规章规定行为的行政处罚。②建筑工地扬尘治理方面：区住建局负责建设工地扬尘管控工作的监督管理，区综合执法局负责对违反建设工地施工现场管理规定等行为的行政处罚。③城市市政公用设施方面：区住建局负责指导城市排污管道的建设。城市供水供气等公用企业负责燃气管道、送水管道的建设、维护和管理。区综合执法局负责城市排污、排雨管道的维护管理，负责对挪用、侵占、损坏市政设施、燃气管道、送水管道以及盗用水、气等行为的行政处罚。④城市防汛防内涝方面：区住建局负责在建工地、既有楼盘、小区的防洪防内涝工作；区水利局负责城市河道的防洪调度工作；区综合执法局负责城市市政公用设施的防汛防内涝工作。</w:t>
      </w:r>
    </w:p>
    <w:p w14:paraId="0B6288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与安居生态环境局的有关职责分工。①社会生活噪声和建筑施工噪声污染方面：安居生态环境局负责开展社会生活噪声和建筑施工噪声的日常监管和现场检查测评，并出具噪声超标的证据。区综合执法局负责根据安居生态环境局提供的证据，依法对当事人给予相应的行政处罚。②餐饮服务业油烟污染方面：安居生态环境局负责开展油烟排放的日常监管和现场检测，并出具油烟排放超标的证据。区综合执法局负责根据安居生态环境局提供的证据，依法对当事人给予相应的行政处罚。</w:t>
      </w:r>
    </w:p>
    <w:p w14:paraId="62D6BF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（4）与区交通运输局的有关职责分工。区交通运输局负责查处车辆超限行为。区综合执法局负责对车辆抛撒滴漏影响市容环境等行为的行政处罚。</w:t>
      </w:r>
    </w:p>
    <w:p w14:paraId="7C6990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5）与区公安分局的有关职责分工。①犬只管理方面：城市规划区内，区公安分局负责犬只登记，查处违法养犬。区综合执法局负责查处敞放犬只、违法携带犬只进入封闭性公共场所等行为。②燃放烟花爆竹管理方面：区公安分局负责对不按规定燃放烟花爆竹行为的行政处罚。区综合执法局负责对燃放烟花爆竹产生环境污染行为的行政处罚。③社会生活噪声方面：区公安分局负责对在城市市区噪声敏感建筑物集中区域内和商业经营活动中使用高音喇叭或采用其他发出高噪声的方法招揽顾客的行为，在城市市区街道、广场、公园等公共场所组织娱乐、集会等活动使用音响器材，干扰周围生活环境的音量过大的行为，以及城镇范围内从事生产活动产生的偶发性强烈噪声等社会生活噪声的行政处罚。区综合执法局负责对营业性文化娱乐场所、在商业经营活动中使用空调器、冷却塔等设备产生的社会生活噪声的行政处罚。</w:t>
      </w:r>
    </w:p>
    <w:p w14:paraId="0BA41D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6）与区市场监督管理局的有关职责分工。①无证无照经营方面：区市场监督管理局负责对固定经营场所内应由该部门核发证照的无照无证经营行为的行政处罚。区综合执法局负责对无固定经营场所的无照无证经营行为的行政处罚。②户外广告方面：区市场监督管理局负责对虚假宣传广告进行行政处罚。区综合执法局负责对违规设置户外广告进行行政处罚。</w:t>
      </w:r>
    </w:p>
    <w:p w14:paraId="2CBF8A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截止2024年12月31日,全局实有人数28人。其中：行政人员编制6人，实有8人，事业人员编制20人，实有19人，参公人员1人，临聘人员87名。</w:t>
      </w:r>
    </w:p>
    <w:p w14:paraId="7840914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EC40E0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2024年预算收入6390.34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、决算报表收入6390.34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51086F5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2024年预算支出6390.34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、决算报表支出6390.34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127DA93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338D3E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5A055A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226282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2CEB07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lang w:val="en-US" w:eastAsia="zh-CN"/>
        </w:rPr>
        <w:t>）党建工作稳步推进。</w:t>
      </w:r>
    </w:p>
    <w:p w14:paraId="5B418A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Calibri" w:hAnsi="Calibri" w:eastAsia="仿宋_GB2312" w:cs="Calibri"/>
          <w:sz w:val="32"/>
          <w:szCs w:val="32"/>
          <w:lang w:val="en-US" w:eastAsia="zh-CN"/>
        </w:rPr>
        <w:t>①</w:t>
      </w:r>
      <w:r>
        <w:rPr>
          <w:rFonts w:hint="default" w:ascii="Times New Roman" w:hAnsi="Times New Roman" w:eastAsia="仿宋_GB2312" w:cs="Times New Roman"/>
          <w:sz w:val="32"/>
          <w:szCs w:val="32"/>
          <w:lang w:val="en-US" w:eastAsia="zh-CN"/>
        </w:rPr>
        <w:t>.印发《党组领导班子2024年度履行党风廉政建设主体责任清单》《2024年党组理论学习中心组专题学习重点内容安排》《2024年党建工作要点》《关于切实抓好党纪学习教育工作的通知》《科级领导调研分管领域党风廉政建设工作的实施方案》。顺利召开党组2023年度民主生活会，完成问题整改。开展局党组理论学习中心组集中学习11次，外出开展警示教育1次。召开基层党组织书记抓党建述职会议，召开党风廉政建设、警示教育会议8次，党组书记讲党课2次，机关党委书记、党支部书记讲纪律党课3次，</w:t>
      </w:r>
      <w:r>
        <w:rPr>
          <w:rFonts w:hint="eastAsia" w:eastAsia="仿宋_GB2312" w:cs="Times New Roman"/>
          <w:sz w:val="32"/>
          <w:szCs w:val="32"/>
          <w:lang w:val="en-US" w:eastAsia="zh-CN"/>
        </w:rPr>
        <w:t>学习贯彻习近平新时代中国特色社会主义思想主题教育</w:t>
      </w:r>
      <w:r>
        <w:rPr>
          <w:rFonts w:hint="default" w:ascii="Times New Roman" w:hAnsi="Times New Roman" w:eastAsia="仿宋_GB2312" w:cs="Times New Roman"/>
          <w:sz w:val="32"/>
          <w:szCs w:val="32"/>
          <w:lang w:val="en-US" w:eastAsia="zh-CN"/>
        </w:rPr>
        <w:t>专题民主生活会报告1次。</w:t>
      </w:r>
    </w:p>
    <w:p w14:paraId="3B5626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Calibri" w:hAnsi="Calibri" w:eastAsia="仿宋_GB2312" w:cs="Calibri"/>
          <w:sz w:val="32"/>
          <w:szCs w:val="32"/>
          <w:lang w:val="en-US" w:eastAsia="zh-CN"/>
        </w:rPr>
        <w:t>②</w:t>
      </w:r>
      <w:r>
        <w:rPr>
          <w:rFonts w:hint="default" w:ascii="Times New Roman" w:hAnsi="Times New Roman" w:eastAsia="仿宋_GB2312" w:cs="Times New Roman"/>
          <w:sz w:val="32"/>
          <w:szCs w:val="32"/>
          <w:lang w:val="en-US" w:eastAsia="zh-CN"/>
        </w:rPr>
        <w:t>.抓牢意识形态领域工作落实。认真贯彻落实党管意识形态原则，召开意识形态专题工作会议5次。向区委宣传部报送意识形态领域情况分析研判报告4次，网络意识形态整改报告1次，定期开展意识形态分析，及时掌握思想动态，有效避免各种负面言论。今年以来党组研究意识形态领域工作2次，</w:t>
      </w:r>
      <w:r>
        <w:rPr>
          <w:rFonts w:hint="default" w:ascii="Times New Roman" w:hAnsi="Times New Roman" w:eastAsia="仿宋_GB2312" w:cs="Times New Roman"/>
          <w:sz w:val="32"/>
          <w:szCs w:val="32"/>
          <w:lang w:eastAsia="zh-CN"/>
        </w:rPr>
        <w:t>及时分析研判舆情风险</w:t>
      </w:r>
      <w:r>
        <w:rPr>
          <w:rFonts w:hint="default" w:ascii="Times New Roman" w:hAnsi="Times New Roman" w:eastAsia="仿宋_GB2312" w:cs="Times New Roman"/>
          <w:sz w:val="32"/>
          <w:szCs w:val="32"/>
          <w:lang w:val="en-US" w:eastAsia="zh-CN"/>
        </w:rPr>
        <w:t>4次</w:t>
      </w:r>
      <w:r>
        <w:rPr>
          <w:rFonts w:hint="default" w:ascii="Times New Roman" w:hAnsi="Times New Roman" w:eastAsia="仿宋_GB2312" w:cs="Times New Roman"/>
          <w:sz w:val="32"/>
          <w:szCs w:val="32"/>
          <w:lang w:eastAsia="zh-CN"/>
        </w:rPr>
        <w:t>，牢牢掌握意识形态领域主动权。</w:t>
      </w:r>
    </w:p>
    <w:p w14:paraId="2FF2FD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Calibri" w:hAnsi="Calibri" w:eastAsia="仿宋_GB2312" w:cs="Calibri"/>
          <w:sz w:val="32"/>
          <w:szCs w:val="32"/>
          <w:lang w:val="en-US" w:eastAsia="zh-CN"/>
        </w:rPr>
        <w:t>③</w:t>
      </w:r>
      <w:r>
        <w:rPr>
          <w:rFonts w:hint="default" w:ascii="Times New Roman" w:hAnsi="Times New Roman" w:eastAsia="仿宋_GB2312" w:cs="Times New Roman"/>
          <w:sz w:val="32"/>
          <w:szCs w:val="32"/>
          <w:lang w:val="en-US" w:eastAsia="zh-CN"/>
        </w:rPr>
        <w:t>.狠抓党风廉政建设，纪律意识更加稳固。加强重点岗位重点人员管理，排查重点岗位、重点人员各级风险点37个，并制定相应防控措施，履职风险得到靶向治疗。扎实推进警示教育常态化制度化，开展公职人员违规参与民间借贷、造谣诬告行为专项整治和工作作风问题整治检视、城管队伍教育整顿等行动，干部廉洁自律意识得到较大提升。在微信公众号刊发廉政文章，转载廉政警示教育案例，将党风廉政建设及反腐败宣传教育延伸到干部职工“掌心”上，廉洁阵地不断夯实。</w:t>
      </w:r>
    </w:p>
    <w:p w14:paraId="58B3DC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val="en-US" w:eastAsia="zh-CN"/>
        </w:rPr>
      </w:pPr>
      <w:r>
        <w:rPr>
          <w:rFonts w:hint="eastAsia" w:ascii="微软雅黑" w:hAnsi="微软雅黑" w:eastAsia="微软雅黑" w:cs="微软雅黑"/>
          <w:sz w:val="32"/>
          <w:szCs w:val="32"/>
          <w:lang w:val="en-US" w:eastAsia="zh-CN"/>
        </w:rPr>
        <w:t>④</w:t>
      </w:r>
      <w:r>
        <w:rPr>
          <w:rFonts w:hint="default" w:ascii="Times New Roman" w:hAnsi="Times New Roman" w:eastAsia="仿宋_GB2312" w:cs="Times New Roman"/>
          <w:sz w:val="32"/>
          <w:szCs w:val="32"/>
          <w:lang w:val="en-US" w:eastAsia="zh-CN"/>
        </w:rPr>
        <w:t>.坚持“学思践悟”抓实党纪学习教育。一是以党组理论学习中心组、党支部党员大会等形式，对《中国共产党纪律处分条例》进行学原文、谈体会和警示教育，深刻领会《条例》《中国共产党党员网络行为规定》重要含义及对党员干部言行的指导和规定。累计组织党组中心组学习4次、党员大会学习8次，纪检组组长送教上门1次。二是以党组书记、党支部书记讲廉政党课形式，促进党员干部职工在思想上、政治上得到一定程度的提升，廉洁从政思想得到进一步加强，遵纪守法意识进一步提高。三是组织开展“群众身边的不正之风和腐败问题”整治，推进“一月一主题”整治专题5个，落实各类问题治理21个。</w:t>
      </w:r>
    </w:p>
    <w:p w14:paraId="364393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val="en-US" w:eastAsia="zh-CN"/>
        </w:rPr>
        <w:t>）安全生产形势稳中向好</w:t>
      </w:r>
    </w:p>
    <w:p w14:paraId="4DE01763">
      <w:pPr>
        <w:pStyle w:val="19"/>
        <w:keepNext w:val="0"/>
        <w:keepLines w:val="0"/>
        <w:pageBreakBefore w:val="0"/>
        <w:widowControl w:val="0"/>
        <w:kinsoku/>
        <w:wordWrap/>
        <w:overflowPunct/>
        <w:topLinePunct w:val="0"/>
        <w:autoSpaceDE/>
        <w:autoSpaceDN/>
        <w:bidi w:val="0"/>
        <w:adjustRightInd/>
        <w:snapToGrid/>
        <w:spacing w:line="540" w:lineRule="exact"/>
        <w:ind w:left="119"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区安委会印发的《遂宁市安居区安全生产治本攻坚三年行动实施方案（2024—2026年）》（遂安安委发﹝2024﹞5号）文件精神，制定我局安全生产治本攻坚三年行动实施方案，同时制发2024年“安全生产月”活动方案，深入贯彻习近平总书记关于安全生产重要论述，落实</w:t>
      </w:r>
      <w:r>
        <w:rPr>
          <w:rFonts w:hint="eastAsia" w:ascii="Times New Roman" w:cs="Times New Roman"/>
          <w:kern w:val="2"/>
          <w:sz w:val="32"/>
          <w:szCs w:val="32"/>
          <w:lang w:val="en-US" w:eastAsia="zh-CN" w:bidi="ar-SA"/>
        </w:rPr>
        <w:t>中央、省委</w:t>
      </w:r>
      <w:r>
        <w:rPr>
          <w:rFonts w:hint="default" w:ascii="Times New Roman" w:hAnsi="Times New Roman" w:eastAsia="仿宋_GB2312" w:cs="Times New Roman"/>
          <w:kern w:val="2"/>
          <w:sz w:val="32"/>
          <w:szCs w:val="32"/>
          <w:lang w:val="en-US" w:eastAsia="zh-CN" w:bidi="ar-SA"/>
        </w:rPr>
        <w:t>、市、区关于安全生产的重大决策部署，坚持人民至上、生命至上，坚持安全第一，预防为主，促进城市管理和综合执法领域安全生产形势稳中向好。</w:t>
      </w:r>
      <w:bookmarkStart w:id="72" w:name="OLE_LINK1"/>
      <w:r>
        <w:rPr>
          <w:rFonts w:hint="default" w:ascii="Times New Roman" w:hAnsi="Times New Roman" w:eastAsia="仿宋_GB2312" w:cs="Times New Roman"/>
          <w:kern w:val="2"/>
          <w:sz w:val="32"/>
          <w:szCs w:val="32"/>
          <w:lang w:val="en-US" w:eastAsia="zh-CN" w:bidi="ar-SA"/>
        </w:rPr>
        <w:t>今年以来开展“强安2024”安全生产监管执法专项检查22次，发现问题5个，督促整改5个，立案查处23起，罚款1674314元。</w:t>
      </w:r>
      <w:bookmarkEnd w:id="72"/>
    </w:p>
    <w:p w14:paraId="5E5BA1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t>）为民管城能力水平不断提升。</w:t>
      </w:r>
    </w:p>
    <w:p w14:paraId="344741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Calibri" w:hAnsi="Calibri" w:eastAsia="仿宋_GB2312" w:cs="Calibri"/>
          <w:sz w:val="32"/>
          <w:szCs w:val="32"/>
          <w:lang w:val="en-US" w:eastAsia="zh-CN"/>
        </w:rPr>
        <w:t>①</w:t>
      </w:r>
      <w:r>
        <w:rPr>
          <w:rFonts w:hint="default" w:ascii="Times New Roman" w:hAnsi="Times New Roman" w:eastAsia="仿宋_GB2312" w:cs="Times New Roman"/>
          <w:sz w:val="32"/>
          <w:szCs w:val="32"/>
          <w:lang w:val="en-US" w:eastAsia="zh-CN"/>
        </w:rPr>
        <w:t>.放开借道经营，规范外摆区域。放开餐饮店借道经营，合理规范服务外摆区域，为安居餐饮店借道经营提供更多城管服务，带动安居经济发展。目前，放开了安居大道碧桂园路段、金山外滩、时光里、滨江南路等9条街道共66家餐饮店。</w:t>
      </w:r>
    </w:p>
    <w:p w14:paraId="146585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Calibri" w:hAnsi="Calibri" w:eastAsia="仿宋_GB2312" w:cs="Calibri"/>
          <w:sz w:val="32"/>
          <w:szCs w:val="32"/>
          <w:lang w:val="en-US" w:eastAsia="zh-CN"/>
        </w:rPr>
        <w:t>②</w:t>
      </w:r>
      <w:r>
        <w:rPr>
          <w:rFonts w:hint="default" w:ascii="Times New Roman" w:hAnsi="Times New Roman" w:eastAsia="仿宋_GB2312" w:cs="Times New Roman"/>
          <w:sz w:val="32"/>
          <w:szCs w:val="32"/>
          <w:lang w:val="en-US" w:eastAsia="zh-CN"/>
        </w:rPr>
        <w:t>.放开地摊经济、规范占道管理。一是设置便民服务点。针对各辖区情况开放了五中心两馆外的双河路、凤凰山公园、龚家湾、兴贸西路（安居四幼）约200米长、老大桥、兴贸大桥、刘家坝、头陀寺广场等27个临时便民疏导点，共计300余个摊位。二是建设自产自销售卖平台。在龚家湾小区、苹果湾小区、24米街广场后等地搭建4处100余个自产自销的销售平台摊位。三是放开门店占道销售。安居主城区内在不影响行人、车辆通行街道放开门店占道销售，合理规划门店占道200余处。</w:t>
      </w:r>
    </w:p>
    <w:p w14:paraId="787C4F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微软雅黑" w:hAnsi="微软雅黑" w:eastAsia="微软雅黑" w:cs="微软雅黑"/>
          <w:sz w:val="32"/>
          <w:szCs w:val="32"/>
          <w:lang w:val="en-US" w:eastAsia="zh-CN"/>
        </w:rPr>
        <w:t>③</w:t>
      </w:r>
      <w:r>
        <w:rPr>
          <w:rFonts w:hint="default" w:ascii="Times New Roman" w:hAnsi="Times New Roman" w:eastAsia="仿宋_GB2312" w:cs="Times New Roman"/>
          <w:sz w:val="32"/>
          <w:szCs w:val="32"/>
          <w:lang w:val="en-US" w:eastAsia="zh-CN"/>
        </w:rPr>
        <w:t>.合力打造“夜间经济”，提高城市“烟火气”。联合柔刚街道办、区交警大队、区市场监管局、区自规局、区住建局等多个部门，打造了城市夜间经济点位3个，分别位于刘家坝小区、兴贸大桥桥头共享摊位、老街夜市广场，同时加强对夜间经济的巡逻检查，防止出现噪音扰民现象。</w:t>
      </w:r>
    </w:p>
    <w:p w14:paraId="12EBFD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微软雅黑" w:hAnsi="微软雅黑" w:eastAsia="微软雅黑" w:cs="微软雅黑"/>
          <w:sz w:val="32"/>
          <w:szCs w:val="32"/>
          <w:lang w:val="en-US" w:eastAsia="zh-CN"/>
        </w:rPr>
        <w:t>④</w:t>
      </w:r>
      <w:r>
        <w:rPr>
          <w:rFonts w:hint="default" w:ascii="Times New Roman" w:hAnsi="Times New Roman" w:eastAsia="仿宋_GB2312" w:cs="Times New Roman"/>
          <w:sz w:val="32"/>
          <w:szCs w:val="32"/>
          <w:lang w:val="en-US" w:eastAsia="zh-CN"/>
        </w:rPr>
        <w:t>.规划非机动车停放点，营造有序停放市容秩序。一是联合区住建、公安交警、凤凰街道现已完成新建道路安居大道凤凰大道机动车、非机动车点位规划。二是重新设置在建道路兴贸路、兴业路非机动车临时停放区域100余处。三是加强对重点区域停放管理。分重点区域安排专人负责对校园周边、双号赶场天、农贸市场周边的群众非机动车停放的管理，今年共计劝导、规范停放1.3万余起。</w:t>
      </w:r>
    </w:p>
    <w:p w14:paraId="6FEA82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微软雅黑" w:hAnsi="微软雅黑" w:eastAsia="微软雅黑" w:cs="微软雅黑"/>
          <w:sz w:val="32"/>
          <w:szCs w:val="32"/>
          <w:lang w:val="en-US" w:eastAsia="zh-CN"/>
        </w:rPr>
        <w:t>⑤</w:t>
      </w:r>
      <w:r>
        <w:rPr>
          <w:rFonts w:hint="default" w:ascii="Times New Roman" w:hAnsi="Times New Roman" w:eastAsia="仿宋_GB2312" w:cs="Times New Roman"/>
          <w:sz w:val="32"/>
          <w:szCs w:val="32"/>
          <w:lang w:val="en-US" w:eastAsia="zh-CN"/>
        </w:rPr>
        <w:t>.统筹调度共享单车，全力保障群众出行。一是加强监管，确保停放有序。督促共享单车方增加管理人员至8人，做好对现有车辆进行全面巡检，回收问题车辆，共回收问题车辆400余辆，完成更换新一代共享单车1500辆，规范停放车辆1万余次。二是增设停车点，解决群众需求。针对经开工业园区、校园周边、两中心五馆等重点区域，合理新增设停车点位10余个，解决工人、群众出行困难问题。三是统筹调度，全力保障省田径运动会。2024年四川省学生（青少年）田径冠军赛安居会场中在主会场、用餐地点、休息地点等地方共增设共享单车停放点位7处，投放共享单车130余辆，全力为活动绿色出行提供保障。</w:t>
      </w:r>
    </w:p>
    <w:p w14:paraId="610422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t>）全面做好城市管理统筹协调。</w:t>
      </w:r>
    </w:p>
    <w:p w14:paraId="498B1B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Calibri" w:hAnsi="Calibri" w:eastAsia="仿宋_GB2312" w:cs="Calibri"/>
          <w:b w:val="0"/>
          <w:bCs w:val="0"/>
          <w:sz w:val="32"/>
          <w:szCs w:val="32"/>
          <w:highlight w:val="none"/>
          <w:lang w:val="en-US" w:eastAsia="zh-CN"/>
        </w:rPr>
        <w:t>①</w:t>
      </w:r>
      <w:r>
        <w:rPr>
          <w:rFonts w:hint="default" w:ascii="Times New Roman" w:hAnsi="Times New Roman" w:eastAsia="仿宋_GB2312" w:cs="Times New Roman"/>
          <w:b w:val="0"/>
          <w:bCs w:val="0"/>
          <w:sz w:val="32"/>
          <w:szCs w:val="32"/>
          <w:highlight w:val="none"/>
          <w:lang w:val="en-US" w:eastAsia="zh-CN"/>
        </w:rPr>
        <w:t>.今年以来，共计印发文件17个，统筹春节期间市容环境秩序、“街长制”和“门前五包”、重大活动沿线治理以及专项整治等城市城镇管理工作的深入推进。</w:t>
      </w:r>
    </w:p>
    <w:p w14:paraId="6C2F1F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Calibri" w:hAnsi="Calibri" w:eastAsia="仿宋_GB2312" w:cs="Calibri"/>
          <w:b w:val="0"/>
          <w:bCs w:val="0"/>
          <w:sz w:val="32"/>
          <w:szCs w:val="32"/>
          <w:highlight w:val="none"/>
          <w:lang w:val="en-US" w:eastAsia="zh-CN"/>
        </w:rPr>
        <w:t>②</w:t>
      </w:r>
      <w:r>
        <w:rPr>
          <w:rFonts w:hint="default" w:ascii="Times New Roman" w:hAnsi="Times New Roman" w:eastAsia="仿宋_GB2312" w:cs="Times New Roman"/>
          <w:b w:val="0"/>
          <w:bCs w:val="0"/>
          <w:sz w:val="32"/>
          <w:szCs w:val="32"/>
          <w:highlight w:val="none"/>
          <w:lang w:val="en-US" w:eastAsia="zh-CN"/>
        </w:rPr>
        <w:t>.根据全市城市管理考核要求，牵头组织成员单位开展城市管理领域自查工作，组织区住房城乡建设局、柔刚街道、凤凰街道等单位完成全市</w:t>
      </w:r>
      <w:r>
        <w:rPr>
          <w:rFonts w:hint="eastAsia" w:eastAsia="仿宋_GB2312" w:cs="Times New Roman"/>
          <w:b w:val="0"/>
          <w:bCs w:val="0"/>
          <w:sz w:val="32"/>
          <w:szCs w:val="32"/>
          <w:highlight w:val="none"/>
          <w:lang w:val="en-US" w:eastAsia="zh-CN"/>
        </w:rPr>
        <w:t>“双随机、一公开”</w:t>
      </w:r>
      <w:r>
        <w:rPr>
          <w:rFonts w:hint="default" w:ascii="Times New Roman" w:hAnsi="Times New Roman" w:eastAsia="仿宋_GB2312" w:cs="Times New Roman"/>
          <w:b w:val="0"/>
          <w:bCs w:val="0"/>
          <w:sz w:val="32"/>
          <w:szCs w:val="32"/>
          <w:highlight w:val="none"/>
          <w:lang w:val="en-US" w:eastAsia="zh-CN"/>
        </w:rPr>
        <w:t>督查城市管理问题整改。</w:t>
      </w:r>
    </w:p>
    <w:p w14:paraId="633308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Calibri" w:hAnsi="Calibri" w:eastAsia="仿宋_GB2312" w:cs="Calibri"/>
          <w:b w:val="0"/>
          <w:bCs w:val="0"/>
          <w:sz w:val="32"/>
          <w:szCs w:val="32"/>
          <w:highlight w:val="none"/>
          <w:lang w:val="en-US" w:eastAsia="zh-CN"/>
        </w:rPr>
        <w:t>③</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根据全市“门前五包”工作部署，印发《关于开展“门前五包”责任区制度建设工作的通知》，</w:t>
      </w:r>
      <w:r>
        <w:rPr>
          <w:rFonts w:hint="default" w:ascii="Times New Roman" w:hAnsi="Times New Roman" w:eastAsia="仿宋_GB2312" w:cs="Times New Roman"/>
          <w:b w:val="0"/>
          <w:bCs w:val="0"/>
          <w:color w:val="auto"/>
          <w:kern w:val="2"/>
          <w:sz w:val="32"/>
          <w:szCs w:val="32"/>
          <w:highlight w:val="none"/>
          <w:lang w:val="en-US" w:eastAsia="zh-CN" w:bidi="ar-SA"/>
        </w:rPr>
        <w:t>组织柔刚街道、凤凰街道全面签订“门前五包”责任书，摸排商铺、单位、公司是否正常营业（办公），督促全面履行“门前五包”责任。</w:t>
      </w:r>
    </w:p>
    <w:p w14:paraId="773D1E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微软雅黑" w:hAnsi="微软雅黑" w:eastAsia="微软雅黑" w:cs="微软雅黑"/>
          <w:b w:val="0"/>
          <w:bCs w:val="0"/>
          <w:color w:val="auto"/>
          <w:kern w:val="2"/>
          <w:sz w:val="32"/>
          <w:szCs w:val="32"/>
          <w:highlight w:val="none"/>
          <w:lang w:val="en-US" w:eastAsia="zh-CN" w:bidi="ar-SA"/>
        </w:rPr>
        <w:t>④</w:t>
      </w:r>
      <w:r>
        <w:rPr>
          <w:rFonts w:hint="default" w:ascii="Times New Roman" w:hAnsi="Times New Roman" w:eastAsia="仿宋_GB2312" w:cs="Times New Roman"/>
          <w:b w:val="0"/>
          <w:bCs w:val="0"/>
          <w:color w:val="auto"/>
          <w:kern w:val="2"/>
          <w:sz w:val="32"/>
          <w:szCs w:val="32"/>
          <w:highlight w:val="none"/>
          <w:lang w:val="en-US" w:eastAsia="zh-CN" w:bidi="ar-SA"/>
        </w:rPr>
        <w:t>.做好议事协调机构精简调整后半篇工作。根据《遂宁市安居区议事协调机构优化调整方案》（遂安委发〔2024〕6号）精神，区城市管理委员会及办公室不再保留。对此，我局积极响应机构优化调整工作，及时印发了《关于取消区城管办抽派人员集中办公的通知》，同时认真梳理区城管办有关职责和工作事项，结合我局相关职责，积极探索发挥部门配合协调机制，切实做好机构优化调整“后半篇”工作。</w:t>
      </w:r>
    </w:p>
    <w:p w14:paraId="285DFA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highlight w:val="yellow"/>
          <w:lang w:val="en-US" w:eastAsia="zh-CN"/>
        </w:rPr>
      </w:pPr>
      <w:r>
        <w:rPr>
          <w:rFonts w:hint="eastAsia" w:ascii="微软雅黑" w:hAnsi="微软雅黑" w:eastAsia="微软雅黑" w:cs="微软雅黑"/>
          <w:b w:val="0"/>
          <w:bCs w:val="0"/>
          <w:kern w:val="2"/>
          <w:sz w:val="32"/>
          <w:szCs w:val="32"/>
          <w:highlight w:val="none"/>
          <w:u w:val="none"/>
          <w:lang w:val="en-US" w:eastAsia="zh-CN" w:bidi="ar-SA"/>
        </w:rPr>
        <w:t>⑤</w:t>
      </w:r>
      <w:r>
        <w:rPr>
          <w:rFonts w:hint="default" w:ascii="Times New Roman" w:hAnsi="Times New Roman" w:eastAsia="仿宋_GB2312" w:cs="Times New Roman"/>
          <w:b w:val="0"/>
          <w:bCs w:val="0"/>
          <w:kern w:val="2"/>
          <w:sz w:val="32"/>
          <w:szCs w:val="32"/>
          <w:highlight w:val="none"/>
          <w:u w:val="none"/>
          <w:lang w:val="en-US" w:eastAsia="zh-CN" w:bidi="ar-SA"/>
        </w:rPr>
        <w:t>.狠抓数字城管案件办理工作，</w:t>
      </w:r>
      <w:r>
        <w:rPr>
          <w:rFonts w:hint="default" w:ascii="Times New Roman" w:hAnsi="Times New Roman" w:eastAsia="仿宋_GB2312" w:cs="Times New Roman"/>
          <w:b w:val="0"/>
          <w:bCs w:val="0"/>
          <w:kern w:val="2"/>
          <w:sz w:val="32"/>
          <w:szCs w:val="32"/>
          <w:highlight w:val="none"/>
          <w:lang w:val="en-US" w:eastAsia="zh-CN" w:bidi="ar-SA"/>
        </w:rPr>
        <w:t>加强案件采集种类、案件办理时效和重难点问题协调处置工作，着力提升案件办理质量，促进全市排位靠前。截至10月底，我区共办理数字城管案件12879件。</w:t>
      </w:r>
    </w:p>
    <w:p w14:paraId="3D8240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）精细化治理</w:t>
      </w:r>
      <w:r>
        <w:rPr>
          <w:rFonts w:hint="eastAsia" w:eastAsia="楷体_GB2312" w:cs="Times New Roman"/>
          <w:sz w:val="32"/>
          <w:szCs w:val="32"/>
          <w:lang w:val="en-US" w:eastAsia="zh-CN"/>
        </w:rPr>
        <w:t>常态化开展</w:t>
      </w:r>
      <w:r>
        <w:rPr>
          <w:rFonts w:hint="default" w:ascii="Times New Roman" w:hAnsi="Times New Roman" w:eastAsia="楷体_GB2312" w:cs="Times New Roman"/>
          <w:sz w:val="32"/>
          <w:szCs w:val="32"/>
          <w:lang w:val="en-US" w:eastAsia="zh-CN"/>
        </w:rPr>
        <w:t>。</w:t>
      </w:r>
    </w:p>
    <w:p w14:paraId="7543E2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Calibri" w:hAnsi="Calibri" w:eastAsia="仿宋_GB2312" w:cs="Calibri"/>
          <w:sz w:val="32"/>
          <w:szCs w:val="32"/>
          <w:lang w:val="en-US" w:eastAsia="zh-CN"/>
        </w:rPr>
        <w:t>①</w:t>
      </w:r>
      <w:r>
        <w:rPr>
          <w:rFonts w:hint="default" w:ascii="Times New Roman" w:hAnsi="Times New Roman" w:eastAsia="仿宋_GB2312" w:cs="Times New Roman"/>
          <w:sz w:val="32"/>
          <w:szCs w:val="32"/>
          <w:lang w:val="en-US" w:eastAsia="zh-CN"/>
        </w:rPr>
        <w:t>.市容秩序常态化管控。一是加强占道经营规范管理。对城区主次干道、背街小巷、校园周边、农贸市场等区域占道经营现象进行规范。</w:t>
      </w:r>
      <w:r>
        <w:rPr>
          <w:rFonts w:hint="default" w:ascii="Times New Roman" w:hAnsi="Times New Roman" w:eastAsia="仿宋_GB2312" w:cs="Times New Roman"/>
          <w:color w:val="auto"/>
          <w:kern w:val="2"/>
          <w:sz w:val="32"/>
          <w:szCs w:val="32"/>
          <w:lang w:val="en-US" w:eastAsia="zh-CN" w:bidi="ar-SA"/>
        </w:rPr>
        <w:t>共计规范坐商跨店经营2400余起、游商摊贩占道经营5800余起、占道堆物50余起、占道伞棚600余处、占道娱乐130余处、占道晾晒80余处。</w:t>
      </w:r>
      <w:r>
        <w:rPr>
          <w:rFonts w:hint="default" w:ascii="Times New Roman" w:hAnsi="Times New Roman" w:eastAsia="仿宋_GB2312" w:cs="Times New Roman"/>
          <w:sz w:val="32"/>
          <w:szCs w:val="32"/>
          <w:lang w:val="en-US" w:eastAsia="zh-CN"/>
        </w:rPr>
        <w:t>二是继续优化便民服务摊点。为解决锦华街游商摊贩多、管理困难、交通压力大、安全隐患严重等问题。我局联合柔刚街道配合区市场监管局，国有平台公司继续方案设计，区自规局负责审查土地性质和图纸，计划在头陀寺广场后的空地处，搭建自产自销农贸市场。目前方案正在设计中，待该项目建设完成后我局将引导附加的游商摊贩入市经营。三是加强对广告店招的管理。清理过时的宣传标语，保持临街面的干净整洁；对正在进行升级改造的店面，进行巡查，查看灯箱、店招的审批手续是否完善。今年上半年共计清理过时宣传标语700余处，督促94家正在升级改造的店面完善审批手续。</w:t>
      </w:r>
    </w:p>
    <w:p w14:paraId="6E063E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Calibri" w:hAnsi="Calibri" w:eastAsia="仿宋_GB2312" w:cs="Calibri"/>
          <w:sz w:val="32"/>
          <w:szCs w:val="32"/>
          <w:lang w:val="en-US" w:eastAsia="zh-CN"/>
        </w:rPr>
        <w:t>②</w:t>
      </w:r>
      <w:r>
        <w:rPr>
          <w:rFonts w:hint="default" w:ascii="Times New Roman" w:hAnsi="Times New Roman" w:eastAsia="仿宋_GB2312" w:cs="Times New Roman"/>
          <w:sz w:val="32"/>
          <w:szCs w:val="32"/>
          <w:lang w:val="en-US" w:eastAsia="zh-CN"/>
        </w:rPr>
        <w:t>.抓实抓细清扫保洁和垃圾清运工作。落实“8小时日常+6小时错时”保洁工作制，高标准高质量常态化开展“五清”工作，确保路面垃圾及时清理。每天组织200余名环卫工人对所有街道进行精细化作业，清理树池、果皮箱、公交站台周边卫生死角，使路面更加清新整洁。</w:t>
      </w:r>
      <w:r>
        <w:rPr>
          <w:rFonts w:hint="default" w:ascii="Times New Roman" w:hAnsi="Times New Roman" w:eastAsia="仿宋_GB2312" w:cs="Times New Roman"/>
          <w:kern w:val="2"/>
          <w:sz w:val="32"/>
          <w:szCs w:val="32"/>
          <w:lang w:val="en-US" w:eastAsia="zh-CN" w:bidi="ar-SA"/>
        </w:rPr>
        <w:t>每日安排大型水车7台，洗扫车4台，养护车2台对安居大道、安东大道、遂安快速通道、凤凰大道等主次干道进行</w:t>
      </w:r>
      <w:r>
        <w:rPr>
          <w:rFonts w:hint="default" w:ascii="Times New Roman" w:hAnsi="Times New Roman" w:eastAsia="仿宋_GB2312" w:cs="Times New Roman"/>
          <w:sz w:val="32"/>
          <w:szCs w:val="32"/>
          <w:lang w:val="en-US" w:eastAsia="zh-CN"/>
        </w:rPr>
        <w:t>2次</w:t>
      </w:r>
      <w:r>
        <w:rPr>
          <w:rFonts w:hint="default" w:ascii="Times New Roman" w:hAnsi="Times New Roman" w:eastAsia="仿宋_GB2312" w:cs="Times New Roman"/>
          <w:kern w:val="2"/>
          <w:sz w:val="32"/>
          <w:szCs w:val="32"/>
          <w:lang w:val="en-US" w:eastAsia="zh-CN" w:bidi="ar-SA"/>
        </w:rPr>
        <w:t>全面冲洗，</w:t>
      </w:r>
      <w:r>
        <w:rPr>
          <w:rFonts w:hint="default" w:ascii="Times New Roman" w:hAnsi="Times New Roman" w:eastAsia="仿宋_GB2312" w:cs="Times New Roman"/>
          <w:sz w:val="32"/>
          <w:szCs w:val="32"/>
          <w:lang w:val="en-US" w:eastAsia="zh-CN"/>
        </w:rPr>
        <w:t>确保主次干道干净整洁，无积尘。</w:t>
      </w:r>
      <w:r>
        <w:rPr>
          <w:rFonts w:hint="default" w:ascii="Times New Roman" w:hAnsi="Times New Roman" w:eastAsia="仿宋_GB2312" w:cs="Times New Roman"/>
          <w:i w:val="0"/>
          <w:kern w:val="2"/>
          <w:sz w:val="32"/>
          <w:szCs w:val="32"/>
          <w:lang w:val="en-US" w:eastAsia="zh-CN" w:bidi="ar-SA"/>
        </w:rPr>
        <w:t>维修城区公厕损坏的设施设备90余处，更换破损、模糊的标识标牌70余个。</w:t>
      </w:r>
      <w:r>
        <w:rPr>
          <w:rFonts w:hint="default" w:ascii="Times New Roman" w:hAnsi="Times New Roman" w:eastAsia="仿宋_GB2312" w:cs="Times New Roman"/>
          <w:sz w:val="32"/>
          <w:szCs w:val="32"/>
          <w:lang w:val="en-US" w:eastAsia="zh-CN"/>
        </w:rPr>
        <w:t>优化垃圾清运路线，科学规划垃圾箱点位，增加垃圾收运频次，生活垃圾日产日清，无害化处理率100%。</w:t>
      </w:r>
      <w:r>
        <w:rPr>
          <w:rFonts w:hint="default" w:ascii="Times New Roman" w:hAnsi="Times New Roman" w:eastAsia="仿宋_GB2312" w:cs="Times New Roman"/>
          <w:color w:val="auto"/>
          <w:sz w:val="32"/>
          <w:szCs w:val="32"/>
        </w:rPr>
        <w:t>全面推行“户集、村收、镇运输、区处理”的农村生活垃圾治理模式。</w:t>
      </w:r>
      <w:r>
        <w:rPr>
          <w:rFonts w:hint="default" w:ascii="Times New Roman" w:hAnsi="Times New Roman" w:eastAsia="仿宋_GB2312" w:cs="Times New Roman"/>
          <w:color w:val="auto"/>
          <w:sz w:val="32"/>
          <w:szCs w:val="32"/>
          <w:lang w:eastAsia="zh-CN"/>
        </w:rPr>
        <w:t>推动</w:t>
      </w:r>
      <w:r>
        <w:rPr>
          <w:rFonts w:hint="default" w:ascii="Times New Roman" w:hAnsi="Times New Roman" w:eastAsia="仿宋_GB2312" w:cs="Times New Roman"/>
          <w:color w:val="auto"/>
          <w:sz w:val="32"/>
          <w:szCs w:val="32"/>
        </w:rPr>
        <w:t>24座城镇垃圾压缩中转站</w:t>
      </w:r>
      <w:r>
        <w:rPr>
          <w:rFonts w:hint="default" w:ascii="Times New Roman" w:hAnsi="Times New Roman" w:eastAsia="仿宋_GB2312" w:cs="Times New Roman"/>
          <w:color w:val="auto"/>
          <w:sz w:val="32"/>
          <w:szCs w:val="32"/>
          <w:lang w:eastAsia="zh-CN"/>
        </w:rPr>
        <w:t>改造升级，安居区生活垃圾分类处置建设项目前期工作</w:t>
      </w:r>
      <w:r>
        <w:rPr>
          <w:rFonts w:hint="default" w:ascii="Times New Roman" w:hAnsi="Times New Roman" w:eastAsia="仿宋_GB2312" w:cs="Times New Roman"/>
          <w:color w:val="auto"/>
          <w:sz w:val="32"/>
          <w:szCs w:val="32"/>
        </w:rPr>
        <w:t>。城乡生活垃圾全面做到日产日清，治理覆盖率达100%，无害化处理率达</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eastAsia="zh-CN"/>
        </w:rPr>
        <w:t>农村</w:t>
      </w:r>
      <w:r>
        <w:rPr>
          <w:rFonts w:hint="default" w:ascii="Times New Roman" w:hAnsi="Times New Roman" w:eastAsia="仿宋_GB2312" w:cs="Times New Roman"/>
          <w:color w:val="auto"/>
          <w:sz w:val="32"/>
          <w:szCs w:val="32"/>
        </w:rPr>
        <w:t>生活垃圾</w:t>
      </w:r>
      <w:r>
        <w:rPr>
          <w:rFonts w:hint="default" w:ascii="Times New Roman" w:hAnsi="Times New Roman" w:eastAsia="仿宋_GB2312" w:cs="Times New Roman"/>
          <w:color w:val="auto"/>
          <w:sz w:val="32"/>
          <w:szCs w:val="32"/>
          <w:lang w:eastAsia="zh-CN"/>
        </w:rPr>
        <w:t>采用</w:t>
      </w:r>
      <w:r>
        <w:rPr>
          <w:rFonts w:hint="default" w:ascii="Times New Roman" w:hAnsi="Times New Roman" w:eastAsia="仿宋_GB2312" w:cs="Times New Roman"/>
          <w:color w:val="auto"/>
          <w:sz w:val="32"/>
          <w:szCs w:val="32"/>
        </w:rPr>
        <w:t>PPP模式，引入社会</w:t>
      </w:r>
      <w:r>
        <w:rPr>
          <w:rFonts w:hint="default" w:ascii="Times New Roman" w:hAnsi="Times New Roman" w:eastAsia="仿宋_GB2312" w:cs="Times New Roman"/>
          <w:color w:val="auto"/>
          <w:sz w:val="32"/>
          <w:szCs w:val="32"/>
          <w:lang w:eastAsia="zh-CN"/>
        </w:rPr>
        <w:t>资本</w:t>
      </w:r>
      <w:r>
        <w:rPr>
          <w:rFonts w:hint="default" w:ascii="Times New Roman" w:hAnsi="Times New Roman" w:eastAsia="仿宋_GB2312" w:cs="Times New Roman"/>
          <w:color w:val="auto"/>
          <w:sz w:val="32"/>
          <w:szCs w:val="32"/>
        </w:rPr>
        <w:t>投资参与运营，弥补</w:t>
      </w:r>
      <w:r>
        <w:rPr>
          <w:rFonts w:hint="default" w:ascii="Times New Roman" w:hAnsi="Times New Roman" w:eastAsia="仿宋_GB2312" w:cs="Times New Roman"/>
          <w:color w:val="auto"/>
          <w:sz w:val="32"/>
          <w:szCs w:val="32"/>
          <w:lang w:eastAsia="zh-CN"/>
        </w:rPr>
        <w:t>农村垃圾治理工作</w:t>
      </w:r>
      <w:r>
        <w:rPr>
          <w:rFonts w:hint="default" w:ascii="Times New Roman" w:hAnsi="Times New Roman" w:eastAsia="仿宋_GB2312" w:cs="Times New Roman"/>
          <w:color w:val="auto"/>
          <w:sz w:val="32"/>
          <w:szCs w:val="32"/>
        </w:rPr>
        <w:t>短板。</w:t>
      </w:r>
    </w:p>
    <w:p w14:paraId="32652D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Calibri" w:hAnsi="Calibri" w:eastAsia="仿宋_GB2312" w:cs="Calibri"/>
          <w:sz w:val="32"/>
          <w:szCs w:val="32"/>
          <w:u w:val="none"/>
          <w:lang w:val="en-US" w:eastAsia="zh-CN"/>
        </w:rPr>
        <w:t>③</w:t>
      </w:r>
      <w:r>
        <w:rPr>
          <w:rFonts w:hint="default" w:ascii="Times New Roman" w:hAnsi="Times New Roman" w:eastAsia="仿宋_GB2312" w:cs="Times New Roman"/>
          <w:sz w:val="32"/>
          <w:szCs w:val="32"/>
          <w:u w:val="none"/>
          <w:lang w:val="en-US" w:eastAsia="zh-CN"/>
        </w:rPr>
        <w:t>.</w:t>
      </w:r>
      <w:bookmarkStart w:id="73" w:name="OLE_LINK3"/>
      <w:r>
        <w:rPr>
          <w:rFonts w:hint="default" w:ascii="Times New Roman" w:hAnsi="Times New Roman" w:eastAsia="仿宋_GB2312" w:cs="Times New Roman"/>
          <w:sz w:val="32"/>
          <w:szCs w:val="32"/>
          <w:u w:val="none"/>
          <w:lang w:val="en-US" w:eastAsia="zh-CN"/>
        </w:rPr>
        <w:t>分类完善照明设施，点亮城市夜晚。</w:t>
      </w:r>
      <w:r>
        <w:rPr>
          <w:rFonts w:hint="default" w:ascii="Times New Roman" w:hAnsi="Times New Roman" w:eastAsia="仿宋_GB2312" w:cs="Times New Roman"/>
          <w:b w:val="0"/>
          <w:bCs w:val="0"/>
          <w:color w:val="000000"/>
          <w:kern w:val="0"/>
          <w:sz w:val="32"/>
          <w:szCs w:val="32"/>
          <w:u w:val="none"/>
          <w:lang w:val="en-US" w:eastAsia="zh-CN" w:bidi="ar-SA"/>
        </w:rPr>
        <w:t>采取定人、定责、定时巡查方式对城区139条道路及市政设施进行排查并做好台账，对破损路面及时维修，损坏井盖及时更换，做到早排查、早发现、早整治，确保城市道路平整、</w:t>
      </w:r>
      <w:r>
        <w:rPr>
          <w:rFonts w:hint="default" w:ascii="Times New Roman" w:hAnsi="Times New Roman" w:eastAsia="仿宋_GB2312" w:cs="Times New Roman"/>
          <w:sz w:val="32"/>
          <w:szCs w:val="32"/>
          <w:u w:val="none"/>
          <w:lang w:val="en-US" w:eastAsia="zh-CN"/>
        </w:rPr>
        <w:t>设施完好。</w:t>
      </w:r>
      <w:bookmarkEnd w:id="73"/>
      <w:r>
        <w:rPr>
          <w:rFonts w:hint="default" w:ascii="Times New Roman" w:hAnsi="Times New Roman" w:eastAsia="仿宋_GB2312" w:cs="Times New Roman"/>
          <w:sz w:val="32"/>
          <w:szCs w:val="32"/>
          <w:u w:val="none"/>
          <w:lang w:val="en-US" w:eastAsia="zh-CN"/>
        </w:rPr>
        <w:t>一是维修更换路灯（高压钠灯、LED灯、光彩灯）270余盏，修复线路故障100余处，开挖更换老化路灯线缆3800余米，恢复倾斜路灯杆68根，更换楼宇灯灯管100米及线缆400余米，修剪遮挡路灯光线行道树200余株，二是对城区管理范围乔木修枝整形约5.64万株，灌木修枝整形约16.36万㎡，清理白色垃圾、枯枝干叶清理约141.85万㎡，乔木施基肥约9200余株，草坪色块施基肥约2万㎡，浇灌绿植19.39㎡，灌木约17.1万㎡，乔木刷白0.8万余株，处理绿化带火情16处，病虫害治理约2.5万㎡，排查处理大风倒伏树木220余株，绿化带断枝断丫树木1100余株，裸露绿地补植灌木约7800㎡。三是琼江湿地公园安装修复灯带3613米，整改水管漏水问题27处，座椅防腐木更换176处，钢丝护栏加固159处，木地板加固462处，庭院灯更换灯泡37个，大理石脱落31处。四是维修更换损坏的雨污水检查井盖及</w:t>
      </w:r>
      <w:r>
        <w:rPr>
          <w:rFonts w:hint="eastAsia" w:eastAsia="仿宋_GB2312" w:cs="Times New Roman"/>
          <w:sz w:val="32"/>
          <w:szCs w:val="32"/>
          <w:u w:val="none"/>
          <w:lang w:val="en-US" w:eastAsia="zh-CN"/>
        </w:rPr>
        <w:t>雨水箅子</w:t>
      </w:r>
      <w:r>
        <w:rPr>
          <w:rFonts w:hint="default" w:ascii="Times New Roman" w:hAnsi="Times New Roman" w:eastAsia="仿宋_GB2312" w:cs="Times New Roman"/>
          <w:sz w:val="32"/>
          <w:szCs w:val="32"/>
          <w:u w:val="none"/>
          <w:lang w:val="en-US" w:eastAsia="zh-CN"/>
        </w:rPr>
        <w:t>196个，路沿石破损修复80m，零星修补兴安北路、聚安路破损路面100余㎡，清掏</w:t>
      </w:r>
      <w:r>
        <w:rPr>
          <w:rFonts w:hint="eastAsia" w:eastAsia="仿宋_GB2312" w:cs="Times New Roman"/>
          <w:sz w:val="32"/>
          <w:szCs w:val="32"/>
          <w:u w:val="none"/>
          <w:lang w:val="en-US" w:eastAsia="zh-CN"/>
        </w:rPr>
        <w:t>雨水箅子</w:t>
      </w:r>
      <w:r>
        <w:rPr>
          <w:rFonts w:hint="default" w:ascii="Times New Roman" w:hAnsi="Times New Roman" w:eastAsia="仿宋_GB2312" w:cs="Times New Roman"/>
          <w:sz w:val="32"/>
          <w:szCs w:val="32"/>
          <w:u w:val="none"/>
          <w:lang w:val="en-US" w:eastAsia="zh-CN"/>
        </w:rPr>
        <w:t>2000余个，安装雨污检查井盖防坠网6412个，疏通正东街、琼江明珠、兴贸路中国黄金前、聚安路苹果湾小区外等道路堵塞管网20余处。对梧桐大桥、水岸华府、时光里安装实时监控3台，时光里排口增设抽排设备1套，抽污排水管更换200米，增加电缆120米，对水岸华府损坏抽污水泵、抽污排水管进行维修、截污挡墙进行封堵，对笑喝喝安装抽污水泵1台。</w:t>
      </w:r>
    </w:p>
    <w:p w14:paraId="069C90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lang w:val="en-US" w:eastAsia="zh-CN"/>
        </w:rPr>
        <w:t>）专项整治有序开展。</w:t>
      </w:r>
    </w:p>
    <w:p w14:paraId="619B62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Calibri" w:hAnsi="Calibri" w:eastAsia="仿宋_GB2312" w:cs="Calibri"/>
          <w:b w:val="0"/>
          <w:bCs w:val="0"/>
          <w:sz w:val="32"/>
          <w:szCs w:val="32"/>
          <w:highlight w:val="none"/>
          <w:lang w:val="en-US" w:eastAsia="zh-CN"/>
        </w:rPr>
        <w:t>①</w:t>
      </w:r>
      <w:r>
        <w:rPr>
          <w:rFonts w:hint="default" w:ascii="Times New Roman" w:hAnsi="Times New Roman" w:eastAsia="仿宋_GB2312" w:cs="Times New Roman"/>
          <w:b w:val="0"/>
          <w:bCs w:val="0"/>
          <w:sz w:val="32"/>
          <w:szCs w:val="32"/>
          <w:highlight w:val="none"/>
          <w:lang w:val="en-US" w:eastAsia="zh-CN"/>
        </w:rPr>
        <w:t>.全面统筹开展文明城市“十乱”治理。为着力解决“乱吐、乱扔、乱倒、乱砍、乱挖、乱停、乱拉、乱挂、乱画、乱晒”等不文明行为。印发了《关于印发〈遂宁市安居区文明城市“十乱”专项整治行动工作方案〉的通知》（遂安城委办发〔2024〕6号），组织区委宣传部（区文明办）、区卫生健康局、区综合执法局、区住房城乡建设局、区交通运输局、区教育体育局、柔刚街道、凤凰街道等单位开展为期3个月的文明城市“十乱”专项整治工作。期间，共计排查整治“十乱”问题40余个。</w:t>
      </w:r>
    </w:p>
    <w:p w14:paraId="0C6620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color w:val="FF0000"/>
          <w:sz w:val="32"/>
          <w:szCs w:val="32"/>
          <w:highlight w:val="yellow"/>
          <w:lang w:val="en-US" w:eastAsia="zh-CN"/>
        </w:rPr>
      </w:pPr>
      <w:r>
        <w:rPr>
          <w:rFonts w:hint="default" w:ascii="Calibri" w:hAnsi="Calibri" w:eastAsia="仿宋_GB2312" w:cs="Calibri"/>
          <w:b w:val="0"/>
          <w:bCs w:val="0"/>
          <w:sz w:val="32"/>
          <w:szCs w:val="32"/>
          <w:highlight w:val="none"/>
          <w:lang w:val="en-US" w:eastAsia="zh-CN"/>
        </w:rPr>
        <w:t>②</w:t>
      </w:r>
      <w:r>
        <w:rPr>
          <w:rFonts w:hint="default" w:ascii="Times New Roman" w:hAnsi="Times New Roman" w:eastAsia="仿宋_GB2312" w:cs="Times New Roman"/>
          <w:b w:val="0"/>
          <w:bCs w:val="0"/>
          <w:sz w:val="32"/>
          <w:szCs w:val="32"/>
          <w:highlight w:val="none"/>
          <w:lang w:val="en-US" w:eastAsia="zh-CN"/>
        </w:rPr>
        <w:t>.实施城区出入口标识标牌治理。为进一步加强城市出入口形象治理，根据区委、区政府重点工作部署，印发了《关于开展安居城区出入口指示牌清理及环境综合整治工作的通知》，组织区交通运输局、柔刚街道、凤凰街道，安居镇、玉丰镇、石洞镇、聚贤镇、会龙镇等单位对安白路（石洞镇至安白路与安居大道交界处）、遂安快速路（遂安快速路会龙T字路口至遂安大道与机场路交汇处）等7个城区出入口开展标识标牌和环境综合治理工作。期间，共计摸排整改宣传广告牌、交通标识标牌24处。</w:t>
      </w:r>
    </w:p>
    <w:p w14:paraId="47197B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微软雅黑" w:hAnsi="微软雅黑" w:eastAsia="微软雅黑" w:cs="微软雅黑"/>
          <w:sz w:val="32"/>
          <w:szCs w:val="32"/>
          <w:lang w:val="en-US" w:eastAsia="zh-CN"/>
        </w:rPr>
        <w:t>③</w:t>
      </w:r>
      <w:r>
        <w:rPr>
          <w:rFonts w:hint="default" w:ascii="Times New Roman" w:hAnsi="Times New Roman" w:eastAsia="仿宋_GB2312" w:cs="Times New Roman"/>
          <w:sz w:val="32"/>
          <w:szCs w:val="32"/>
          <w:lang w:val="en-US" w:eastAsia="zh-CN"/>
        </w:rPr>
        <w:t>.开展“蓝天保卫战”，推进大气污染攻坚工作。一是开展烟花爆竹禁燃禁放专项行动，共计出动了城管执法人员80人次，执法车辆25台次，共计引导到烟花爆竹燃放点进行燃放100余起、制止燃放烟花爆竹行为40余起。二是开展在建工地扬尘治理。重点对工地的进出入口是否硬化、是否安排道路保洁员、是否开启扬尘措施、出入车辆是否进行冲洗、未作业裸土是否覆盖、临时作业地区是否打围等方面进行飞行检查，并建立台账，共检查在建工地110个/次，现场督促整改问题51个，约谈相关责任人员23次，</w:t>
      </w:r>
      <w:r>
        <w:rPr>
          <w:rFonts w:hint="default" w:ascii="Times New Roman" w:hAnsi="Times New Roman" w:eastAsia="仿宋_GB2312" w:cs="Times New Roman"/>
          <w:color w:val="auto"/>
          <w:sz w:val="32"/>
          <w:szCs w:val="32"/>
          <w:lang w:val="en-US" w:eastAsia="zh-CN"/>
        </w:rPr>
        <w:t>发放《责令整改通知书》5份</w:t>
      </w:r>
      <w:r>
        <w:rPr>
          <w:rFonts w:hint="default" w:ascii="Times New Roman" w:hAnsi="Times New Roman" w:eastAsia="仿宋_GB2312" w:cs="Times New Roman"/>
          <w:sz w:val="32"/>
          <w:szCs w:val="32"/>
          <w:lang w:val="en-US" w:eastAsia="zh-CN"/>
        </w:rPr>
        <w:t>。三是开展秸秆禁烧专项行动。通过深入巡查、加强宣传、严格执法等多项措施，有效遏制了秸秆焚烧行为的发生，保护环境质量。加大了督查力度，共计出动近150人次，发现7起，及时制止7起，联合属地社区警示教育7起。四是开展餐饮油烟排放治理。督促餐饮油烟安装公司加快推进餐饮油烟在线监控安装任务，目前已完成123台安装任务，且已全部接入平台，正常试行中，今年及时处置油烟预警、离线、超标等问题共计151次。</w:t>
      </w:r>
      <w:r>
        <w:rPr>
          <w:rFonts w:hint="default" w:ascii="Times New Roman" w:hAnsi="Times New Roman" w:eastAsia="仿宋" w:cs="Times New Roman"/>
          <w:color w:val="auto"/>
          <w:sz w:val="32"/>
          <w:szCs w:val="32"/>
          <w:lang w:val="en-US" w:eastAsia="zh-CN"/>
        </w:rPr>
        <w:t>今年开展</w:t>
      </w:r>
      <w:r>
        <w:rPr>
          <w:rFonts w:hint="default" w:ascii="Times New Roman" w:hAnsi="Times New Roman" w:eastAsia="仿宋" w:cs="Times New Roman"/>
          <w:color w:val="auto"/>
          <w:sz w:val="32"/>
          <w:szCs w:val="32"/>
        </w:rPr>
        <w:t>大巡查</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次，对已安装油烟在线监控终端</w:t>
      </w:r>
      <w:r>
        <w:rPr>
          <w:rFonts w:hint="default" w:ascii="Times New Roman" w:hAnsi="Times New Roman" w:eastAsia="仿宋" w:cs="Times New Roman"/>
          <w:color w:val="auto"/>
          <w:sz w:val="32"/>
          <w:szCs w:val="32"/>
          <w:lang w:val="en-US" w:eastAsia="zh-CN"/>
        </w:rPr>
        <w:t>123</w:t>
      </w:r>
      <w:r>
        <w:rPr>
          <w:rFonts w:hint="default" w:ascii="Times New Roman" w:hAnsi="Times New Roman" w:eastAsia="仿宋" w:cs="Times New Roman"/>
          <w:color w:val="auto"/>
          <w:sz w:val="32"/>
          <w:szCs w:val="32"/>
        </w:rPr>
        <w:t>家进行全覆盖巡检，</w:t>
      </w:r>
      <w:r>
        <w:rPr>
          <w:rFonts w:hint="default" w:ascii="Times New Roman" w:hAnsi="Times New Roman" w:eastAsia="仿宋" w:cs="Times New Roman"/>
          <w:color w:val="auto"/>
          <w:sz w:val="32"/>
          <w:szCs w:val="32"/>
          <w:lang w:eastAsia="zh-CN"/>
        </w:rPr>
        <w:t>共计清洗油烟探头</w:t>
      </w:r>
      <w:r>
        <w:rPr>
          <w:rFonts w:hint="default" w:ascii="Times New Roman" w:hAnsi="Times New Roman" w:eastAsia="仿宋" w:cs="Times New Roman"/>
          <w:color w:val="auto"/>
          <w:sz w:val="32"/>
          <w:szCs w:val="32"/>
          <w:lang w:val="en-US" w:eastAsia="zh-CN"/>
        </w:rPr>
        <w:t>103家次，因停业转让等原因拆除油烟监控设备2家</w:t>
      </w:r>
      <w:r>
        <w:rPr>
          <w:rFonts w:hint="default" w:ascii="Times New Roman" w:hAnsi="Times New Roman" w:eastAsia="仿宋" w:cs="Times New Roman"/>
          <w:color w:val="auto"/>
          <w:sz w:val="32"/>
          <w:szCs w:val="32"/>
          <w:lang w:eastAsia="zh-CN"/>
        </w:rPr>
        <w:t>。</w:t>
      </w:r>
      <w:bookmarkStart w:id="74" w:name="OLE_LINK2"/>
      <w:r>
        <w:rPr>
          <w:rFonts w:hint="default" w:ascii="Times New Roman" w:hAnsi="Times New Roman" w:eastAsia="仿宋" w:cs="Times New Roman"/>
          <w:color w:val="auto"/>
          <w:sz w:val="32"/>
          <w:szCs w:val="32"/>
          <w:lang w:val="en-US" w:eastAsia="zh-CN"/>
        </w:rPr>
        <w:t>五是坚持每天洒水降尘。每天安排不低于4次洒水作业，特殊时段增加洒水降尘、喷雾作业频次，确保大气质量保持在良好状态。</w:t>
      </w:r>
      <w:bookmarkEnd w:id="74"/>
    </w:p>
    <w:p w14:paraId="380076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）强化执法监督，公正文明执法。</w:t>
      </w:r>
    </w:p>
    <w:p w14:paraId="5C4013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Calibri" w:hAnsi="Calibri" w:eastAsia="仿宋_GB2312" w:cs="Calibri"/>
          <w:sz w:val="32"/>
          <w:szCs w:val="32"/>
          <w:lang w:val="en-US" w:eastAsia="zh-CN"/>
        </w:rPr>
        <w:t>①</w:t>
      </w:r>
      <w:r>
        <w:rPr>
          <w:rFonts w:hint="default" w:ascii="Times New Roman" w:hAnsi="Times New Roman" w:eastAsia="仿宋_GB2312" w:cs="Times New Roman"/>
          <w:sz w:val="32"/>
          <w:szCs w:val="32"/>
          <w:lang w:val="en-US" w:eastAsia="zh-CN"/>
        </w:rPr>
        <w:t>.违法建设治理。秉着“严控新增违建，存量违建逐步消化”的原则，本年度共计</w:t>
      </w:r>
      <w:r>
        <w:rPr>
          <w:rFonts w:hint="default" w:ascii="Times New Roman" w:hAnsi="Times New Roman" w:eastAsia="仿宋_GB2312" w:cs="Times New Roman"/>
          <w:color w:val="auto"/>
          <w:kern w:val="2"/>
          <w:sz w:val="32"/>
          <w:szCs w:val="32"/>
          <w:lang w:val="en-US" w:eastAsia="zh-CN" w:bidi="ar-SA"/>
        </w:rPr>
        <w:t>拆除存量违建14起，合计6530.08㎡，新增违建5起，合计101㎡</w:t>
      </w:r>
      <w:r>
        <w:rPr>
          <w:rFonts w:hint="default" w:ascii="Times New Roman" w:hAnsi="Times New Roman" w:eastAsia="仿宋_GB2312" w:cs="Times New Roman"/>
          <w:sz w:val="32"/>
          <w:szCs w:val="32"/>
          <w:lang w:val="en-US" w:eastAsia="zh-CN"/>
        </w:rPr>
        <w:t>。</w:t>
      </w:r>
    </w:p>
    <w:p w14:paraId="64EF17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32"/>
          <w:szCs w:val="32"/>
          <w:lang w:val="en-US" w:eastAsia="zh-CN"/>
        </w:rPr>
      </w:pPr>
      <w:r>
        <w:rPr>
          <w:rFonts w:hint="default" w:ascii="Calibri" w:hAnsi="Calibri" w:eastAsia="仿宋_GB2312" w:cs="Calibri"/>
          <w:sz w:val="32"/>
          <w:szCs w:val="32"/>
          <w:lang w:val="en-US" w:eastAsia="zh-CN"/>
        </w:rPr>
        <w:t>②</w:t>
      </w:r>
      <w:r>
        <w:rPr>
          <w:rFonts w:hint="default" w:ascii="Times New Roman" w:hAnsi="Times New Roman" w:eastAsia="仿宋_GB2312" w:cs="Times New Roman"/>
          <w:sz w:val="32"/>
          <w:szCs w:val="32"/>
          <w:lang w:val="en-US" w:eastAsia="zh-CN"/>
        </w:rPr>
        <w:t>.行政执法案件办理。秉着“全面加强依法治区，执法有力，执法公正，规范城市管理”管理的原则。今年</w:t>
      </w:r>
      <w:r>
        <w:rPr>
          <w:rFonts w:hint="default" w:ascii="Times New Roman" w:hAnsi="Times New Roman" w:eastAsia="仿宋_GB2312" w:cs="Times New Roman"/>
          <w:color w:val="auto"/>
          <w:sz w:val="32"/>
          <w:szCs w:val="32"/>
          <w:lang w:val="en-US" w:eastAsia="zh-CN"/>
        </w:rPr>
        <w:t>办结27件，处罚36起，共计行政处罚1737146.87元，没收违法所得34677.46元。</w:t>
      </w:r>
    </w:p>
    <w:p w14:paraId="696BC5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lang w:val="en-US" w:eastAsia="zh-CN"/>
        </w:rPr>
        <w:t>）项目建设高速推进。</w:t>
      </w:r>
    </w:p>
    <w:p w14:paraId="6D6B25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bookmarkStart w:id="75" w:name="OLE_LINK4"/>
      <w:r>
        <w:rPr>
          <w:rFonts w:hint="default" w:ascii="Times New Roman" w:hAnsi="Times New Roman" w:eastAsia="仿宋_GB2312" w:cs="Times New Roman"/>
          <w:sz w:val="32"/>
          <w:szCs w:val="32"/>
          <w:lang w:val="en-US" w:eastAsia="zh-CN"/>
        </w:rPr>
        <w:t>遂宁安居城市生活垃圾分类处置建设项目，项目总投资3600万元，目前已完成全部建设，已完成竣工验收</w:t>
      </w:r>
      <w:bookmarkEnd w:id="75"/>
      <w:r>
        <w:rPr>
          <w:rFonts w:hint="default" w:ascii="Times New Roman" w:hAnsi="Times New Roman" w:eastAsia="仿宋_GB2312" w:cs="Times New Roman"/>
          <w:sz w:val="32"/>
          <w:szCs w:val="32"/>
          <w:lang w:val="en-US" w:eastAsia="zh-CN"/>
        </w:rPr>
        <w:t>；遂宁市安居区城镇生活垃圾处置建设项目，项目总投资4000万元，已争取中央预算资金2000万元；目前已完成16座中转站的改造升级任务，剩余6座中转站预计12月中旬全部改造完毕，项目预计12月底完工；遂宁市安居区生活垃圾分类和处理设施提标改造项目，目前已完成项目招标，预计明年1月开工建设。同时积极谋划2025年及“十五五”储备项目，遂宁市安居区排水防涝智慧平台建设项目、遂宁市安居区城市路灯智慧节能改造项目、遂宁市安居区城乡生活垃圾分类处置建设项目、遂宁市安居区“数治城市”智慧平台建设项目等项目正在实施前期准备工作。</w:t>
      </w:r>
    </w:p>
    <w:p w14:paraId="2989626C">
      <w:pPr>
        <w:keepNext w:val="0"/>
        <w:keepLines w:val="0"/>
        <w:pageBreakBefore w:val="0"/>
        <w:widowControl w:val="0"/>
        <w:kinsoku/>
        <w:wordWrap/>
        <w:overflowPunct/>
        <w:topLinePunct w:val="0"/>
        <w:autoSpaceDE/>
        <w:autoSpaceDN/>
        <w:adjustRightInd/>
        <w:snapToGrid/>
        <w:spacing w:line="560" w:lineRule="exact"/>
        <w:ind w:left="0" w:firstLine="640" w:firstLineChars="200"/>
        <w:contextualSpacing/>
        <w:rPr>
          <w:rFonts w:eastAsia="仿宋_GB2312"/>
          <w:color w:val="000000"/>
          <w:kern w:val="0"/>
          <w:sz w:val="32"/>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sz w:val="32"/>
          <w:szCs w:val="32"/>
          <w:shd w:val="clear" w:color="auto" w:fill="FFFFFF"/>
          <w:lang w:val="zh-CN"/>
        </w:rPr>
        <w:t>严格按照区级部门预算编制通知和有关要求，按规定</w:t>
      </w:r>
      <w:r>
        <w:rPr>
          <w:rFonts w:ascii="仿宋_GB2312" w:hAnsi="仿宋_GB2312" w:eastAsia="仿宋_GB2312" w:cs="仿宋_GB2312"/>
          <w:color w:val="000000"/>
          <w:sz w:val="32"/>
          <w:szCs w:val="32"/>
          <w:shd w:val="clear" w:color="auto" w:fill="FFFFFF"/>
          <w:lang w:val="zh-CN"/>
        </w:rPr>
        <w:t>及</w:t>
      </w:r>
      <w:r>
        <w:rPr>
          <w:rFonts w:hint="eastAsia" w:ascii="仿宋_GB2312" w:hAnsi="仿宋_GB2312" w:eastAsia="仿宋_GB2312" w:cs="仿宋_GB2312"/>
          <w:color w:val="000000"/>
          <w:sz w:val="32"/>
          <w:szCs w:val="32"/>
          <w:shd w:val="clear" w:color="auto" w:fill="FFFFFF"/>
          <w:lang w:val="zh-CN"/>
        </w:rPr>
        <w:t>时完成</w:t>
      </w:r>
      <w:r>
        <w:rPr>
          <w:rFonts w:ascii="Times New Roman" w:hAnsi="Times New Roman" w:eastAsia="仿宋_GB2312" w:cs="Times New Roman"/>
          <w:color w:val="000000"/>
          <w:sz w:val="32"/>
          <w:szCs w:val="32"/>
          <w:shd w:val="clear" w:color="auto" w:fill="FFFFFF"/>
          <w:lang w:val="zh-CN"/>
        </w:rPr>
        <w:t>20</w:t>
      </w:r>
      <w:r>
        <w:rPr>
          <w:rFonts w:ascii="Times New Roman" w:hAnsi="Times New Roman" w:eastAsia="仿宋_GB2312" w:cs="Times New Roman"/>
          <w:color w:val="000000"/>
          <w:sz w:val="32"/>
          <w:szCs w:val="32"/>
          <w:shd w:val="clear" w:color="auto" w:fill="FFFFFF"/>
          <w:lang w:val="en-US" w:eastAsia="zh-CN"/>
        </w:rPr>
        <w:t>24</w:t>
      </w:r>
      <w:r>
        <w:rPr>
          <w:rFonts w:ascii="Times New Roman" w:hAnsi="Times New Roman" w:eastAsia="仿宋_GB2312" w:cs="Times New Roman"/>
          <w:color w:val="000000"/>
          <w:sz w:val="32"/>
          <w:szCs w:val="32"/>
          <w:shd w:val="clear" w:color="auto" w:fill="FFFFFF"/>
          <w:lang w:val="zh-CN"/>
        </w:rPr>
        <w:t>年部门预算编制工作，并按时提交部门预算草案和编制说明。</w:t>
      </w:r>
      <w:r>
        <w:rPr>
          <w:rFonts w:eastAsia="仿宋_GB2312"/>
          <w:color w:val="000000"/>
          <w:kern w:val="0"/>
          <w:sz w:val="32"/>
          <w:szCs w:val="32"/>
          <w:shd w:val="clear" w:color="auto" w:fill="FFFFFF"/>
          <w:lang w:val="zh-CN"/>
        </w:rPr>
        <w:t>2024年</w:t>
      </w:r>
      <w:r>
        <w:rPr>
          <w:rFonts w:eastAsia="仿宋_GB2312"/>
          <w:color w:val="000000"/>
          <w:kern w:val="0"/>
          <w:sz w:val="32"/>
          <w:szCs w:val="32"/>
          <w:shd w:val="clear" w:color="auto" w:fill="FFFFFF"/>
          <w:lang w:val="en-US" w:eastAsia="zh-CN"/>
        </w:rPr>
        <w:t>我单位</w:t>
      </w:r>
      <w:r>
        <w:rPr>
          <w:rFonts w:eastAsia="仿宋_GB2312"/>
          <w:color w:val="000000"/>
          <w:kern w:val="0"/>
          <w:sz w:val="32"/>
          <w:szCs w:val="32"/>
          <w:shd w:val="clear" w:color="auto" w:fill="FFFFFF"/>
          <w:lang w:val="zh-CN"/>
        </w:rPr>
        <w:t>预算资金均为财政拨款，无其他资金来源，收入结构单一但稳定性强。收入统筹重点体现在财政拨款预算的全口径管理，未出现资金体外循环或隐瞒收入的情况。一般性支出年初预算和执行数</w:t>
      </w:r>
      <w:r>
        <w:rPr>
          <w:rFonts w:hint="eastAsia" w:eastAsia="仿宋_GB2312"/>
          <w:color w:val="000000"/>
          <w:kern w:val="0"/>
          <w:sz w:val="32"/>
          <w:szCs w:val="32"/>
          <w:shd w:val="clear" w:color="auto" w:fill="FFFFFF"/>
          <w:lang w:val="en-US" w:eastAsia="zh-CN"/>
        </w:rPr>
        <w:t>较</w:t>
      </w:r>
      <w:r>
        <w:rPr>
          <w:rFonts w:eastAsia="仿宋_GB2312"/>
          <w:color w:val="000000"/>
          <w:kern w:val="0"/>
          <w:sz w:val="32"/>
          <w:szCs w:val="32"/>
          <w:shd w:val="clear" w:color="auto" w:fill="FFFFFF"/>
          <w:lang w:val="zh-CN"/>
        </w:rPr>
        <w:t>上年</w:t>
      </w:r>
      <w:r>
        <w:rPr>
          <w:rFonts w:hint="eastAsia" w:eastAsia="仿宋_GB2312"/>
          <w:color w:val="000000"/>
          <w:kern w:val="0"/>
          <w:sz w:val="32"/>
          <w:szCs w:val="32"/>
          <w:shd w:val="clear" w:color="auto" w:fill="FFFFFF"/>
          <w:lang w:val="en-US" w:eastAsia="zh-CN"/>
        </w:rPr>
        <w:t>有所</w:t>
      </w:r>
      <w:r>
        <w:rPr>
          <w:rFonts w:eastAsia="仿宋_GB2312"/>
          <w:color w:val="000000"/>
          <w:kern w:val="0"/>
          <w:sz w:val="32"/>
          <w:szCs w:val="32"/>
          <w:highlight w:val="none"/>
          <w:shd w:val="clear" w:color="auto" w:fill="FFFFFF"/>
          <w:lang w:val="zh-CN"/>
        </w:rPr>
        <w:t>压减，</w:t>
      </w:r>
      <w:r>
        <w:rPr>
          <w:rFonts w:hint="eastAsia" w:eastAsia="仿宋_GB2312"/>
          <w:color w:val="000000"/>
          <w:kern w:val="0"/>
          <w:sz w:val="32"/>
          <w:szCs w:val="32"/>
          <w:highlight w:val="none"/>
          <w:shd w:val="clear" w:color="auto" w:fill="FFFFFF"/>
          <w:lang w:val="en-US" w:eastAsia="zh-CN"/>
        </w:rPr>
        <w:t>基本</w:t>
      </w:r>
      <w:r>
        <w:rPr>
          <w:rFonts w:eastAsia="仿宋_GB2312"/>
          <w:color w:val="000000"/>
          <w:kern w:val="0"/>
          <w:sz w:val="32"/>
          <w:szCs w:val="32"/>
          <w:highlight w:val="none"/>
          <w:shd w:val="clear" w:color="auto" w:fill="FFFFFF"/>
          <w:lang w:val="zh-CN"/>
        </w:rPr>
        <w:t>符合“只减不增”要求，落实了财政节俭要求。</w:t>
      </w:r>
    </w:p>
    <w:p w14:paraId="78EE9957">
      <w:pPr>
        <w:keepNext w:val="0"/>
        <w:keepLines w:val="0"/>
        <w:pageBreakBefore w:val="0"/>
        <w:widowControl w:val="0"/>
        <w:kinsoku/>
        <w:wordWrap/>
        <w:overflowPunct/>
        <w:topLinePunct w:val="0"/>
        <w:autoSpaceDE/>
        <w:autoSpaceDN/>
        <w:adjustRightInd/>
        <w:snapToGrid/>
        <w:spacing w:line="560" w:lineRule="exact"/>
        <w:ind w:left="0" w:firstLine="640" w:firstLineChars="200"/>
        <w:contextualSpacing/>
        <w:rPr>
          <w:rFonts w:hint="eastAsia" w:ascii="仿宋_GB2312" w:hAnsi="仿宋_GB2312" w:eastAsia="仿宋_GB2312" w:cs="仿宋_GB2312"/>
          <w:color w:val="000000"/>
          <w:kern w:val="0"/>
          <w:sz w:val="32"/>
          <w:szCs w:val="32"/>
          <w:shd w:val="clear" w:color="auto" w:fill="FFFFFF"/>
          <w:lang w:val="zh-CN" w:eastAsia="zh-CN"/>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eastAsia="仿宋_GB2312"/>
          <w:color w:val="000000"/>
          <w:sz w:val="32"/>
          <w:szCs w:val="32"/>
          <w:shd w:val="clear" w:color="auto" w:fill="FFFFFF"/>
          <w:lang w:val="zh-CN" w:eastAsia="zh-CN"/>
        </w:rPr>
        <w:t>本部门制定了《</w:t>
      </w:r>
      <w:r>
        <w:rPr>
          <w:rFonts w:hint="eastAsia" w:eastAsia="仿宋_GB2312"/>
          <w:color w:val="000000"/>
          <w:sz w:val="32"/>
          <w:szCs w:val="32"/>
          <w:shd w:val="clear" w:color="auto" w:fill="FFFFFF"/>
          <w:lang w:val="en-US" w:eastAsia="zh-CN"/>
        </w:rPr>
        <w:t>遂宁市安居区综合行政执法局</w:t>
      </w:r>
      <w:r>
        <w:rPr>
          <w:rFonts w:eastAsia="仿宋_GB2312"/>
          <w:color w:val="000000"/>
          <w:sz w:val="32"/>
          <w:szCs w:val="32"/>
          <w:shd w:val="clear" w:color="auto" w:fill="FFFFFF"/>
          <w:lang w:val="zh-CN"/>
        </w:rPr>
        <w:t>内部控制手册</w:t>
      </w:r>
      <w:r>
        <w:rPr>
          <w:rFonts w:eastAsia="仿宋_GB2312"/>
          <w:color w:val="000000"/>
          <w:sz w:val="32"/>
          <w:szCs w:val="32"/>
          <w:shd w:val="clear" w:color="auto" w:fill="FFFFFF"/>
          <w:lang w:val="zh-CN" w:eastAsia="zh-CN"/>
        </w:rPr>
        <w:t>》，内含财务管理等制度</w:t>
      </w:r>
      <w:r>
        <w:rPr>
          <w:rFonts w:hint="eastAsia" w:ascii="仿宋_GB2312" w:hAnsi="仿宋_GB2312" w:eastAsia="仿宋_GB2312" w:cs="仿宋_GB2312"/>
          <w:color w:val="000000"/>
          <w:kern w:val="0"/>
          <w:sz w:val="32"/>
          <w:szCs w:val="32"/>
          <w:shd w:val="clear" w:color="auto" w:fill="FFFFFF"/>
          <w:lang w:val="zh-CN" w:eastAsia="zh-CN"/>
        </w:rPr>
        <w:t>，覆盖预算编制、资金审批、资产管理、政府采购等关键环节，未发现因制度缺失或执行不到位导致的问题。严格遵循财务岗位设置规范</w:t>
      </w:r>
      <w:r>
        <w:rPr>
          <w:rFonts w:hint="eastAsia" w:ascii="仿宋_GB2312" w:hAnsi="仿宋_GB2312" w:eastAsia="仿宋_GB2312" w:cs="仿宋_GB2312"/>
          <w:color w:val="000000"/>
          <w:kern w:val="0"/>
          <w:sz w:val="32"/>
          <w:szCs w:val="32"/>
          <w:shd w:val="clear" w:color="auto" w:fill="FFFFFF"/>
          <w:lang w:val="zh-CN"/>
        </w:rPr>
        <w:t>，设置财务负责人、会计、出纳等财务工作岗位。财务负责人对经济活动发</w:t>
      </w:r>
      <w:r>
        <w:rPr>
          <w:rFonts w:hint="eastAsia" w:ascii="FangSong_GB2312" w:eastAsia="FangSong_GB2312"/>
          <w:vanish w:val="0"/>
          <w:kern w:val="0"/>
          <w:sz w:val="32"/>
          <w:szCs w:val="32"/>
          <w:shd w:val="clear" w:color="auto" w:fill="FFFFFF"/>
        </w:rPr>
        <w:t>生的票据及其相关附件审核把关，检查其合规性、合法性，有无违规事项</w:t>
      </w:r>
      <w:r>
        <w:rPr>
          <w:rFonts w:ascii="FangSong_GB2312" w:eastAsia="FangSong_GB2312"/>
          <w:vanish w:val="0"/>
          <w:kern w:val="0"/>
          <w:sz w:val="32"/>
          <w:szCs w:val="32"/>
          <w:shd w:val="clear" w:color="auto" w:fill="FFFFFF"/>
        </w:rPr>
        <w:t>；</w:t>
      </w:r>
      <w:r>
        <w:rPr>
          <w:rFonts w:hint="eastAsia" w:ascii="FangSong_GB2312" w:eastAsia="FangSong_GB2312"/>
          <w:vanish w:val="0"/>
          <w:kern w:val="0"/>
          <w:sz w:val="32"/>
          <w:szCs w:val="32"/>
          <w:shd w:val="clear" w:color="auto" w:fill="FFFFFF"/>
        </w:rPr>
        <w:t>会计按会计制度审查经济活动过程及结算单据附件的真实性、完整性、合规性</w:t>
      </w:r>
      <w:r>
        <w:rPr>
          <w:rFonts w:ascii="FangSong_GB2312" w:eastAsia="FangSong_GB2312"/>
          <w:vanish w:val="0"/>
          <w:kern w:val="0"/>
          <w:sz w:val="32"/>
          <w:szCs w:val="32"/>
          <w:shd w:val="clear" w:color="auto" w:fill="FFFFFF"/>
        </w:rPr>
        <w:t>；</w:t>
      </w:r>
      <w:r>
        <w:rPr>
          <w:rFonts w:hint="eastAsia" w:ascii="FangSong_GB2312" w:eastAsia="FangSong_GB2312"/>
          <w:vanish w:val="0"/>
          <w:kern w:val="0"/>
          <w:sz w:val="32"/>
          <w:szCs w:val="32"/>
          <w:shd w:val="clear" w:color="auto" w:fill="FFFFFF"/>
        </w:rPr>
        <w:t>出纳终审把关，并据实支付</w:t>
      </w:r>
      <w:r>
        <w:rPr>
          <w:rFonts w:ascii="FangSong_GB2312" w:eastAsia="FangSong_GB2312"/>
          <w:vanish w:val="0"/>
          <w:kern w:val="0"/>
          <w:sz w:val="32"/>
          <w:szCs w:val="32"/>
          <w:shd w:val="clear" w:color="auto" w:fill="FFFFFF"/>
        </w:rPr>
        <w:t>，完全</w:t>
      </w:r>
      <w:r>
        <w:rPr>
          <w:rFonts w:hint="eastAsia" w:ascii="仿宋_GB2312" w:hAnsi="仿宋_GB2312" w:eastAsia="仿宋_GB2312" w:cs="仿宋_GB2312"/>
          <w:color w:val="000000"/>
          <w:kern w:val="0"/>
          <w:sz w:val="32"/>
          <w:szCs w:val="32"/>
          <w:shd w:val="clear" w:color="auto" w:fill="FFFFFF"/>
          <w:lang w:val="zh-CN" w:eastAsia="zh-CN"/>
        </w:rPr>
        <w:t>做到“钱账分离、审批与经办分离”</w:t>
      </w:r>
      <w:r>
        <w:rPr>
          <w:rFonts w:hint="eastAsia" w:ascii="仿宋_GB2312" w:hAnsi="仿宋_GB2312" w:cs="仿宋_GB2312"/>
          <w:color w:val="000000"/>
          <w:kern w:val="0"/>
          <w:sz w:val="32"/>
          <w:szCs w:val="32"/>
          <w:shd w:val="clear" w:color="auto" w:fill="FFFFFF"/>
          <w:lang w:val="zh-CN" w:eastAsia="zh-CN"/>
        </w:rPr>
        <w:t>。</w:t>
      </w:r>
    </w:p>
    <w:p w14:paraId="2B707D01">
      <w:pPr>
        <w:keepNext w:val="0"/>
        <w:keepLines w:val="0"/>
        <w:pageBreakBefore w:val="0"/>
        <w:widowControl w:val="0"/>
        <w:kinsoku/>
        <w:wordWrap/>
        <w:overflowPunct/>
        <w:topLinePunct w:val="0"/>
        <w:autoSpaceDE/>
        <w:autoSpaceDN/>
        <w:adjustRightInd/>
        <w:snapToGrid/>
        <w:spacing w:line="560" w:lineRule="exact"/>
        <w:ind w:left="0" w:firstLine="640" w:firstLineChars="200"/>
        <w:contextualSpacing/>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kern w:val="0"/>
          <w:sz w:val="32"/>
          <w:szCs w:val="32"/>
          <w:shd w:val="clear" w:color="auto" w:fill="FFFFFF"/>
          <w:lang w:val="en-US" w:eastAsia="zh-CN"/>
        </w:rPr>
        <w:t>我单位</w:t>
      </w:r>
      <w:r>
        <w:rPr>
          <w:rFonts w:hint="eastAsia" w:ascii="仿宋_GB2312" w:hAnsi="仿宋_GB2312" w:eastAsia="仿宋_GB2312" w:cs="仿宋_GB2312"/>
          <w:color w:val="000000"/>
          <w:kern w:val="0"/>
          <w:sz w:val="32"/>
          <w:szCs w:val="32"/>
          <w:shd w:val="clear" w:color="auto" w:fill="FFFFFF"/>
          <w:lang w:val="zh-CN"/>
        </w:rPr>
        <w:t>在资产管理方面整体表现较好，资产的人均分配和日常使用管理上较</w:t>
      </w:r>
      <w:r>
        <w:rPr>
          <w:rFonts w:hint="eastAsia" w:ascii="仿宋_GB2312" w:hAnsi="仿宋_GB2312" w:eastAsia="仿宋_GB2312" w:cs="仿宋_GB2312"/>
          <w:color w:val="000000"/>
          <w:kern w:val="0"/>
          <w:sz w:val="32"/>
          <w:szCs w:val="32"/>
          <w:shd w:val="clear" w:color="auto" w:fill="FFFFFF"/>
          <w:lang w:val="en-US" w:eastAsia="zh-CN"/>
        </w:rPr>
        <w:t>优</w:t>
      </w:r>
      <w:r>
        <w:rPr>
          <w:rFonts w:ascii="仿宋_GB2312" w:hAnsi="仿宋_GB2312" w:eastAsia="仿宋_GB2312" w:cs="仿宋_GB2312"/>
          <w:color w:val="000000"/>
          <w:kern w:val="0"/>
          <w:sz w:val="32"/>
          <w:szCs w:val="32"/>
          <w:shd w:val="clear" w:color="auto" w:fill="FFFFFF"/>
          <w:lang w:val="zh-CN"/>
        </w:rPr>
        <w:t>，但</w:t>
      </w:r>
      <w:r>
        <w:rPr>
          <w:rFonts w:hint="eastAsia" w:ascii="仿宋_GB2312" w:hAnsi="仿宋_GB2312" w:eastAsia="仿宋_GB2312" w:cs="仿宋_GB2312"/>
          <w:color w:val="000000"/>
          <w:kern w:val="0"/>
          <w:sz w:val="32"/>
          <w:szCs w:val="32"/>
          <w:shd w:val="clear" w:color="auto" w:fill="FFFFFF"/>
          <w:lang w:val="zh-CN"/>
        </w:rPr>
        <w:t>在闲置资产的处理上还有改进余地。后续</w:t>
      </w:r>
      <w:r>
        <w:rPr>
          <w:rFonts w:hint="eastAsia" w:ascii="仿宋_GB2312" w:hAnsi="仿宋_GB2312" w:eastAsia="仿宋_GB2312" w:cs="仿宋_GB2312"/>
          <w:color w:val="000000"/>
          <w:kern w:val="0"/>
          <w:sz w:val="32"/>
          <w:szCs w:val="32"/>
          <w:shd w:val="clear" w:color="auto" w:fill="FFFFFF"/>
          <w:lang w:val="en-US" w:eastAsia="zh-CN"/>
        </w:rPr>
        <w:t>我单位将</w:t>
      </w:r>
      <w:r>
        <w:rPr>
          <w:rFonts w:hint="eastAsia" w:ascii="仿宋_GB2312" w:hAnsi="仿宋_GB2312" w:eastAsia="仿宋_GB2312" w:cs="仿宋_GB2312"/>
          <w:color w:val="000000"/>
          <w:kern w:val="0"/>
          <w:sz w:val="32"/>
          <w:szCs w:val="32"/>
          <w:shd w:val="clear" w:color="auto" w:fill="FFFFFF"/>
          <w:lang w:val="zh-CN"/>
        </w:rPr>
        <w:t>重点关注闲置资产的盘活工作，制定更有效的资产盘活计划，进一步提高资产管理的整</w:t>
      </w:r>
      <w:r>
        <w:rPr>
          <w:rFonts w:hint="eastAsia" w:ascii="仿宋_GB2312" w:hAnsi="仿宋_GB2312" w:eastAsia="仿宋_GB2312" w:cs="仿宋_GB2312"/>
          <w:b w:val="0"/>
          <w:bCs w:val="0"/>
          <w:color w:val="000000"/>
          <w:kern w:val="0"/>
          <w:sz w:val="32"/>
          <w:szCs w:val="32"/>
          <w:shd w:val="clear" w:color="auto" w:fill="FFFFFF"/>
          <w:lang w:val="zh-CN"/>
        </w:rPr>
        <w:t>体绩效水平。</w:t>
      </w:r>
    </w:p>
    <w:p w14:paraId="7FDC3BB4">
      <w:pPr>
        <w:keepNext w:val="0"/>
        <w:keepLines w:val="0"/>
        <w:pageBreakBefore w:val="0"/>
        <w:kinsoku/>
        <w:wordWrap/>
        <w:overflowPunct/>
        <w:topLinePunct w:val="0"/>
        <w:autoSpaceDE/>
        <w:autoSpaceDN/>
        <w:adjustRightInd/>
        <w:snapToGrid/>
        <w:spacing w:line="590" w:lineRule="exact"/>
        <w:ind w:left="0" w:firstLine="640" w:firstLineChars="200"/>
        <w:contextualSpacing/>
        <w:rPr>
          <w:rFonts w:ascii="仿宋_GB2312"/>
          <w:kern w:val="2"/>
          <w:szCs w:val="32"/>
          <w:lang w:val="en-US"/>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2024年度，本部门严格执行政府采购法规及内部控制要求，以“降本增效”为目标，围绕</w:t>
      </w:r>
      <w:r>
        <w:rPr>
          <w:rStyle w:val="21"/>
          <w:rFonts w:eastAsia="仿宋_GB2312"/>
          <w:color w:val="000000"/>
          <w:sz w:val="32"/>
          <w:szCs w:val="32"/>
          <w:shd w:val="clear" w:color="auto" w:fill="FFFFFF"/>
          <w:lang w:val="zh-CN"/>
        </w:rPr>
        <w:t>采购效率、成本节约率、集中采购率</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等核心指标优化采购</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流程，全年完成采购项目</w:t>
      </w:r>
      <w:r>
        <w:rPr>
          <w:rStyle w:val="21"/>
          <w:rFonts w:hint="eastAsia" w:eastAsia="仿宋_GB2312"/>
          <w:color w:val="000000"/>
          <w:sz w:val="32"/>
          <w:szCs w:val="32"/>
          <w:highlight w:val="none"/>
          <w:shd w:val="clear" w:color="auto" w:fill="FFFFFF"/>
          <w:lang w:val="en-US" w:eastAsia="zh-CN"/>
        </w:rPr>
        <w:t>1</w:t>
      </w:r>
      <w:r>
        <w:rPr>
          <w:rStyle w:val="21"/>
          <w:rFonts w:eastAsia="仿宋_GB2312"/>
          <w:color w:val="000000"/>
          <w:sz w:val="32"/>
          <w:szCs w:val="32"/>
          <w:highlight w:val="none"/>
          <w:shd w:val="clear" w:color="auto" w:fill="FFFFFF"/>
          <w:lang w:val="zh-CN"/>
        </w:rPr>
        <w:t>项</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w:t>
      </w:r>
      <w:r>
        <w:rPr>
          <w:rFonts w:hAnsi="Times New Roman" w:eastAsia="仿宋_GB2312"/>
          <w:color w:val="000000"/>
          <w:sz w:val="32"/>
          <w:szCs w:val="32"/>
          <w:highlight w:val="none"/>
          <w:shd w:val="clear" w:color="auto" w:fill="FFFFFF"/>
          <w:lang w:val="zh-CN"/>
        </w:rPr>
        <w:t>采购电脑总花费</w:t>
      </w:r>
      <w:r>
        <w:rPr>
          <w:rFonts w:hint="eastAsia" w:eastAsia="仿宋_GB2312"/>
          <w:color w:val="000000"/>
          <w:sz w:val="32"/>
          <w:szCs w:val="32"/>
          <w:highlight w:val="none"/>
          <w:shd w:val="clear" w:color="auto" w:fill="FFFFFF"/>
          <w:lang w:val="en-US" w:eastAsia="zh-CN"/>
        </w:rPr>
        <w:t>5.2万</w:t>
      </w:r>
      <w:r>
        <w:rPr>
          <w:rFonts w:hAnsi="Times New Roman" w:eastAsia="仿宋_GB2312"/>
          <w:color w:val="000000"/>
          <w:sz w:val="32"/>
          <w:szCs w:val="32"/>
          <w:highlight w:val="none"/>
          <w:shd w:val="clear" w:color="auto" w:fill="FFFFFF"/>
          <w:lang w:val="zh-CN"/>
        </w:rPr>
        <w:t>元，</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平均采购周期为</w:t>
      </w:r>
      <w:r>
        <w:rPr>
          <w:rStyle w:val="21"/>
          <w:rFonts w:hint="eastAsia" w:eastAsia="仿宋_GB2312"/>
          <w:color w:val="000000"/>
          <w:sz w:val="32"/>
          <w:szCs w:val="32"/>
          <w:highlight w:val="none"/>
          <w:shd w:val="clear" w:color="auto" w:fill="FFFFFF"/>
          <w:lang w:val="en-US" w:eastAsia="zh-CN"/>
        </w:rPr>
        <w:t>30</w:t>
      </w:r>
      <w:r>
        <w:rPr>
          <w:rStyle w:val="21"/>
          <w:rFonts w:eastAsia="仿宋_GB2312"/>
          <w:color w:val="000000"/>
          <w:sz w:val="32"/>
          <w:szCs w:val="32"/>
          <w:highlight w:val="none"/>
          <w:shd w:val="clear" w:color="auto" w:fill="FFFFFF"/>
          <w:lang w:val="zh-CN"/>
        </w:rPr>
        <w:t>个工作日</w:t>
      </w:r>
      <w:r>
        <w:rPr>
          <w:rFonts w:hAnsi="Times New Roman" w:eastAsia="仿宋_GB2312"/>
          <w:color w:val="000000"/>
          <w:sz w:val="32"/>
          <w:szCs w:val="32"/>
          <w:highlight w:val="none"/>
          <w:shd w:val="clear" w:color="auto" w:fill="FFFFFF"/>
          <w:lang w:val="zh-CN"/>
        </w:rPr>
        <w:t>。</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通过</w:t>
      </w:r>
      <w:r>
        <w:rPr>
          <w:rFonts w:hint="eastAsia" w:eastAsia="仿宋_GB2312"/>
          <w:b w:val="0"/>
          <w:bCs w:val="0"/>
          <w:i w:val="0"/>
          <w:iCs w:val="0"/>
          <w:caps w:val="0"/>
          <w:smallCaps w:val="0"/>
          <w:vanish w:val="0"/>
          <w:color w:val="000000"/>
          <w:spacing w:val="0"/>
          <w:sz w:val="32"/>
          <w:szCs w:val="32"/>
          <w:highlight w:val="none"/>
          <w:shd w:val="clear" w:color="auto" w:fill="FFFFFF"/>
          <w:lang w:val="en-US" w:eastAsia="zh-CN"/>
        </w:rPr>
        <w:t>政府框架协议</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方式</w:t>
      </w:r>
      <w:r>
        <w:rPr>
          <w:rFonts w:hint="eastAsia" w:eastAsia="仿宋_GB2312"/>
          <w:b w:val="0"/>
          <w:bCs w:val="0"/>
          <w:i w:val="0"/>
          <w:iCs w:val="0"/>
          <w:caps w:val="0"/>
          <w:smallCaps w:val="0"/>
          <w:vanish w:val="0"/>
          <w:color w:val="000000"/>
          <w:spacing w:val="0"/>
          <w:sz w:val="32"/>
          <w:szCs w:val="32"/>
          <w:highlight w:val="none"/>
          <w:shd w:val="clear" w:color="auto" w:fill="FFFFFF"/>
          <w:lang w:val="en-US" w:eastAsia="zh-CN"/>
        </w:rPr>
        <w:t>采购</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，节约预算资金</w:t>
      </w:r>
      <w:r>
        <w:rPr>
          <w:rStyle w:val="21"/>
          <w:rFonts w:hint="eastAsia" w:eastAsia="仿宋_GB2312"/>
          <w:color w:val="000000"/>
          <w:sz w:val="32"/>
          <w:szCs w:val="32"/>
          <w:highlight w:val="none"/>
          <w:shd w:val="clear" w:color="auto" w:fill="FFFFFF"/>
          <w:lang w:val="en-US" w:eastAsia="zh-CN"/>
        </w:rPr>
        <w:t>0.2</w:t>
      </w:r>
      <w:r>
        <w:rPr>
          <w:rStyle w:val="21"/>
          <w:rFonts w:eastAsia="仿宋_GB2312"/>
          <w:color w:val="000000"/>
          <w:sz w:val="32"/>
          <w:szCs w:val="32"/>
          <w:highlight w:val="none"/>
          <w:shd w:val="clear" w:color="auto" w:fill="FFFFFF"/>
          <w:lang w:val="zh-CN"/>
        </w:rPr>
        <w:t>万元</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，综合成本节约率</w:t>
      </w:r>
      <w:r>
        <w:rPr>
          <w:rStyle w:val="21"/>
          <w:rFonts w:hint="eastAsia" w:eastAsia="仿宋_GB2312"/>
          <w:color w:val="000000"/>
          <w:sz w:val="32"/>
          <w:szCs w:val="32"/>
          <w:highlight w:val="none"/>
          <w:shd w:val="clear" w:color="auto" w:fill="FFFFFF"/>
          <w:lang w:val="en-US" w:eastAsia="zh-CN"/>
        </w:rPr>
        <w:t>3.7</w:t>
      </w:r>
      <w:r>
        <w:rPr>
          <w:rStyle w:val="21"/>
          <w:rFonts w:eastAsia="仿宋_GB2312"/>
          <w:color w:val="000000"/>
          <w:sz w:val="32"/>
          <w:szCs w:val="32"/>
          <w:highlight w:val="none"/>
          <w:shd w:val="clear" w:color="auto" w:fill="FFFFFF"/>
          <w:lang w:val="zh-CN"/>
        </w:rPr>
        <w:t>%</w:t>
      </w:r>
      <w:r>
        <w:rPr>
          <w:rFonts w:ascii="Times New Roman" w:hAnsi="Times New Roman" w:eastAsia="仿宋_GB2312"/>
          <w:b w:val="0"/>
          <w:bCs w:val="0"/>
          <w:i w:val="0"/>
          <w:iCs w:val="0"/>
          <w:caps w:val="0"/>
          <w:smallCaps w:val="0"/>
          <w:vanish w:val="0"/>
          <w:color w:val="000000"/>
          <w:spacing w:val="0"/>
          <w:sz w:val="32"/>
          <w:szCs w:val="32"/>
          <w:highlight w:val="none"/>
          <w:shd w:val="clear" w:color="auto" w:fill="FFFFFF"/>
          <w:lang w:val="zh-CN"/>
        </w:rPr>
        <w:t>。</w:t>
      </w:r>
    </w:p>
    <w:p w14:paraId="5F7A9DD7">
      <w:pPr>
        <w:keepNext w:val="0"/>
        <w:keepLines w:val="0"/>
        <w:pageBreakBefore w:val="0"/>
        <w:widowControl w:val="0"/>
        <w:kinsoku/>
        <w:wordWrap/>
        <w:overflowPunct/>
        <w:topLinePunct w:val="0"/>
        <w:autoSpaceDE/>
        <w:autoSpaceDN/>
        <w:adjustRightInd/>
        <w:snapToGrid/>
        <w:spacing w:line="590" w:lineRule="exact"/>
        <w:ind w:left="0" w:firstLine="643" w:firstLineChars="200"/>
        <w:contextualSpacing/>
        <w:rPr>
          <w:rFonts w:ascii="Times New Roman" w:hAnsi="Times New Roman" w:eastAsia="仿宋_GB2312" w:cs="Times New Roman"/>
          <w:color w:val="000000"/>
          <w:kern w:val="2"/>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ascii="Times New Roman" w:hAnsi="Times New Roman" w:eastAsia="仿宋_GB2312" w:cs="Times New Roman"/>
          <w:color w:val="000000"/>
          <w:kern w:val="2"/>
          <w:sz w:val="32"/>
          <w:szCs w:val="32"/>
          <w:shd w:val="clear" w:color="auto" w:fill="FFFFFF"/>
          <w:lang w:val="zh-CN" w:eastAsia="zh-CN"/>
        </w:rPr>
        <w:t>常年项目</w:t>
      </w:r>
      <w:r>
        <w:rPr>
          <w:rFonts w:ascii="Times New Roman" w:hAnsi="Times New Roman" w:eastAsia="仿宋_GB2312" w:cs="Times New Roman"/>
          <w:color w:val="000000"/>
          <w:kern w:val="2"/>
          <w:sz w:val="32"/>
          <w:szCs w:val="32"/>
          <w:highlight w:val="none"/>
          <w:shd w:val="clear" w:color="auto" w:fill="FFFFFF"/>
          <w:lang w:val="zh-CN" w:eastAsia="zh-CN"/>
        </w:rPr>
        <w:t>绩效分析。该类项目总数</w:t>
      </w:r>
      <w:r>
        <w:rPr>
          <w:rFonts w:hint="eastAsia" w:eastAsia="仿宋_GB2312" w:cs="Times New Roman"/>
          <w:color w:val="000000"/>
          <w:kern w:val="2"/>
          <w:sz w:val="32"/>
          <w:szCs w:val="32"/>
          <w:highlight w:val="none"/>
          <w:shd w:val="clear" w:color="auto" w:fill="FFFFFF"/>
          <w:lang w:val="en-US" w:eastAsia="zh-CN"/>
        </w:rPr>
        <w:t>1（城市管理执法整治工作经费）</w:t>
      </w:r>
      <w:r>
        <w:rPr>
          <w:rFonts w:ascii="Times New Roman" w:hAnsi="Times New Roman" w:eastAsia="仿宋_GB2312" w:cs="Times New Roman"/>
          <w:color w:val="000000"/>
          <w:kern w:val="2"/>
          <w:sz w:val="32"/>
          <w:szCs w:val="32"/>
          <w:highlight w:val="none"/>
          <w:shd w:val="clear" w:color="auto" w:fill="FFFFFF"/>
          <w:lang w:val="zh-CN" w:eastAsia="zh-CN"/>
        </w:rPr>
        <w:t>个，涉及预算总金额</w:t>
      </w:r>
      <w:r>
        <w:rPr>
          <w:rFonts w:hint="eastAsia" w:eastAsia="仿宋_GB2312" w:cs="Times New Roman"/>
          <w:color w:val="000000"/>
          <w:kern w:val="2"/>
          <w:sz w:val="32"/>
          <w:szCs w:val="32"/>
          <w:highlight w:val="none"/>
          <w:shd w:val="clear" w:color="auto" w:fill="FFFFFF"/>
          <w:lang w:val="en-US" w:eastAsia="zh-CN"/>
        </w:rPr>
        <w:t>20</w:t>
      </w:r>
      <w:r>
        <w:rPr>
          <w:rFonts w:ascii="Times New Roman" w:hAnsi="Times New Roman" w:eastAsia="仿宋_GB2312" w:cs="Times New Roman"/>
          <w:color w:val="000000"/>
          <w:kern w:val="2"/>
          <w:sz w:val="32"/>
          <w:szCs w:val="32"/>
          <w:highlight w:val="none"/>
          <w:shd w:val="clear" w:color="auto" w:fill="FFFFFF"/>
          <w:lang w:val="zh-CN" w:eastAsia="zh-CN"/>
        </w:rPr>
        <w:t>万元，</w:t>
      </w:r>
      <w:r>
        <w:rPr>
          <w:rFonts w:ascii="Times New Roman" w:hAnsi="Times New Roman" w:eastAsia="仿宋_GB2312" w:cs="Times New Roman"/>
          <w:color w:val="000000"/>
          <w:kern w:val="2"/>
          <w:sz w:val="32"/>
          <w:szCs w:val="32"/>
          <w:highlight w:val="none"/>
          <w:shd w:val="clear" w:color="auto" w:fill="FFFFFF"/>
          <w:lang w:val="zh-CN"/>
        </w:rPr>
        <w:t>1</w:t>
      </w:r>
      <w:r>
        <w:rPr>
          <w:rFonts w:ascii="Times New Roman" w:hAnsi="Times New Roman" w:eastAsia="仿宋_GB2312" w:cs="Times New Roman"/>
          <w:color w:val="000000"/>
          <w:kern w:val="2"/>
          <w:sz w:val="32"/>
          <w:szCs w:val="32"/>
          <w:highlight w:val="none"/>
          <w:shd w:val="clear" w:color="auto" w:fill="FFFFFF"/>
          <w:lang w:val="zh-CN" w:eastAsia="zh-CN"/>
        </w:rPr>
        <w:t>—</w:t>
      </w:r>
      <w:r>
        <w:rPr>
          <w:rFonts w:ascii="Times New Roman" w:hAnsi="Times New Roman" w:eastAsia="仿宋_GB2312" w:cs="Times New Roman"/>
          <w:color w:val="000000"/>
          <w:kern w:val="2"/>
          <w:sz w:val="32"/>
          <w:szCs w:val="32"/>
          <w:highlight w:val="none"/>
          <w:shd w:val="clear" w:color="auto" w:fill="FFFFFF"/>
          <w:lang w:val="zh-CN"/>
        </w:rPr>
        <w:t>1</w:t>
      </w:r>
      <w:r>
        <w:rPr>
          <w:rFonts w:ascii="Times New Roman" w:hAnsi="Times New Roman" w:eastAsia="仿宋_GB2312" w:cs="Times New Roman"/>
          <w:color w:val="000000"/>
          <w:kern w:val="2"/>
          <w:sz w:val="32"/>
          <w:szCs w:val="32"/>
          <w:highlight w:val="none"/>
          <w:shd w:val="clear" w:color="auto" w:fill="FFFFFF"/>
          <w:lang w:val="zh-CN" w:eastAsia="zh-CN"/>
        </w:rPr>
        <w:t>2</w:t>
      </w:r>
      <w:r>
        <w:rPr>
          <w:rFonts w:ascii="Times New Roman" w:hAnsi="Times New Roman" w:eastAsia="仿宋_GB2312" w:cs="Times New Roman"/>
          <w:color w:val="000000"/>
          <w:kern w:val="2"/>
          <w:sz w:val="32"/>
          <w:szCs w:val="32"/>
          <w:highlight w:val="none"/>
          <w:shd w:val="clear" w:color="auto" w:fill="FFFFFF"/>
          <w:lang w:val="zh-CN"/>
        </w:rPr>
        <w:t>月预算执行总体进度为</w:t>
      </w:r>
      <w:r>
        <w:rPr>
          <w:rFonts w:hint="eastAsia" w:eastAsia="仿宋_GB2312" w:cs="Times New Roman"/>
          <w:color w:val="000000"/>
          <w:kern w:val="2"/>
          <w:sz w:val="32"/>
          <w:szCs w:val="32"/>
          <w:highlight w:val="none"/>
          <w:shd w:val="clear" w:color="auto" w:fill="FFFFFF"/>
          <w:lang w:val="en-US" w:eastAsia="zh-CN"/>
        </w:rPr>
        <w:t>100</w:t>
      </w:r>
      <w:r>
        <w:rPr>
          <w:rFonts w:ascii="Times New Roman" w:hAnsi="Times New Roman" w:eastAsia="仿宋_GB2312" w:cs="Times New Roman"/>
          <w:color w:val="000000"/>
          <w:kern w:val="2"/>
          <w:sz w:val="32"/>
          <w:szCs w:val="32"/>
          <w:highlight w:val="none"/>
          <w:shd w:val="clear" w:color="auto" w:fill="FFFFFF"/>
          <w:lang w:val="zh-CN"/>
        </w:rPr>
        <w:t>%，其中：</w:t>
      </w:r>
      <w:r>
        <w:rPr>
          <w:rFonts w:ascii="Times New Roman" w:hAnsi="Times New Roman" w:eastAsia="仿宋_GB2312" w:cs="Times New Roman"/>
          <w:color w:val="000000"/>
          <w:kern w:val="2"/>
          <w:sz w:val="32"/>
          <w:szCs w:val="32"/>
          <w:highlight w:val="none"/>
          <w:shd w:val="clear" w:color="auto" w:fill="FFFFFF"/>
          <w:lang w:val="zh-CN" w:eastAsia="zh-CN"/>
        </w:rPr>
        <w:t>预算结余率大于10%的项目共计</w:t>
      </w:r>
      <w:r>
        <w:rPr>
          <w:rFonts w:hint="eastAsia" w:eastAsia="仿宋_GB2312" w:cs="Times New Roman"/>
          <w:color w:val="000000"/>
          <w:kern w:val="2"/>
          <w:sz w:val="32"/>
          <w:szCs w:val="32"/>
          <w:highlight w:val="none"/>
          <w:shd w:val="clear" w:color="auto" w:fill="FFFFFF"/>
          <w:lang w:val="en-US" w:eastAsia="zh-CN"/>
        </w:rPr>
        <w:t>0</w:t>
      </w:r>
      <w:r>
        <w:rPr>
          <w:rFonts w:ascii="Times New Roman" w:hAnsi="Times New Roman" w:eastAsia="仿宋_GB2312" w:cs="Times New Roman"/>
          <w:color w:val="000000"/>
          <w:kern w:val="2"/>
          <w:sz w:val="32"/>
          <w:szCs w:val="32"/>
          <w:highlight w:val="none"/>
          <w:shd w:val="clear" w:color="auto" w:fill="FFFFFF"/>
          <w:lang w:val="zh-CN" w:eastAsia="zh-CN"/>
        </w:rPr>
        <w:t>个。</w:t>
      </w:r>
    </w:p>
    <w:p w14:paraId="482241AC">
      <w:pPr>
        <w:keepNext w:val="0"/>
        <w:keepLines w:val="0"/>
        <w:pageBreakBefore w:val="0"/>
        <w:widowControl w:val="0"/>
        <w:kinsoku/>
        <w:wordWrap/>
        <w:overflowPunct/>
        <w:topLinePunct w:val="0"/>
        <w:autoSpaceDE/>
        <w:autoSpaceDN/>
        <w:adjustRightInd/>
        <w:snapToGrid/>
        <w:spacing w:line="590" w:lineRule="exact"/>
        <w:ind w:left="0" w:firstLine="640" w:firstLineChars="200"/>
        <w:contextualSpacing/>
        <w:rPr>
          <w:rFonts w:ascii="Times New Roman" w:hAnsi="Times New Roman" w:eastAsia="仿宋_GB2312" w:cs="Times New Roman"/>
          <w:color w:val="000000"/>
          <w:kern w:val="2"/>
          <w:sz w:val="32"/>
          <w:szCs w:val="32"/>
          <w:highlight w:val="none"/>
          <w:shd w:val="clear" w:color="auto" w:fill="FFFFFF"/>
          <w:lang w:val="zh-CN" w:eastAsia="zh-CN"/>
        </w:rPr>
      </w:pPr>
      <w:r>
        <w:rPr>
          <w:rFonts w:ascii="Times New Roman" w:hAnsi="Times New Roman" w:eastAsia="仿宋_GB2312" w:cs="Times New Roman"/>
          <w:color w:val="000000"/>
          <w:kern w:val="2"/>
          <w:sz w:val="32"/>
          <w:szCs w:val="32"/>
          <w:highlight w:val="none"/>
          <w:shd w:val="clear" w:color="auto" w:fill="FFFFFF"/>
          <w:lang w:val="zh-CN" w:eastAsia="zh-CN"/>
        </w:rPr>
        <w:t>阶段（一次性）项目绩效分析。该类项目总数</w:t>
      </w:r>
      <w:r>
        <w:rPr>
          <w:rFonts w:hint="eastAsia" w:eastAsia="仿宋_GB2312" w:cs="Times New Roman"/>
          <w:color w:val="000000"/>
          <w:kern w:val="2"/>
          <w:sz w:val="32"/>
          <w:szCs w:val="32"/>
          <w:highlight w:val="none"/>
          <w:shd w:val="clear" w:color="auto" w:fill="FFFFFF"/>
          <w:lang w:val="en-US" w:eastAsia="zh-CN"/>
        </w:rPr>
        <w:t>11</w:t>
      </w:r>
      <w:r>
        <w:rPr>
          <w:rFonts w:ascii="Times New Roman" w:hAnsi="Times New Roman" w:eastAsia="仿宋_GB2312" w:cs="Times New Roman"/>
          <w:color w:val="000000"/>
          <w:kern w:val="2"/>
          <w:sz w:val="32"/>
          <w:szCs w:val="32"/>
          <w:highlight w:val="none"/>
          <w:shd w:val="clear" w:color="auto" w:fill="FFFFFF"/>
          <w:lang w:val="zh-CN" w:eastAsia="zh-CN"/>
        </w:rPr>
        <w:t>个，涉及预算总金额</w:t>
      </w:r>
      <w:r>
        <w:rPr>
          <w:rFonts w:hint="eastAsia" w:eastAsia="仿宋_GB2312" w:cs="Times New Roman"/>
          <w:color w:val="000000"/>
          <w:kern w:val="2"/>
          <w:sz w:val="32"/>
          <w:szCs w:val="32"/>
          <w:highlight w:val="none"/>
          <w:shd w:val="clear" w:color="auto" w:fill="FFFFFF"/>
          <w:lang w:val="en-US" w:eastAsia="zh-CN"/>
        </w:rPr>
        <w:t>7107.71</w:t>
      </w:r>
      <w:r>
        <w:rPr>
          <w:rFonts w:ascii="Times New Roman" w:hAnsi="Times New Roman" w:eastAsia="仿宋_GB2312" w:cs="Times New Roman"/>
          <w:color w:val="000000"/>
          <w:kern w:val="2"/>
          <w:sz w:val="32"/>
          <w:szCs w:val="32"/>
          <w:highlight w:val="none"/>
          <w:shd w:val="clear" w:color="auto" w:fill="FFFFFF"/>
          <w:lang w:val="zh-CN" w:eastAsia="zh-CN"/>
        </w:rPr>
        <w:t>万元，</w:t>
      </w:r>
      <w:r>
        <w:rPr>
          <w:rFonts w:ascii="Times New Roman" w:hAnsi="Times New Roman" w:eastAsia="仿宋_GB2312" w:cs="Times New Roman"/>
          <w:color w:val="000000"/>
          <w:kern w:val="2"/>
          <w:sz w:val="32"/>
          <w:szCs w:val="32"/>
          <w:highlight w:val="none"/>
          <w:shd w:val="clear" w:color="auto" w:fill="FFFFFF"/>
          <w:lang w:val="zh-CN"/>
        </w:rPr>
        <w:t>1</w:t>
      </w:r>
      <w:r>
        <w:rPr>
          <w:rFonts w:ascii="Times New Roman" w:hAnsi="Times New Roman" w:eastAsia="仿宋_GB2312" w:cs="Times New Roman"/>
          <w:color w:val="000000"/>
          <w:kern w:val="2"/>
          <w:sz w:val="32"/>
          <w:szCs w:val="32"/>
          <w:highlight w:val="none"/>
          <w:shd w:val="clear" w:color="auto" w:fill="FFFFFF"/>
          <w:lang w:val="zh-CN" w:eastAsia="zh-CN"/>
        </w:rPr>
        <w:t>—</w:t>
      </w:r>
      <w:r>
        <w:rPr>
          <w:rFonts w:ascii="Times New Roman" w:hAnsi="Times New Roman" w:eastAsia="仿宋_GB2312" w:cs="Times New Roman"/>
          <w:color w:val="000000"/>
          <w:kern w:val="2"/>
          <w:sz w:val="32"/>
          <w:szCs w:val="32"/>
          <w:highlight w:val="none"/>
          <w:shd w:val="clear" w:color="auto" w:fill="FFFFFF"/>
          <w:lang w:val="zh-CN"/>
        </w:rPr>
        <w:t>1</w:t>
      </w:r>
      <w:r>
        <w:rPr>
          <w:rFonts w:ascii="Times New Roman" w:hAnsi="Times New Roman" w:eastAsia="仿宋_GB2312" w:cs="Times New Roman"/>
          <w:color w:val="000000"/>
          <w:kern w:val="2"/>
          <w:sz w:val="32"/>
          <w:szCs w:val="32"/>
          <w:highlight w:val="none"/>
          <w:shd w:val="clear" w:color="auto" w:fill="FFFFFF"/>
          <w:lang w:val="zh-CN" w:eastAsia="zh-CN"/>
        </w:rPr>
        <w:t>2</w:t>
      </w:r>
      <w:r>
        <w:rPr>
          <w:rFonts w:ascii="Times New Roman" w:hAnsi="Times New Roman" w:eastAsia="仿宋_GB2312" w:cs="Times New Roman"/>
          <w:color w:val="000000"/>
          <w:kern w:val="2"/>
          <w:sz w:val="32"/>
          <w:szCs w:val="32"/>
          <w:highlight w:val="none"/>
          <w:shd w:val="clear" w:color="auto" w:fill="FFFFFF"/>
          <w:lang w:val="zh-CN"/>
        </w:rPr>
        <w:t>月预算执行总体进度为</w:t>
      </w:r>
      <w:r>
        <w:rPr>
          <w:rFonts w:hint="eastAsia" w:eastAsia="仿宋_GB2312" w:cs="Times New Roman"/>
          <w:color w:val="000000"/>
          <w:kern w:val="2"/>
          <w:sz w:val="32"/>
          <w:szCs w:val="32"/>
          <w:highlight w:val="none"/>
          <w:shd w:val="clear" w:color="auto" w:fill="FFFFFF"/>
          <w:lang w:val="en-US" w:eastAsia="zh-CN"/>
        </w:rPr>
        <w:t xml:space="preserve"> 76.87</w:t>
      </w:r>
      <w:r>
        <w:rPr>
          <w:rFonts w:ascii="Times New Roman" w:hAnsi="Times New Roman" w:eastAsia="仿宋_GB2312" w:cs="Times New Roman"/>
          <w:color w:val="000000"/>
          <w:kern w:val="2"/>
          <w:sz w:val="32"/>
          <w:szCs w:val="32"/>
          <w:highlight w:val="none"/>
          <w:shd w:val="clear" w:color="auto" w:fill="FFFFFF"/>
          <w:lang w:val="zh-CN"/>
        </w:rPr>
        <w:t>%，其中：</w:t>
      </w:r>
      <w:r>
        <w:rPr>
          <w:rFonts w:ascii="Times New Roman" w:hAnsi="Times New Roman" w:eastAsia="仿宋_GB2312" w:cs="Times New Roman"/>
          <w:color w:val="000000"/>
          <w:kern w:val="2"/>
          <w:sz w:val="32"/>
          <w:szCs w:val="32"/>
          <w:highlight w:val="none"/>
          <w:shd w:val="clear" w:color="auto" w:fill="FFFFFF"/>
          <w:lang w:val="zh-CN" w:eastAsia="zh-CN"/>
        </w:rPr>
        <w:t>预算结余率大于10%的项目共计</w:t>
      </w:r>
      <w:r>
        <w:rPr>
          <w:rFonts w:hint="eastAsia" w:eastAsia="仿宋_GB2312" w:cs="Times New Roman"/>
          <w:color w:val="000000"/>
          <w:kern w:val="2"/>
          <w:sz w:val="32"/>
          <w:szCs w:val="32"/>
          <w:highlight w:val="none"/>
          <w:shd w:val="clear" w:color="auto" w:fill="FFFFFF"/>
          <w:lang w:val="en-US" w:eastAsia="zh-CN"/>
        </w:rPr>
        <w:t>4</w:t>
      </w:r>
      <w:r>
        <w:rPr>
          <w:rFonts w:ascii="Times New Roman" w:hAnsi="Times New Roman" w:eastAsia="仿宋_GB2312" w:cs="Times New Roman"/>
          <w:color w:val="000000"/>
          <w:kern w:val="2"/>
          <w:sz w:val="32"/>
          <w:szCs w:val="32"/>
          <w:highlight w:val="none"/>
          <w:shd w:val="clear" w:color="auto" w:fill="FFFFFF"/>
          <w:lang w:val="zh-CN" w:eastAsia="zh-CN"/>
        </w:rPr>
        <w:t>个。</w:t>
      </w:r>
    </w:p>
    <w:p w14:paraId="3028E0F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严格落实“三重一大”集体决策制度，大额资金使用事先提交党组会审议比例达100%，会议纪要完整率100%。严格按照有关规定要求操作入库项目12个，且项目与部门职能高度相关，量化指标明确：如“雨污设施清掏6000座、雨污管道疏通40次、防坠网安装8000个、市政设施维修，市政公用井盖日常更换40个、街名牌损坏5个、城区道路路灯维修耗材采购，凤舞琼花公园及琼江生态湿地公园设施设备维修维护和城区52.86万平方米绿化养护以及城区68个路灯户号和230个消防栓的维护以及对城区320万㎡面积进行清扫保洁、城区11座公厕的维修维护和对城区所有环卫设施设备的更换、维修维护和按需对城区建渣等突击处理等，符合“可量化、可考核”要求。维度较全面：涵盖产出（数量、质量）、效益（社会影响）、满意度（服务对象反馈）、成本（人均/单次成本控制），形成完整目标体系。</w:t>
      </w:r>
    </w:p>
    <w:p w14:paraId="2ACFC52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。本年度预算编制遵循“量入为出、收支平衡”的原则，项目资金用途与目标高度匹配，项目调整次数少，预算约束有力，未超范围使用</w:t>
      </w:r>
      <w:r>
        <w:rPr>
          <w:rFonts w:hint="eastAsia" w:eastAsia="仿宋_GB2312" w:cs="仿宋_GB2312"/>
          <w:color w:val="auto"/>
          <w:kern w:val="2"/>
          <w:sz w:val="32"/>
          <w:szCs w:val="32"/>
          <w:highlight w:val="none"/>
          <w:lang w:val="zh-CN" w:eastAsia="zh-CN" w:bidi="ar-SA"/>
        </w:rPr>
        <w:t>项目资金</w:t>
      </w:r>
      <w:r>
        <w:rPr>
          <w:rFonts w:hint="eastAsia" w:ascii="Times New Roman" w:hAnsi="Times New Roman" w:eastAsia="仿宋_GB2312" w:cs="仿宋_GB2312"/>
          <w:color w:val="auto"/>
          <w:kern w:val="2"/>
          <w:sz w:val="32"/>
          <w:szCs w:val="32"/>
          <w:highlight w:val="none"/>
          <w:lang w:val="zh-CN" w:eastAsia="zh-CN" w:bidi="ar-SA"/>
        </w:rPr>
        <w:t>。</w:t>
      </w:r>
    </w:p>
    <w:p w14:paraId="0DED4E7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部门核心指标中12个项目全面完成绩效目标，占比100%。全年完成城市管理各项工作，群众满意度≥95%，提升城市形象，给市民营造干净整洁，文明法治的生活环境。保障城区市容市貌秩序井然，增强市民对良好生活环境的获得感和幸福感。</w:t>
      </w:r>
    </w:p>
    <w:p w14:paraId="41BD39AC">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zh-CN" w:eastAsia="zh-CN" w:bidi="ar-SA"/>
        </w:rPr>
        <w:t>根据绩效评价结果，调整下年度预算分配。建立“绩效目标-执行进度-资金支付”联动机制，提高年终执行率。将项目执行成效与股室考核挂钩，作为股室年度评优的重要依据。</w:t>
      </w:r>
    </w:p>
    <w:p w14:paraId="318590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F01B571">
      <w:pPr>
        <w:spacing w:line="540" w:lineRule="exact"/>
        <w:ind w:firstLine="720"/>
        <w:rPr>
          <w:rFonts w:hint="eastAsia" w:ascii="仿宋_GB2312" w:hAnsi="仿宋_GB2312" w:eastAsia="仿宋_GB2312" w:cs="仿宋_GB2312"/>
          <w:color w:val="000000"/>
          <w:sz w:val="32"/>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color w:val="000000"/>
          <w:sz w:val="32"/>
          <w:szCs w:val="32"/>
          <w:shd w:val="clear" w:color="auto" w:fill="FFFFFF"/>
          <w:lang w:val="zh-CN"/>
        </w:rPr>
        <w:t>按照预算绩效管理要求，本部门对</w:t>
      </w:r>
      <w:r>
        <w:rPr>
          <w:rFonts w:ascii="Times New Roman" w:hAnsi="Times New Roman" w:eastAsia="仿宋_GB2312" w:cs="Times New Roman"/>
          <w:color w:val="000000"/>
          <w:sz w:val="32"/>
          <w:szCs w:val="32"/>
          <w:shd w:val="clear" w:color="auto" w:fill="FFFFFF"/>
          <w:lang w:val="zh-CN"/>
        </w:rPr>
        <w:t>20</w:t>
      </w:r>
      <w:r>
        <w:rPr>
          <w:rFonts w:ascii="Times New Roman" w:hAnsi="Times New Roman" w:eastAsia="仿宋_GB2312" w:cs="Times New Roman"/>
          <w:color w:val="000000"/>
          <w:sz w:val="32"/>
          <w:szCs w:val="32"/>
          <w:shd w:val="clear" w:color="auto" w:fill="FFFFFF"/>
          <w:lang w:val="en-US" w:eastAsia="zh-CN"/>
        </w:rPr>
        <w:t>2</w:t>
      </w:r>
      <w:r>
        <w:rPr>
          <w:rFonts w:eastAsia="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val="zh-CN"/>
        </w:rPr>
        <w:t>年整体支出开展绩效自评，单位预算编制及时，预算执行规范，资金综合管理制度健全，</w:t>
      </w:r>
      <w:r>
        <w:rPr>
          <w:rFonts w:hint="eastAsia" w:ascii="仿宋_GB2312" w:hAnsi="仿宋_GB2312" w:eastAsia="仿宋_GB2312" w:cs="仿宋_GB2312"/>
          <w:color w:val="000000"/>
          <w:sz w:val="32"/>
          <w:szCs w:val="32"/>
          <w:shd w:val="clear" w:color="auto" w:fill="FFFFFF"/>
          <w:lang w:val="en-US" w:eastAsia="zh-CN"/>
        </w:rPr>
        <w:t>综合评价得分</w:t>
      </w:r>
      <w:r>
        <w:rPr>
          <w:rFonts w:hint="eastAsia" w:eastAsia="仿宋_GB2312" w:cs="Times New Roman"/>
          <w:color w:val="000000"/>
          <w:sz w:val="32"/>
          <w:szCs w:val="32"/>
          <w:highlight w:val="none"/>
          <w:shd w:val="clear" w:color="auto" w:fill="FFFFFF"/>
          <w:lang w:val="en-US" w:eastAsia="zh-CN"/>
        </w:rPr>
        <w:t>92.4</w:t>
      </w:r>
      <w:r>
        <w:rPr>
          <w:rFonts w:hint="eastAsia" w:ascii="仿宋_GB2312" w:hAnsi="仿宋_GB2312" w:eastAsia="仿宋_GB2312" w:cs="仿宋_GB2312"/>
          <w:color w:val="000000"/>
          <w:sz w:val="32"/>
          <w:szCs w:val="32"/>
          <w:shd w:val="clear" w:color="auto" w:fill="FFFFFF"/>
          <w:lang w:val="en-US" w:eastAsia="zh-CN"/>
        </w:rPr>
        <w:t>分，</w:t>
      </w:r>
      <w:r>
        <w:rPr>
          <w:rFonts w:hint="eastAsia" w:ascii="仿宋_GB2312" w:hAnsi="仿宋_GB2312" w:eastAsia="仿宋_GB2312" w:cs="仿宋_GB2312"/>
          <w:color w:val="000000"/>
          <w:sz w:val="32"/>
          <w:szCs w:val="32"/>
          <w:shd w:val="clear" w:color="auto" w:fill="FFFFFF"/>
          <w:lang w:val="zh-CN"/>
        </w:rPr>
        <w:t>整体效益较好。</w:t>
      </w:r>
    </w:p>
    <w:p w14:paraId="2FA20638">
      <w:pPr>
        <w:keepNext w:val="0"/>
        <w:keepLines w:val="0"/>
        <w:pageBreakBefore w:val="0"/>
        <w:widowControl w:val="0"/>
        <w:kinsoku/>
        <w:wordWrap/>
        <w:overflowPunct/>
        <w:topLinePunct w:val="0"/>
        <w:autoSpaceDE/>
        <w:autoSpaceDN/>
        <w:adjustRightInd/>
        <w:snapToGrid/>
        <w:spacing w:line="590" w:lineRule="exact"/>
        <w:ind w:left="0" w:firstLine="643" w:firstLineChars="200"/>
        <w:contextualSpacing/>
        <w:rPr>
          <w:rFonts w:hint="eastAsia" w:ascii="仿宋_GB2312" w:hAnsi="仿宋_GB2312" w:eastAsia="仿宋_GB2312" w:cs="仿宋_GB2312"/>
          <w:color w:val="000000"/>
          <w:kern w:val="2"/>
          <w:sz w:val="32"/>
          <w:szCs w:val="32"/>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ascii="仿宋_GB2312" w:hAnsi="仿宋_GB2312" w:eastAsia="仿宋_GB2312" w:cs="仿宋_GB2312"/>
          <w:color w:val="000000"/>
          <w:kern w:val="2"/>
          <w:sz w:val="32"/>
          <w:szCs w:val="32"/>
          <w:shd w:val="clear" w:color="auto" w:fill="FFFFFF"/>
          <w:lang w:val="zh-CN" w:eastAsia="zh-CN" w:bidi="ar-SA"/>
        </w:rPr>
        <w:t>一是</w:t>
      </w:r>
      <w:r>
        <w:rPr>
          <w:rFonts w:hint="eastAsia" w:ascii="仿宋_GB2312" w:hAnsi="仿宋_GB2312" w:eastAsia="仿宋_GB2312" w:cs="仿宋_GB2312"/>
          <w:color w:val="000000"/>
          <w:kern w:val="2"/>
          <w:sz w:val="32"/>
          <w:szCs w:val="32"/>
          <w:shd w:val="clear" w:color="auto" w:fill="FFFFFF"/>
          <w:lang w:val="zh-CN" w:eastAsia="zh-CN" w:bidi="ar-SA"/>
        </w:rPr>
        <w:t>缺乏专业绩效评价人员</w:t>
      </w:r>
      <w:r>
        <w:rPr>
          <w:rFonts w:ascii="仿宋_GB2312" w:hAnsi="仿宋_GB2312" w:eastAsia="仿宋_GB2312" w:cs="仿宋_GB2312"/>
          <w:color w:val="000000"/>
          <w:kern w:val="2"/>
          <w:sz w:val="32"/>
          <w:szCs w:val="32"/>
          <w:shd w:val="clear" w:color="auto" w:fill="FFFFFF"/>
          <w:lang w:val="zh-CN" w:eastAsia="zh-CN" w:bidi="ar-SA"/>
        </w:rPr>
        <w:t>，绩效</w:t>
      </w:r>
      <w:r>
        <w:rPr>
          <w:rFonts w:hint="eastAsia" w:ascii="仿宋_GB2312" w:hAnsi="仿宋_GB2312" w:eastAsia="仿宋_GB2312" w:cs="仿宋_GB2312"/>
          <w:color w:val="000000"/>
          <w:kern w:val="2"/>
          <w:sz w:val="32"/>
          <w:szCs w:val="32"/>
          <w:shd w:val="clear" w:color="auto" w:fill="FFFFFF"/>
          <w:lang w:val="zh-CN" w:eastAsia="zh-CN" w:bidi="ar-SA"/>
        </w:rPr>
        <w:t>评价</w:t>
      </w:r>
      <w:r>
        <w:rPr>
          <w:rFonts w:ascii="仿宋_GB2312" w:hAnsi="仿宋_GB2312" w:eastAsia="仿宋_GB2312" w:cs="仿宋_GB2312"/>
          <w:color w:val="000000"/>
          <w:kern w:val="2"/>
          <w:sz w:val="32"/>
          <w:szCs w:val="32"/>
          <w:shd w:val="clear" w:color="auto" w:fill="FFFFFF"/>
          <w:lang w:val="zh-CN" w:eastAsia="zh-CN" w:bidi="ar-SA"/>
        </w:rPr>
        <w:t>工作质效有待提高</w:t>
      </w:r>
      <w:r>
        <w:rPr>
          <w:rFonts w:hint="eastAsia" w:ascii="仿宋_GB2312" w:hAnsi="仿宋_GB2312" w:eastAsia="仿宋_GB2312" w:cs="仿宋_GB2312"/>
          <w:color w:val="000000"/>
          <w:kern w:val="2"/>
          <w:sz w:val="32"/>
          <w:szCs w:val="32"/>
          <w:shd w:val="clear" w:color="auto" w:fill="FFFFFF"/>
          <w:lang w:val="zh-CN" w:eastAsia="zh-CN" w:bidi="ar-SA"/>
        </w:rPr>
        <w:t>，不能很好地为单位决策</w:t>
      </w:r>
      <w:r>
        <w:rPr>
          <w:rFonts w:ascii="仿宋_GB2312" w:hAnsi="仿宋_GB2312" w:eastAsia="仿宋_GB2312" w:cs="仿宋_GB2312"/>
          <w:color w:val="000000"/>
          <w:kern w:val="2"/>
          <w:sz w:val="32"/>
          <w:szCs w:val="32"/>
          <w:shd w:val="clear" w:color="auto" w:fill="FFFFFF"/>
          <w:lang w:val="zh-CN" w:eastAsia="zh-CN" w:bidi="ar-SA"/>
        </w:rPr>
        <w:t>及后续财务工作</w:t>
      </w:r>
      <w:r>
        <w:rPr>
          <w:rFonts w:hint="eastAsia" w:ascii="仿宋_GB2312" w:hAnsi="仿宋_GB2312" w:eastAsia="仿宋_GB2312" w:cs="仿宋_GB2312"/>
          <w:color w:val="000000"/>
          <w:kern w:val="2"/>
          <w:sz w:val="32"/>
          <w:szCs w:val="32"/>
          <w:shd w:val="clear" w:color="auto" w:fill="FFFFFF"/>
          <w:lang w:val="zh-CN" w:eastAsia="zh-CN" w:bidi="ar-SA"/>
        </w:rPr>
        <w:t>提供参考。</w:t>
      </w:r>
      <w:r>
        <w:rPr>
          <w:rFonts w:ascii="仿宋_GB2312" w:hAnsi="仿宋_GB2312" w:eastAsia="仿宋_GB2312" w:cs="仿宋_GB2312"/>
          <w:color w:val="000000"/>
          <w:kern w:val="2"/>
          <w:sz w:val="32"/>
          <w:szCs w:val="32"/>
          <w:shd w:val="clear" w:color="auto" w:fill="FFFFFF"/>
          <w:lang w:val="zh-CN" w:eastAsia="zh-CN" w:bidi="ar-SA"/>
        </w:rPr>
        <w:t>二是部门</w:t>
      </w:r>
      <w:r>
        <w:rPr>
          <w:rFonts w:hint="eastAsia" w:ascii="仿宋_GB2312" w:hAnsi="仿宋_GB2312" w:eastAsia="仿宋_GB2312" w:cs="仿宋_GB2312"/>
          <w:b w:val="0"/>
          <w:bCs w:val="0"/>
          <w:i w:val="0"/>
          <w:iCs w:val="0"/>
          <w:caps w:val="0"/>
          <w:smallCaps w:val="0"/>
          <w:vanish w:val="0"/>
          <w:color w:val="000000"/>
          <w:spacing w:val="0"/>
          <w:sz w:val="32"/>
          <w:szCs w:val="32"/>
          <w:shd w:val="clear" w:color="auto" w:fill="FFFFFF"/>
          <w:lang w:val="zh-CN"/>
        </w:rPr>
        <w:t>部分老旧资产盘活周期较长。</w:t>
      </w:r>
    </w:p>
    <w:p w14:paraId="0919A443">
      <w:pPr>
        <w:spacing w:line="560" w:lineRule="exact"/>
        <w:ind w:firstLine="643" w:firstLineChars="200"/>
        <w:contextualSpacing/>
        <w:rPr>
          <w:rFonts w:hint="eastAsia" w:ascii="仿宋_GB2312"/>
          <w:b w:val="0"/>
          <w:kern w:val="2"/>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76" w:name="_Hlk110546638"/>
      <w:r>
        <w:rPr>
          <w:rFonts w:hint="eastAsia" w:ascii="仿宋_GB2312" w:hAnsi="仿宋_GB2312" w:eastAsia="仿宋_GB2312" w:cs="仿宋_GB2312"/>
          <w:color w:val="000000"/>
          <w:kern w:val="2"/>
          <w:sz w:val="32"/>
          <w:szCs w:val="32"/>
          <w:shd w:val="clear" w:color="auto" w:fill="FFFFFF"/>
          <w:lang w:val="zh-CN" w:eastAsia="zh-CN" w:bidi="ar-SA"/>
        </w:rPr>
        <w:t>一是细化预决算编制工作，认真做好预决算的编制。进一步加强单位内部机构各股室的预算管理意识，严格按照预决算编制的相关制度和要求进行预决算编制；全面编制预算项目，优先保障固定性的、相对刚性的费用支出项目，尽量压缩变动性的、有控制空间的费用项目，进一步提高预算编制的科学性、严谨性和可控性。二是</w:t>
      </w:r>
      <w:r>
        <w:rPr>
          <w:rFonts w:hint="eastAsia" w:ascii="仿宋_GB2312" w:hAnsi="仿宋_GB2312" w:eastAsia="仿宋_GB2312" w:cs="仿宋_GB2312"/>
          <w:b w:val="0"/>
          <w:bCs w:val="0"/>
          <w:kern w:val="0"/>
          <w:position w:val="0"/>
          <w:sz w:val="32"/>
          <w:szCs w:val="32"/>
          <w:lang w:val="en-US" w:eastAsia="zh-CN" w:bidi="ar-SA"/>
        </w:rPr>
        <w:t>强化</w:t>
      </w:r>
      <w:r>
        <w:rPr>
          <w:rFonts w:ascii="仿宋_GB2312" w:hAnsi="仿宋_GB2312" w:eastAsia="仿宋_GB2312" w:cs="仿宋_GB2312"/>
          <w:b w:val="0"/>
          <w:bCs w:val="0"/>
          <w:kern w:val="0"/>
          <w:position w:val="0"/>
          <w:sz w:val="32"/>
          <w:szCs w:val="32"/>
          <w:lang w:val="en-US" w:eastAsia="zh-CN" w:bidi="ar-SA"/>
        </w:rPr>
        <w:t>业务</w:t>
      </w:r>
      <w:r>
        <w:rPr>
          <w:rFonts w:hint="eastAsia" w:ascii="仿宋_GB2312" w:hAnsi="仿宋_GB2312" w:eastAsia="仿宋_GB2312" w:cs="仿宋_GB2312"/>
          <w:b w:val="0"/>
          <w:bCs w:val="0"/>
          <w:kern w:val="0"/>
          <w:position w:val="0"/>
          <w:sz w:val="32"/>
          <w:szCs w:val="32"/>
          <w:lang w:val="en-US" w:eastAsia="zh-CN" w:bidi="ar-SA"/>
        </w:rPr>
        <w:t>培训</w:t>
      </w:r>
      <w:r>
        <w:rPr>
          <w:rFonts w:ascii="仿宋_GB2312" w:hAnsi="仿宋_GB2312" w:eastAsia="仿宋_GB2312" w:cs="仿宋_GB2312"/>
          <w:b w:val="0"/>
          <w:bCs w:val="0"/>
          <w:kern w:val="0"/>
          <w:position w:val="0"/>
          <w:sz w:val="32"/>
          <w:szCs w:val="32"/>
          <w:lang w:val="en-US" w:eastAsia="zh-CN" w:bidi="ar-SA"/>
        </w:rPr>
        <w:t>，对财务有关工作人员加强业务培训，持续提升其业务能力，</w:t>
      </w:r>
      <w:r>
        <w:rPr>
          <w:rFonts w:hint="eastAsia" w:ascii="仿宋_GB2312" w:hAnsi="仿宋_GB2312" w:eastAsia="仿宋_GB2312" w:cs="仿宋_GB2312"/>
          <w:color w:val="000000"/>
          <w:kern w:val="2"/>
          <w:sz w:val="32"/>
          <w:szCs w:val="32"/>
          <w:shd w:val="clear" w:color="auto" w:fill="FFFFFF"/>
          <w:lang w:val="zh-CN" w:eastAsia="zh-CN" w:bidi="ar-SA"/>
        </w:rPr>
        <w:t>切实提高部门预算收支管理水平。三是加强</w:t>
      </w:r>
      <w:r>
        <w:rPr>
          <w:rFonts w:ascii="仿宋_GB2312" w:hAnsi="仿宋_GB2312" w:eastAsia="仿宋_GB2312" w:cs="仿宋_GB2312"/>
          <w:color w:val="000000"/>
          <w:sz w:val="32"/>
          <w:szCs w:val="32"/>
          <w:shd w:val="clear" w:color="auto" w:fill="FFFFFF"/>
          <w:lang w:val="zh-CN"/>
        </w:rPr>
        <w:t>国有资产管理，建立完善国有资产有关台账，做好财务工作交接</w:t>
      </w:r>
      <w:r>
        <w:rPr>
          <w:rFonts w:hint="eastAsia" w:ascii="仿宋_GB2312" w:hAnsi="仿宋_GB2312" w:eastAsia="仿宋_GB2312" w:cs="仿宋_GB2312"/>
          <w:color w:val="000000"/>
          <w:kern w:val="2"/>
          <w:sz w:val="32"/>
          <w:szCs w:val="32"/>
          <w:shd w:val="clear" w:color="auto" w:fill="FFFFFF"/>
          <w:lang w:val="zh-CN" w:eastAsia="zh-CN" w:bidi="ar-SA"/>
        </w:rPr>
        <w:t>。</w:t>
      </w:r>
    </w:p>
    <w:bookmarkEnd w:id="76"/>
    <w:p w14:paraId="4D9C3966">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74608FD4">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1.部门整体支出绩效自评表</w:t>
      </w:r>
    </w:p>
    <w:p w14:paraId="21CE9FE2">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w:t>
      </w:r>
    </w:p>
    <w:p w14:paraId="3A4ABECF">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C6837CE">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587F743">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3C24E301">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23D9341A">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304C155A">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2744D59B">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sectPr>
          <w:footerReference r:id="rId7" w:type="default"/>
          <w:pgSz w:w="11906" w:h="16838"/>
          <w:pgMar w:top="1440" w:right="1800" w:bottom="1440" w:left="1800" w:header="851" w:footer="992" w:gutter="0"/>
          <w:pgNumType w:fmt="numberInDash" w:start="1"/>
          <w:cols w:space="425" w:num="1"/>
          <w:docGrid w:type="lines" w:linePitch="312" w:charSpace="0"/>
        </w:sectPr>
      </w:pPr>
    </w:p>
    <w:tbl>
      <w:tblPr>
        <w:tblStyle w:val="20"/>
        <w:tblW w:w="15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923"/>
        <w:gridCol w:w="1475"/>
        <w:gridCol w:w="700"/>
        <w:gridCol w:w="3163"/>
        <w:gridCol w:w="6507"/>
        <w:gridCol w:w="652"/>
        <w:gridCol w:w="817"/>
      </w:tblGrid>
      <w:tr w14:paraId="61EC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5040" w:type="dxa"/>
            <w:gridSpan w:val="8"/>
            <w:tcBorders>
              <w:top w:val="nil"/>
              <w:left w:val="nil"/>
              <w:bottom w:val="nil"/>
              <w:right w:val="nil"/>
            </w:tcBorders>
            <w:shd w:val="clear" w:color="auto" w:fill="auto"/>
            <w:vAlign w:val="center"/>
          </w:tcPr>
          <w:p w14:paraId="1FA823BA">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18"/>
                <w:szCs w:val="18"/>
                <w:u w:val="none"/>
              </w:rPr>
            </w:pPr>
            <w:r>
              <w:rPr>
                <w:rFonts w:hint="eastAsia" w:ascii="方正小标宋简体" w:hAnsi="方正小标宋简体" w:eastAsia="方正小标宋简体" w:cs="方正小标宋简体"/>
                <w:i w:val="0"/>
                <w:iCs w:val="0"/>
                <w:color w:val="auto"/>
                <w:kern w:val="0"/>
                <w:sz w:val="28"/>
                <w:szCs w:val="28"/>
                <w:u w:val="none"/>
                <w:lang w:val="en-US" w:eastAsia="zh-CN" w:bidi="ar"/>
              </w:rPr>
              <w:t>部门整体支出绩效自评表</w:t>
            </w:r>
          </w:p>
        </w:tc>
      </w:tr>
      <w:tr w14:paraId="334E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3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91611">
            <w:pPr>
              <w:keepNext w:val="0"/>
              <w:keepLines w:val="0"/>
              <w:widowControl/>
              <w:suppressLineNumbers w:val="0"/>
              <w:jc w:val="center"/>
              <w:textAlignment w:val="center"/>
              <w:rPr>
                <w:rFonts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绩效指标</w:t>
            </w:r>
          </w:p>
        </w:tc>
        <w:tc>
          <w:tcPr>
            <w:tcW w:w="3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2F10">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指标解释</w:t>
            </w:r>
          </w:p>
        </w:tc>
        <w:tc>
          <w:tcPr>
            <w:tcW w:w="6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6070C">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评分说明</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F0071">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自评得分</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EF86">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备注</w:t>
            </w:r>
          </w:p>
        </w:tc>
      </w:tr>
      <w:tr w14:paraId="49CD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03" w:type="dxa"/>
            <w:tcBorders>
              <w:top w:val="single" w:color="000000" w:sz="4" w:space="0"/>
              <w:left w:val="single" w:color="000000" w:sz="4" w:space="0"/>
              <w:bottom w:val="single" w:color="000000" w:sz="4" w:space="0"/>
              <w:right w:val="nil"/>
            </w:tcBorders>
            <w:shd w:val="clear" w:color="auto" w:fill="auto"/>
            <w:vAlign w:val="center"/>
          </w:tcPr>
          <w:p w14:paraId="68C35A2C">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一级指标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0487">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52E">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D06D">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指标分值</w:t>
            </w:r>
          </w:p>
        </w:tc>
        <w:tc>
          <w:tcPr>
            <w:tcW w:w="3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A7F0">
            <w:pPr>
              <w:jc w:val="left"/>
              <w:rPr>
                <w:rFonts w:hint="eastAsia" w:ascii="黑体" w:hAnsi="宋体" w:eastAsia="黑体" w:cs="黑体"/>
                <w:i w:val="0"/>
                <w:iCs w:val="0"/>
                <w:color w:val="auto"/>
                <w:sz w:val="18"/>
                <w:szCs w:val="18"/>
                <w:u w:val="none"/>
              </w:rPr>
            </w:pPr>
          </w:p>
        </w:tc>
        <w:tc>
          <w:tcPr>
            <w:tcW w:w="6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FF56">
            <w:pPr>
              <w:jc w:val="left"/>
              <w:rPr>
                <w:rFonts w:hint="eastAsia" w:ascii="黑体" w:hAnsi="宋体" w:eastAsia="黑体" w:cs="黑体"/>
                <w:i w:val="0"/>
                <w:iCs w:val="0"/>
                <w:color w:val="auto"/>
                <w:sz w:val="18"/>
                <w:szCs w:val="18"/>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A7BD">
            <w:pPr>
              <w:jc w:val="center"/>
              <w:rPr>
                <w:rFonts w:hint="eastAsia" w:ascii="黑体" w:hAnsi="宋体" w:eastAsia="黑体" w:cs="黑体"/>
                <w:i w:val="0"/>
                <w:iCs w:val="0"/>
                <w:color w:val="auto"/>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D748">
            <w:pPr>
              <w:jc w:val="center"/>
              <w:rPr>
                <w:rFonts w:hint="eastAsia" w:ascii="黑体" w:hAnsi="宋体" w:eastAsia="黑体" w:cs="黑体"/>
                <w:i w:val="0"/>
                <w:iCs w:val="0"/>
                <w:color w:val="auto"/>
                <w:sz w:val="18"/>
                <w:szCs w:val="18"/>
                <w:u w:val="none"/>
              </w:rPr>
            </w:pPr>
          </w:p>
        </w:tc>
      </w:tr>
      <w:tr w14:paraId="19EC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FEE3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总体绩效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（65分）</w:t>
            </w:r>
          </w:p>
        </w:tc>
        <w:tc>
          <w:tcPr>
            <w:tcW w:w="923" w:type="dxa"/>
            <w:vMerge w:val="restart"/>
            <w:tcBorders>
              <w:top w:val="single" w:color="000000" w:sz="4" w:space="0"/>
              <w:left w:val="single" w:color="000000" w:sz="4" w:space="0"/>
              <w:bottom w:val="nil"/>
              <w:right w:val="single" w:color="000000" w:sz="4" w:space="0"/>
            </w:tcBorders>
            <w:shd w:val="clear" w:color="auto" w:fill="auto"/>
            <w:vAlign w:val="center"/>
          </w:tcPr>
          <w:p w14:paraId="48CBB6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履职</w:t>
            </w:r>
          </w:p>
          <w:p w14:paraId="59401AF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效能</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（19分）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C1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住房保障履职效果</w:t>
            </w:r>
          </w:p>
        </w:tc>
        <w:tc>
          <w:tcPr>
            <w:tcW w:w="700" w:type="dxa"/>
            <w:vMerge w:val="restart"/>
            <w:tcBorders>
              <w:top w:val="single" w:color="000000" w:sz="4" w:space="0"/>
              <w:left w:val="single" w:color="000000" w:sz="4" w:space="0"/>
              <w:bottom w:val="nil"/>
              <w:right w:val="single" w:color="000000" w:sz="4" w:space="0"/>
            </w:tcBorders>
            <w:shd w:val="clear" w:color="auto" w:fill="auto"/>
            <w:vAlign w:val="center"/>
          </w:tcPr>
          <w:p w14:paraId="7B335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163" w:type="dxa"/>
            <w:vMerge w:val="restart"/>
            <w:tcBorders>
              <w:top w:val="single" w:color="000000" w:sz="4" w:space="0"/>
              <w:left w:val="single" w:color="000000" w:sz="4" w:space="0"/>
              <w:bottom w:val="nil"/>
              <w:right w:val="single" w:color="000000" w:sz="4" w:space="0"/>
            </w:tcBorders>
            <w:shd w:val="clear" w:color="auto" w:fill="auto"/>
            <w:vAlign w:val="center"/>
          </w:tcPr>
          <w:p w14:paraId="138284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部门整体绩效目标中选定4-6个核心职能目标，反映该项职能目标完成效果情况</w:t>
            </w:r>
          </w:p>
        </w:tc>
        <w:tc>
          <w:tcPr>
            <w:tcW w:w="6507" w:type="dxa"/>
            <w:vMerge w:val="restart"/>
            <w:tcBorders>
              <w:top w:val="single" w:color="000000" w:sz="4" w:space="0"/>
              <w:left w:val="single" w:color="000000" w:sz="4" w:space="0"/>
              <w:bottom w:val="nil"/>
              <w:right w:val="single" w:color="000000" w:sz="4" w:space="0"/>
            </w:tcBorders>
            <w:shd w:val="clear" w:color="auto" w:fill="auto"/>
            <w:vAlign w:val="center"/>
          </w:tcPr>
          <w:p w14:paraId="2376B8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52" w:type="dxa"/>
            <w:vMerge w:val="restart"/>
            <w:tcBorders>
              <w:top w:val="single" w:color="000000" w:sz="4" w:space="0"/>
              <w:left w:val="single" w:color="000000" w:sz="4" w:space="0"/>
              <w:bottom w:val="nil"/>
              <w:right w:val="single" w:color="000000" w:sz="4" w:space="0"/>
            </w:tcBorders>
            <w:shd w:val="clear" w:color="auto" w:fill="auto"/>
            <w:vAlign w:val="center"/>
          </w:tcPr>
          <w:p w14:paraId="1BA71E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817" w:type="dxa"/>
            <w:vMerge w:val="restart"/>
            <w:tcBorders>
              <w:top w:val="single" w:color="000000" w:sz="4" w:space="0"/>
              <w:left w:val="single" w:color="000000" w:sz="4" w:space="0"/>
              <w:bottom w:val="nil"/>
              <w:right w:val="single" w:color="000000" w:sz="4" w:space="0"/>
            </w:tcBorders>
            <w:shd w:val="clear" w:color="auto" w:fill="auto"/>
            <w:vAlign w:val="center"/>
          </w:tcPr>
          <w:p w14:paraId="4A905F58">
            <w:pPr>
              <w:jc w:val="center"/>
              <w:rPr>
                <w:rFonts w:hint="eastAsia" w:ascii="宋体" w:hAnsi="宋体" w:eastAsia="宋体" w:cs="宋体"/>
                <w:i w:val="0"/>
                <w:iCs w:val="0"/>
                <w:color w:val="auto"/>
                <w:sz w:val="18"/>
                <w:szCs w:val="18"/>
                <w:u w:val="none"/>
              </w:rPr>
            </w:pPr>
          </w:p>
        </w:tc>
      </w:tr>
      <w:tr w14:paraId="7B12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8C97">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22F2ED1C">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16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建筑行业管理履职效果</w:t>
            </w:r>
          </w:p>
        </w:tc>
        <w:tc>
          <w:tcPr>
            <w:tcW w:w="700" w:type="dxa"/>
            <w:vMerge w:val="continue"/>
            <w:tcBorders>
              <w:top w:val="single" w:color="000000" w:sz="4" w:space="0"/>
              <w:left w:val="single" w:color="000000" w:sz="4" w:space="0"/>
              <w:bottom w:val="nil"/>
              <w:right w:val="single" w:color="000000" w:sz="4" w:space="0"/>
            </w:tcBorders>
            <w:shd w:val="clear" w:color="auto" w:fill="auto"/>
            <w:vAlign w:val="center"/>
          </w:tcPr>
          <w:p w14:paraId="51F2B51B">
            <w:pPr>
              <w:jc w:val="center"/>
              <w:rPr>
                <w:rFonts w:hint="eastAsia" w:ascii="宋体" w:hAnsi="宋体" w:eastAsia="宋体" w:cs="宋体"/>
                <w:i w:val="0"/>
                <w:iCs w:val="0"/>
                <w:color w:val="auto"/>
                <w:sz w:val="18"/>
                <w:szCs w:val="18"/>
                <w:u w:val="none"/>
              </w:rPr>
            </w:pPr>
          </w:p>
        </w:tc>
        <w:tc>
          <w:tcPr>
            <w:tcW w:w="3163" w:type="dxa"/>
            <w:vMerge w:val="continue"/>
            <w:tcBorders>
              <w:top w:val="single" w:color="000000" w:sz="4" w:space="0"/>
              <w:left w:val="single" w:color="000000" w:sz="4" w:space="0"/>
              <w:bottom w:val="nil"/>
              <w:right w:val="single" w:color="000000" w:sz="4" w:space="0"/>
            </w:tcBorders>
            <w:shd w:val="clear" w:color="auto" w:fill="auto"/>
            <w:vAlign w:val="center"/>
          </w:tcPr>
          <w:p w14:paraId="1C54EE38">
            <w:pPr>
              <w:jc w:val="left"/>
              <w:rPr>
                <w:rFonts w:hint="eastAsia" w:ascii="宋体" w:hAnsi="宋体" w:eastAsia="宋体" w:cs="宋体"/>
                <w:i w:val="0"/>
                <w:iCs w:val="0"/>
                <w:color w:val="auto"/>
                <w:sz w:val="18"/>
                <w:szCs w:val="18"/>
                <w:u w:val="none"/>
              </w:rPr>
            </w:pPr>
          </w:p>
        </w:tc>
        <w:tc>
          <w:tcPr>
            <w:tcW w:w="6507" w:type="dxa"/>
            <w:vMerge w:val="continue"/>
            <w:tcBorders>
              <w:top w:val="single" w:color="000000" w:sz="4" w:space="0"/>
              <w:left w:val="single" w:color="000000" w:sz="4" w:space="0"/>
              <w:bottom w:val="nil"/>
              <w:right w:val="single" w:color="000000" w:sz="4" w:space="0"/>
            </w:tcBorders>
            <w:shd w:val="clear" w:color="auto" w:fill="auto"/>
            <w:vAlign w:val="center"/>
          </w:tcPr>
          <w:p w14:paraId="7E1C982E">
            <w:pPr>
              <w:jc w:val="left"/>
              <w:rPr>
                <w:rFonts w:hint="eastAsia" w:ascii="宋体" w:hAnsi="宋体" w:eastAsia="宋体" w:cs="宋体"/>
                <w:i w:val="0"/>
                <w:iCs w:val="0"/>
                <w:color w:val="auto"/>
                <w:sz w:val="18"/>
                <w:szCs w:val="18"/>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14:paraId="639CE580">
            <w:pPr>
              <w:jc w:val="center"/>
              <w:rPr>
                <w:rFonts w:hint="eastAsia" w:ascii="宋体" w:hAnsi="宋体" w:eastAsia="宋体" w:cs="宋体"/>
                <w:i w:val="0"/>
                <w:iCs w:val="0"/>
                <w:color w:val="auto"/>
                <w:sz w:val="18"/>
                <w:szCs w:val="18"/>
                <w:u w:val="none"/>
              </w:rPr>
            </w:pP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4934CB25">
            <w:pPr>
              <w:jc w:val="center"/>
              <w:rPr>
                <w:rFonts w:hint="eastAsia" w:ascii="宋体" w:hAnsi="宋体" w:eastAsia="宋体" w:cs="宋体"/>
                <w:i w:val="0"/>
                <w:iCs w:val="0"/>
                <w:color w:val="auto"/>
                <w:sz w:val="18"/>
                <w:szCs w:val="18"/>
                <w:u w:val="none"/>
              </w:rPr>
            </w:pPr>
          </w:p>
        </w:tc>
      </w:tr>
      <w:tr w14:paraId="0EFD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5A5F">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555DE21C">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26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建设工程质量监督履职效果</w:t>
            </w:r>
          </w:p>
        </w:tc>
        <w:tc>
          <w:tcPr>
            <w:tcW w:w="700" w:type="dxa"/>
            <w:vMerge w:val="continue"/>
            <w:tcBorders>
              <w:top w:val="single" w:color="000000" w:sz="4" w:space="0"/>
              <w:left w:val="single" w:color="000000" w:sz="4" w:space="0"/>
              <w:bottom w:val="nil"/>
              <w:right w:val="single" w:color="000000" w:sz="4" w:space="0"/>
            </w:tcBorders>
            <w:shd w:val="clear" w:color="auto" w:fill="auto"/>
            <w:vAlign w:val="center"/>
          </w:tcPr>
          <w:p w14:paraId="3D4BC681">
            <w:pPr>
              <w:jc w:val="center"/>
              <w:rPr>
                <w:rFonts w:hint="eastAsia" w:ascii="宋体" w:hAnsi="宋体" w:eastAsia="宋体" w:cs="宋体"/>
                <w:i w:val="0"/>
                <w:iCs w:val="0"/>
                <w:color w:val="auto"/>
                <w:sz w:val="18"/>
                <w:szCs w:val="18"/>
                <w:u w:val="none"/>
              </w:rPr>
            </w:pPr>
          </w:p>
        </w:tc>
        <w:tc>
          <w:tcPr>
            <w:tcW w:w="3163" w:type="dxa"/>
            <w:vMerge w:val="continue"/>
            <w:tcBorders>
              <w:top w:val="single" w:color="000000" w:sz="4" w:space="0"/>
              <w:left w:val="single" w:color="000000" w:sz="4" w:space="0"/>
              <w:bottom w:val="nil"/>
              <w:right w:val="single" w:color="000000" w:sz="4" w:space="0"/>
            </w:tcBorders>
            <w:shd w:val="clear" w:color="auto" w:fill="auto"/>
            <w:vAlign w:val="center"/>
          </w:tcPr>
          <w:p w14:paraId="6D06EBC8">
            <w:pPr>
              <w:jc w:val="left"/>
              <w:rPr>
                <w:rFonts w:hint="eastAsia" w:ascii="宋体" w:hAnsi="宋体" w:eastAsia="宋体" w:cs="宋体"/>
                <w:i w:val="0"/>
                <w:iCs w:val="0"/>
                <w:color w:val="auto"/>
                <w:sz w:val="18"/>
                <w:szCs w:val="18"/>
                <w:u w:val="none"/>
              </w:rPr>
            </w:pPr>
          </w:p>
        </w:tc>
        <w:tc>
          <w:tcPr>
            <w:tcW w:w="6507" w:type="dxa"/>
            <w:vMerge w:val="continue"/>
            <w:tcBorders>
              <w:top w:val="single" w:color="000000" w:sz="4" w:space="0"/>
              <w:left w:val="single" w:color="000000" w:sz="4" w:space="0"/>
              <w:bottom w:val="nil"/>
              <w:right w:val="single" w:color="000000" w:sz="4" w:space="0"/>
            </w:tcBorders>
            <w:shd w:val="clear" w:color="auto" w:fill="auto"/>
            <w:vAlign w:val="center"/>
          </w:tcPr>
          <w:p w14:paraId="0AB557DE">
            <w:pPr>
              <w:jc w:val="left"/>
              <w:rPr>
                <w:rFonts w:hint="eastAsia" w:ascii="宋体" w:hAnsi="宋体" w:eastAsia="宋体" w:cs="宋体"/>
                <w:i w:val="0"/>
                <w:iCs w:val="0"/>
                <w:color w:val="auto"/>
                <w:sz w:val="18"/>
                <w:szCs w:val="18"/>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14:paraId="57BD18A6">
            <w:pPr>
              <w:jc w:val="center"/>
              <w:rPr>
                <w:rFonts w:hint="eastAsia" w:ascii="宋体" w:hAnsi="宋体" w:eastAsia="宋体" w:cs="宋体"/>
                <w:i w:val="0"/>
                <w:iCs w:val="0"/>
                <w:color w:val="auto"/>
                <w:sz w:val="18"/>
                <w:szCs w:val="18"/>
                <w:u w:val="none"/>
              </w:rPr>
            </w:pP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8FA4806">
            <w:pPr>
              <w:jc w:val="center"/>
              <w:rPr>
                <w:rFonts w:hint="eastAsia" w:ascii="宋体" w:hAnsi="宋体" w:eastAsia="宋体" w:cs="宋体"/>
                <w:i w:val="0"/>
                <w:iCs w:val="0"/>
                <w:color w:val="auto"/>
                <w:sz w:val="18"/>
                <w:szCs w:val="18"/>
                <w:u w:val="none"/>
              </w:rPr>
            </w:pPr>
          </w:p>
        </w:tc>
      </w:tr>
      <w:tr w14:paraId="72B0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6F8F">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4F16BDF4">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E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设计消防预审履职效果</w:t>
            </w:r>
          </w:p>
        </w:tc>
        <w:tc>
          <w:tcPr>
            <w:tcW w:w="700" w:type="dxa"/>
            <w:vMerge w:val="continue"/>
            <w:tcBorders>
              <w:top w:val="single" w:color="000000" w:sz="4" w:space="0"/>
              <w:left w:val="single" w:color="000000" w:sz="4" w:space="0"/>
              <w:bottom w:val="nil"/>
              <w:right w:val="single" w:color="000000" w:sz="4" w:space="0"/>
            </w:tcBorders>
            <w:shd w:val="clear" w:color="auto" w:fill="auto"/>
            <w:vAlign w:val="center"/>
          </w:tcPr>
          <w:p w14:paraId="2725621B">
            <w:pPr>
              <w:jc w:val="center"/>
              <w:rPr>
                <w:rFonts w:hint="eastAsia" w:ascii="宋体" w:hAnsi="宋体" w:eastAsia="宋体" w:cs="宋体"/>
                <w:i w:val="0"/>
                <w:iCs w:val="0"/>
                <w:color w:val="auto"/>
                <w:sz w:val="18"/>
                <w:szCs w:val="18"/>
                <w:u w:val="none"/>
              </w:rPr>
            </w:pPr>
          </w:p>
        </w:tc>
        <w:tc>
          <w:tcPr>
            <w:tcW w:w="3163" w:type="dxa"/>
            <w:vMerge w:val="continue"/>
            <w:tcBorders>
              <w:top w:val="single" w:color="000000" w:sz="4" w:space="0"/>
              <w:left w:val="single" w:color="000000" w:sz="4" w:space="0"/>
              <w:bottom w:val="nil"/>
              <w:right w:val="single" w:color="000000" w:sz="4" w:space="0"/>
            </w:tcBorders>
            <w:shd w:val="clear" w:color="auto" w:fill="auto"/>
            <w:vAlign w:val="center"/>
          </w:tcPr>
          <w:p w14:paraId="0CEE3768">
            <w:pPr>
              <w:jc w:val="left"/>
              <w:rPr>
                <w:rFonts w:hint="eastAsia" w:ascii="宋体" w:hAnsi="宋体" w:eastAsia="宋体" w:cs="宋体"/>
                <w:i w:val="0"/>
                <w:iCs w:val="0"/>
                <w:color w:val="auto"/>
                <w:sz w:val="18"/>
                <w:szCs w:val="18"/>
                <w:u w:val="none"/>
              </w:rPr>
            </w:pPr>
          </w:p>
        </w:tc>
        <w:tc>
          <w:tcPr>
            <w:tcW w:w="6507" w:type="dxa"/>
            <w:vMerge w:val="continue"/>
            <w:tcBorders>
              <w:top w:val="single" w:color="000000" w:sz="4" w:space="0"/>
              <w:left w:val="single" w:color="000000" w:sz="4" w:space="0"/>
              <w:bottom w:val="nil"/>
              <w:right w:val="single" w:color="000000" w:sz="4" w:space="0"/>
            </w:tcBorders>
            <w:shd w:val="clear" w:color="auto" w:fill="auto"/>
            <w:vAlign w:val="center"/>
          </w:tcPr>
          <w:p w14:paraId="3F59C65B">
            <w:pPr>
              <w:jc w:val="left"/>
              <w:rPr>
                <w:rFonts w:hint="eastAsia" w:ascii="宋体" w:hAnsi="宋体" w:eastAsia="宋体" w:cs="宋体"/>
                <w:i w:val="0"/>
                <w:iCs w:val="0"/>
                <w:color w:val="auto"/>
                <w:sz w:val="18"/>
                <w:szCs w:val="18"/>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14:paraId="181B24C1">
            <w:pPr>
              <w:jc w:val="center"/>
              <w:rPr>
                <w:rFonts w:hint="eastAsia" w:ascii="宋体" w:hAnsi="宋体" w:eastAsia="宋体" w:cs="宋体"/>
                <w:i w:val="0"/>
                <w:iCs w:val="0"/>
                <w:color w:val="auto"/>
                <w:sz w:val="18"/>
                <w:szCs w:val="18"/>
                <w:u w:val="none"/>
              </w:rPr>
            </w:pP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32785587">
            <w:pPr>
              <w:jc w:val="center"/>
              <w:rPr>
                <w:rFonts w:hint="eastAsia" w:ascii="宋体" w:hAnsi="宋体" w:eastAsia="宋体" w:cs="宋体"/>
                <w:i w:val="0"/>
                <w:iCs w:val="0"/>
                <w:color w:val="auto"/>
                <w:sz w:val="18"/>
                <w:szCs w:val="18"/>
                <w:u w:val="none"/>
              </w:rPr>
            </w:pPr>
          </w:p>
        </w:tc>
      </w:tr>
      <w:tr w14:paraId="177A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5E71">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266E1A70">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5C4">
            <w:pPr>
              <w:jc w:val="center"/>
              <w:rPr>
                <w:rFonts w:hint="eastAsia" w:ascii="宋体" w:hAnsi="宋体" w:eastAsia="宋体" w:cs="宋体"/>
                <w:i w:val="0"/>
                <w:iCs w:val="0"/>
                <w:color w:val="auto"/>
                <w:sz w:val="18"/>
                <w:szCs w:val="18"/>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vAlign w:val="center"/>
          </w:tcPr>
          <w:p w14:paraId="47671C12">
            <w:pPr>
              <w:jc w:val="center"/>
              <w:rPr>
                <w:rFonts w:hint="eastAsia" w:ascii="宋体" w:hAnsi="宋体" w:eastAsia="宋体" w:cs="宋体"/>
                <w:i w:val="0"/>
                <w:iCs w:val="0"/>
                <w:color w:val="auto"/>
                <w:sz w:val="18"/>
                <w:szCs w:val="18"/>
                <w:u w:val="none"/>
              </w:rPr>
            </w:pPr>
          </w:p>
        </w:tc>
        <w:tc>
          <w:tcPr>
            <w:tcW w:w="3163" w:type="dxa"/>
            <w:vMerge w:val="continue"/>
            <w:tcBorders>
              <w:top w:val="single" w:color="000000" w:sz="4" w:space="0"/>
              <w:left w:val="single" w:color="000000" w:sz="4" w:space="0"/>
              <w:bottom w:val="nil"/>
              <w:right w:val="single" w:color="000000" w:sz="4" w:space="0"/>
            </w:tcBorders>
            <w:shd w:val="clear" w:color="auto" w:fill="auto"/>
            <w:vAlign w:val="center"/>
          </w:tcPr>
          <w:p w14:paraId="39A7E416">
            <w:pPr>
              <w:jc w:val="left"/>
              <w:rPr>
                <w:rFonts w:hint="eastAsia" w:ascii="宋体" w:hAnsi="宋体" w:eastAsia="宋体" w:cs="宋体"/>
                <w:i w:val="0"/>
                <w:iCs w:val="0"/>
                <w:color w:val="auto"/>
                <w:sz w:val="18"/>
                <w:szCs w:val="18"/>
                <w:u w:val="none"/>
              </w:rPr>
            </w:pPr>
          </w:p>
        </w:tc>
        <w:tc>
          <w:tcPr>
            <w:tcW w:w="6507" w:type="dxa"/>
            <w:vMerge w:val="continue"/>
            <w:tcBorders>
              <w:top w:val="single" w:color="000000" w:sz="4" w:space="0"/>
              <w:left w:val="single" w:color="000000" w:sz="4" w:space="0"/>
              <w:bottom w:val="nil"/>
              <w:right w:val="single" w:color="000000" w:sz="4" w:space="0"/>
            </w:tcBorders>
            <w:shd w:val="clear" w:color="auto" w:fill="auto"/>
            <w:vAlign w:val="center"/>
          </w:tcPr>
          <w:p w14:paraId="3D7FF463">
            <w:pPr>
              <w:jc w:val="left"/>
              <w:rPr>
                <w:rFonts w:hint="eastAsia" w:ascii="宋体" w:hAnsi="宋体" w:eastAsia="宋体" w:cs="宋体"/>
                <w:i w:val="0"/>
                <w:iCs w:val="0"/>
                <w:color w:val="auto"/>
                <w:sz w:val="18"/>
                <w:szCs w:val="18"/>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14:paraId="3C4A5730">
            <w:pPr>
              <w:jc w:val="center"/>
              <w:rPr>
                <w:rFonts w:hint="eastAsia" w:ascii="宋体" w:hAnsi="宋体" w:eastAsia="宋体" w:cs="宋体"/>
                <w:i w:val="0"/>
                <w:iCs w:val="0"/>
                <w:color w:val="auto"/>
                <w:sz w:val="18"/>
                <w:szCs w:val="18"/>
                <w:u w:val="none"/>
              </w:rPr>
            </w:pPr>
          </w:p>
        </w:tc>
        <w:tc>
          <w:tcPr>
            <w:tcW w:w="817" w:type="dxa"/>
            <w:vMerge w:val="continue"/>
            <w:tcBorders>
              <w:top w:val="single" w:color="000000" w:sz="4" w:space="0"/>
              <w:left w:val="single" w:color="000000" w:sz="4" w:space="0"/>
              <w:bottom w:val="nil"/>
              <w:right w:val="single" w:color="000000" w:sz="4" w:space="0"/>
            </w:tcBorders>
            <w:shd w:val="clear" w:color="auto" w:fill="auto"/>
            <w:vAlign w:val="center"/>
          </w:tcPr>
          <w:p w14:paraId="57CAC620">
            <w:pPr>
              <w:jc w:val="center"/>
              <w:rPr>
                <w:rFonts w:hint="eastAsia" w:ascii="宋体" w:hAnsi="宋体" w:eastAsia="宋体" w:cs="宋体"/>
                <w:i w:val="0"/>
                <w:iCs w:val="0"/>
                <w:color w:val="auto"/>
                <w:sz w:val="18"/>
                <w:szCs w:val="18"/>
                <w:u w:val="none"/>
              </w:rPr>
            </w:pPr>
          </w:p>
        </w:tc>
      </w:tr>
      <w:tr w14:paraId="4BE5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7D37">
            <w:pPr>
              <w:jc w:val="center"/>
              <w:rPr>
                <w:rFonts w:hint="eastAsia" w:ascii="宋体" w:hAnsi="宋体" w:eastAsia="宋体" w:cs="宋体"/>
                <w:b/>
                <w:bCs/>
                <w:i w:val="0"/>
                <w:iCs w:val="0"/>
                <w:color w:val="auto"/>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449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预算</w:t>
            </w:r>
          </w:p>
          <w:p w14:paraId="26661DE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（21分）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0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预算编制质量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32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A3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部门是否严格按要求编制年初部门预算，年初预算编制的科学性和准确性</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B6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该项指标得分=（1-财政拨款预算偏离度）×100%×8。偏离度=|预算执行数-调整预算数|÷调整预算数。</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75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8B068">
            <w:pPr>
              <w:jc w:val="center"/>
              <w:rPr>
                <w:rFonts w:hint="eastAsia" w:ascii="宋体" w:hAnsi="宋体" w:eastAsia="宋体" w:cs="宋体"/>
                <w:i w:val="0"/>
                <w:iCs w:val="0"/>
                <w:color w:val="auto"/>
                <w:sz w:val="18"/>
                <w:szCs w:val="18"/>
                <w:u w:val="none"/>
              </w:rPr>
            </w:pPr>
          </w:p>
        </w:tc>
      </w:tr>
      <w:tr w14:paraId="4FA8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0650">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5F52">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70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支出执行进度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6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C3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部门1至12月预算执行情况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C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w:t>
            </w:r>
            <w:r>
              <w:rPr>
                <w:rFonts w:hint="eastAsia" w:ascii="宋体" w:hAnsi="宋体" w:cs="宋体"/>
                <w:i w:val="0"/>
                <w:iCs w:val="0"/>
                <w:color w:val="auto"/>
                <w:kern w:val="0"/>
                <w:sz w:val="18"/>
                <w:szCs w:val="18"/>
                <w:u w:val="none"/>
                <w:lang w:val="en-US" w:eastAsia="zh-CN" w:bidi="ar"/>
              </w:rPr>
              <w:t>中央、省委</w:t>
            </w:r>
            <w:r>
              <w:rPr>
                <w:rFonts w:hint="eastAsia" w:ascii="宋体" w:hAnsi="宋体" w:eastAsia="宋体" w:cs="宋体"/>
                <w:i w:val="0"/>
                <w:iCs w:val="0"/>
                <w:color w:val="auto"/>
                <w:kern w:val="0"/>
                <w:sz w:val="18"/>
                <w:szCs w:val="18"/>
                <w:u w:val="none"/>
                <w:lang w:val="en-US" w:eastAsia="zh-CN" w:bidi="ar"/>
              </w:rPr>
              <w:t>转移支付资金1至12月实际支出数÷1-12月预算数*3+专项债券资金实际支出数÷1-12月部门预算数*3+专项预算项目1至12月实际支出数÷1-12月预算数*3。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24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A011">
            <w:pPr>
              <w:jc w:val="center"/>
              <w:rPr>
                <w:rFonts w:hint="eastAsia" w:ascii="宋体" w:hAnsi="宋体" w:eastAsia="宋体" w:cs="宋体"/>
                <w:i w:val="0"/>
                <w:iCs w:val="0"/>
                <w:color w:val="auto"/>
                <w:sz w:val="18"/>
                <w:szCs w:val="18"/>
                <w:u w:val="none"/>
              </w:rPr>
            </w:pPr>
          </w:p>
        </w:tc>
      </w:tr>
      <w:tr w14:paraId="7404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3712">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1BEF">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D6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预算年终结余</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8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9D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部门整体年终预算结余情况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5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DE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B338">
            <w:pPr>
              <w:jc w:val="center"/>
              <w:rPr>
                <w:rFonts w:hint="eastAsia" w:ascii="宋体" w:hAnsi="宋体" w:eastAsia="宋体" w:cs="宋体"/>
                <w:i w:val="0"/>
                <w:iCs w:val="0"/>
                <w:color w:val="auto"/>
                <w:sz w:val="18"/>
                <w:szCs w:val="18"/>
                <w:u w:val="none"/>
              </w:rPr>
            </w:pPr>
          </w:p>
        </w:tc>
      </w:tr>
      <w:tr w14:paraId="47F3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C673">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1647">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C6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严控一般性支出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6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12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部门严控“三公”经费、会议、培训、差旅、办节办展、办公设备购置、信息网络及软件购置更新、课题经费等8项一般性支出情况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EA1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该项指标得分=基础分值+加分值。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5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6DD6">
            <w:pPr>
              <w:jc w:val="center"/>
              <w:rPr>
                <w:rFonts w:hint="eastAsia" w:ascii="宋体" w:hAnsi="宋体" w:eastAsia="宋体" w:cs="宋体"/>
                <w:i w:val="0"/>
                <w:iCs w:val="0"/>
                <w:color w:val="auto"/>
                <w:sz w:val="18"/>
                <w:szCs w:val="18"/>
                <w:u w:val="none"/>
              </w:rPr>
            </w:pPr>
          </w:p>
        </w:tc>
      </w:tr>
      <w:tr w14:paraId="1645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C26E">
            <w:pPr>
              <w:jc w:val="center"/>
              <w:rPr>
                <w:rFonts w:hint="eastAsia" w:ascii="宋体" w:hAnsi="宋体" w:eastAsia="宋体" w:cs="宋体"/>
                <w:b/>
                <w:bCs/>
                <w:i w:val="0"/>
                <w:iCs w:val="0"/>
                <w:color w:val="auto"/>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C0A0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资产</w:t>
            </w:r>
          </w:p>
          <w:p w14:paraId="6643CF5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（9分）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6B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人均资产变化率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5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37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部门人均资产变化情况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500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07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E8D2D">
            <w:pPr>
              <w:jc w:val="center"/>
              <w:rPr>
                <w:rFonts w:hint="eastAsia" w:ascii="宋体" w:hAnsi="宋体" w:eastAsia="宋体" w:cs="宋体"/>
                <w:i w:val="0"/>
                <w:iCs w:val="0"/>
                <w:color w:val="auto"/>
                <w:sz w:val="18"/>
                <w:szCs w:val="18"/>
                <w:u w:val="none"/>
              </w:rPr>
            </w:pPr>
          </w:p>
        </w:tc>
      </w:tr>
      <w:tr w14:paraId="60AB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456D">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A2A1">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D5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资产利用率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7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B5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部门资产超最低使用年限情况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940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8E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D282">
            <w:pPr>
              <w:jc w:val="center"/>
              <w:rPr>
                <w:rFonts w:hint="eastAsia" w:ascii="宋体" w:hAnsi="宋体" w:eastAsia="宋体" w:cs="宋体"/>
                <w:i w:val="0"/>
                <w:iCs w:val="0"/>
                <w:color w:val="auto"/>
                <w:sz w:val="18"/>
                <w:szCs w:val="18"/>
                <w:u w:val="none"/>
              </w:rPr>
            </w:pPr>
          </w:p>
        </w:tc>
      </w:tr>
      <w:tr w14:paraId="3A8D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8816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总体绩效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（65分）</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74A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资产</w:t>
            </w:r>
          </w:p>
          <w:p w14:paraId="7F2499C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（9分）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FA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资产盘活率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1E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8E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部门闲置一年以上的资产盘活情况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B3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A9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F7A">
            <w:pPr>
              <w:jc w:val="center"/>
              <w:rPr>
                <w:rFonts w:hint="eastAsia" w:ascii="宋体" w:hAnsi="宋体" w:eastAsia="宋体" w:cs="宋体"/>
                <w:i w:val="0"/>
                <w:iCs w:val="0"/>
                <w:color w:val="auto"/>
                <w:sz w:val="18"/>
                <w:szCs w:val="18"/>
                <w:u w:val="none"/>
              </w:rPr>
            </w:pPr>
          </w:p>
        </w:tc>
      </w:tr>
      <w:tr w14:paraId="2421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3B7F">
            <w:pPr>
              <w:jc w:val="center"/>
              <w:rPr>
                <w:rFonts w:hint="eastAsia" w:ascii="宋体" w:hAnsi="宋体" w:eastAsia="宋体" w:cs="宋体"/>
                <w:b/>
                <w:bCs/>
                <w:i w:val="0"/>
                <w:iCs w:val="0"/>
                <w:color w:val="auto"/>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D20C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采购</w:t>
            </w:r>
          </w:p>
          <w:p w14:paraId="17DBA07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管理</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（6分）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6C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支持中小企业发展</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0D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A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部门是否严格执行政府采购促进中小企业发展相关管理办法</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8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89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7BF8F">
            <w:pPr>
              <w:jc w:val="center"/>
              <w:rPr>
                <w:rFonts w:hint="eastAsia" w:ascii="宋体" w:hAnsi="宋体" w:eastAsia="宋体" w:cs="宋体"/>
                <w:i w:val="0"/>
                <w:iCs w:val="0"/>
                <w:color w:val="auto"/>
                <w:sz w:val="18"/>
                <w:szCs w:val="18"/>
                <w:u w:val="none"/>
              </w:rPr>
            </w:pPr>
          </w:p>
        </w:tc>
      </w:tr>
      <w:tr w14:paraId="24BD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770A">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7B09">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6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采购执行率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86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A9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部门政府采购项目资金支付比例情况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53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该项指标得分=当年政府采购实际支付总金额÷（当年政府采购总预算数-当年已完成采购项目节约金额）×100%×3。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6B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5042">
            <w:pPr>
              <w:jc w:val="center"/>
              <w:rPr>
                <w:rFonts w:hint="eastAsia" w:ascii="宋体" w:hAnsi="宋体" w:eastAsia="宋体" w:cs="宋体"/>
                <w:i w:val="0"/>
                <w:iCs w:val="0"/>
                <w:color w:val="auto"/>
                <w:sz w:val="18"/>
                <w:szCs w:val="18"/>
                <w:u w:val="none"/>
              </w:rPr>
            </w:pPr>
          </w:p>
        </w:tc>
      </w:tr>
      <w:tr w14:paraId="1F61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88F1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项目绩效</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（35分）</w:t>
            </w:r>
          </w:p>
        </w:tc>
        <w:tc>
          <w:tcPr>
            <w:tcW w:w="923" w:type="dxa"/>
            <w:vMerge w:val="restart"/>
            <w:tcBorders>
              <w:top w:val="single" w:color="000000" w:sz="4" w:space="0"/>
              <w:left w:val="single" w:color="000000" w:sz="4" w:space="0"/>
              <w:bottom w:val="nil"/>
              <w:right w:val="single" w:color="000000" w:sz="4" w:space="0"/>
            </w:tcBorders>
            <w:shd w:val="clear" w:color="auto" w:fill="auto"/>
            <w:vAlign w:val="center"/>
          </w:tcPr>
          <w:p w14:paraId="2C1A389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w:t>
            </w:r>
          </w:p>
          <w:p w14:paraId="316B209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决策</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（12分）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4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决策程序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ED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B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部门预算项目设立是否按规定履行评估论证、申报程序</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1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01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C78">
            <w:pPr>
              <w:jc w:val="center"/>
              <w:rPr>
                <w:rFonts w:hint="eastAsia" w:ascii="宋体" w:hAnsi="宋体" w:eastAsia="宋体" w:cs="宋体"/>
                <w:i w:val="0"/>
                <w:iCs w:val="0"/>
                <w:color w:val="auto"/>
                <w:sz w:val="18"/>
                <w:szCs w:val="18"/>
                <w:u w:val="none"/>
              </w:rPr>
            </w:pPr>
          </w:p>
        </w:tc>
      </w:tr>
      <w:tr w14:paraId="2830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3958">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081B7A78">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07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目标设置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B5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AC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CA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AD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B7">
            <w:pPr>
              <w:jc w:val="center"/>
              <w:rPr>
                <w:rFonts w:hint="eastAsia" w:ascii="宋体" w:hAnsi="宋体" w:eastAsia="宋体" w:cs="宋体"/>
                <w:i w:val="0"/>
                <w:iCs w:val="0"/>
                <w:color w:val="auto"/>
                <w:sz w:val="18"/>
                <w:szCs w:val="18"/>
                <w:u w:val="none"/>
              </w:rPr>
            </w:pPr>
          </w:p>
        </w:tc>
      </w:tr>
      <w:tr w14:paraId="66AC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0F45">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739483BD">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81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项目入库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0E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2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部门预算项目是否在规定时间完成项目入库</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40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C2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98A">
            <w:pPr>
              <w:jc w:val="center"/>
              <w:rPr>
                <w:rFonts w:hint="eastAsia" w:ascii="宋体" w:hAnsi="宋体" w:eastAsia="宋体" w:cs="宋体"/>
                <w:i w:val="0"/>
                <w:iCs w:val="0"/>
                <w:color w:val="auto"/>
                <w:sz w:val="18"/>
                <w:szCs w:val="18"/>
                <w:u w:val="none"/>
              </w:rPr>
            </w:pPr>
          </w:p>
        </w:tc>
      </w:tr>
      <w:tr w14:paraId="6083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B5AF">
            <w:pPr>
              <w:jc w:val="center"/>
              <w:rPr>
                <w:rFonts w:hint="eastAsia" w:ascii="宋体" w:hAnsi="宋体" w:eastAsia="宋体" w:cs="宋体"/>
                <w:b/>
                <w:bCs/>
                <w:i w:val="0"/>
                <w:iCs w:val="0"/>
                <w:color w:val="auto"/>
                <w:sz w:val="18"/>
                <w:szCs w:val="18"/>
                <w:u w:val="none"/>
              </w:rPr>
            </w:pPr>
          </w:p>
        </w:tc>
        <w:tc>
          <w:tcPr>
            <w:tcW w:w="923" w:type="dxa"/>
            <w:vMerge w:val="restart"/>
            <w:tcBorders>
              <w:top w:val="single" w:color="000000" w:sz="4" w:space="0"/>
              <w:left w:val="single" w:color="000000" w:sz="4" w:space="0"/>
              <w:bottom w:val="nil"/>
              <w:right w:val="single" w:color="000000" w:sz="4" w:space="0"/>
            </w:tcBorders>
            <w:shd w:val="clear" w:color="auto" w:fill="auto"/>
            <w:vAlign w:val="center"/>
          </w:tcPr>
          <w:p w14:paraId="58B5483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w:t>
            </w:r>
          </w:p>
          <w:p w14:paraId="3F2E148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执行</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（12分）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1E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执行同向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2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6A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部门预算项目实际列支内容是否与绩效目标设置方向相符</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1F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91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6021">
            <w:pPr>
              <w:jc w:val="center"/>
              <w:rPr>
                <w:rFonts w:hint="eastAsia" w:ascii="宋体" w:hAnsi="宋体" w:eastAsia="宋体" w:cs="宋体"/>
                <w:i w:val="0"/>
                <w:iCs w:val="0"/>
                <w:color w:val="auto"/>
                <w:sz w:val="18"/>
                <w:szCs w:val="18"/>
                <w:u w:val="none"/>
              </w:rPr>
            </w:pPr>
          </w:p>
        </w:tc>
      </w:tr>
      <w:tr w14:paraId="105B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6A57">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578C1809">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nil"/>
              <w:right w:val="single" w:color="000000" w:sz="4" w:space="0"/>
            </w:tcBorders>
            <w:shd w:val="clear" w:color="auto" w:fill="auto"/>
            <w:vAlign w:val="center"/>
          </w:tcPr>
          <w:p w14:paraId="08DE60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项目调整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22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部门预算项目是否采取对应调整措施</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3E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05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DD2">
            <w:pPr>
              <w:jc w:val="center"/>
              <w:rPr>
                <w:rFonts w:hint="eastAsia" w:ascii="宋体" w:hAnsi="宋体" w:eastAsia="宋体" w:cs="宋体"/>
                <w:i w:val="0"/>
                <w:iCs w:val="0"/>
                <w:color w:val="auto"/>
                <w:sz w:val="18"/>
                <w:szCs w:val="18"/>
                <w:u w:val="none"/>
              </w:rPr>
            </w:pPr>
          </w:p>
        </w:tc>
      </w:tr>
      <w:tr w14:paraId="5BCC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4E34">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14:paraId="1522503A">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B4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执行结果</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D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C0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部门预算项目预算执行情况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D8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CCDD">
            <w:pPr>
              <w:jc w:val="center"/>
              <w:rPr>
                <w:rFonts w:hint="eastAsia" w:ascii="宋体" w:hAnsi="宋体" w:eastAsia="宋体" w:cs="宋体"/>
                <w:i w:val="0"/>
                <w:iCs w:val="0"/>
                <w:color w:val="auto"/>
                <w:sz w:val="18"/>
                <w:szCs w:val="18"/>
                <w:u w:val="none"/>
              </w:rPr>
            </w:pPr>
          </w:p>
        </w:tc>
      </w:tr>
      <w:tr w14:paraId="3FC0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78D9">
            <w:pPr>
              <w:jc w:val="center"/>
              <w:rPr>
                <w:rFonts w:hint="eastAsia" w:ascii="宋体" w:hAnsi="宋体" w:eastAsia="宋体" w:cs="宋体"/>
                <w:b/>
                <w:bCs/>
                <w:i w:val="0"/>
                <w:iCs w:val="0"/>
                <w:color w:val="auto"/>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E78E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目标</w:t>
            </w:r>
          </w:p>
          <w:p w14:paraId="35AE7E0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实现</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（11分）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4D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目标完成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97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8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部门预算项目绩效目标数量指标完成情况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F6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该项指标得分=完成绩效目标数量指标的部门预算阶段项目（含一次性项目）数量÷部门预算阶段项目（含一次性项目）总数×100%×6。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A0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CD74">
            <w:pPr>
              <w:jc w:val="center"/>
              <w:rPr>
                <w:rFonts w:hint="eastAsia" w:ascii="宋体" w:hAnsi="宋体" w:eastAsia="宋体" w:cs="宋体"/>
                <w:i w:val="0"/>
                <w:iCs w:val="0"/>
                <w:color w:val="auto"/>
                <w:sz w:val="18"/>
                <w:szCs w:val="18"/>
                <w:u w:val="none"/>
              </w:rPr>
            </w:pPr>
          </w:p>
        </w:tc>
      </w:tr>
      <w:tr w14:paraId="2862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4ACE">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D53A">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C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目标偏离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C5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06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部门预算项目绩效目标数量指标实现程度与预期目标的偏离情况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E6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C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FD0B">
            <w:pPr>
              <w:jc w:val="center"/>
              <w:rPr>
                <w:rFonts w:hint="eastAsia" w:ascii="宋体" w:hAnsi="宋体" w:eastAsia="宋体" w:cs="宋体"/>
                <w:i w:val="0"/>
                <w:iCs w:val="0"/>
                <w:color w:val="auto"/>
                <w:sz w:val="18"/>
                <w:szCs w:val="18"/>
                <w:u w:val="none"/>
              </w:rPr>
            </w:pPr>
          </w:p>
        </w:tc>
      </w:tr>
      <w:tr w14:paraId="2CFE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F3A1">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9235">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AB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实现效果</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81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部门预算项目绩效目标效益指标实施效果</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EB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该项指标得分=完成绩效目标效益指标的部门预算阶段项目（含一次性项目）数量÷部门预算阶段项目（含一次性项目）总数×100%×5。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7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50C2">
            <w:pPr>
              <w:jc w:val="center"/>
              <w:rPr>
                <w:rFonts w:hint="eastAsia" w:ascii="宋体" w:hAnsi="宋体" w:eastAsia="宋体" w:cs="宋体"/>
                <w:i w:val="0"/>
                <w:iCs w:val="0"/>
                <w:color w:val="auto"/>
                <w:sz w:val="18"/>
                <w:szCs w:val="18"/>
                <w:u w:val="none"/>
              </w:rPr>
            </w:pPr>
          </w:p>
        </w:tc>
      </w:tr>
      <w:tr w14:paraId="7271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C95E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扣分项</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F998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财务</w:t>
            </w:r>
          </w:p>
          <w:p w14:paraId="1D8BCF9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管理</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4E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财务管理制度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16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9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部门财务管理制度建立情况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1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部门未制定内部财务管理制度等制度机制的,财务管理制度未得到落实，发现一处扣1分，扣完为止。</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6A89">
            <w:pPr>
              <w:jc w:val="center"/>
              <w:rPr>
                <w:rFonts w:hint="eastAsia" w:ascii="宋体" w:hAnsi="宋体" w:eastAsia="宋体" w:cs="宋体"/>
                <w:i w:val="0"/>
                <w:iCs w:val="0"/>
                <w:color w:val="auto"/>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4F94">
            <w:pPr>
              <w:jc w:val="center"/>
              <w:rPr>
                <w:rFonts w:hint="eastAsia" w:ascii="宋体" w:hAnsi="宋体" w:eastAsia="宋体" w:cs="宋体"/>
                <w:i w:val="0"/>
                <w:iCs w:val="0"/>
                <w:color w:val="auto"/>
                <w:sz w:val="18"/>
                <w:szCs w:val="18"/>
                <w:u w:val="none"/>
              </w:rPr>
            </w:pPr>
          </w:p>
        </w:tc>
      </w:tr>
      <w:tr w14:paraId="13ED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B1FC">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4990">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6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财务岗位设置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4D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84B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部门财务岗位设置是否符合相关财务管理制度要求</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89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部门未合理设置财务工作岗位，职责权限不明确，未严格实行不相容岗位分离，发现一处扣1分，扣完为止。</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19D6">
            <w:pPr>
              <w:jc w:val="center"/>
              <w:rPr>
                <w:rFonts w:hint="eastAsia" w:ascii="宋体" w:hAnsi="宋体" w:eastAsia="宋体" w:cs="宋体"/>
                <w:i w:val="0"/>
                <w:iCs w:val="0"/>
                <w:color w:val="auto"/>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D7C6">
            <w:pPr>
              <w:jc w:val="center"/>
              <w:rPr>
                <w:rFonts w:hint="eastAsia" w:ascii="宋体" w:hAnsi="宋体" w:eastAsia="宋体" w:cs="宋体"/>
                <w:i w:val="0"/>
                <w:iCs w:val="0"/>
                <w:color w:val="auto"/>
                <w:sz w:val="18"/>
                <w:szCs w:val="18"/>
                <w:u w:val="none"/>
              </w:rPr>
            </w:pPr>
          </w:p>
        </w:tc>
      </w:tr>
      <w:tr w14:paraId="13D8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73F8">
            <w:pPr>
              <w:jc w:val="center"/>
              <w:rPr>
                <w:rFonts w:hint="eastAsia" w:ascii="宋体" w:hAnsi="宋体" w:eastAsia="宋体" w:cs="宋体"/>
                <w:b/>
                <w:bCs/>
                <w:i w:val="0"/>
                <w:iCs w:val="0"/>
                <w:color w:val="auto"/>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F165">
            <w:pPr>
              <w:jc w:val="center"/>
              <w:rPr>
                <w:rFonts w:hint="eastAsia" w:ascii="宋体" w:hAnsi="宋体" w:eastAsia="宋体" w:cs="宋体"/>
                <w:b/>
                <w:bCs/>
                <w:i w:val="0"/>
                <w:iCs w:val="0"/>
                <w:color w:val="auto"/>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0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资金使用规范</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6D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D9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部门资金使用是否符合相关财务管理制度规定</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7F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部门资金使用不符合相关财务管理制度规定的，发现一处扣1分，扣完为止。</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4FA8">
            <w:pPr>
              <w:jc w:val="center"/>
              <w:rPr>
                <w:rFonts w:hint="eastAsia" w:ascii="宋体" w:hAnsi="宋体" w:eastAsia="宋体" w:cs="宋体"/>
                <w:i w:val="0"/>
                <w:iCs w:val="0"/>
                <w:color w:val="auto"/>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9676">
            <w:pPr>
              <w:jc w:val="center"/>
              <w:rPr>
                <w:rFonts w:hint="eastAsia" w:ascii="宋体" w:hAnsi="宋体" w:eastAsia="宋体" w:cs="宋体"/>
                <w:i w:val="0"/>
                <w:iCs w:val="0"/>
                <w:color w:val="auto"/>
                <w:sz w:val="18"/>
                <w:szCs w:val="18"/>
                <w:u w:val="none"/>
              </w:rPr>
            </w:pPr>
          </w:p>
        </w:tc>
      </w:tr>
      <w:tr w14:paraId="6355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EEB6">
            <w:pPr>
              <w:jc w:val="center"/>
              <w:rPr>
                <w:rFonts w:hint="eastAsia" w:ascii="宋体" w:hAnsi="宋体" w:eastAsia="宋体" w:cs="宋体"/>
                <w:b/>
                <w:bCs/>
                <w:i w:val="0"/>
                <w:iCs w:val="0"/>
                <w:color w:val="auto"/>
                <w:sz w:val="18"/>
                <w:szCs w:val="18"/>
                <w:u w:val="none"/>
              </w:rPr>
            </w:pP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96A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预算绩效存在问题</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04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7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预算管理和绩效管理工作存在问题</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60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D62A">
            <w:pPr>
              <w:jc w:val="center"/>
              <w:rPr>
                <w:rFonts w:hint="eastAsia" w:ascii="宋体" w:hAnsi="宋体" w:eastAsia="宋体" w:cs="宋体"/>
                <w:i w:val="0"/>
                <w:iCs w:val="0"/>
                <w:color w:val="auto"/>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86E3">
            <w:pPr>
              <w:jc w:val="center"/>
              <w:rPr>
                <w:rFonts w:hint="eastAsia" w:ascii="宋体" w:hAnsi="宋体" w:eastAsia="宋体" w:cs="宋体"/>
                <w:i w:val="0"/>
                <w:iCs w:val="0"/>
                <w:color w:val="auto"/>
                <w:sz w:val="18"/>
                <w:szCs w:val="18"/>
                <w:u w:val="none"/>
              </w:rPr>
            </w:pPr>
          </w:p>
        </w:tc>
      </w:tr>
      <w:tr w14:paraId="7A46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9BEA">
            <w:pPr>
              <w:jc w:val="center"/>
              <w:rPr>
                <w:rFonts w:hint="eastAsia" w:ascii="宋体" w:hAnsi="宋体" w:eastAsia="宋体" w:cs="宋体"/>
                <w:b/>
                <w:bCs/>
                <w:i w:val="0"/>
                <w:iCs w:val="0"/>
                <w:color w:val="auto"/>
                <w:sz w:val="18"/>
                <w:szCs w:val="18"/>
                <w:u w:val="none"/>
              </w:rPr>
            </w:pP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0FC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被评价部门配合度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00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DB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被评价对象工作配合情况</w:t>
            </w:r>
          </w:p>
        </w:tc>
        <w:tc>
          <w:tcPr>
            <w:tcW w:w="6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DD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评价工作开展过程中，被评价对象拖延推诿、提交资料不及时等拒不配合评价工作的，每发现一次扣1分，扣完为止。</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745C">
            <w:pPr>
              <w:jc w:val="center"/>
              <w:rPr>
                <w:rFonts w:hint="eastAsia" w:ascii="宋体" w:hAnsi="宋体" w:eastAsia="宋体" w:cs="宋体"/>
                <w:i w:val="0"/>
                <w:iCs w:val="0"/>
                <w:color w:val="auto"/>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4A25">
            <w:pPr>
              <w:jc w:val="center"/>
              <w:rPr>
                <w:rFonts w:hint="eastAsia" w:ascii="宋体" w:hAnsi="宋体" w:eastAsia="宋体" w:cs="宋体"/>
                <w:i w:val="0"/>
                <w:iCs w:val="0"/>
                <w:color w:val="auto"/>
                <w:sz w:val="18"/>
                <w:szCs w:val="18"/>
                <w:u w:val="none"/>
              </w:rPr>
            </w:pPr>
          </w:p>
        </w:tc>
      </w:tr>
      <w:tr w14:paraId="4E65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AE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87CB">
            <w:pPr>
              <w:jc w:val="center"/>
              <w:rPr>
                <w:rFonts w:hint="eastAsia" w:ascii="宋体" w:hAnsi="宋体" w:eastAsia="宋体" w:cs="宋体"/>
                <w:i w:val="0"/>
                <w:iCs w:val="0"/>
                <w:color w:val="auto"/>
                <w:sz w:val="18"/>
                <w:szCs w:val="18"/>
                <w:u w:val="none"/>
              </w:rPr>
            </w:pP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3CC7">
            <w:pPr>
              <w:jc w:val="center"/>
              <w:rPr>
                <w:rFonts w:hint="eastAsia" w:ascii="宋体" w:hAnsi="宋体" w:eastAsia="宋体" w:cs="宋体"/>
                <w:i w:val="0"/>
                <w:iCs w:val="0"/>
                <w:color w:val="auto"/>
                <w:sz w:val="18"/>
                <w:szCs w:val="18"/>
                <w:u w:val="none"/>
              </w:rPr>
            </w:pPr>
          </w:p>
        </w:tc>
        <w:tc>
          <w:tcPr>
            <w:tcW w:w="6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DC2B">
            <w:pPr>
              <w:jc w:val="center"/>
              <w:rPr>
                <w:rFonts w:hint="eastAsia" w:ascii="宋体" w:hAnsi="宋体" w:eastAsia="宋体" w:cs="宋体"/>
                <w:i w:val="0"/>
                <w:iCs w:val="0"/>
                <w:color w:val="auto"/>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EB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08FF">
            <w:pPr>
              <w:jc w:val="center"/>
              <w:rPr>
                <w:rFonts w:hint="eastAsia" w:ascii="宋体" w:hAnsi="宋体" w:eastAsia="宋体" w:cs="宋体"/>
                <w:i w:val="0"/>
                <w:iCs w:val="0"/>
                <w:color w:val="auto"/>
                <w:sz w:val="18"/>
                <w:szCs w:val="18"/>
                <w:u w:val="none"/>
              </w:rPr>
            </w:pPr>
          </w:p>
        </w:tc>
      </w:tr>
    </w:tbl>
    <w:p w14:paraId="7F595E10">
      <w:pPr>
        <w:pStyle w:val="7"/>
        <w:rPr>
          <w:rFonts w:hint="eastAsia" w:ascii="Times New Roman" w:hAnsi="Times New Roman" w:cs="宋体"/>
          <w:color w:val="FF0000"/>
          <w:kern w:val="0"/>
          <w:sz w:val="32"/>
          <w:szCs w:val="32"/>
          <w:highlight w:val="yellow"/>
          <w:shd w:val="clear" w:color="auto" w:fill="FFFFFF"/>
          <w:lang w:val="zh-CN"/>
        </w:rPr>
      </w:pPr>
    </w:p>
    <w:p w14:paraId="587F0EC7">
      <w:pPr>
        <w:rPr>
          <w:rFonts w:hint="eastAsia" w:ascii="Times New Roman" w:hAnsi="Times New Roman" w:eastAsia="黑体" w:cs="黑体"/>
          <w:color w:val="auto"/>
          <w:kern w:val="0"/>
          <w:sz w:val="32"/>
          <w:szCs w:val="32"/>
          <w:highlight w:val="none"/>
          <w:shd w:val="clear" w:color="auto" w:fill="FFFFFF"/>
          <w:lang w:val="zh-CN"/>
        </w:rPr>
        <w:sectPr>
          <w:footerReference r:id="rId8" w:type="default"/>
          <w:pgSz w:w="16838" w:h="11906" w:orient="landscape"/>
          <w:pgMar w:top="1800" w:right="1440" w:bottom="1800" w:left="1440" w:header="851" w:footer="992" w:gutter="0"/>
          <w:pgNumType w:fmt="numberInDash" w:start="41"/>
          <w:cols w:space="425" w:num="1"/>
          <w:docGrid w:type="lines" w:linePitch="312" w:charSpace="0"/>
        </w:sectPr>
      </w:pPr>
    </w:p>
    <w:tbl>
      <w:tblPr>
        <w:tblStyle w:val="20"/>
        <w:tblW w:w="97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21"/>
        <w:gridCol w:w="1175"/>
        <w:gridCol w:w="1704"/>
        <w:gridCol w:w="615"/>
        <w:gridCol w:w="619"/>
        <w:gridCol w:w="396"/>
        <w:gridCol w:w="846"/>
        <w:gridCol w:w="486"/>
        <w:gridCol w:w="396"/>
        <w:gridCol w:w="1579"/>
      </w:tblGrid>
      <w:tr w14:paraId="03ED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97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DB29A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49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0D5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1ED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51090422T000000400753-城管执法整治工作经费</w:t>
            </w:r>
          </w:p>
        </w:tc>
      </w:tr>
      <w:tr w14:paraId="4122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76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CD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11BE404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2D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6F46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7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26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F1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082A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D3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E0E0D">
            <w:pP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4D9F">
            <w:pPr>
              <w:rPr>
                <w:rFonts w:hint="eastAsia" w:ascii="宋体" w:hAnsi="宋体" w:eastAsia="宋体" w:cs="宋体"/>
                <w:i w:val="0"/>
                <w:iCs w:val="0"/>
                <w:color w:val="000000"/>
                <w:sz w:val="18"/>
                <w:szCs w:val="18"/>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DA5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通过专项整治，美化城区环境，解除安全隐患，为广大居民营造干净整洁、文明法治的生活环境，活跃居民生活，促进安居经济健康发展。</w:t>
            </w:r>
          </w:p>
        </w:tc>
        <w:tc>
          <w:tcPr>
            <w:tcW w:w="3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96F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工作经费做到专款专用，通过系列专项整治，美化了城区环境，消除了安全隐患，为广大居民营造了干净整洁、文明法治的生活环境，活跃居民日常生活，促进安居经济健康发展。</w:t>
            </w:r>
          </w:p>
        </w:tc>
      </w:tr>
      <w:tr w14:paraId="4622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3FCA">
            <w:pP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4B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F2F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管执法整治工作的目的是努力提高全社会公民的综合素质，在平时的生活工作中依法高效开展有益于社会单位、家庭和个人的活动，从而避免各类行政违法、违章的情况出现。共同营造良好的环境和市容，为广大群众提供一个安居乐业和殷实、富康的生活氛围，为社会经济发展营造一个良好的社会环境。</w:t>
            </w:r>
          </w:p>
        </w:tc>
      </w:tr>
      <w:tr w14:paraId="761A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76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6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3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BA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5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4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1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7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C2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F1DE">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A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F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B6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0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2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A152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B7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3122">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A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4A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E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4488">
            <w:pPr>
              <w:jc w:val="center"/>
              <w:rPr>
                <w:rFonts w:hint="eastAsia" w:ascii="宋体" w:hAnsi="宋体" w:eastAsia="宋体" w:cs="宋体"/>
                <w:i w:val="0"/>
                <w:iCs w:val="0"/>
                <w:color w:val="000000"/>
                <w:sz w:val="18"/>
                <w:szCs w:val="18"/>
                <w:u w:val="none"/>
              </w:rPr>
            </w:pPr>
          </w:p>
        </w:tc>
      </w:tr>
      <w:tr w14:paraId="48BD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0ECB">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5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1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7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B5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8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F72C">
            <w:pPr>
              <w:jc w:val="center"/>
              <w:rPr>
                <w:rFonts w:hint="eastAsia" w:ascii="宋体" w:hAnsi="宋体" w:eastAsia="宋体" w:cs="宋体"/>
                <w:i w:val="0"/>
                <w:iCs w:val="0"/>
                <w:color w:val="000000"/>
                <w:sz w:val="18"/>
                <w:szCs w:val="18"/>
                <w:u w:val="none"/>
              </w:rPr>
            </w:pPr>
          </w:p>
        </w:tc>
      </w:tr>
      <w:tr w14:paraId="3555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8F4F">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9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F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4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1F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4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B659">
            <w:pPr>
              <w:jc w:val="center"/>
              <w:rPr>
                <w:rFonts w:hint="eastAsia" w:ascii="宋体" w:hAnsi="宋体" w:eastAsia="宋体" w:cs="宋体"/>
                <w:i w:val="0"/>
                <w:iCs w:val="0"/>
                <w:color w:val="000000"/>
                <w:sz w:val="18"/>
                <w:szCs w:val="18"/>
                <w:u w:val="none"/>
              </w:rPr>
            </w:pPr>
          </w:p>
        </w:tc>
      </w:tr>
      <w:tr w14:paraId="3A00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24A5">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0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DA4">
            <w:pPr>
              <w:jc w:val="center"/>
              <w:rPr>
                <w:rFonts w:hint="eastAsia" w:ascii="微软雅黑" w:hAnsi="微软雅黑" w:eastAsia="微软雅黑" w:cs="微软雅黑"/>
                <w:i w:val="0"/>
                <w:iCs w:val="0"/>
                <w:color w:val="000000"/>
                <w:sz w:val="16"/>
                <w:szCs w:val="16"/>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2887">
            <w:pPr>
              <w:jc w:val="center"/>
              <w:rPr>
                <w:rFonts w:hint="eastAsia" w:ascii="微软雅黑" w:hAnsi="微软雅黑" w:eastAsia="微软雅黑" w:cs="微软雅黑"/>
                <w:i w:val="0"/>
                <w:iCs w:val="0"/>
                <w:color w:val="000000"/>
                <w:sz w:val="16"/>
                <w:szCs w:val="16"/>
                <w:u w:val="none"/>
              </w:rPr>
            </w:pP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99678">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9B0C">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4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1E28">
            <w:pPr>
              <w:jc w:val="center"/>
              <w:rPr>
                <w:rFonts w:hint="eastAsia" w:ascii="宋体" w:hAnsi="宋体" w:eastAsia="宋体" w:cs="宋体"/>
                <w:i w:val="0"/>
                <w:iCs w:val="0"/>
                <w:color w:val="000000"/>
                <w:sz w:val="18"/>
                <w:szCs w:val="18"/>
                <w:u w:val="none"/>
              </w:rPr>
            </w:pPr>
          </w:p>
        </w:tc>
      </w:tr>
      <w:tr w14:paraId="51A7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74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C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E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6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F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D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4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A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3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E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56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675B">
            <w:pPr>
              <w:jc w:val="center"/>
              <w:rPr>
                <w:rFonts w:hint="eastAsia" w:ascii="宋体" w:hAnsi="宋体" w:eastAsia="宋体" w:cs="宋体"/>
                <w:i w:val="0"/>
                <w:iCs w:val="0"/>
                <w:color w:val="000000"/>
                <w:sz w:val="18"/>
                <w:szCs w:val="18"/>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82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A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7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全年组织执法宣传次数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1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D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B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D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6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A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F50">
            <w:pPr>
              <w:jc w:val="center"/>
              <w:rPr>
                <w:rFonts w:hint="eastAsia" w:ascii="微软雅黑" w:hAnsi="微软雅黑" w:eastAsia="微软雅黑" w:cs="微软雅黑"/>
                <w:i w:val="0"/>
                <w:iCs w:val="0"/>
                <w:color w:val="000000"/>
                <w:sz w:val="16"/>
                <w:szCs w:val="16"/>
                <w:u w:val="none"/>
              </w:rPr>
            </w:pPr>
          </w:p>
        </w:tc>
      </w:tr>
      <w:tr w14:paraId="6806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D5A21">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EA57">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2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8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整改项目合格率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C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C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2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B5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F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5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317C">
            <w:pPr>
              <w:jc w:val="center"/>
              <w:rPr>
                <w:rFonts w:hint="eastAsia" w:ascii="微软雅黑" w:hAnsi="微软雅黑" w:eastAsia="微软雅黑" w:cs="微软雅黑"/>
                <w:i w:val="0"/>
                <w:iCs w:val="0"/>
                <w:color w:val="000000"/>
                <w:sz w:val="16"/>
                <w:szCs w:val="16"/>
                <w:u w:val="none"/>
              </w:rPr>
            </w:pPr>
          </w:p>
        </w:tc>
      </w:tr>
      <w:tr w14:paraId="51A4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163E">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2400">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8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将整改事项及时通知到涉案公司或个人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C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D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8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B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D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5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D30F">
            <w:pPr>
              <w:jc w:val="center"/>
              <w:rPr>
                <w:rFonts w:hint="eastAsia" w:ascii="微软雅黑" w:hAnsi="微软雅黑" w:eastAsia="微软雅黑" w:cs="微软雅黑"/>
                <w:i w:val="0"/>
                <w:iCs w:val="0"/>
                <w:color w:val="000000"/>
                <w:sz w:val="16"/>
                <w:szCs w:val="16"/>
                <w:u w:val="none"/>
              </w:rPr>
            </w:pPr>
          </w:p>
        </w:tc>
      </w:tr>
      <w:tr w14:paraId="488E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02D1">
            <w:pPr>
              <w:jc w:val="center"/>
              <w:rPr>
                <w:rFonts w:hint="eastAsia" w:ascii="宋体" w:hAnsi="宋体" w:eastAsia="宋体" w:cs="宋体"/>
                <w:i w:val="0"/>
                <w:iCs w:val="0"/>
                <w:color w:val="000000"/>
                <w:sz w:val="18"/>
                <w:szCs w:val="18"/>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95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F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9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给市民营造干净整洁，文明法治的生活环境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D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C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766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F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E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A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E19E">
            <w:pPr>
              <w:jc w:val="center"/>
              <w:rPr>
                <w:rFonts w:hint="eastAsia" w:ascii="微软雅黑" w:hAnsi="微软雅黑" w:eastAsia="微软雅黑" w:cs="微软雅黑"/>
                <w:i w:val="0"/>
                <w:iCs w:val="0"/>
                <w:color w:val="000000"/>
                <w:sz w:val="16"/>
                <w:szCs w:val="16"/>
                <w:u w:val="none"/>
              </w:rPr>
            </w:pPr>
          </w:p>
        </w:tc>
      </w:tr>
      <w:tr w14:paraId="7C9B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8204">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C375">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保障城区市容市貌秩序井然，增强市民对良好生活环境的获得感和幸福感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2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F5D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C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6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3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94CF">
            <w:pPr>
              <w:jc w:val="center"/>
              <w:rPr>
                <w:rFonts w:hint="eastAsia" w:ascii="微软雅黑" w:hAnsi="微软雅黑" w:eastAsia="微软雅黑" w:cs="微软雅黑"/>
                <w:i w:val="0"/>
                <w:iCs w:val="0"/>
                <w:color w:val="000000"/>
                <w:sz w:val="16"/>
                <w:szCs w:val="16"/>
                <w:u w:val="none"/>
              </w:rPr>
            </w:pPr>
          </w:p>
        </w:tc>
      </w:tr>
      <w:tr w14:paraId="1108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CCB02">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0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9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1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A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C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E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D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7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E93">
            <w:pPr>
              <w:jc w:val="center"/>
              <w:rPr>
                <w:rFonts w:hint="eastAsia" w:ascii="微软雅黑" w:hAnsi="微软雅黑" w:eastAsia="微软雅黑" w:cs="微软雅黑"/>
                <w:i w:val="0"/>
                <w:iCs w:val="0"/>
                <w:color w:val="000000"/>
                <w:sz w:val="16"/>
                <w:szCs w:val="16"/>
                <w:u w:val="none"/>
              </w:rPr>
            </w:pPr>
          </w:p>
        </w:tc>
      </w:tr>
      <w:tr w14:paraId="4AE2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B405">
            <w:pPr>
              <w:jc w:val="center"/>
              <w:rPr>
                <w:rFonts w:hint="eastAsia" w:ascii="宋体" w:hAnsi="宋体" w:eastAsia="宋体" w:cs="宋体"/>
                <w:i w:val="0"/>
                <w:iCs w:val="0"/>
                <w:color w:val="000000"/>
                <w:sz w:val="18"/>
                <w:szCs w:val="18"/>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E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9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专项治理、专项检查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B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C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6B1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F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A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7906">
            <w:pPr>
              <w:jc w:val="center"/>
              <w:rPr>
                <w:rFonts w:hint="eastAsia" w:ascii="微软雅黑" w:hAnsi="微软雅黑" w:eastAsia="微软雅黑" w:cs="微软雅黑"/>
                <w:i w:val="0"/>
                <w:iCs w:val="0"/>
                <w:color w:val="000000"/>
                <w:sz w:val="16"/>
                <w:szCs w:val="16"/>
                <w:u w:val="none"/>
              </w:rPr>
            </w:pPr>
          </w:p>
        </w:tc>
      </w:tr>
      <w:tr w14:paraId="573F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BCD4">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677F">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B85F">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F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A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5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8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0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1CBF">
            <w:pPr>
              <w:jc w:val="center"/>
              <w:rPr>
                <w:rFonts w:hint="eastAsia" w:ascii="微软雅黑" w:hAnsi="微软雅黑" w:eastAsia="微软雅黑" w:cs="微软雅黑"/>
                <w:i w:val="0"/>
                <w:iCs w:val="0"/>
                <w:color w:val="000000"/>
                <w:sz w:val="16"/>
                <w:szCs w:val="16"/>
                <w:u w:val="none"/>
              </w:rPr>
            </w:pPr>
          </w:p>
        </w:tc>
      </w:tr>
      <w:tr w14:paraId="0457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C577">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CD05">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20B4">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C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宣传培训</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7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AF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1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8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1BCA">
            <w:pPr>
              <w:jc w:val="center"/>
              <w:rPr>
                <w:rFonts w:hint="eastAsia" w:ascii="微软雅黑" w:hAnsi="微软雅黑" w:eastAsia="微软雅黑" w:cs="微软雅黑"/>
                <w:i w:val="0"/>
                <w:iCs w:val="0"/>
                <w:color w:val="000000"/>
                <w:sz w:val="16"/>
                <w:szCs w:val="16"/>
                <w:u w:val="none"/>
              </w:rPr>
            </w:pPr>
          </w:p>
        </w:tc>
      </w:tr>
      <w:tr w14:paraId="445D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877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C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0D36">
            <w:pPr>
              <w:rPr>
                <w:rFonts w:hint="eastAsia" w:ascii="宋体" w:hAnsi="宋体" w:eastAsia="宋体" w:cs="宋体"/>
                <w:i w:val="0"/>
                <w:iCs w:val="0"/>
                <w:color w:val="000000"/>
                <w:sz w:val="18"/>
                <w:szCs w:val="18"/>
                <w:u w:val="none"/>
              </w:rPr>
            </w:pPr>
          </w:p>
        </w:tc>
      </w:tr>
      <w:tr w14:paraId="51DA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01C66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过各项专项整治，进一步美化城区环境，解除安全隐患，为广大居民营造干净整洁，保障了城区市容市貌秩序井然，增强了市民对良好生活环境的获得感和幸福感，文明法治的生活环境，活跃居民生活，促进安居经济健康发展。</w:t>
            </w:r>
          </w:p>
        </w:tc>
      </w:tr>
      <w:tr w14:paraId="0216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9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4A9AC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707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3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6735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80F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D51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项目负责人：邓发军</w:t>
            </w:r>
          </w:p>
        </w:tc>
        <w:tc>
          <w:tcPr>
            <w:tcW w:w="4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153A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631B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76" w:type="dxa"/>
            <w:tcBorders>
              <w:top w:val="nil"/>
              <w:left w:val="nil"/>
              <w:bottom w:val="nil"/>
              <w:right w:val="nil"/>
            </w:tcBorders>
            <w:shd w:val="clear" w:color="auto" w:fill="auto"/>
            <w:vAlign w:val="center"/>
          </w:tcPr>
          <w:p w14:paraId="16EE085C">
            <w:pPr>
              <w:rPr>
                <w:rFonts w:hint="eastAsia" w:ascii="宋体" w:hAnsi="宋体" w:eastAsia="宋体" w:cs="宋体"/>
                <w:i w:val="0"/>
                <w:iCs w:val="0"/>
                <w:color w:val="000000"/>
                <w:sz w:val="18"/>
                <w:szCs w:val="18"/>
                <w:u w:val="none"/>
              </w:rPr>
            </w:pPr>
          </w:p>
        </w:tc>
        <w:tc>
          <w:tcPr>
            <w:tcW w:w="1321" w:type="dxa"/>
            <w:tcBorders>
              <w:top w:val="nil"/>
              <w:left w:val="nil"/>
              <w:bottom w:val="nil"/>
              <w:right w:val="nil"/>
            </w:tcBorders>
            <w:shd w:val="clear" w:color="auto" w:fill="auto"/>
            <w:vAlign w:val="center"/>
          </w:tcPr>
          <w:p w14:paraId="2CE14464">
            <w:pPr>
              <w:rPr>
                <w:rFonts w:hint="eastAsia" w:ascii="宋体" w:hAnsi="宋体" w:eastAsia="宋体" w:cs="宋体"/>
                <w:i w:val="0"/>
                <w:iCs w:val="0"/>
                <w:color w:val="000000"/>
                <w:sz w:val="18"/>
                <w:szCs w:val="18"/>
                <w:u w:val="none"/>
              </w:rPr>
            </w:pPr>
          </w:p>
        </w:tc>
        <w:tc>
          <w:tcPr>
            <w:tcW w:w="1175" w:type="dxa"/>
            <w:tcBorders>
              <w:top w:val="nil"/>
              <w:left w:val="nil"/>
              <w:bottom w:val="nil"/>
              <w:right w:val="nil"/>
            </w:tcBorders>
            <w:shd w:val="clear" w:color="auto" w:fill="auto"/>
            <w:vAlign w:val="center"/>
          </w:tcPr>
          <w:p w14:paraId="1B914333">
            <w:pPr>
              <w:rPr>
                <w:rFonts w:hint="eastAsia" w:ascii="宋体" w:hAnsi="宋体" w:eastAsia="宋体" w:cs="宋体"/>
                <w:i w:val="0"/>
                <w:iCs w:val="0"/>
                <w:color w:val="000000"/>
                <w:sz w:val="18"/>
                <w:szCs w:val="18"/>
                <w:u w:val="none"/>
              </w:rPr>
            </w:pPr>
          </w:p>
        </w:tc>
        <w:tc>
          <w:tcPr>
            <w:tcW w:w="1704" w:type="dxa"/>
            <w:tcBorders>
              <w:top w:val="nil"/>
              <w:left w:val="nil"/>
              <w:bottom w:val="nil"/>
              <w:right w:val="nil"/>
            </w:tcBorders>
            <w:shd w:val="clear" w:color="auto" w:fill="auto"/>
            <w:vAlign w:val="center"/>
          </w:tcPr>
          <w:p w14:paraId="3036E4EE">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14:paraId="38F84B87">
            <w:pPr>
              <w:rPr>
                <w:rFonts w:hint="eastAsia" w:ascii="宋体" w:hAnsi="宋体" w:eastAsia="宋体" w:cs="宋体"/>
                <w:i w:val="0"/>
                <w:iCs w:val="0"/>
                <w:color w:val="000000"/>
                <w:sz w:val="18"/>
                <w:szCs w:val="18"/>
                <w:u w:val="none"/>
              </w:rPr>
            </w:pPr>
          </w:p>
        </w:tc>
        <w:tc>
          <w:tcPr>
            <w:tcW w:w="619" w:type="dxa"/>
            <w:tcBorders>
              <w:top w:val="nil"/>
              <w:left w:val="nil"/>
              <w:bottom w:val="nil"/>
              <w:right w:val="nil"/>
            </w:tcBorders>
            <w:shd w:val="clear" w:color="auto" w:fill="auto"/>
            <w:vAlign w:val="center"/>
          </w:tcPr>
          <w:p w14:paraId="70ADCC09">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26508E5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DD7FF1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5B27CA">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37F437B">
            <w:pPr>
              <w:rPr>
                <w:rFonts w:hint="eastAsia" w:ascii="宋体" w:hAnsi="宋体" w:eastAsia="宋体" w:cs="宋体"/>
                <w:i w:val="0"/>
                <w:iCs w:val="0"/>
                <w:color w:val="000000"/>
                <w:sz w:val="18"/>
                <w:szCs w:val="18"/>
                <w:u w:val="none"/>
              </w:rPr>
            </w:pPr>
          </w:p>
        </w:tc>
        <w:tc>
          <w:tcPr>
            <w:tcW w:w="1579" w:type="dxa"/>
            <w:tcBorders>
              <w:top w:val="nil"/>
              <w:left w:val="nil"/>
              <w:bottom w:val="nil"/>
              <w:right w:val="nil"/>
            </w:tcBorders>
            <w:shd w:val="clear" w:color="auto" w:fill="auto"/>
            <w:vAlign w:val="center"/>
          </w:tcPr>
          <w:p w14:paraId="2F5331D4">
            <w:pPr>
              <w:rPr>
                <w:rFonts w:hint="eastAsia" w:ascii="宋体" w:hAnsi="宋体" w:eastAsia="宋体" w:cs="宋体"/>
                <w:i w:val="0"/>
                <w:iCs w:val="0"/>
                <w:color w:val="000000"/>
                <w:sz w:val="18"/>
                <w:szCs w:val="18"/>
                <w:u w:val="none"/>
              </w:rPr>
            </w:pPr>
          </w:p>
        </w:tc>
      </w:tr>
      <w:tr w14:paraId="333B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97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17746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E4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5C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654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51090422T000007396509-城区违法建设综合治理考评激励专项</w:t>
            </w:r>
          </w:p>
        </w:tc>
      </w:tr>
      <w:tr w14:paraId="0AFB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51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F39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6E442E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A2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6089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1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AD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9B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E2D1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11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4C041">
            <w:pP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6205">
            <w:pPr>
              <w:rPr>
                <w:rFonts w:hint="eastAsia" w:ascii="宋体" w:hAnsi="宋体" w:eastAsia="宋体" w:cs="宋体"/>
                <w:i w:val="0"/>
                <w:iCs w:val="0"/>
                <w:color w:val="000000"/>
                <w:sz w:val="18"/>
                <w:szCs w:val="18"/>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4D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添置城市管理及执法案件办理过程中的设施设备</w:t>
            </w:r>
          </w:p>
        </w:tc>
        <w:tc>
          <w:tcPr>
            <w:tcW w:w="3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819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通过添置皮卡车、无人机、摩托车等设备，为城市管理及执法案件办理提供了物质保障，让城市管理和行政执法工作更加得心应手，更好地做到”人民城管为人民“，让人民群众的获得感和幸福感不断增强。</w:t>
            </w:r>
          </w:p>
        </w:tc>
      </w:tr>
      <w:tr w14:paraId="2E59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1679">
            <w:pP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DE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3CDE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将项目资金用于添置城市管理及执法案件办理过程中的设施设备，具体为：皮卡车5辆、无人机1台、笔记本5台、录音笔6支、便携式打印机3台、两轮摩托车13辆。</w:t>
            </w:r>
          </w:p>
        </w:tc>
      </w:tr>
      <w:tr w14:paraId="449A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9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C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1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76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0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1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8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5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22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0B0C">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F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2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69.24</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05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C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9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7606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84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05666">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6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6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69.24</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A7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D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0A13">
            <w:pPr>
              <w:rPr>
                <w:rFonts w:hint="eastAsia" w:ascii="黑体" w:hAnsi="黑体" w:eastAsia="黑体" w:cs="黑体"/>
                <w:i w:val="0"/>
                <w:iCs w:val="0"/>
                <w:color w:val="000000"/>
                <w:sz w:val="18"/>
                <w:szCs w:val="18"/>
                <w:u w:val="none"/>
              </w:rPr>
            </w:pPr>
          </w:p>
        </w:tc>
      </w:tr>
      <w:tr w14:paraId="30BC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4B39">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F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C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7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A2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0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4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5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C484">
            <w:pPr>
              <w:rPr>
                <w:rFonts w:hint="eastAsia" w:ascii="黑体" w:hAnsi="黑体" w:eastAsia="黑体" w:cs="黑体"/>
                <w:i w:val="0"/>
                <w:iCs w:val="0"/>
                <w:color w:val="000000"/>
                <w:sz w:val="18"/>
                <w:szCs w:val="18"/>
                <w:u w:val="none"/>
              </w:rPr>
            </w:pPr>
          </w:p>
        </w:tc>
      </w:tr>
      <w:tr w14:paraId="762A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4CB9">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A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2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D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A2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4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A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BA16">
            <w:pPr>
              <w:rPr>
                <w:rFonts w:hint="eastAsia" w:ascii="黑体" w:hAnsi="黑体" w:eastAsia="黑体" w:cs="黑体"/>
                <w:i w:val="0"/>
                <w:iCs w:val="0"/>
                <w:color w:val="000000"/>
                <w:sz w:val="18"/>
                <w:szCs w:val="18"/>
                <w:u w:val="none"/>
              </w:rPr>
            </w:pPr>
          </w:p>
        </w:tc>
      </w:tr>
      <w:tr w14:paraId="37DC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2240">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7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D715">
            <w:pPr>
              <w:jc w:val="center"/>
              <w:rPr>
                <w:rFonts w:hint="eastAsia" w:ascii="微软雅黑" w:hAnsi="微软雅黑" w:eastAsia="微软雅黑" w:cs="微软雅黑"/>
                <w:i w:val="0"/>
                <w:iCs w:val="0"/>
                <w:color w:val="000000"/>
                <w:sz w:val="16"/>
                <w:szCs w:val="16"/>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CD5D">
            <w:pPr>
              <w:jc w:val="center"/>
              <w:rPr>
                <w:rFonts w:hint="eastAsia" w:ascii="微软雅黑" w:hAnsi="微软雅黑" w:eastAsia="微软雅黑" w:cs="微软雅黑"/>
                <w:i w:val="0"/>
                <w:iCs w:val="0"/>
                <w:color w:val="000000"/>
                <w:sz w:val="16"/>
                <w:szCs w:val="16"/>
                <w:u w:val="none"/>
              </w:rPr>
            </w:pP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247CB">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303">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0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AD3B">
            <w:pPr>
              <w:rPr>
                <w:rFonts w:hint="eastAsia" w:ascii="黑体" w:hAnsi="黑体" w:eastAsia="黑体" w:cs="黑体"/>
                <w:i w:val="0"/>
                <w:iCs w:val="0"/>
                <w:color w:val="000000"/>
                <w:sz w:val="18"/>
                <w:szCs w:val="18"/>
                <w:u w:val="none"/>
              </w:rPr>
            </w:pPr>
          </w:p>
        </w:tc>
      </w:tr>
      <w:tr w14:paraId="6481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26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1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9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7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1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7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A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F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7C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CAC8">
            <w:pPr>
              <w:jc w:val="center"/>
              <w:rPr>
                <w:rFonts w:hint="eastAsia" w:ascii="宋体" w:hAnsi="宋体" w:eastAsia="宋体" w:cs="宋体"/>
                <w:i w:val="0"/>
                <w:iCs w:val="0"/>
                <w:color w:val="000000"/>
                <w:sz w:val="18"/>
                <w:szCs w:val="18"/>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00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6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5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皮卡车5辆、无人机1台、笔记本5台、录音笔6支、便携式打印机3台、两轮摩托车13辆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B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8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辆/台/支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7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A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A0D7">
            <w:pPr>
              <w:jc w:val="center"/>
              <w:rPr>
                <w:rFonts w:hint="eastAsia" w:ascii="微软雅黑" w:hAnsi="微软雅黑" w:eastAsia="微软雅黑" w:cs="微软雅黑"/>
                <w:i w:val="0"/>
                <w:iCs w:val="0"/>
                <w:color w:val="000000"/>
                <w:sz w:val="16"/>
                <w:szCs w:val="16"/>
                <w:u w:val="none"/>
              </w:rPr>
            </w:pPr>
          </w:p>
        </w:tc>
      </w:tr>
      <w:tr w14:paraId="4D3E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D9D9">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6B9F">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5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1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严格按照相关设备的要求（包含但不限于：技术参数、产品质量、规格、排量）进行购买，确保设备质量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4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E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E17F">
            <w:pPr>
              <w:jc w:val="center"/>
              <w:rPr>
                <w:rFonts w:hint="eastAsia" w:ascii="微软雅黑" w:hAnsi="微软雅黑" w:eastAsia="微软雅黑" w:cs="微软雅黑"/>
                <w:i w:val="0"/>
                <w:iCs w:val="0"/>
                <w:color w:val="000000"/>
                <w:sz w:val="16"/>
                <w:szCs w:val="16"/>
                <w:u w:val="none"/>
              </w:rPr>
            </w:pPr>
          </w:p>
        </w:tc>
      </w:tr>
      <w:tr w14:paraId="6EC6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F325">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B193">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第一时间参与城市管理和行政执法</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0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B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8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B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D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CB58">
            <w:pPr>
              <w:jc w:val="center"/>
              <w:rPr>
                <w:rFonts w:hint="eastAsia" w:ascii="微软雅黑" w:hAnsi="微软雅黑" w:eastAsia="微软雅黑" w:cs="微软雅黑"/>
                <w:i w:val="0"/>
                <w:iCs w:val="0"/>
                <w:color w:val="000000"/>
                <w:sz w:val="16"/>
                <w:szCs w:val="16"/>
                <w:u w:val="none"/>
              </w:rPr>
            </w:pPr>
          </w:p>
        </w:tc>
      </w:tr>
      <w:tr w14:paraId="05E4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177A">
            <w:pPr>
              <w:jc w:val="center"/>
              <w:rPr>
                <w:rFonts w:hint="eastAsia" w:ascii="宋体" w:hAnsi="宋体" w:eastAsia="宋体" w:cs="宋体"/>
                <w:i w:val="0"/>
                <w:iCs w:val="0"/>
                <w:color w:val="000000"/>
                <w:sz w:val="18"/>
                <w:szCs w:val="18"/>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D0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9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规范城市秩序，确保住建领域行政执法更加规范有序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3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8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2C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9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A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4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476F">
            <w:pPr>
              <w:jc w:val="center"/>
              <w:rPr>
                <w:rFonts w:hint="eastAsia" w:ascii="微软雅黑" w:hAnsi="微软雅黑" w:eastAsia="微软雅黑" w:cs="微软雅黑"/>
                <w:i w:val="0"/>
                <w:iCs w:val="0"/>
                <w:color w:val="000000"/>
                <w:sz w:val="16"/>
                <w:szCs w:val="16"/>
                <w:u w:val="none"/>
              </w:rPr>
            </w:pPr>
          </w:p>
        </w:tc>
      </w:tr>
      <w:tr w14:paraId="59B9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2920">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B0C6">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4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保障城区市容市貌秩序井然，增强市民对良好生活环境的获得感和幸福感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3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E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85B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7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A395">
            <w:pPr>
              <w:jc w:val="center"/>
              <w:rPr>
                <w:rFonts w:hint="eastAsia" w:ascii="微软雅黑" w:hAnsi="微软雅黑" w:eastAsia="微软雅黑" w:cs="微软雅黑"/>
                <w:i w:val="0"/>
                <w:iCs w:val="0"/>
                <w:color w:val="000000"/>
                <w:sz w:val="16"/>
                <w:szCs w:val="16"/>
                <w:u w:val="none"/>
              </w:rPr>
            </w:pPr>
          </w:p>
        </w:tc>
      </w:tr>
      <w:tr w14:paraId="2F9D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8CA7">
            <w:pPr>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6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7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F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A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4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E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8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663B">
            <w:pPr>
              <w:jc w:val="center"/>
              <w:rPr>
                <w:rFonts w:hint="eastAsia" w:ascii="微软雅黑" w:hAnsi="微软雅黑" w:eastAsia="微软雅黑" w:cs="微软雅黑"/>
                <w:i w:val="0"/>
                <w:iCs w:val="0"/>
                <w:color w:val="000000"/>
                <w:sz w:val="16"/>
                <w:szCs w:val="16"/>
                <w:u w:val="none"/>
              </w:rPr>
            </w:pPr>
          </w:p>
        </w:tc>
      </w:tr>
      <w:tr w14:paraId="310F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9330">
            <w:pPr>
              <w:jc w:val="center"/>
              <w:rPr>
                <w:rFonts w:hint="eastAsia" w:ascii="宋体" w:hAnsi="宋体" w:eastAsia="宋体" w:cs="宋体"/>
                <w:i w:val="0"/>
                <w:iCs w:val="0"/>
                <w:color w:val="000000"/>
                <w:sz w:val="18"/>
                <w:szCs w:val="18"/>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B3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03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3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皮卡车5辆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F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7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B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51.15</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CA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8A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FD2B">
            <w:pPr>
              <w:jc w:val="center"/>
              <w:rPr>
                <w:rFonts w:hint="eastAsia" w:ascii="微软雅黑" w:hAnsi="微软雅黑" w:eastAsia="微软雅黑" w:cs="微软雅黑"/>
                <w:i w:val="0"/>
                <w:iCs w:val="0"/>
                <w:color w:val="000000"/>
                <w:sz w:val="16"/>
                <w:szCs w:val="16"/>
                <w:u w:val="none"/>
              </w:rPr>
            </w:pPr>
          </w:p>
        </w:tc>
      </w:tr>
      <w:tr w14:paraId="1225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018F">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E33A">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D237">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D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无人机1台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4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3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8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2.9996</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5590">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351C">
            <w:pPr>
              <w:jc w:val="center"/>
              <w:rPr>
                <w:rFonts w:hint="eastAsia" w:ascii="宋体" w:hAnsi="宋体" w:eastAsia="宋体" w:cs="宋体"/>
                <w:i w:val="0"/>
                <w:iCs w:val="0"/>
                <w:color w:val="000000"/>
                <w:sz w:val="18"/>
                <w:szCs w:val="18"/>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6F1C">
            <w:pPr>
              <w:jc w:val="center"/>
              <w:rPr>
                <w:rFonts w:hint="eastAsia" w:ascii="微软雅黑" w:hAnsi="微软雅黑" w:eastAsia="微软雅黑" w:cs="微软雅黑"/>
                <w:i w:val="0"/>
                <w:iCs w:val="0"/>
                <w:color w:val="000000"/>
                <w:sz w:val="16"/>
                <w:szCs w:val="16"/>
                <w:u w:val="none"/>
              </w:rPr>
            </w:pPr>
          </w:p>
        </w:tc>
      </w:tr>
      <w:tr w14:paraId="79D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41F0">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5B4F">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1493">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7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笔记本5台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9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D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2.899</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FEE2">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E128">
            <w:pPr>
              <w:jc w:val="center"/>
              <w:rPr>
                <w:rFonts w:hint="eastAsia" w:ascii="宋体" w:hAnsi="宋体" w:eastAsia="宋体" w:cs="宋体"/>
                <w:i w:val="0"/>
                <w:iCs w:val="0"/>
                <w:color w:val="000000"/>
                <w:sz w:val="18"/>
                <w:szCs w:val="18"/>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ADA8">
            <w:pPr>
              <w:jc w:val="center"/>
              <w:rPr>
                <w:rFonts w:hint="eastAsia" w:ascii="微软雅黑" w:hAnsi="微软雅黑" w:eastAsia="微软雅黑" w:cs="微软雅黑"/>
                <w:i w:val="0"/>
                <w:iCs w:val="0"/>
                <w:color w:val="000000"/>
                <w:sz w:val="16"/>
                <w:szCs w:val="16"/>
                <w:u w:val="none"/>
              </w:rPr>
            </w:pPr>
          </w:p>
        </w:tc>
      </w:tr>
      <w:tr w14:paraId="6820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20FA">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FAB7">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091F">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E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录音笔6支、便携式打印机3台、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5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9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0.777</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DC1E">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13ED">
            <w:pPr>
              <w:jc w:val="center"/>
              <w:rPr>
                <w:rFonts w:hint="eastAsia" w:ascii="宋体" w:hAnsi="宋体" w:eastAsia="宋体" w:cs="宋体"/>
                <w:i w:val="0"/>
                <w:iCs w:val="0"/>
                <w:color w:val="000000"/>
                <w:sz w:val="18"/>
                <w:szCs w:val="18"/>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430E">
            <w:pPr>
              <w:jc w:val="center"/>
              <w:rPr>
                <w:rFonts w:hint="eastAsia" w:ascii="微软雅黑" w:hAnsi="微软雅黑" w:eastAsia="微软雅黑" w:cs="微软雅黑"/>
                <w:i w:val="0"/>
                <w:iCs w:val="0"/>
                <w:color w:val="000000"/>
                <w:sz w:val="16"/>
                <w:szCs w:val="16"/>
                <w:u w:val="none"/>
              </w:rPr>
            </w:pPr>
          </w:p>
        </w:tc>
      </w:tr>
      <w:tr w14:paraId="62C5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C1E0">
            <w:pPr>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9170">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CD70">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C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两轮摩托车13辆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0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2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293C">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5A2B">
            <w:pPr>
              <w:jc w:val="center"/>
              <w:rPr>
                <w:rFonts w:hint="eastAsia" w:ascii="宋体" w:hAnsi="宋体" w:eastAsia="宋体" w:cs="宋体"/>
                <w:i w:val="0"/>
                <w:iCs w:val="0"/>
                <w:color w:val="000000"/>
                <w:sz w:val="18"/>
                <w:szCs w:val="18"/>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1417">
            <w:pPr>
              <w:jc w:val="center"/>
              <w:rPr>
                <w:rFonts w:hint="eastAsia" w:ascii="微软雅黑" w:hAnsi="微软雅黑" w:eastAsia="微软雅黑" w:cs="微软雅黑"/>
                <w:i w:val="0"/>
                <w:iCs w:val="0"/>
                <w:color w:val="000000"/>
                <w:sz w:val="16"/>
                <w:szCs w:val="16"/>
                <w:u w:val="none"/>
              </w:rPr>
            </w:pPr>
          </w:p>
        </w:tc>
      </w:tr>
      <w:tr w14:paraId="0E22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A94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2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9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3E7">
            <w:pPr>
              <w:rPr>
                <w:rFonts w:hint="eastAsia" w:ascii="宋体" w:hAnsi="宋体" w:eastAsia="宋体" w:cs="宋体"/>
                <w:i w:val="0"/>
                <w:iCs w:val="0"/>
                <w:color w:val="000000"/>
                <w:sz w:val="18"/>
                <w:szCs w:val="18"/>
                <w:u w:val="none"/>
              </w:rPr>
            </w:pPr>
          </w:p>
        </w:tc>
      </w:tr>
      <w:tr w14:paraId="5903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7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BA0EF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皮卡车5辆、无人机1台、笔记本5台、录音笔6支、便携式打印机3台、两轮摩托车13辆等设备的添置，为城市管理和行政执法提供了坚实的硬件保障，让城市管理和行政执法工作更加得心应手，更好地做到”人民城管为人民“，让人民群众的获得感和幸福感不断增强。</w:t>
            </w:r>
          </w:p>
        </w:tc>
      </w:tr>
      <w:tr w14:paraId="35A4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8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079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7C8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EEFF8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7BA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7DB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项目负责人：邓发军</w:t>
            </w:r>
          </w:p>
        </w:tc>
        <w:tc>
          <w:tcPr>
            <w:tcW w:w="4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DF09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bl>
    <w:p w14:paraId="7C7B8083">
      <w:pPr>
        <w:rPr>
          <w:rFonts w:hint="eastAsia" w:ascii="Times New Roman" w:hAnsi="Times New Roman" w:eastAsia="黑体" w:cs="黑体"/>
          <w:color w:val="auto"/>
          <w:kern w:val="0"/>
          <w:sz w:val="32"/>
          <w:szCs w:val="32"/>
          <w:highlight w:val="none"/>
          <w:shd w:val="clear" w:color="auto" w:fill="FFFFFF"/>
          <w:lang w:val="zh-CN"/>
        </w:rPr>
      </w:pPr>
    </w:p>
    <w:tbl>
      <w:tblPr>
        <w:tblStyle w:val="20"/>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42"/>
        <w:gridCol w:w="1174"/>
        <w:gridCol w:w="1547"/>
        <w:gridCol w:w="396"/>
        <w:gridCol w:w="1191"/>
        <w:gridCol w:w="396"/>
        <w:gridCol w:w="1026"/>
        <w:gridCol w:w="486"/>
        <w:gridCol w:w="396"/>
        <w:gridCol w:w="1170"/>
      </w:tblGrid>
      <w:tr w14:paraId="014B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9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8C1AE">
            <w:pPr>
              <w:keepNext w:val="0"/>
              <w:keepLines w:val="0"/>
              <w:widowControl/>
              <w:suppressLineNumbers w:val="0"/>
              <w:jc w:val="center"/>
              <w:textAlignment w:val="center"/>
              <w:rPr>
                <w:rFonts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2181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D4D3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77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6767A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51090422T000004953938-城市管理经费</w:t>
            </w:r>
          </w:p>
        </w:tc>
      </w:tr>
      <w:tr w14:paraId="02CB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C548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4859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遂宁市安居区综合行政执法局部门</w:t>
            </w:r>
          </w:p>
        </w:tc>
        <w:tc>
          <w:tcPr>
            <w:tcW w:w="797" w:type="dxa"/>
            <w:tcBorders>
              <w:top w:val="nil"/>
              <w:left w:val="nil"/>
              <w:bottom w:val="nil"/>
              <w:right w:val="nil"/>
            </w:tcBorders>
            <w:shd w:val="clear" w:color="auto" w:fill="auto"/>
            <w:vAlign w:val="center"/>
          </w:tcPr>
          <w:p w14:paraId="29805EB1">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920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遂宁市安居区综合行政执法局</w:t>
            </w:r>
          </w:p>
        </w:tc>
      </w:tr>
      <w:tr w14:paraId="7494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BB8F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F010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3F4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1E1467">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5A9D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D1AA">
            <w:pPr>
              <w:rPr>
                <w:rFonts w:hint="eastAsia" w:ascii="宋体" w:hAnsi="宋体" w:eastAsia="宋体" w:cs="宋体"/>
                <w:i w:val="0"/>
                <w:iCs w:val="0"/>
                <w:color w:val="auto"/>
                <w:sz w:val="18"/>
                <w:szCs w:val="18"/>
                <w:u w:val="none"/>
              </w:rPr>
            </w:pP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6032">
            <w:pPr>
              <w:rPr>
                <w:rFonts w:hint="eastAsia" w:ascii="宋体" w:hAnsi="宋体" w:eastAsia="宋体" w:cs="宋体"/>
                <w:i w:val="0"/>
                <w:iCs w:val="0"/>
                <w:color w:val="auto"/>
                <w:sz w:val="18"/>
                <w:szCs w:val="18"/>
                <w:u w:val="none"/>
              </w:rPr>
            </w:pPr>
          </w:p>
        </w:tc>
        <w:tc>
          <w:tcPr>
            <w:tcW w:w="4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8AB1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该项目通过政府购买服务，引进绿化养护公司进行专业管理，对安居区遂安大道16米拓宽绿化及护坡绿化养护服务，确保绿化存活率达95%以上，人民群众满意度达98%以上。</w:t>
            </w:r>
          </w:p>
        </w:tc>
        <w:tc>
          <w:tcPr>
            <w:tcW w:w="2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55C4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通过绿化服务外包，绿化存活率达95%以上，人民群众满意度达98%以上。</w:t>
            </w:r>
          </w:p>
        </w:tc>
      </w:tr>
      <w:tr w14:paraId="32B2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A8C0">
            <w:pP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1F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77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9EB0D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安居区遂安大道16米拓宽绿化及护坡绿化养护服务。涉及景观带绿化面积275264.95㎡，斜坡绿化面积68335.57㎡，涉及乔木24275株。</w:t>
            </w:r>
          </w:p>
        </w:tc>
      </w:tr>
      <w:tr w14:paraId="73FC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9B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CC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CC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D6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711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A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14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8C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8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6F5F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9C56">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AC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9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A7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51.38</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B0A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51.38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66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B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EB08">
            <w:pPr>
              <w:jc w:val="center"/>
              <w:rPr>
                <w:rFonts w:hint="eastAsia" w:ascii="宋体" w:hAnsi="宋体" w:eastAsia="宋体" w:cs="宋体"/>
                <w:i w:val="0"/>
                <w:iCs w:val="0"/>
                <w:color w:val="auto"/>
                <w:sz w:val="18"/>
                <w:szCs w:val="18"/>
                <w:u w:val="none"/>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6D029">
            <w:pPr>
              <w:keepNext w:val="0"/>
              <w:keepLines w:val="0"/>
              <w:widowControl/>
              <w:suppressLineNumbers w:val="0"/>
              <w:jc w:val="left"/>
              <w:textAlignment w:val="center"/>
              <w:rPr>
                <w:rFonts w:hint="eastAsia" w:ascii="黑体" w:hAnsi="黑体" w:eastAsia="黑体" w:cs="黑体"/>
                <w:i w:val="0"/>
                <w:iCs w:val="0"/>
                <w:color w:val="auto"/>
                <w:sz w:val="13"/>
                <w:szCs w:val="13"/>
                <w:u w:val="none"/>
              </w:rPr>
            </w:pPr>
            <w:r>
              <w:rPr>
                <w:rFonts w:hint="eastAsia" w:ascii="黑体" w:hAnsi="黑体" w:eastAsia="黑体" w:cs="黑体"/>
                <w:i w:val="0"/>
                <w:iCs w:val="0"/>
                <w:color w:val="auto"/>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A9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8110">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25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8C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93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51.38</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DDF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51.38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89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3A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4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EC51">
            <w:pPr>
              <w:rPr>
                <w:rFonts w:hint="eastAsia" w:ascii="黑体" w:hAnsi="黑体" w:eastAsia="黑体" w:cs="黑体"/>
                <w:i w:val="0"/>
                <w:iCs w:val="0"/>
                <w:color w:val="auto"/>
                <w:sz w:val="18"/>
                <w:szCs w:val="18"/>
                <w:u w:val="none"/>
              </w:rPr>
            </w:pPr>
          </w:p>
        </w:tc>
      </w:tr>
      <w:tr w14:paraId="1885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2354">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8A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A1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ED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A70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91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D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4C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04AC">
            <w:pPr>
              <w:rPr>
                <w:rFonts w:hint="eastAsia" w:ascii="黑体" w:hAnsi="黑体" w:eastAsia="黑体" w:cs="黑体"/>
                <w:i w:val="0"/>
                <w:iCs w:val="0"/>
                <w:color w:val="auto"/>
                <w:sz w:val="18"/>
                <w:szCs w:val="18"/>
                <w:u w:val="none"/>
              </w:rPr>
            </w:pPr>
          </w:p>
        </w:tc>
      </w:tr>
      <w:tr w14:paraId="12DC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55A1">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99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ED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5A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7E2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2A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CA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6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744D">
            <w:pPr>
              <w:rPr>
                <w:rFonts w:hint="eastAsia" w:ascii="黑体" w:hAnsi="黑体" w:eastAsia="黑体" w:cs="黑体"/>
                <w:i w:val="0"/>
                <w:iCs w:val="0"/>
                <w:color w:val="auto"/>
                <w:sz w:val="18"/>
                <w:szCs w:val="18"/>
                <w:u w:val="none"/>
              </w:rPr>
            </w:pPr>
          </w:p>
        </w:tc>
      </w:tr>
      <w:tr w14:paraId="2C84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0A9D">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83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592">
            <w:pPr>
              <w:jc w:val="center"/>
              <w:rPr>
                <w:rFonts w:hint="eastAsia" w:ascii="微软雅黑" w:hAnsi="微软雅黑" w:eastAsia="微软雅黑" w:cs="微软雅黑"/>
                <w:i w:val="0"/>
                <w:iCs w:val="0"/>
                <w:color w:val="auto"/>
                <w:sz w:val="16"/>
                <w:szCs w:val="16"/>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063B">
            <w:pPr>
              <w:jc w:val="center"/>
              <w:rPr>
                <w:rFonts w:hint="eastAsia" w:ascii="微软雅黑" w:hAnsi="微软雅黑" w:eastAsia="微软雅黑" w:cs="微软雅黑"/>
                <w:i w:val="0"/>
                <w:iCs w:val="0"/>
                <w:color w:val="auto"/>
                <w:sz w:val="16"/>
                <w:szCs w:val="16"/>
                <w:u w:val="none"/>
              </w:rPr>
            </w:pP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EEC59">
            <w:pPr>
              <w:jc w:val="center"/>
              <w:rPr>
                <w:rFonts w:hint="eastAsia" w:ascii="微软雅黑" w:hAnsi="微软雅黑" w:eastAsia="微软雅黑" w:cs="微软雅黑"/>
                <w:i w:val="0"/>
                <w:iCs w:val="0"/>
                <w:color w:val="auto"/>
                <w:sz w:val="16"/>
                <w:szCs w:val="16"/>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136E">
            <w:pPr>
              <w:jc w:val="center"/>
              <w:rPr>
                <w:rFonts w:hint="eastAsia" w:ascii="微软雅黑" w:hAnsi="微软雅黑" w:eastAsia="微软雅黑" w:cs="微软雅黑"/>
                <w:i w:val="0"/>
                <w:iCs w:val="0"/>
                <w:color w:val="auto"/>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7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59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4788">
            <w:pPr>
              <w:rPr>
                <w:rFonts w:hint="eastAsia" w:ascii="黑体" w:hAnsi="黑体" w:eastAsia="黑体" w:cs="黑体"/>
                <w:i w:val="0"/>
                <w:iCs w:val="0"/>
                <w:color w:val="auto"/>
                <w:sz w:val="18"/>
                <w:szCs w:val="18"/>
                <w:u w:val="none"/>
              </w:rPr>
            </w:pPr>
          </w:p>
        </w:tc>
      </w:tr>
      <w:tr w14:paraId="3AD9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EFC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C6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D5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6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E3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F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97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A6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F6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3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6F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44FF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00B0">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AE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项目完成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61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B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景观带绿化面积275264.95㎡，斜坡绿化面积68335.57㎡，涉及乔木24275株。</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E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EC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景观带绿化面积275264.95㎡，斜坡绿化面积68335.57㎡，涉及乔木24275株。</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92B3">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9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景观带绿化面积275264.95㎡，斜坡绿化面积68335.57㎡，涉及乔木24275株。</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98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87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3602">
            <w:pPr>
              <w:jc w:val="center"/>
              <w:rPr>
                <w:rFonts w:hint="eastAsia" w:ascii="微软雅黑" w:hAnsi="微软雅黑" w:eastAsia="微软雅黑" w:cs="微软雅黑"/>
                <w:i w:val="0"/>
                <w:iCs w:val="0"/>
                <w:color w:val="auto"/>
                <w:sz w:val="16"/>
                <w:szCs w:val="16"/>
                <w:u w:val="none"/>
              </w:rPr>
            </w:pPr>
          </w:p>
        </w:tc>
      </w:tr>
      <w:tr w14:paraId="0AB4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779A">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BD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FF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D3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城区绿化养护标准</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72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34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2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6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DF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5E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78D">
            <w:pPr>
              <w:jc w:val="center"/>
              <w:rPr>
                <w:rFonts w:hint="eastAsia" w:ascii="微软雅黑" w:hAnsi="微软雅黑" w:eastAsia="微软雅黑" w:cs="微软雅黑"/>
                <w:i w:val="0"/>
                <w:iCs w:val="0"/>
                <w:color w:val="auto"/>
                <w:sz w:val="16"/>
                <w:szCs w:val="16"/>
                <w:u w:val="none"/>
              </w:rPr>
            </w:pPr>
          </w:p>
        </w:tc>
      </w:tr>
      <w:tr w14:paraId="28C9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79E">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DF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35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0A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按时完成养护、管理工作</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2A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FC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416">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EBE8">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9F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B1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748">
            <w:pPr>
              <w:jc w:val="center"/>
              <w:rPr>
                <w:rFonts w:hint="eastAsia" w:ascii="微软雅黑" w:hAnsi="微软雅黑" w:eastAsia="微软雅黑" w:cs="微软雅黑"/>
                <w:i w:val="0"/>
                <w:iCs w:val="0"/>
                <w:color w:val="auto"/>
                <w:sz w:val="16"/>
                <w:szCs w:val="16"/>
                <w:u w:val="none"/>
              </w:rPr>
            </w:pPr>
          </w:p>
        </w:tc>
      </w:tr>
      <w:tr w14:paraId="47E2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6BBA">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61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A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经济成本指标</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C9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养护金额</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48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FB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 xml:space="preserve">51.38 </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15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万元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B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 xml:space="preserve">51.38 </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91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40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2F26">
            <w:pPr>
              <w:jc w:val="center"/>
              <w:rPr>
                <w:rFonts w:hint="eastAsia" w:ascii="微软雅黑" w:hAnsi="微软雅黑" w:eastAsia="微软雅黑" w:cs="微软雅黑"/>
                <w:i w:val="0"/>
                <w:iCs w:val="0"/>
                <w:color w:val="auto"/>
                <w:sz w:val="16"/>
                <w:szCs w:val="16"/>
                <w:u w:val="none"/>
              </w:rPr>
            </w:pPr>
          </w:p>
        </w:tc>
      </w:tr>
      <w:tr w14:paraId="1EDC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436A">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95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7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7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城区绿化为居民提供良好的休闲健康环境</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01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CC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69A4">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9147">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EF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1D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0B9">
            <w:pPr>
              <w:jc w:val="center"/>
              <w:rPr>
                <w:rFonts w:hint="eastAsia" w:ascii="微软雅黑" w:hAnsi="微软雅黑" w:eastAsia="微软雅黑" w:cs="微软雅黑"/>
                <w:i w:val="0"/>
                <w:iCs w:val="0"/>
                <w:color w:val="auto"/>
                <w:sz w:val="16"/>
                <w:szCs w:val="16"/>
                <w:u w:val="none"/>
              </w:rPr>
            </w:pPr>
          </w:p>
        </w:tc>
      </w:tr>
      <w:tr w14:paraId="7052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0F1">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63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4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5E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群众满意度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71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8D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62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D41">
            <w:pPr>
              <w:keepNext w:val="0"/>
              <w:keepLines w:val="0"/>
              <w:widowControl/>
              <w:suppressLineNumbers w:val="0"/>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98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35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0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C93B">
            <w:pPr>
              <w:jc w:val="center"/>
              <w:rPr>
                <w:rFonts w:hint="eastAsia" w:ascii="微软雅黑" w:hAnsi="微软雅黑" w:eastAsia="微软雅黑" w:cs="微软雅黑"/>
                <w:i w:val="0"/>
                <w:iCs w:val="0"/>
                <w:color w:val="auto"/>
                <w:sz w:val="16"/>
                <w:szCs w:val="16"/>
                <w:u w:val="none"/>
              </w:rPr>
            </w:pPr>
          </w:p>
        </w:tc>
      </w:tr>
      <w:tr w14:paraId="18F1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AF31">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A50E">
            <w:pPr>
              <w:jc w:val="center"/>
              <w:rPr>
                <w:rFonts w:hint="eastAsia" w:ascii="宋体" w:hAnsi="宋体" w:eastAsia="宋体" w:cs="宋体"/>
                <w:i w:val="0"/>
                <w:iCs w:val="0"/>
                <w:color w:val="auto"/>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3A0">
            <w:pPr>
              <w:jc w:val="center"/>
              <w:rPr>
                <w:rFonts w:hint="eastAsia" w:ascii="宋体" w:hAnsi="宋体" w:eastAsia="宋体" w:cs="宋体"/>
                <w:i w:val="0"/>
                <w:iCs w:val="0"/>
                <w:color w:val="auto"/>
                <w:sz w:val="18"/>
                <w:szCs w:val="1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D967">
            <w:pPr>
              <w:jc w:val="center"/>
              <w:rPr>
                <w:rFonts w:hint="eastAsia" w:ascii="宋体" w:hAnsi="宋体" w:eastAsia="宋体" w:cs="宋体"/>
                <w:i w:val="0"/>
                <w:iCs w:val="0"/>
                <w:color w:val="auto"/>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95F8">
            <w:pPr>
              <w:jc w:val="center"/>
              <w:rPr>
                <w:rFonts w:hint="eastAsia" w:ascii="宋体" w:hAnsi="宋体" w:eastAsia="宋体" w:cs="宋体"/>
                <w:i w:val="0"/>
                <w:iCs w:val="0"/>
                <w:color w:val="auto"/>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758E">
            <w:pPr>
              <w:jc w:val="center"/>
              <w:rPr>
                <w:rFonts w:hint="eastAsia" w:ascii="宋体" w:hAnsi="宋体" w:eastAsia="宋体" w:cs="宋体"/>
                <w:i w:val="0"/>
                <w:iCs w:val="0"/>
                <w:color w:val="auto"/>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A7A9">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DBD1">
            <w:pPr>
              <w:jc w:val="center"/>
              <w:rPr>
                <w:rFonts w:hint="eastAsia" w:ascii="微软雅黑" w:hAnsi="微软雅黑" w:eastAsia="微软雅黑" w:cs="微软雅黑"/>
                <w:i w:val="0"/>
                <w:iCs w:val="0"/>
                <w:color w:val="auto"/>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3E5F">
            <w:pPr>
              <w:jc w:val="center"/>
              <w:rPr>
                <w:rFonts w:hint="eastAsia" w:ascii="宋体" w:hAnsi="宋体" w:eastAsia="宋体" w:cs="宋体"/>
                <w:i w:val="0"/>
                <w:iCs w:val="0"/>
                <w:color w:val="auto"/>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458">
            <w:pPr>
              <w:jc w:val="center"/>
              <w:rPr>
                <w:rFonts w:hint="eastAsia" w:ascii="宋体" w:hAnsi="宋体" w:eastAsia="宋体" w:cs="宋体"/>
                <w:i w:val="0"/>
                <w:iCs w:val="0"/>
                <w:color w:val="auto"/>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BF7E">
            <w:pPr>
              <w:jc w:val="center"/>
              <w:rPr>
                <w:rFonts w:hint="eastAsia" w:ascii="微软雅黑" w:hAnsi="微软雅黑" w:eastAsia="微软雅黑" w:cs="微软雅黑"/>
                <w:i w:val="0"/>
                <w:iCs w:val="0"/>
                <w:color w:val="auto"/>
                <w:sz w:val="16"/>
                <w:szCs w:val="16"/>
                <w:u w:val="none"/>
              </w:rPr>
            </w:pPr>
          </w:p>
        </w:tc>
      </w:tr>
      <w:tr w14:paraId="22B3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B91C">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4528">
            <w:pPr>
              <w:jc w:val="center"/>
              <w:rPr>
                <w:rFonts w:hint="eastAsia" w:ascii="宋体" w:hAnsi="宋体" w:eastAsia="宋体" w:cs="宋体"/>
                <w:i w:val="0"/>
                <w:iCs w:val="0"/>
                <w:color w:val="auto"/>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A9FB">
            <w:pPr>
              <w:jc w:val="center"/>
              <w:rPr>
                <w:rFonts w:hint="eastAsia" w:ascii="宋体" w:hAnsi="宋体" w:eastAsia="宋体" w:cs="宋体"/>
                <w:i w:val="0"/>
                <w:iCs w:val="0"/>
                <w:color w:val="auto"/>
                <w:sz w:val="18"/>
                <w:szCs w:val="1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220D">
            <w:pPr>
              <w:jc w:val="center"/>
              <w:rPr>
                <w:rFonts w:hint="eastAsia" w:ascii="宋体" w:hAnsi="宋体" w:eastAsia="宋体" w:cs="宋体"/>
                <w:i w:val="0"/>
                <w:iCs w:val="0"/>
                <w:color w:val="auto"/>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DEB">
            <w:pPr>
              <w:jc w:val="center"/>
              <w:rPr>
                <w:rFonts w:hint="eastAsia" w:ascii="宋体" w:hAnsi="宋体" w:eastAsia="宋体" w:cs="宋体"/>
                <w:i w:val="0"/>
                <w:iCs w:val="0"/>
                <w:color w:val="auto"/>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DDCF">
            <w:pPr>
              <w:jc w:val="center"/>
              <w:rPr>
                <w:rFonts w:hint="eastAsia" w:ascii="宋体" w:hAnsi="宋体" w:eastAsia="宋体" w:cs="宋体"/>
                <w:i w:val="0"/>
                <w:iCs w:val="0"/>
                <w:color w:val="auto"/>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4B3F">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399F">
            <w:pPr>
              <w:jc w:val="center"/>
              <w:rPr>
                <w:rFonts w:hint="eastAsia" w:ascii="微软雅黑" w:hAnsi="微软雅黑" w:eastAsia="微软雅黑" w:cs="微软雅黑"/>
                <w:i w:val="0"/>
                <w:iCs w:val="0"/>
                <w:color w:val="auto"/>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E077">
            <w:pPr>
              <w:jc w:val="center"/>
              <w:rPr>
                <w:rFonts w:hint="eastAsia" w:ascii="宋体" w:hAnsi="宋体" w:eastAsia="宋体" w:cs="宋体"/>
                <w:i w:val="0"/>
                <w:iCs w:val="0"/>
                <w:color w:val="auto"/>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43B">
            <w:pPr>
              <w:jc w:val="center"/>
              <w:rPr>
                <w:rFonts w:hint="eastAsia" w:ascii="宋体" w:hAnsi="宋体" w:eastAsia="宋体" w:cs="宋体"/>
                <w:i w:val="0"/>
                <w:iCs w:val="0"/>
                <w:color w:val="auto"/>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C22F">
            <w:pPr>
              <w:jc w:val="center"/>
              <w:rPr>
                <w:rFonts w:hint="eastAsia" w:ascii="微软雅黑" w:hAnsi="微软雅黑" w:eastAsia="微软雅黑" w:cs="微软雅黑"/>
                <w:i w:val="0"/>
                <w:iCs w:val="0"/>
                <w:color w:val="auto"/>
                <w:sz w:val="16"/>
                <w:szCs w:val="16"/>
                <w:u w:val="none"/>
              </w:rPr>
            </w:pPr>
          </w:p>
        </w:tc>
      </w:tr>
      <w:tr w14:paraId="16BC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04B">
            <w:pPr>
              <w:jc w:val="center"/>
              <w:rPr>
                <w:rFonts w:hint="eastAsia" w:ascii="宋体" w:hAnsi="宋体" w:eastAsia="宋体" w:cs="宋体"/>
                <w:i w:val="0"/>
                <w:iCs w:val="0"/>
                <w:color w:val="auto"/>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2FB9">
            <w:pPr>
              <w:jc w:val="center"/>
              <w:rPr>
                <w:rFonts w:hint="eastAsia" w:ascii="宋体" w:hAnsi="宋体" w:eastAsia="宋体" w:cs="宋体"/>
                <w:i w:val="0"/>
                <w:iCs w:val="0"/>
                <w:color w:val="auto"/>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56A">
            <w:pPr>
              <w:jc w:val="center"/>
              <w:rPr>
                <w:rFonts w:hint="eastAsia" w:ascii="宋体" w:hAnsi="宋体" w:eastAsia="宋体" w:cs="宋体"/>
                <w:i w:val="0"/>
                <w:iCs w:val="0"/>
                <w:color w:val="auto"/>
                <w:sz w:val="18"/>
                <w:szCs w:val="1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DD3A">
            <w:pPr>
              <w:jc w:val="center"/>
              <w:rPr>
                <w:rFonts w:hint="eastAsia" w:ascii="宋体" w:hAnsi="宋体" w:eastAsia="宋体" w:cs="宋体"/>
                <w:i w:val="0"/>
                <w:iCs w:val="0"/>
                <w:color w:val="auto"/>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0E2">
            <w:pPr>
              <w:jc w:val="center"/>
              <w:rPr>
                <w:rFonts w:hint="eastAsia" w:ascii="宋体" w:hAnsi="宋体" w:eastAsia="宋体" w:cs="宋体"/>
                <w:i w:val="0"/>
                <w:iCs w:val="0"/>
                <w:color w:val="auto"/>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2E7C">
            <w:pPr>
              <w:jc w:val="center"/>
              <w:rPr>
                <w:rFonts w:hint="eastAsia" w:ascii="宋体" w:hAnsi="宋体" w:eastAsia="宋体" w:cs="宋体"/>
                <w:i w:val="0"/>
                <w:iCs w:val="0"/>
                <w:color w:val="auto"/>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7585">
            <w:pPr>
              <w:jc w:val="center"/>
              <w:rPr>
                <w:rFonts w:hint="eastAsia" w:ascii="宋体" w:hAnsi="宋体" w:eastAsia="宋体" w:cs="宋体"/>
                <w:i w:val="0"/>
                <w:iCs w:val="0"/>
                <w:color w:val="auto"/>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D2ED">
            <w:pPr>
              <w:jc w:val="center"/>
              <w:rPr>
                <w:rFonts w:hint="eastAsia" w:ascii="微软雅黑" w:hAnsi="微软雅黑" w:eastAsia="微软雅黑" w:cs="微软雅黑"/>
                <w:i w:val="0"/>
                <w:iCs w:val="0"/>
                <w:color w:val="auto"/>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BEE">
            <w:pPr>
              <w:jc w:val="center"/>
              <w:rPr>
                <w:rFonts w:hint="eastAsia" w:ascii="宋体" w:hAnsi="宋体" w:eastAsia="宋体" w:cs="宋体"/>
                <w:i w:val="0"/>
                <w:iCs w:val="0"/>
                <w:color w:val="auto"/>
                <w:sz w:val="18"/>
                <w:szCs w:val="18"/>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69C">
            <w:pPr>
              <w:jc w:val="center"/>
              <w:rPr>
                <w:rFonts w:hint="eastAsia" w:ascii="宋体" w:hAnsi="宋体" w:eastAsia="宋体" w:cs="宋体"/>
                <w:i w:val="0"/>
                <w:iCs w:val="0"/>
                <w:color w:val="auto"/>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7B9D">
            <w:pPr>
              <w:jc w:val="center"/>
              <w:rPr>
                <w:rFonts w:hint="eastAsia" w:ascii="微软雅黑" w:hAnsi="微软雅黑" w:eastAsia="微软雅黑" w:cs="微软雅黑"/>
                <w:i w:val="0"/>
                <w:iCs w:val="0"/>
                <w:color w:val="auto"/>
                <w:sz w:val="16"/>
                <w:szCs w:val="16"/>
                <w:u w:val="none"/>
              </w:rPr>
            </w:pPr>
          </w:p>
        </w:tc>
      </w:tr>
      <w:tr w14:paraId="1B03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7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4836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C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5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6652">
            <w:pPr>
              <w:rPr>
                <w:rFonts w:hint="eastAsia" w:ascii="宋体" w:hAnsi="宋体" w:eastAsia="宋体" w:cs="宋体"/>
                <w:i w:val="0"/>
                <w:iCs w:val="0"/>
                <w:color w:val="auto"/>
                <w:sz w:val="18"/>
                <w:szCs w:val="18"/>
                <w:u w:val="none"/>
              </w:rPr>
            </w:pPr>
          </w:p>
        </w:tc>
      </w:tr>
      <w:tr w14:paraId="2657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3F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9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2AD770">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该项目通过政府购买服务，引进绿化养护公司进行专业管理，有效保障了乔木、灌木、草坪的完好，确保优美的生态环境。</w:t>
            </w:r>
          </w:p>
        </w:tc>
      </w:tr>
      <w:tr w14:paraId="64F4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9C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9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DFF551">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无</w:t>
            </w:r>
          </w:p>
        </w:tc>
      </w:tr>
      <w:tr w14:paraId="7062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6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92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140A44">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无</w:t>
            </w:r>
          </w:p>
        </w:tc>
      </w:tr>
      <w:tr w14:paraId="7797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D734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项目负责人：马林</w:t>
            </w:r>
          </w:p>
        </w:tc>
        <w:tc>
          <w:tcPr>
            <w:tcW w:w="43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820F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财务负责人：冯梅</w:t>
            </w:r>
          </w:p>
        </w:tc>
      </w:tr>
    </w:tbl>
    <w:p w14:paraId="1C9E692B">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77" w:name="_Toc15396618"/>
    </w:p>
    <w:tbl>
      <w:tblPr>
        <w:tblStyle w:val="20"/>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675"/>
        <w:gridCol w:w="990"/>
        <w:gridCol w:w="2055"/>
        <w:gridCol w:w="600"/>
        <w:gridCol w:w="1056"/>
        <w:gridCol w:w="396"/>
        <w:gridCol w:w="846"/>
        <w:gridCol w:w="486"/>
        <w:gridCol w:w="396"/>
        <w:gridCol w:w="1604"/>
      </w:tblGrid>
      <w:tr w14:paraId="4AD9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76D6E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6E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5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E9B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51090422T000005681053-2020年公厕革命补助资金</w:t>
            </w:r>
          </w:p>
        </w:tc>
      </w:tr>
      <w:tr w14:paraId="25F3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7A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6A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71ED37B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D5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0EC7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919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EFD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BD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44FA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DE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EB0A">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9B3D">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1F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2020年底前，完成新建公厕3座、改建公厕13座、共享公厕10座的目标。达到厕所布局合理，管理规范、整洁卫生、群众满意的标准，有效解决人民群众“找厕难”“如厕难”等问题。</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210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完成新建公厕3座、改建公厕13座、共享公厕10座的目标。达到厕所布局合理，管理规范、整洁卫生、群众满意的标准，有效解决人民群众“找厕难”“如厕难”等问题。</w:t>
            </w:r>
          </w:p>
        </w:tc>
      </w:tr>
      <w:tr w14:paraId="414E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349C">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0E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6C4F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厕所革命”公厕改革是做好民生实事的重要体现。各镇（街道）、区直相关部门要充分认识到开展“厕所革命”公厕改革对提升城镇文明程度、提高群众幸福感的重要意义，积极筹集建设改造资金，分解工作任务，做到组织到位、人员到位、经费到位。</w:t>
            </w:r>
          </w:p>
        </w:tc>
      </w:tr>
      <w:tr w14:paraId="3E09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FA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E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3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1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A2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5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A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FF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9B38">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F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1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CE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4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7766">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476D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3B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A05E">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D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D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A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2A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A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4B53">
            <w:pPr>
              <w:rPr>
                <w:rFonts w:hint="eastAsia" w:ascii="黑体" w:hAnsi="黑体" w:eastAsia="黑体" w:cs="黑体"/>
                <w:i w:val="0"/>
                <w:iCs w:val="0"/>
                <w:color w:val="000000"/>
                <w:sz w:val="18"/>
                <w:szCs w:val="18"/>
                <w:u w:val="none"/>
              </w:rPr>
            </w:pPr>
          </w:p>
        </w:tc>
      </w:tr>
      <w:tr w14:paraId="677F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8ADA">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3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A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8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B7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B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7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4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AE9F4">
            <w:pPr>
              <w:rPr>
                <w:rFonts w:hint="eastAsia" w:ascii="黑体" w:hAnsi="黑体" w:eastAsia="黑体" w:cs="黑体"/>
                <w:i w:val="0"/>
                <w:iCs w:val="0"/>
                <w:color w:val="000000"/>
                <w:sz w:val="18"/>
                <w:szCs w:val="18"/>
                <w:u w:val="none"/>
              </w:rPr>
            </w:pPr>
          </w:p>
        </w:tc>
      </w:tr>
      <w:tr w14:paraId="1EDB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062E">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D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E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3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AB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E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A50D">
            <w:pPr>
              <w:rPr>
                <w:rFonts w:hint="eastAsia" w:ascii="黑体" w:hAnsi="黑体" w:eastAsia="黑体" w:cs="黑体"/>
                <w:i w:val="0"/>
                <w:iCs w:val="0"/>
                <w:color w:val="000000"/>
                <w:sz w:val="18"/>
                <w:szCs w:val="18"/>
                <w:u w:val="none"/>
              </w:rPr>
            </w:pPr>
          </w:p>
        </w:tc>
      </w:tr>
      <w:tr w14:paraId="4273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2DE4">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7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D9A2">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DDE6">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EAFB0">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56B0">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B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5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351A">
            <w:pPr>
              <w:rPr>
                <w:rFonts w:hint="eastAsia" w:ascii="黑体" w:hAnsi="黑体" w:eastAsia="黑体" w:cs="黑体"/>
                <w:i w:val="0"/>
                <w:iCs w:val="0"/>
                <w:color w:val="000000"/>
                <w:sz w:val="18"/>
                <w:szCs w:val="18"/>
                <w:u w:val="none"/>
              </w:rPr>
            </w:pPr>
          </w:p>
        </w:tc>
      </w:tr>
      <w:tr w14:paraId="029C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A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9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4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E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A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B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5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3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E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59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72F0">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C9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1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0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新建3座、改造10座、新增共享公厕10座。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8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4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新建3座、改造10座、新增共享公厕10座。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2E2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84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新建3座、改造10座、新增共享公厕10座。</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8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E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40C5">
            <w:pPr>
              <w:jc w:val="center"/>
              <w:rPr>
                <w:rFonts w:hint="eastAsia" w:ascii="微软雅黑" w:hAnsi="微软雅黑" w:eastAsia="微软雅黑" w:cs="微软雅黑"/>
                <w:i w:val="0"/>
                <w:iCs w:val="0"/>
                <w:color w:val="000000"/>
                <w:sz w:val="16"/>
                <w:szCs w:val="16"/>
                <w:u w:val="none"/>
              </w:rPr>
            </w:pPr>
          </w:p>
        </w:tc>
      </w:tr>
      <w:tr w14:paraId="762A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D115">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AEE6B">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电设施齐全，管道无暴露；无害化处理化粪池；冲水蹲位；1.8米高防火、防腐蚀隔断及隔断门；墙面粘贴瓷砖到顶，防滑地面砖；设置洗手盆、面镜、废纸篓、挂衣钩、显示无人门锁等；无妨碍设施通道、残疾人座位；公厕指示牌、标志牌等规范齐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4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4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BB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4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9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87E8">
            <w:pPr>
              <w:jc w:val="center"/>
              <w:rPr>
                <w:rFonts w:hint="eastAsia" w:ascii="微软雅黑" w:hAnsi="微软雅黑" w:eastAsia="微软雅黑" w:cs="微软雅黑"/>
                <w:i w:val="0"/>
                <w:iCs w:val="0"/>
                <w:color w:val="000000"/>
                <w:sz w:val="16"/>
                <w:szCs w:val="16"/>
                <w:u w:val="none"/>
              </w:rPr>
            </w:pPr>
          </w:p>
        </w:tc>
      </w:tr>
      <w:tr w14:paraId="537C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18F2">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9DA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B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8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B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A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EB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6E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D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2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FA15">
            <w:pPr>
              <w:jc w:val="center"/>
              <w:rPr>
                <w:rFonts w:hint="eastAsia" w:ascii="微软雅黑" w:hAnsi="微软雅黑" w:eastAsia="微软雅黑" w:cs="微软雅黑"/>
                <w:i w:val="0"/>
                <w:iCs w:val="0"/>
                <w:color w:val="000000"/>
                <w:sz w:val="16"/>
                <w:szCs w:val="16"/>
                <w:u w:val="none"/>
              </w:rPr>
            </w:pPr>
          </w:p>
        </w:tc>
      </w:tr>
      <w:tr w14:paraId="6D2D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48C8">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4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5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C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改造金额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8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8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3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B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7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F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B96">
            <w:pPr>
              <w:jc w:val="center"/>
              <w:rPr>
                <w:rFonts w:hint="eastAsia" w:ascii="微软雅黑" w:hAnsi="微软雅黑" w:eastAsia="微软雅黑" w:cs="微软雅黑"/>
                <w:i w:val="0"/>
                <w:iCs w:val="0"/>
                <w:color w:val="000000"/>
                <w:sz w:val="16"/>
                <w:szCs w:val="16"/>
                <w:u w:val="none"/>
              </w:rPr>
            </w:pPr>
          </w:p>
        </w:tc>
      </w:tr>
      <w:tr w14:paraId="77C0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7C7C">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B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C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9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提升城镇文明程度、提高群众幸福感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2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BA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CC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D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F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369">
            <w:pPr>
              <w:jc w:val="center"/>
              <w:rPr>
                <w:rFonts w:hint="eastAsia" w:ascii="微软雅黑" w:hAnsi="微软雅黑" w:eastAsia="微软雅黑" w:cs="微软雅黑"/>
                <w:i w:val="0"/>
                <w:iCs w:val="0"/>
                <w:color w:val="000000"/>
                <w:sz w:val="16"/>
                <w:szCs w:val="16"/>
                <w:u w:val="none"/>
              </w:rPr>
            </w:pPr>
          </w:p>
        </w:tc>
      </w:tr>
      <w:tr w14:paraId="5DE0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C5A0">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3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1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1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1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4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C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A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899">
            <w:pPr>
              <w:jc w:val="center"/>
              <w:rPr>
                <w:rFonts w:hint="eastAsia" w:ascii="微软雅黑" w:hAnsi="微软雅黑" w:eastAsia="微软雅黑" w:cs="微软雅黑"/>
                <w:i w:val="0"/>
                <w:iCs w:val="0"/>
                <w:color w:val="000000"/>
                <w:sz w:val="16"/>
                <w:szCs w:val="16"/>
                <w:u w:val="none"/>
              </w:rPr>
            </w:pPr>
          </w:p>
        </w:tc>
      </w:tr>
      <w:tr w14:paraId="1074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1AF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7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2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16D">
            <w:pPr>
              <w:rPr>
                <w:rFonts w:hint="eastAsia" w:ascii="宋体" w:hAnsi="宋体" w:eastAsia="宋体" w:cs="宋体"/>
                <w:i w:val="0"/>
                <w:iCs w:val="0"/>
                <w:color w:val="000000"/>
                <w:sz w:val="18"/>
                <w:szCs w:val="18"/>
                <w:u w:val="none"/>
              </w:rPr>
            </w:pPr>
          </w:p>
        </w:tc>
      </w:tr>
      <w:tr w14:paraId="6FFA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25465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厕所布局合理，管理规范、整洁卫生、群众满意的标准，有效解决人民群众“找厕难”“如厕难”等问题。</w:t>
            </w:r>
          </w:p>
        </w:tc>
      </w:tr>
      <w:tr w14:paraId="074D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C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BFD0F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516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63F31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B1B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DA2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项目负责人：邹元伟</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D932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6CF0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2C3C6D7B">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14:paraId="084DD39D">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793E0C2F">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F01C17F">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14:paraId="61D29D00">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4B35ECAB">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1CE09ED">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98104A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99CB113">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E153D80">
            <w:pPr>
              <w:rPr>
                <w:rFonts w:hint="eastAsia" w:ascii="宋体" w:hAnsi="宋体" w:eastAsia="宋体" w:cs="宋体"/>
                <w:i w:val="0"/>
                <w:iCs w:val="0"/>
                <w:color w:val="000000"/>
                <w:sz w:val="18"/>
                <w:szCs w:val="18"/>
                <w:u w:val="none"/>
              </w:rPr>
            </w:pPr>
          </w:p>
        </w:tc>
        <w:tc>
          <w:tcPr>
            <w:tcW w:w="1604" w:type="dxa"/>
            <w:tcBorders>
              <w:top w:val="nil"/>
              <w:left w:val="nil"/>
              <w:bottom w:val="nil"/>
              <w:right w:val="nil"/>
            </w:tcBorders>
            <w:shd w:val="clear" w:color="auto" w:fill="auto"/>
            <w:vAlign w:val="center"/>
          </w:tcPr>
          <w:p w14:paraId="3EF61CC8">
            <w:pPr>
              <w:rPr>
                <w:rFonts w:hint="eastAsia" w:ascii="宋体" w:hAnsi="宋体" w:eastAsia="宋体" w:cs="宋体"/>
                <w:i w:val="0"/>
                <w:iCs w:val="0"/>
                <w:color w:val="000000"/>
                <w:sz w:val="18"/>
                <w:szCs w:val="18"/>
                <w:u w:val="none"/>
              </w:rPr>
            </w:pPr>
          </w:p>
        </w:tc>
      </w:tr>
      <w:tr w14:paraId="057A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8B835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573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2FB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7195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51090422T000005687651-2018年公厕革命补助资金</w:t>
            </w:r>
          </w:p>
        </w:tc>
      </w:tr>
      <w:tr w14:paraId="22A5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B8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DB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52AD87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1B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18E7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C74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94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4E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FE5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A7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1EC9">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EB6BC">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9A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2018年底，完成新建公厕13座、改建公厕68座的目标。达到厕所布局合理，管理规范、整洁卫生、群众满意的标准，有效解决人民群众“找厕难”“如厕难”等问题。</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90B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2018年底，完成新建公厕13座、改建公厕68座的目标。达到厕所布局合理，管理规范、整洁卫生、群众满意的标准，有效解决人民群众“找厕难”“如厕难”等问题。</w:t>
            </w:r>
          </w:p>
        </w:tc>
      </w:tr>
      <w:tr w14:paraId="5C00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9E44">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89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7F6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厕所革命”公厕改革是做好民生实事的重要体现。各镇（街道）、区直相关部门要充分认识到开展“厕所革命”公厕改革对提升城镇文明程度、提高群众幸福感的重要意义，积极筹集建设改造资金，分解工作任务，做到组织到位、人员到位、经费到位。</w:t>
            </w:r>
          </w:p>
        </w:tc>
      </w:tr>
      <w:tr w14:paraId="0DDD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79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A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7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4D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A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D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A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3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0E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7EA5">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7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8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3D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3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9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CB94">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D774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64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B0E2">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8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C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F3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4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9437">
            <w:pPr>
              <w:rPr>
                <w:rFonts w:hint="eastAsia" w:ascii="黑体" w:hAnsi="黑体" w:eastAsia="黑体" w:cs="黑体"/>
                <w:i w:val="0"/>
                <w:iCs w:val="0"/>
                <w:color w:val="000000"/>
                <w:sz w:val="18"/>
                <w:szCs w:val="18"/>
                <w:u w:val="none"/>
              </w:rPr>
            </w:pPr>
          </w:p>
        </w:tc>
      </w:tr>
      <w:tr w14:paraId="57A2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44BF">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D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C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F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15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4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D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E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BDCF">
            <w:pPr>
              <w:rPr>
                <w:rFonts w:hint="eastAsia" w:ascii="黑体" w:hAnsi="黑体" w:eastAsia="黑体" w:cs="黑体"/>
                <w:i w:val="0"/>
                <w:iCs w:val="0"/>
                <w:color w:val="000000"/>
                <w:sz w:val="18"/>
                <w:szCs w:val="18"/>
                <w:u w:val="none"/>
              </w:rPr>
            </w:pPr>
          </w:p>
        </w:tc>
      </w:tr>
      <w:tr w14:paraId="3FF8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97EB">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2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E1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F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1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E40D">
            <w:pPr>
              <w:rPr>
                <w:rFonts w:hint="eastAsia" w:ascii="黑体" w:hAnsi="黑体" w:eastAsia="黑体" w:cs="黑体"/>
                <w:i w:val="0"/>
                <w:iCs w:val="0"/>
                <w:color w:val="000000"/>
                <w:sz w:val="18"/>
                <w:szCs w:val="18"/>
                <w:u w:val="none"/>
              </w:rPr>
            </w:pPr>
          </w:p>
        </w:tc>
      </w:tr>
      <w:tr w14:paraId="65FD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B26C">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2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BF5F">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C8F">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C5148">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3CF5">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323A">
            <w:pPr>
              <w:rPr>
                <w:rFonts w:hint="eastAsia" w:ascii="黑体" w:hAnsi="黑体" w:eastAsia="黑体" w:cs="黑体"/>
                <w:i w:val="0"/>
                <w:iCs w:val="0"/>
                <w:color w:val="000000"/>
                <w:sz w:val="18"/>
                <w:szCs w:val="18"/>
                <w:u w:val="none"/>
              </w:rPr>
            </w:pPr>
          </w:p>
        </w:tc>
      </w:tr>
      <w:tr w14:paraId="0131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9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9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5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6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4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C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1A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5874">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46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4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8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完成新建公厕13座、改建公厕68座的目标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4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0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新建公厕13座、改建公厕68座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D2A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6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新建公厕13座、改建公厕68座</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7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2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B32B">
            <w:pPr>
              <w:jc w:val="center"/>
              <w:rPr>
                <w:rFonts w:hint="eastAsia" w:ascii="宋体" w:hAnsi="宋体" w:eastAsia="宋体" w:cs="宋体"/>
                <w:i w:val="0"/>
                <w:iCs w:val="0"/>
                <w:color w:val="000000"/>
                <w:sz w:val="18"/>
                <w:szCs w:val="18"/>
                <w:u w:val="none"/>
              </w:rPr>
            </w:pPr>
          </w:p>
        </w:tc>
      </w:tr>
      <w:tr w14:paraId="7459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A6CF">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DFA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2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电设施齐全，管道无暴露；无害化处理化粪池；冲水蹲位；1.8米高防火、防腐蚀隔断及隔断门；墙面粘贴瓷砖到顶，防滑地面砖；设置洗手盆、面镜、废纸篓、挂衣钩、显示无人门锁等；无妨碍设施通道、残疾人座位；公厕指示牌、标志牌等规范齐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D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FF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A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8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1B8E">
            <w:pPr>
              <w:jc w:val="center"/>
              <w:rPr>
                <w:rFonts w:hint="eastAsia" w:ascii="微软雅黑" w:hAnsi="微软雅黑" w:eastAsia="微软雅黑" w:cs="微软雅黑"/>
                <w:i w:val="0"/>
                <w:iCs w:val="0"/>
                <w:color w:val="000000"/>
                <w:sz w:val="16"/>
                <w:szCs w:val="16"/>
                <w:u w:val="none"/>
              </w:rPr>
            </w:pPr>
          </w:p>
        </w:tc>
      </w:tr>
      <w:tr w14:paraId="573D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A6EF">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ED3A">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C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D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3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6F5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69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D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0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AA7">
            <w:pPr>
              <w:jc w:val="center"/>
              <w:rPr>
                <w:rFonts w:hint="eastAsia" w:ascii="微软雅黑" w:hAnsi="微软雅黑" w:eastAsia="微软雅黑" w:cs="微软雅黑"/>
                <w:i w:val="0"/>
                <w:iCs w:val="0"/>
                <w:color w:val="000000"/>
                <w:sz w:val="16"/>
                <w:szCs w:val="16"/>
                <w:u w:val="none"/>
              </w:rPr>
            </w:pPr>
          </w:p>
        </w:tc>
      </w:tr>
      <w:tr w14:paraId="0ADD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B3F6">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9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6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改造金额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1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1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C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02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3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3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D513">
            <w:pPr>
              <w:jc w:val="center"/>
              <w:rPr>
                <w:rFonts w:hint="eastAsia" w:ascii="微软雅黑" w:hAnsi="微软雅黑" w:eastAsia="微软雅黑" w:cs="微软雅黑"/>
                <w:i w:val="0"/>
                <w:iCs w:val="0"/>
                <w:color w:val="000000"/>
                <w:sz w:val="16"/>
                <w:szCs w:val="16"/>
                <w:u w:val="none"/>
              </w:rPr>
            </w:pPr>
          </w:p>
        </w:tc>
      </w:tr>
      <w:tr w14:paraId="076E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B252">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0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5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提升城镇文明程度、提高群众幸福感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8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D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ED9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7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D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9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689F">
            <w:pPr>
              <w:jc w:val="center"/>
              <w:rPr>
                <w:rFonts w:hint="eastAsia" w:ascii="微软雅黑" w:hAnsi="微软雅黑" w:eastAsia="微软雅黑" w:cs="微软雅黑"/>
                <w:i w:val="0"/>
                <w:iCs w:val="0"/>
                <w:color w:val="000000"/>
                <w:sz w:val="16"/>
                <w:szCs w:val="16"/>
                <w:u w:val="none"/>
              </w:rPr>
            </w:pPr>
          </w:p>
        </w:tc>
      </w:tr>
      <w:tr w14:paraId="43EA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CD71">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0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C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4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8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89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D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E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FEE9">
            <w:pPr>
              <w:jc w:val="center"/>
              <w:rPr>
                <w:rFonts w:hint="eastAsia" w:ascii="微软雅黑" w:hAnsi="微软雅黑" w:eastAsia="微软雅黑" w:cs="微软雅黑"/>
                <w:i w:val="0"/>
                <w:iCs w:val="0"/>
                <w:color w:val="000000"/>
                <w:sz w:val="16"/>
                <w:szCs w:val="16"/>
                <w:u w:val="none"/>
              </w:rPr>
            </w:pPr>
          </w:p>
        </w:tc>
      </w:tr>
      <w:tr w14:paraId="1604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219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F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3C8B">
            <w:pPr>
              <w:rPr>
                <w:rFonts w:hint="eastAsia" w:ascii="宋体" w:hAnsi="宋体" w:eastAsia="宋体" w:cs="宋体"/>
                <w:i w:val="0"/>
                <w:iCs w:val="0"/>
                <w:color w:val="000000"/>
                <w:sz w:val="18"/>
                <w:szCs w:val="18"/>
                <w:u w:val="none"/>
              </w:rPr>
            </w:pPr>
          </w:p>
        </w:tc>
      </w:tr>
      <w:tr w14:paraId="4B1F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D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D60A0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厕所布局合理，管理规范、整洁卫生、群众满意的标准，有效解决人民群众“找厕难”“如厕难”等问题。</w:t>
            </w:r>
          </w:p>
        </w:tc>
      </w:tr>
      <w:tr w14:paraId="1059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D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EAC8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655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17797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0B0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804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项目负责人：马林</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8D3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77DA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1F758668">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14:paraId="5008F37E">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2D8AB2CD">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1903AB6C">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14:paraId="259C8F64">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3B05E8D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BD60DBE">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1095CA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AD06ED0">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D41D639">
            <w:pPr>
              <w:rPr>
                <w:rFonts w:hint="eastAsia" w:ascii="宋体" w:hAnsi="宋体" w:eastAsia="宋体" w:cs="宋体"/>
                <w:i w:val="0"/>
                <w:iCs w:val="0"/>
                <w:color w:val="000000"/>
                <w:sz w:val="18"/>
                <w:szCs w:val="18"/>
                <w:u w:val="none"/>
              </w:rPr>
            </w:pPr>
          </w:p>
        </w:tc>
        <w:tc>
          <w:tcPr>
            <w:tcW w:w="1604" w:type="dxa"/>
            <w:tcBorders>
              <w:top w:val="nil"/>
              <w:left w:val="nil"/>
              <w:bottom w:val="nil"/>
              <w:right w:val="nil"/>
            </w:tcBorders>
            <w:shd w:val="clear" w:color="auto" w:fill="auto"/>
            <w:vAlign w:val="center"/>
          </w:tcPr>
          <w:p w14:paraId="449E38A2">
            <w:pPr>
              <w:rPr>
                <w:rFonts w:hint="eastAsia" w:ascii="宋体" w:hAnsi="宋体" w:eastAsia="宋体" w:cs="宋体"/>
                <w:i w:val="0"/>
                <w:iCs w:val="0"/>
                <w:color w:val="000000"/>
                <w:sz w:val="18"/>
                <w:szCs w:val="18"/>
                <w:u w:val="none"/>
              </w:rPr>
            </w:pPr>
          </w:p>
        </w:tc>
      </w:tr>
      <w:tr w14:paraId="2E43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4A088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44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87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19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51090423T000007740060-污染治理和节能减碳专项资金</w:t>
            </w:r>
          </w:p>
        </w:tc>
      </w:tr>
      <w:tr w14:paraId="4116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205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04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7683E6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F6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34A8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371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181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6C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96D5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4D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C08E">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4943">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FF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建设垃圾分类调度中心:占地面积约28亩，拟建调度管理中心（含数字监控管理系统等）、有害垃圾暂存点2处、停车场及厂区道路、消防、电力、绿化、围墙等附属工程。</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A7A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建设垃圾分类调度中心:占地面积约28亩，拟建调度管理中心（含数字监控管理系统等）、有害垃圾暂存点2处、停车场及厂区道路、消防、电力、绿化、围墙等附属工程。</w:t>
            </w:r>
          </w:p>
        </w:tc>
      </w:tr>
      <w:tr w14:paraId="334D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80BE">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7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EB76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将集垃圾转运、清扫保洁、垃圾分类、城市管理、综合执法等相关职能于一体，实现综合办公，便于统一管理、统一调度、统一指挥，全面提升工作效能。</w:t>
            </w:r>
          </w:p>
        </w:tc>
      </w:tr>
      <w:tr w14:paraId="026E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C5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9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5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C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51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7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9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E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64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9F9A">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B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5D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6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C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2839">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3BAFC">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D7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5288">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5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3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D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A9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3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B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3F0D">
            <w:pPr>
              <w:rPr>
                <w:rFonts w:hint="eastAsia" w:ascii="黑体" w:hAnsi="黑体" w:eastAsia="黑体" w:cs="黑体"/>
                <w:i w:val="0"/>
                <w:iCs w:val="0"/>
                <w:color w:val="000000"/>
                <w:sz w:val="18"/>
                <w:szCs w:val="18"/>
                <w:u w:val="none"/>
              </w:rPr>
            </w:pPr>
          </w:p>
        </w:tc>
      </w:tr>
      <w:tr w14:paraId="1502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4D02">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75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1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F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E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F82A">
            <w:pPr>
              <w:rPr>
                <w:rFonts w:hint="eastAsia" w:ascii="黑体" w:hAnsi="黑体" w:eastAsia="黑体" w:cs="黑体"/>
                <w:i w:val="0"/>
                <w:iCs w:val="0"/>
                <w:color w:val="000000"/>
                <w:sz w:val="18"/>
                <w:szCs w:val="18"/>
                <w:u w:val="none"/>
              </w:rPr>
            </w:pPr>
          </w:p>
        </w:tc>
      </w:tr>
      <w:tr w14:paraId="24A0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EEEF">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9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9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FF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E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8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9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D7D8">
            <w:pPr>
              <w:rPr>
                <w:rFonts w:hint="eastAsia" w:ascii="黑体" w:hAnsi="黑体" w:eastAsia="黑体" w:cs="黑体"/>
                <w:i w:val="0"/>
                <w:iCs w:val="0"/>
                <w:color w:val="000000"/>
                <w:sz w:val="18"/>
                <w:szCs w:val="18"/>
                <w:u w:val="none"/>
              </w:rPr>
            </w:pPr>
          </w:p>
        </w:tc>
      </w:tr>
      <w:tr w14:paraId="7670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BD17">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A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6AA2">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7ECF">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2BED3">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0356">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B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9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9634">
            <w:pPr>
              <w:rPr>
                <w:rFonts w:hint="eastAsia" w:ascii="黑体" w:hAnsi="黑体" w:eastAsia="黑体" w:cs="黑体"/>
                <w:i w:val="0"/>
                <w:iCs w:val="0"/>
                <w:color w:val="000000"/>
                <w:sz w:val="18"/>
                <w:szCs w:val="18"/>
                <w:u w:val="none"/>
              </w:rPr>
            </w:pPr>
          </w:p>
        </w:tc>
      </w:tr>
      <w:tr w14:paraId="3630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BE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6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2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3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E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5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0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3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6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04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5A54">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B8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8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垃圾分类调度中心1座、有害垃圾暂存点2处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B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4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垃圾分类调度中心1座、有害垃圾暂存点2处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312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4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垃圾分类调度中心1座、有害垃圾暂存点2处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D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9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305">
            <w:pPr>
              <w:jc w:val="center"/>
              <w:rPr>
                <w:rFonts w:hint="eastAsia" w:ascii="宋体" w:hAnsi="宋体" w:eastAsia="宋体" w:cs="宋体"/>
                <w:i w:val="0"/>
                <w:iCs w:val="0"/>
                <w:color w:val="000000"/>
                <w:sz w:val="18"/>
                <w:szCs w:val="18"/>
                <w:u w:val="none"/>
              </w:rPr>
            </w:pPr>
          </w:p>
        </w:tc>
      </w:tr>
      <w:tr w14:paraId="3D22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1131">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5E0A">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5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工程建设合格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263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7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6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D6ED">
            <w:pPr>
              <w:jc w:val="center"/>
              <w:rPr>
                <w:rFonts w:hint="eastAsia" w:ascii="宋体" w:hAnsi="宋体" w:eastAsia="宋体" w:cs="宋体"/>
                <w:i w:val="0"/>
                <w:iCs w:val="0"/>
                <w:color w:val="000000"/>
                <w:sz w:val="18"/>
                <w:szCs w:val="18"/>
                <w:u w:val="none"/>
              </w:rPr>
            </w:pPr>
          </w:p>
        </w:tc>
      </w:tr>
      <w:tr w14:paraId="1914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F888">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C88D">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B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D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C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BA7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08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6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0923">
            <w:pPr>
              <w:jc w:val="center"/>
              <w:rPr>
                <w:rFonts w:hint="eastAsia" w:ascii="宋体" w:hAnsi="宋体" w:eastAsia="宋体" w:cs="宋体"/>
                <w:i w:val="0"/>
                <w:iCs w:val="0"/>
                <w:color w:val="000000"/>
                <w:sz w:val="18"/>
                <w:szCs w:val="18"/>
                <w:u w:val="none"/>
              </w:rPr>
            </w:pPr>
          </w:p>
        </w:tc>
      </w:tr>
      <w:tr w14:paraId="6214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04BA">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7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6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0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C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B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13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D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BB3">
            <w:pPr>
              <w:jc w:val="center"/>
              <w:rPr>
                <w:rFonts w:hint="eastAsia" w:ascii="宋体" w:hAnsi="宋体" w:eastAsia="宋体" w:cs="宋体"/>
                <w:i w:val="0"/>
                <w:iCs w:val="0"/>
                <w:color w:val="000000"/>
                <w:sz w:val="18"/>
                <w:szCs w:val="18"/>
                <w:u w:val="none"/>
              </w:rPr>
            </w:pPr>
          </w:p>
        </w:tc>
      </w:tr>
      <w:tr w14:paraId="12FF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72FB">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9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B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城市垃圾分类、垃圾转运、清扫保洁、绿化养护、城市管理、人员管理等方面进行智能监管，对生活垃圾分类从居民投放、收集、转运、处置等环节全流程闭环管理和全生命周期管理，为实现全区生活垃圾“减量化、资源化、无害化”目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C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0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B40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8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0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E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0A6D">
            <w:pPr>
              <w:jc w:val="center"/>
              <w:rPr>
                <w:rFonts w:hint="eastAsia" w:ascii="宋体" w:hAnsi="宋体" w:eastAsia="宋体" w:cs="宋体"/>
                <w:i w:val="0"/>
                <w:iCs w:val="0"/>
                <w:color w:val="000000"/>
                <w:sz w:val="18"/>
                <w:szCs w:val="18"/>
                <w:u w:val="none"/>
              </w:rPr>
            </w:pPr>
          </w:p>
        </w:tc>
      </w:tr>
      <w:tr w14:paraId="54BA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804D">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7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C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1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2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DA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4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4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DE52">
            <w:pPr>
              <w:jc w:val="center"/>
              <w:rPr>
                <w:rFonts w:hint="eastAsia" w:ascii="微软雅黑" w:hAnsi="微软雅黑" w:eastAsia="微软雅黑" w:cs="微软雅黑"/>
                <w:i w:val="0"/>
                <w:iCs w:val="0"/>
                <w:color w:val="000000"/>
                <w:sz w:val="16"/>
                <w:szCs w:val="16"/>
                <w:u w:val="none"/>
              </w:rPr>
            </w:pPr>
          </w:p>
        </w:tc>
      </w:tr>
      <w:tr w14:paraId="7F90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CCA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2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47C9">
            <w:pPr>
              <w:rPr>
                <w:rFonts w:hint="eastAsia" w:ascii="宋体" w:hAnsi="宋体" w:eastAsia="宋体" w:cs="宋体"/>
                <w:i w:val="0"/>
                <w:iCs w:val="0"/>
                <w:color w:val="000000"/>
                <w:sz w:val="18"/>
                <w:szCs w:val="18"/>
                <w:u w:val="none"/>
              </w:rPr>
            </w:pPr>
          </w:p>
        </w:tc>
      </w:tr>
      <w:tr w14:paraId="7C5B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C036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将集垃圾转运、清扫保洁、垃圾分类、城市管理、综合执法等相关职能于一体，实现综合办公，便于统一管理、统一调度、统一指挥，全面提升工作效能。</w:t>
            </w:r>
          </w:p>
        </w:tc>
      </w:tr>
      <w:tr w14:paraId="5CD7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E5506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4E4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C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6D3D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C1A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078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项目负责人：邹元伟</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F106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181A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197C6985">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14:paraId="48484F70">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2A388ADE">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703B1952">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14:paraId="786FBC75">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472F964C">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AF916A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704ACE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27E829D">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20C5EE8">
            <w:pPr>
              <w:rPr>
                <w:rFonts w:hint="eastAsia" w:ascii="宋体" w:hAnsi="宋体" w:eastAsia="宋体" w:cs="宋体"/>
                <w:i w:val="0"/>
                <w:iCs w:val="0"/>
                <w:color w:val="000000"/>
                <w:sz w:val="18"/>
                <w:szCs w:val="18"/>
                <w:u w:val="none"/>
              </w:rPr>
            </w:pPr>
          </w:p>
        </w:tc>
        <w:tc>
          <w:tcPr>
            <w:tcW w:w="1604" w:type="dxa"/>
            <w:tcBorders>
              <w:top w:val="nil"/>
              <w:left w:val="nil"/>
              <w:bottom w:val="nil"/>
              <w:right w:val="nil"/>
            </w:tcBorders>
            <w:shd w:val="clear" w:color="auto" w:fill="auto"/>
            <w:vAlign w:val="center"/>
          </w:tcPr>
          <w:p w14:paraId="29D272B4">
            <w:pPr>
              <w:rPr>
                <w:rFonts w:hint="eastAsia" w:ascii="宋体" w:hAnsi="宋体" w:eastAsia="宋体" w:cs="宋体"/>
                <w:i w:val="0"/>
                <w:iCs w:val="0"/>
                <w:color w:val="000000"/>
                <w:sz w:val="18"/>
                <w:szCs w:val="18"/>
                <w:u w:val="none"/>
              </w:rPr>
            </w:pPr>
          </w:p>
        </w:tc>
      </w:tr>
      <w:tr w14:paraId="08F6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FC8FA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63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31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9FD4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51090423T000009649413-城乡垃圾处理设施建设项目</w:t>
            </w:r>
          </w:p>
        </w:tc>
      </w:tr>
      <w:tr w14:paraId="7707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AA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85E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772D3C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B9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3B59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540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5BB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5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E70D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83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D27A">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721D">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BD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建设垃圾分类调度中心:占地面积约28亩，拟建调度管理中心（含数字监控管理系统等）、有害垃圾暂存点2处、停车场及厂区道路、消防、电力、绿化、围墙等附属工程。</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D24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建设垃圾分类调度中心:占地面积约28亩，拟建调度管理中心（含数字监控管理系统等）、有害垃圾暂存点2处、停车场及厂区道路、消防、电力、绿化、围墙等附属工程。</w:t>
            </w:r>
          </w:p>
        </w:tc>
      </w:tr>
      <w:tr w14:paraId="1629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C74F">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17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C5FE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将集垃圾转运、清扫保洁、垃圾分类、城市管理、综合执法等相关职能于一体，实现综合办公，便于统一管理、统一调度、统一指挥，全面提升工作效能。</w:t>
            </w:r>
          </w:p>
        </w:tc>
      </w:tr>
      <w:tr w14:paraId="1F50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B4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7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13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9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A1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C018">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9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0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1D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D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1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B0C2">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53BBC">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5C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13D5">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6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9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4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D8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5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A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2D6D">
            <w:pPr>
              <w:rPr>
                <w:rFonts w:hint="eastAsia" w:ascii="黑体" w:hAnsi="黑体" w:eastAsia="黑体" w:cs="黑体"/>
                <w:i w:val="0"/>
                <w:iCs w:val="0"/>
                <w:color w:val="000000"/>
                <w:sz w:val="18"/>
                <w:szCs w:val="18"/>
                <w:u w:val="none"/>
              </w:rPr>
            </w:pPr>
          </w:p>
        </w:tc>
      </w:tr>
      <w:tr w14:paraId="3312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CF9C">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5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B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D7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B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4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CA51">
            <w:pPr>
              <w:rPr>
                <w:rFonts w:hint="eastAsia" w:ascii="黑体" w:hAnsi="黑体" w:eastAsia="黑体" w:cs="黑体"/>
                <w:i w:val="0"/>
                <w:iCs w:val="0"/>
                <w:color w:val="000000"/>
                <w:sz w:val="18"/>
                <w:szCs w:val="18"/>
                <w:u w:val="none"/>
              </w:rPr>
            </w:pPr>
          </w:p>
        </w:tc>
      </w:tr>
      <w:tr w14:paraId="1F2C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DF2A">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B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5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5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E6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3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3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8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8D5F">
            <w:pPr>
              <w:rPr>
                <w:rFonts w:hint="eastAsia" w:ascii="黑体" w:hAnsi="黑体" w:eastAsia="黑体" w:cs="黑体"/>
                <w:i w:val="0"/>
                <w:iCs w:val="0"/>
                <w:color w:val="000000"/>
                <w:sz w:val="18"/>
                <w:szCs w:val="18"/>
                <w:u w:val="none"/>
              </w:rPr>
            </w:pPr>
          </w:p>
        </w:tc>
      </w:tr>
      <w:tr w14:paraId="4C8B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2719">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98C7">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6B5E">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D7926">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AD48">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33B5">
            <w:pPr>
              <w:rPr>
                <w:rFonts w:hint="eastAsia" w:ascii="黑体" w:hAnsi="黑体" w:eastAsia="黑体" w:cs="黑体"/>
                <w:i w:val="0"/>
                <w:iCs w:val="0"/>
                <w:color w:val="000000"/>
                <w:sz w:val="18"/>
                <w:szCs w:val="18"/>
                <w:u w:val="none"/>
              </w:rPr>
            </w:pPr>
          </w:p>
        </w:tc>
      </w:tr>
      <w:tr w14:paraId="054E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E8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0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4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5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2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4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6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1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F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E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BA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E0F8">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94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8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C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垃圾分类调度中心1座、有害垃圾暂存点2处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F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0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垃圾分类调度中心1座、有害垃圾暂存点2处</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4E1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C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垃圾分类调度中心1座、有害垃圾暂存点2处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5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7D14">
            <w:pPr>
              <w:jc w:val="center"/>
              <w:rPr>
                <w:rFonts w:hint="eastAsia" w:ascii="宋体" w:hAnsi="宋体" w:eastAsia="宋体" w:cs="宋体"/>
                <w:i w:val="0"/>
                <w:iCs w:val="0"/>
                <w:color w:val="000000"/>
                <w:sz w:val="18"/>
                <w:szCs w:val="18"/>
                <w:u w:val="none"/>
              </w:rPr>
            </w:pPr>
          </w:p>
        </w:tc>
      </w:tr>
      <w:tr w14:paraId="6F4B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55F8">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5F4B">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4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工程建设合格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A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9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4C0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B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A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953">
            <w:pPr>
              <w:jc w:val="center"/>
              <w:rPr>
                <w:rFonts w:hint="eastAsia" w:ascii="宋体" w:hAnsi="宋体" w:eastAsia="宋体" w:cs="宋体"/>
                <w:i w:val="0"/>
                <w:iCs w:val="0"/>
                <w:color w:val="000000"/>
                <w:sz w:val="18"/>
                <w:szCs w:val="18"/>
                <w:u w:val="none"/>
              </w:rPr>
            </w:pPr>
          </w:p>
        </w:tc>
      </w:tr>
      <w:tr w14:paraId="1B0C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9C23">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F498">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E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0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6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60C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3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1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2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6C8D">
            <w:pPr>
              <w:jc w:val="center"/>
              <w:rPr>
                <w:rFonts w:hint="eastAsia" w:ascii="宋体" w:hAnsi="宋体" w:eastAsia="宋体" w:cs="宋体"/>
                <w:i w:val="0"/>
                <w:iCs w:val="0"/>
                <w:color w:val="000000"/>
                <w:sz w:val="18"/>
                <w:szCs w:val="18"/>
                <w:u w:val="none"/>
              </w:rPr>
            </w:pPr>
          </w:p>
        </w:tc>
      </w:tr>
      <w:tr w14:paraId="7C97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E181">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9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7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8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7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E0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E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2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424">
            <w:pPr>
              <w:jc w:val="center"/>
              <w:rPr>
                <w:rFonts w:hint="eastAsia" w:ascii="宋体" w:hAnsi="宋体" w:eastAsia="宋体" w:cs="宋体"/>
                <w:i w:val="0"/>
                <w:iCs w:val="0"/>
                <w:color w:val="000000"/>
                <w:sz w:val="18"/>
                <w:szCs w:val="18"/>
                <w:u w:val="none"/>
              </w:rPr>
            </w:pPr>
          </w:p>
        </w:tc>
      </w:tr>
      <w:tr w14:paraId="39FF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4A6D">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8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3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城市垃圾分类、垃圾转运、清扫保洁、绿化养护、城市管理、人员管理等方面进行智能监管，对生活垃圾分类从居民投放、收集、转运、处置等环节全流程闭环管理和全生命周期管理，为实现全区生活垃圾“减量化、资源化、无害化”目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1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E47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75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4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E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332E">
            <w:pPr>
              <w:jc w:val="center"/>
              <w:rPr>
                <w:rFonts w:hint="eastAsia" w:ascii="宋体" w:hAnsi="宋体" w:eastAsia="宋体" w:cs="宋体"/>
                <w:i w:val="0"/>
                <w:iCs w:val="0"/>
                <w:color w:val="000000"/>
                <w:sz w:val="18"/>
                <w:szCs w:val="18"/>
                <w:u w:val="none"/>
              </w:rPr>
            </w:pPr>
          </w:p>
        </w:tc>
      </w:tr>
      <w:tr w14:paraId="5E4B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8C08">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8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2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F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9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2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4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FF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C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4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C69A">
            <w:pPr>
              <w:jc w:val="center"/>
              <w:rPr>
                <w:rFonts w:hint="eastAsia" w:ascii="微软雅黑" w:hAnsi="微软雅黑" w:eastAsia="微软雅黑" w:cs="微软雅黑"/>
                <w:i w:val="0"/>
                <w:iCs w:val="0"/>
                <w:color w:val="000000"/>
                <w:sz w:val="16"/>
                <w:szCs w:val="16"/>
                <w:u w:val="none"/>
              </w:rPr>
            </w:pPr>
          </w:p>
        </w:tc>
      </w:tr>
      <w:tr w14:paraId="2698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AE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5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51F2">
            <w:pPr>
              <w:rPr>
                <w:rFonts w:hint="eastAsia" w:ascii="宋体" w:hAnsi="宋体" w:eastAsia="宋体" w:cs="宋体"/>
                <w:i w:val="0"/>
                <w:iCs w:val="0"/>
                <w:color w:val="000000"/>
                <w:sz w:val="18"/>
                <w:szCs w:val="18"/>
                <w:u w:val="none"/>
              </w:rPr>
            </w:pPr>
          </w:p>
        </w:tc>
      </w:tr>
      <w:tr w14:paraId="0D11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F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A17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对城市垃圾分类、垃圾转运、清扫保洁、绿化养护、城市管理、人员管理等方面进行智能监管，对生活垃圾分类从居民投放、收集、转运、处置等环节全流程闭环管理和全生命周期管理，为实现全区生活垃圾“减量化、资源化、无害化”目标。</w:t>
            </w:r>
          </w:p>
        </w:tc>
      </w:tr>
      <w:tr w14:paraId="39F2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7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B5CBC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2E9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C69BF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881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2C4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项目负责人：邹元伟</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8447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72EB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7DC8F8F3">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14:paraId="7CFECC77">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106F32FC">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472A8341">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14:paraId="446E788A">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30E009F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2EE78A1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9C4FEF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985746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7B8DED4">
            <w:pPr>
              <w:rPr>
                <w:rFonts w:hint="eastAsia" w:ascii="宋体" w:hAnsi="宋体" w:eastAsia="宋体" w:cs="宋体"/>
                <w:i w:val="0"/>
                <w:iCs w:val="0"/>
                <w:color w:val="000000"/>
                <w:sz w:val="18"/>
                <w:szCs w:val="18"/>
                <w:u w:val="none"/>
              </w:rPr>
            </w:pPr>
          </w:p>
        </w:tc>
        <w:tc>
          <w:tcPr>
            <w:tcW w:w="1604" w:type="dxa"/>
            <w:tcBorders>
              <w:top w:val="nil"/>
              <w:left w:val="nil"/>
              <w:bottom w:val="nil"/>
              <w:right w:val="nil"/>
            </w:tcBorders>
            <w:shd w:val="clear" w:color="auto" w:fill="auto"/>
            <w:vAlign w:val="center"/>
          </w:tcPr>
          <w:p w14:paraId="7A394541">
            <w:pPr>
              <w:rPr>
                <w:rFonts w:hint="eastAsia" w:ascii="宋体" w:hAnsi="宋体" w:eastAsia="宋体" w:cs="宋体"/>
                <w:i w:val="0"/>
                <w:iCs w:val="0"/>
                <w:color w:val="000000"/>
                <w:sz w:val="18"/>
                <w:szCs w:val="18"/>
                <w:u w:val="none"/>
              </w:rPr>
            </w:pPr>
          </w:p>
        </w:tc>
      </w:tr>
      <w:tr w14:paraId="191F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CB0E6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83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03C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CC21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51090423T000009826058-2022年生活垃圾分类示范片区奖补资金</w:t>
            </w:r>
          </w:p>
        </w:tc>
      </w:tr>
      <w:tr w14:paraId="7519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ED8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AE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62F5C4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EE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26C7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394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05E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FD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7EE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10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D5C8">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53E1">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150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建成安居区双河社区、凤凰社区、书院沟社区垃圾分类示范片区。</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528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建成安居区双河社区、凤凰社区、书院沟社区垃圾分类示范片区。</w:t>
            </w:r>
          </w:p>
        </w:tc>
      </w:tr>
      <w:tr w14:paraId="68B2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7828">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814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示范试点各小区居民栋数、户数、流动人口数等情况，因地制宜，科学规划设置各小区内生活垃圾分类投放点位，通过定点投放、定时收运，消除垃圾落地和垃圾带来的异味现象。采用分类收运车辆，做到生活垃圾日产日清，杜绝“前分后混”情况出现，从而逐步改善示范试点小区环境。</w:t>
            </w:r>
          </w:p>
        </w:tc>
      </w:tr>
      <w:tr w14:paraId="3B7F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51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2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F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76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D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0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0A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96EE">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E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8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59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9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E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0E43">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4EEA9">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D1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5236">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F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6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A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70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C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DF4A">
            <w:pPr>
              <w:rPr>
                <w:rFonts w:hint="eastAsia" w:ascii="黑体" w:hAnsi="黑体" w:eastAsia="黑体" w:cs="黑体"/>
                <w:i w:val="0"/>
                <w:iCs w:val="0"/>
                <w:color w:val="000000"/>
                <w:sz w:val="18"/>
                <w:szCs w:val="18"/>
                <w:u w:val="none"/>
              </w:rPr>
            </w:pPr>
          </w:p>
        </w:tc>
      </w:tr>
      <w:tr w14:paraId="3F5C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A68A">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0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D7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8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2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3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74F5">
            <w:pPr>
              <w:rPr>
                <w:rFonts w:hint="eastAsia" w:ascii="黑体" w:hAnsi="黑体" w:eastAsia="黑体" w:cs="黑体"/>
                <w:i w:val="0"/>
                <w:iCs w:val="0"/>
                <w:color w:val="000000"/>
                <w:sz w:val="18"/>
                <w:szCs w:val="18"/>
                <w:u w:val="none"/>
              </w:rPr>
            </w:pPr>
          </w:p>
        </w:tc>
      </w:tr>
      <w:tr w14:paraId="2C66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7BAD">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4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2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19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1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E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5C9A">
            <w:pPr>
              <w:rPr>
                <w:rFonts w:hint="eastAsia" w:ascii="黑体" w:hAnsi="黑体" w:eastAsia="黑体" w:cs="黑体"/>
                <w:i w:val="0"/>
                <w:iCs w:val="0"/>
                <w:color w:val="000000"/>
                <w:sz w:val="18"/>
                <w:szCs w:val="18"/>
                <w:u w:val="none"/>
              </w:rPr>
            </w:pPr>
          </w:p>
        </w:tc>
      </w:tr>
      <w:tr w14:paraId="359D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0645">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1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55D0">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01C">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3E54B">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6BC4">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093D">
            <w:pPr>
              <w:rPr>
                <w:rFonts w:hint="eastAsia" w:ascii="黑体" w:hAnsi="黑体" w:eastAsia="黑体" w:cs="黑体"/>
                <w:i w:val="0"/>
                <w:iCs w:val="0"/>
                <w:color w:val="000000"/>
                <w:sz w:val="18"/>
                <w:szCs w:val="18"/>
                <w:u w:val="none"/>
              </w:rPr>
            </w:pPr>
          </w:p>
        </w:tc>
      </w:tr>
      <w:tr w14:paraId="6AFC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83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F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A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0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3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E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E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1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1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0D0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59F4">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DA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8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A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建成安居区双河社区、凤凰社区、书院沟社区垃圾分类示范片区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B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建成安居区双河社区、凤凰社区、书院沟社区垃圾分类示范片区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34A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9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7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B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CD23">
            <w:pPr>
              <w:jc w:val="center"/>
              <w:rPr>
                <w:rFonts w:hint="eastAsia" w:ascii="宋体" w:hAnsi="宋体" w:eastAsia="宋体" w:cs="宋体"/>
                <w:i w:val="0"/>
                <w:iCs w:val="0"/>
                <w:color w:val="000000"/>
                <w:sz w:val="18"/>
                <w:szCs w:val="18"/>
                <w:u w:val="none"/>
              </w:rPr>
            </w:pPr>
          </w:p>
        </w:tc>
      </w:tr>
      <w:tr w14:paraId="7612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8D42C">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52A5">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2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6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因地制宜，科学规划设置各小区内生活垃圾分类投放点位，通过定点投放、定时收运，消除垃圾落地和垃圾带来的异味现象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F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9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993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7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B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A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EEE7">
            <w:pPr>
              <w:jc w:val="center"/>
              <w:rPr>
                <w:rFonts w:hint="eastAsia" w:ascii="宋体" w:hAnsi="宋体" w:eastAsia="宋体" w:cs="宋体"/>
                <w:i w:val="0"/>
                <w:iCs w:val="0"/>
                <w:color w:val="000000"/>
                <w:sz w:val="18"/>
                <w:szCs w:val="18"/>
                <w:u w:val="none"/>
              </w:rPr>
            </w:pPr>
          </w:p>
        </w:tc>
      </w:tr>
      <w:tr w14:paraId="6EF3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32A3">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3712">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C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A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4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7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402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80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0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905">
            <w:pPr>
              <w:jc w:val="center"/>
              <w:rPr>
                <w:rFonts w:hint="eastAsia" w:ascii="宋体" w:hAnsi="宋体" w:eastAsia="宋体" w:cs="宋体"/>
                <w:i w:val="0"/>
                <w:iCs w:val="0"/>
                <w:color w:val="000000"/>
                <w:sz w:val="18"/>
                <w:szCs w:val="18"/>
                <w:u w:val="none"/>
              </w:rPr>
            </w:pPr>
          </w:p>
        </w:tc>
      </w:tr>
      <w:tr w14:paraId="0BE7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1241">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8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9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2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B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1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8A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3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C4D">
            <w:pPr>
              <w:jc w:val="center"/>
              <w:rPr>
                <w:rFonts w:hint="eastAsia" w:ascii="宋体" w:hAnsi="宋体" w:eastAsia="宋体" w:cs="宋体"/>
                <w:i w:val="0"/>
                <w:iCs w:val="0"/>
                <w:color w:val="000000"/>
                <w:sz w:val="18"/>
                <w:szCs w:val="18"/>
                <w:u w:val="none"/>
              </w:rPr>
            </w:pPr>
          </w:p>
        </w:tc>
      </w:tr>
      <w:tr w14:paraId="30E3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68FC">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1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0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0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做到生活垃圾日产日清，杜绝“前分后混”情况出现，从而逐步改善示范试点小区环境。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6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C03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6C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4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B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1D9D">
            <w:pPr>
              <w:jc w:val="center"/>
              <w:rPr>
                <w:rFonts w:hint="eastAsia" w:ascii="宋体" w:hAnsi="宋体" w:eastAsia="宋体" w:cs="宋体"/>
                <w:i w:val="0"/>
                <w:iCs w:val="0"/>
                <w:color w:val="000000"/>
                <w:sz w:val="18"/>
                <w:szCs w:val="18"/>
                <w:u w:val="none"/>
              </w:rPr>
            </w:pPr>
          </w:p>
        </w:tc>
      </w:tr>
      <w:tr w14:paraId="15AA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F746">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7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9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F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F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5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8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C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8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6E2C">
            <w:pPr>
              <w:jc w:val="center"/>
              <w:rPr>
                <w:rFonts w:hint="eastAsia" w:ascii="微软雅黑" w:hAnsi="微软雅黑" w:eastAsia="微软雅黑" w:cs="微软雅黑"/>
                <w:i w:val="0"/>
                <w:iCs w:val="0"/>
                <w:color w:val="000000"/>
                <w:sz w:val="16"/>
                <w:szCs w:val="16"/>
                <w:u w:val="none"/>
              </w:rPr>
            </w:pPr>
          </w:p>
        </w:tc>
      </w:tr>
      <w:tr w14:paraId="4308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B8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3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8AA">
            <w:pPr>
              <w:rPr>
                <w:rFonts w:hint="eastAsia" w:ascii="宋体" w:hAnsi="宋体" w:eastAsia="宋体" w:cs="宋体"/>
                <w:i w:val="0"/>
                <w:iCs w:val="0"/>
                <w:color w:val="000000"/>
                <w:sz w:val="18"/>
                <w:szCs w:val="18"/>
                <w:u w:val="none"/>
              </w:rPr>
            </w:pPr>
          </w:p>
        </w:tc>
      </w:tr>
      <w:tr w14:paraId="6763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6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D1080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坚持党建引领，依靠党组织推动、党员带动、党群互动等多种形式，大力推进垃圾分类工作，引领绿色低碳生活新时尚。干部率先垂范，养成良好的垃圾分类行为习惯，落实专人负责统计示范试点小区垃圾分类工作完成情况，促进垃圾分类工作落实。</w:t>
            </w:r>
          </w:p>
        </w:tc>
      </w:tr>
      <w:tr w14:paraId="332F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3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A9B4D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CCD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6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14C0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D9F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EE3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项目负责人：邹元伟</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C2D7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5C27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0C4A186A">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14:paraId="387C2CF7">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436386F3">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C921721">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14:paraId="17367C48">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4C87ED6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AA7F6E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16254F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F7F5C70">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B1A8BC9">
            <w:pPr>
              <w:rPr>
                <w:rFonts w:hint="eastAsia" w:ascii="宋体" w:hAnsi="宋体" w:eastAsia="宋体" w:cs="宋体"/>
                <w:i w:val="0"/>
                <w:iCs w:val="0"/>
                <w:color w:val="000000"/>
                <w:sz w:val="18"/>
                <w:szCs w:val="18"/>
                <w:u w:val="none"/>
              </w:rPr>
            </w:pPr>
          </w:p>
        </w:tc>
        <w:tc>
          <w:tcPr>
            <w:tcW w:w="1604" w:type="dxa"/>
            <w:tcBorders>
              <w:top w:val="nil"/>
              <w:left w:val="nil"/>
              <w:bottom w:val="nil"/>
              <w:right w:val="nil"/>
            </w:tcBorders>
            <w:shd w:val="clear" w:color="auto" w:fill="auto"/>
            <w:vAlign w:val="center"/>
          </w:tcPr>
          <w:p w14:paraId="283567D3">
            <w:pPr>
              <w:rPr>
                <w:rFonts w:hint="eastAsia" w:ascii="宋体" w:hAnsi="宋体" w:eastAsia="宋体" w:cs="宋体"/>
                <w:i w:val="0"/>
                <w:iCs w:val="0"/>
                <w:color w:val="000000"/>
                <w:sz w:val="18"/>
                <w:szCs w:val="18"/>
                <w:u w:val="none"/>
              </w:rPr>
            </w:pPr>
          </w:p>
        </w:tc>
      </w:tr>
      <w:tr w14:paraId="2C73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CFD79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B3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9EA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C0C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51090425T000012190319-遂宁市安居区城镇生活垃圾分类处置建设项目2023</w:t>
            </w:r>
          </w:p>
        </w:tc>
      </w:tr>
      <w:tr w14:paraId="3239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C6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DA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07F0C5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6C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4991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59E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7A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0F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FB79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FC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6B7D">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0B91">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DA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改造垃圾中转站22座、设置分拣中心22处、购置餐厨垃圾转运车4辆</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F6E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改造垃圾中转站22座、设置分拣中心22处、购置餐厨垃圾转运车4辆</w:t>
            </w:r>
          </w:p>
        </w:tc>
      </w:tr>
      <w:tr w14:paraId="3AD1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9EC1">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7F24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对安居城镇22座垃圾压缩中转站进行改造升级，设置小型分拣中心22处；购置餐厨垃圾转运车4辆</w:t>
            </w:r>
          </w:p>
        </w:tc>
      </w:tr>
      <w:tr w14:paraId="3478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03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B6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3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8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2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E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44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A624">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F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9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A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61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2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C1D5">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35E8C">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01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EE35">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E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3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25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1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8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940F">
            <w:pPr>
              <w:rPr>
                <w:rFonts w:hint="eastAsia" w:ascii="黑体" w:hAnsi="黑体" w:eastAsia="黑体" w:cs="黑体"/>
                <w:i w:val="0"/>
                <w:iCs w:val="0"/>
                <w:color w:val="000000"/>
                <w:sz w:val="18"/>
                <w:szCs w:val="18"/>
                <w:u w:val="none"/>
              </w:rPr>
            </w:pPr>
          </w:p>
        </w:tc>
      </w:tr>
      <w:tr w14:paraId="6309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0DD4B">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8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B2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B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A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D377">
            <w:pPr>
              <w:rPr>
                <w:rFonts w:hint="eastAsia" w:ascii="黑体" w:hAnsi="黑体" w:eastAsia="黑体" w:cs="黑体"/>
                <w:i w:val="0"/>
                <w:iCs w:val="0"/>
                <w:color w:val="000000"/>
                <w:sz w:val="18"/>
                <w:szCs w:val="18"/>
                <w:u w:val="none"/>
              </w:rPr>
            </w:pPr>
          </w:p>
        </w:tc>
      </w:tr>
      <w:tr w14:paraId="1DE9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0581">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1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4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7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EE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E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7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DAF3">
            <w:pPr>
              <w:rPr>
                <w:rFonts w:hint="eastAsia" w:ascii="黑体" w:hAnsi="黑体" w:eastAsia="黑体" w:cs="黑体"/>
                <w:i w:val="0"/>
                <w:iCs w:val="0"/>
                <w:color w:val="000000"/>
                <w:sz w:val="18"/>
                <w:szCs w:val="18"/>
                <w:u w:val="none"/>
              </w:rPr>
            </w:pPr>
          </w:p>
        </w:tc>
      </w:tr>
      <w:tr w14:paraId="789D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7820">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2DF4">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BD3">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6F711">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3CDE">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6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A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1790">
            <w:pPr>
              <w:rPr>
                <w:rFonts w:hint="eastAsia" w:ascii="黑体" w:hAnsi="黑体" w:eastAsia="黑体" w:cs="黑体"/>
                <w:i w:val="0"/>
                <w:iCs w:val="0"/>
                <w:color w:val="000000"/>
                <w:sz w:val="18"/>
                <w:szCs w:val="18"/>
                <w:u w:val="none"/>
              </w:rPr>
            </w:pPr>
          </w:p>
        </w:tc>
      </w:tr>
      <w:tr w14:paraId="17E0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17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0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2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3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D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B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E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4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D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D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4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4A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FFF4">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33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C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改造垃圾中转站22座、设置分拣中心22处、购置餐厨垃圾转运车4辆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0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1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改造垃圾中转站22座、设置分拣中心22处、购置餐厨垃圾转运车4辆</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CD8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E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C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0546">
            <w:pPr>
              <w:jc w:val="center"/>
              <w:rPr>
                <w:rFonts w:hint="eastAsia" w:ascii="宋体" w:hAnsi="宋体" w:eastAsia="宋体" w:cs="宋体"/>
                <w:i w:val="0"/>
                <w:iCs w:val="0"/>
                <w:color w:val="000000"/>
                <w:sz w:val="18"/>
                <w:szCs w:val="18"/>
                <w:u w:val="none"/>
              </w:rPr>
            </w:pPr>
          </w:p>
        </w:tc>
      </w:tr>
      <w:tr w14:paraId="1D5C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BC52">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89E4">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A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F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生活垃圾无害化处理率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3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1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FC7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A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8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AA3">
            <w:pPr>
              <w:jc w:val="center"/>
              <w:rPr>
                <w:rFonts w:hint="eastAsia" w:ascii="宋体" w:hAnsi="宋体" w:eastAsia="宋体" w:cs="宋体"/>
                <w:i w:val="0"/>
                <w:iCs w:val="0"/>
                <w:color w:val="000000"/>
                <w:sz w:val="18"/>
                <w:szCs w:val="18"/>
                <w:u w:val="none"/>
              </w:rPr>
            </w:pPr>
          </w:p>
        </w:tc>
      </w:tr>
      <w:tr w14:paraId="17C3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C9AE">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7715">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5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4B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AC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C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11F0">
            <w:pPr>
              <w:jc w:val="center"/>
              <w:rPr>
                <w:rFonts w:hint="eastAsia" w:ascii="宋体" w:hAnsi="宋体" w:eastAsia="宋体" w:cs="宋体"/>
                <w:i w:val="0"/>
                <w:iCs w:val="0"/>
                <w:color w:val="000000"/>
                <w:sz w:val="18"/>
                <w:szCs w:val="18"/>
                <w:u w:val="none"/>
              </w:rPr>
            </w:pPr>
          </w:p>
        </w:tc>
      </w:tr>
      <w:tr w14:paraId="566C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7AEB">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9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0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D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C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D4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9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1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997">
            <w:pPr>
              <w:jc w:val="center"/>
              <w:rPr>
                <w:rFonts w:hint="eastAsia" w:ascii="宋体" w:hAnsi="宋体" w:eastAsia="宋体" w:cs="宋体"/>
                <w:i w:val="0"/>
                <w:iCs w:val="0"/>
                <w:color w:val="000000"/>
                <w:sz w:val="18"/>
                <w:szCs w:val="18"/>
                <w:u w:val="none"/>
              </w:rPr>
            </w:pPr>
          </w:p>
        </w:tc>
      </w:tr>
      <w:tr w14:paraId="3FCB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3E46">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0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C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改善全区人居环境，增加民众环保意识，居民生活质量进一步提升。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E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D9E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73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2103">
            <w:pPr>
              <w:jc w:val="center"/>
              <w:rPr>
                <w:rFonts w:hint="eastAsia" w:ascii="宋体" w:hAnsi="宋体" w:eastAsia="宋体" w:cs="宋体"/>
                <w:i w:val="0"/>
                <w:iCs w:val="0"/>
                <w:color w:val="000000"/>
                <w:sz w:val="18"/>
                <w:szCs w:val="18"/>
                <w:u w:val="none"/>
              </w:rPr>
            </w:pPr>
          </w:p>
        </w:tc>
      </w:tr>
      <w:tr w14:paraId="24D8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7F71">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0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4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2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F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6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B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2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8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6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EA60">
            <w:pPr>
              <w:jc w:val="center"/>
              <w:rPr>
                <w:rFonts w:hint="eastAsia" w:ascii="微软雅黑" w:hAnsi="微软雅黑" w:eastAsia="微软雅黑" w:cs="微软雅黑"/>
                <w:i w:val="0"/>
                <w:iCs w:val="0"/>
                <w:color w:val="000000"/>
                <w:sz w:val="16"/>
                <w:szCs w:val="16"/>
                <w:u w:val="none"/>
              </w:rPr>
            </w:pPr>
          </w:p>
        </w:tc>
      </w:tr>
      <w:tr w14:paraId="7A05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213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D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F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307">
            <w:pPr>
              <w:rPr>
                <w:rFonts w:hint="eastAsia" w:ascii="宋体" w:hAnsi="宋体" w:eastAsia="宋体" w:cs="宋体"/>
                <w:i w:val="0"/>
                <w:iCs w:val="0"/>
                <w:color w:val="000000"/>
                <w:sz w:val="18"/>
                <w:szCs w:val="18"/>
                <w:u w:val="none"/>
              </w:rPr>
            </w:pPr>
          </w:p>
        </w:tc>
      </w:tr>
      <w:tr w14:paraId="00B4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B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A24FD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改善全区人居环境，增加民众环保意识，居民生活质量进一步提升。</w:t>
            </w:r>
          </w:p>
        </w:tc>
      </w:tr>
      <w:tr w14:paraId="7160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6A69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F4F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1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3B62C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EF6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DDF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项目负责人：邹元伟</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6BEE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18C0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099AC392">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14:paraId="526B7995">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691B5ADC">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1E042346">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14:paraId="14612A51">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2020F981">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69A49B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ABD34C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9EFF833">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3BF21C3">
            <w:pPr>
              <w:rPr>
                <w:rFonts w:hint="eastAsia" w:ascii="宋体" w:hAnsi="宋体" w:eastAsia="宋体" w:cs="宋体"/>
                <w:i w:val="0"/>
                <w:iCs w:val="0"/>
                <w:color w:val="000000"/>
                <w:sz w:val="18"/>
                <w:szCs w:val="18"/>
                <w:u w:val="none"/>
              </w:rPr>
            </w:pPr>
          </w:p>
        </w:tc>
        <w:tc>
          <w:tcPr>
            <w:tcW w:w="1604" w:type="dxa"/>
            <w:tcBorders>
              <w:top w:val="nil"/>
              <w:left w:val="nil"/>
              <w:bottom w:val="nil"/>
              <w:right w:val="nil"/>
            </w:tcBorders>
            <w:shd w:val="clear" w:color="auto" w:fill="auto"/>
            <w:vAlign w:val="center"/>
          </w:tcPr>
          <w:p w14:paraId="1FDB7B90">
            <w:pPr>
              <w:rPr>
                <w:rFonts w:hint="eastAsia" w:ascii="宋体" w:hAnsi="宋体" w:eastAsia="宋体" w:cs="宋体"/>
                <w:i w:val="0"/>
                <w:iCs w:val="0"/>
                <w:color w:val="000000"/>
                <w:sz w:val="18"/>
                <w:szCs w:val="18"/>
                <w:u w:val="none"/>
              </w:rPr>
            </w:pPr>
          </w:p>
        </w:tc>
      </w:tr>
      <w:tr w14:paraId="5EF9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F278F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93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72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007D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51090425T000012313903-遂宁市安居区智慧城市（数字城管）建设项目</w:t>
            </w:r>
          </w:p>
        </w:tc>
      </w:tr>
      <w:tr w14:paraId="67D8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22F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C5D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72E82B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48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0EEE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CC0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E1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B3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00A5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8B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F1B6">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C10C">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EC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新建1个数据中心，含模块化数据机房、服务器、网络、安全、可视化设备，数据库软件、虚拟化软件等硬件设备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CDA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新建1个数据中心，含模块化数据机房、服务器、网络、安全、可视化设备，数据库软件、虚拟化软件等硬件设备</w:t>
            </w:r>
          </w:p>
        </w:tc>
      </w:tr>
      <w:tr w14:paraId="1444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F49D">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D7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772E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安居区城市运行管理能力底座平台，含物联感知、视频融合、数字孪生、大数据、人工智能算法等能力的建设，预留开放的接口和扩容空间，兴城安居区级的智慧城市大脑底座；新建1个数据中心，含模块化数据机房、服务器、网络、安全、可视化设备，数据库软件、虚拟化软件等硬件设备，总算力达到25600GFLOPS，折合18标准机架数；新建物联感知网络，对城市窖井盖、道路桥梁、城市积水、燃气热力、供水排水、静态交通资源等城市运行状态进行全面感知；新建城市视频感知网络并新建视屏融合平台，新增AI视频前段设备、智慧路灯，整合既有监控资源，预留接口和扩容能力；新建安全局智慧城市运行管理服务业务平台，含城市安全运行监测场景的“一网统管”，城市运行态势的全面感知、预见性监测、分析研判和全周期管理。</w:t>
            </w:r>
          </w:p>
        </w:tc>
      </w:tr>
      <w:tr w14:paraId="4BA9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E0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6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3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8B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D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9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2C9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78E9">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7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7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7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C8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1,266.61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C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542F">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199E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39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F595">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0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6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7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52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1,266.61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7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96DB">
            <w:pPr>
              <w:rPr>
                <w:rFonts w:hint="eastAsia" w:ascii="黑体" w:hAnsi="黑体" w:eastAsia="黑体" w:cs="黑体"/>
                <w:i w:val="0"/>
                <w:iCs w:val="0"/>
                <w:color w:val="000000"/>
                <w:sz w:val="18"/>
                <w:szCs w:val="18"/>
                <w:u w:val="none"/>
              </w:rPr>
            </w:pPr>
          </w:p>
        </w:tc>
      </w:tr>
      <w:tr w14:paraId="6F8F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FA68">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D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0C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C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5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B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A74E">
            <w:pPr>
              <w:rPr>
                <w:rFonts w:hint="eastAsia" w:ascii="黑体" w:hAnsi="黑体" w:eastAsia="黑体" w:cs="黑体"/>
                <w:i w:val="0"/>
                <w:iCs w:val="0"/>
                <w:color w:val="000000"/>
                <w:sz w:val="18"/>
                <w:szCs w:val="18"/>
                <w:u w:val="none"/>
              </w:rPr>
            </w:pPr>
          </w:p>
        </w:tc>
      </w:tr>
      <w:tr w14:paraId="01DB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45E2">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B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15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B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187A">
            <w:pPr>
              <w:rPr>
                <w:rFonts w:hint="eastAsia" w:ascii="黑体" w:hAnsi="黑体" w:eastAsia="黑体" w:cs="黑体"/>
                <w:i w:val="0"/>
                <w:iCs w:val="0"/>
                <w:color w:val="000000"/>
                <w:sz w:val="18"/>
                <w:szCs w:val="18"/>
                <w:u w:val="none"/>
              </w:rPr>
            </w:pPr>
          </w:p>
        </w:tc>
      </w:tr>
      <w:tr w14:paraId="6274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6D2EC">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F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CBD2">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5B39">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DD78C">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CE4">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0160">
            <w:pPr>
              <w:rPr>
                <w:rFonts w:hint="eastAsia" w:ascii="黑体" w:hAnsi="黑体" w:eastAsia="黑体" w:cs="黑体"/>
                <w:i w:val="0"/>
                <w:iCs w:val="0"/>
                <w:color w:val="000000"/>
                <w:sz w:val="18"/>
                <w:szCs w:val="18"/>
                <w:u w:val="none"/>
              </w:rPr>
            </w:pPr>
          </w:p>
        </w:tc>
      </w:tr>
      <w:tr w14:paraId="4FA4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2A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9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5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7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0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2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8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D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35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5D1A">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E1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8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新建1个数据中心，含模块化数据机房、服务器、网络、安全、可视化设备，数据库软件、虚拟化软件等硬件设备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D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新建1个数据中心，含模块化数据机房、服务器、网络、安全、可视化设备，数据库软件、虚拟化软件等硬件设备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D6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6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1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3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99DE">
            <w:pPr>
              <w:jc w:val="center"/>
              <w:rPr>
                <w:rFonts w:hint="eastAsia" w:ascii="宋体" w:hAnsi="宋体" w:eastAsia="宋体" w:cs="宋体"/>
                <w:i w:val="0"/>
                <w:iCs w:val="0"/>
                <w:color w:val="000000"/>
                <w:sz w:val="18"/>
                <w:szCs w:val="18"/>
                <w:u w:val="none"/>
              </w:rPr>
            </w:pPr>
          </w:p>
        </w:tc>
      </w:tr>
      <w:tr w14:paraId="29A3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C42C">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064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2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A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增强城市管理信息化、智慧化服务能力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7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B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C6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D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C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B93D">
            <w:pPr>
              <w:jc w:val="center"/>
              <w:rPr>
                <w:rFonts w:hint="eastAsia" w:ascii="宋体" w:hAnsi="宋体" w:eastAsia="宋体" w:cs="宋体"/>
                <w:i w:val="0"/>
                <w:iCs w:val="0"/>
                <w:color w:val="000000"/>
                <w:sz w:val="18"/>
                <w:szCs w:val="18"/>
                <w:u w:val="none"/>
              </w:rPr>
            </w:pPr>
          </w:p>
        </w:tc>
      </w:tr>
      <w:tr w14:paraId="3B17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396B1">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6B78">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0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E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3FF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1F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F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5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F247">
            <w:pPr>
              <w:jc w:val="center"/>
              <w:rPr>
                <w:rFonts w:hint="eastAsia" w:ascii="宋体" w:hAnsi="宋体" w:eastAsia="宋体" w:cs="宋体"/>
                <w:i w:val="0"/>
                <w:iCs w:val="0"/>
                <w:color w:val="000000"/>
                <w:sz w:val="18"/>
                <w:szCs w:val="18"/>
                <w:u w:val="none"/>
              </w:rPr>
            </w:pPr>
          </w:p>
        </w:tc>
      </w:tr>
      <w:tr w14:paraId="0B4C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3185">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2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C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2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5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D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1266.61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9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8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F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1594">
            <w:pPr>
              <w:jc w:val="center"/>
              <w:rPr>
                <w:rFonts w:hint="eastAsia" w:ascii="宋体" w:hAnsi="宋体" w:eastAsia="宋体" w:cs="宋体"/>
                <w:i w:val="0"/>
                <w:iCs w:val="0"/>
                <w:color w:val="000000"/>
                <w:sz w:val="18"/>
                <w:szCs w:val="18"/>
                <w:u w:val="none"/>
              </w:rPr>
            </w:pPr>
          </w:p>
        </w:tc>
      </w:tr>
      <w:tr w14:paraId="20D4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F484">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D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6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C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推动城市体检与城市更新数据赋能、业务联动,具有良好的社会效益和经济效益。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D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FE2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24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F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1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D54C">
            <w:pPr>
              <w:jc w:val="center"/>
              <w:rPr>
                <w:rFonts w:hint="eastAsia" w:ascii="宋体" w:hAnsi="宋体" w:eastAsia="宋体" w:cs="宋体"/>
                <w:i w:val="0"/>
                <w:iCs w:val="0"/>
                <w:color w:val="000000"/>
                <w:sz w:val="18"/>
                <w:szCs w:val="18"/>
                <w:u w:val="none"/>
              </w:rPr>
            </w:pPr>
          </w:p>
        </w:tc>
      </w:tr>
      <w:tr w14:paraId="7C36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ABA0">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1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0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D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C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71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7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3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7FC8">
            <w:pPr>
              <w:jc w:val="center"/>
              <w:rPr>
                <w:rFonts w:hint="eastAsia" w:ascii="微软雅黑" w:hAnsi="微软雅黑" w:eastAsia="微软雅黑" w:cs="微软雅黑"/>
                <w:i w:val="0"/>
                <w:iCs w:val="0"/>
                <w:color w:val="000000"/>
                <w:sz w:val="16"/>
                <w:szCs w:val="16"/>
                <w:u w:val="none"/>
              </w:rPr>
            </w:pPr>
          </w:p>
        </w:tc>
      </w:tr>
      <w:tr w14:paraId="6B53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B3A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0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14EC">
            <w:pPr>
              <w:rPr>
                <w:rFonts w:hint="eastAsia" w:ascii="宋体" w:hAnsi="宋体" w:eastAsia="宋体" w:cs="宋体"/>
                <w:i w:val="0"/>
                <w:iCs w:val="0"/>
                <w:color w:val="000000"/>
                <w:sz w:val="18"/>
                <w:szCs w:val="18"/>
                <w:u w:val="none"/>
              </w:rPr>
            </w:pPr>
          </w:p>
        </w:tc>
      </w:tr>
      <w:tr w14:paraId="68BD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7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6123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建成后能推动城市规划、建设、管理、运维全过程各环节数据融通，加强城市生命体征监测，推动城市体检与城市更新数据赋能、业务联动,具有良好的社会效益和经济效益,能进一步增强城市管理信息化、智慧化服务能力。</w:t>
            </w:r>
          </w:p>
        </w:tc>
      </w:tr>
      <w:tr w14:paraId="610F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C1922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EDF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4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0C9D2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359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880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项目负责人：王学华</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633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r w14:paraId="5D95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14:paraId="33A592C2">
            <w:pPr>
              <w:rPr>
                <w:rFonts w:hint="eastAsia" w:ascii="宋体" w:hAnsi="宋体" w:eastAsia="宋体" w:cs="宋体"/>
                <w:i w:val="0"/>
                <w:iCs w:val="0"/>
                <w:color w:val="000000"/>
                <w:sz w:val="18"/>
                <w:szCs w:val="18"/>
                <w:u w:val="none"/>
              </w:rPr>
            </w:pPr>
          </w:p>
        </w:tc>
        <w:tc>
          <w:tcPr>
            <w:tcW w:w="675" w:type="dxa"/>
            <w:tcBorders>
              <w:top w:val="nil"/>
              <w:left w:val="nil"/>
              <w:bottom w:val="nil"/>
              <w:right w:val="nil"/>
            </w:tcBorders>
            <w:shd w:val="clear" w:color="auto" w:fill="auto"/>
            <w:vAlign w:val="center"/>
          </w:tcPr>
          <w:p w14:paraId="3492FE53">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1E42770E">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97741C4">
            <w:pPr>
              <w:rPr>
                <w:rFonts w:hint="eastAsia" w:ascii="宋体" w:hAnsi="宋体" w:eastAsia="宋体" w:cs="宋体"/>
                <w:i w:val="0"/>
                <w:iCs w:val="0"/>
                <w:color w:val="000000"/>
                <w:sz w:val="18"/>
                <w:szCs w:val="18"/>
                <w:u w:val="none"/>
              </w:rPr>
            </w:pPr>
          </w:p>
        </w:tc>
        <w:tc>
          <w:tcPr>
            <w:tcW w:w="600" w:type="dxa"/>
            <w:tcBorders>
              <w:top w:val="nil"/>
              <w:left w:val="nil"/>
              <w:bottom w:val="nil"/>
              <w:right w:val="nil"/>
            </w:tcBorders>
            <w:shd w:val="clear" w:color="auto" w:fill="auto"/>
            <w:vAlign w:val="center"/>
          </w:tcPr>
          <w:p w14:paraId="4D3F6D99">
            <w:pP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vAlign w:val="center"/>
          </w:tcPr>
          <w:p w14:paraId="18D8EE0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AC65E2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772F16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668C276">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4DD96E4">
            <w:pPr>
              <w:rPr>
                <w:rFonts w:hint="eastAsia" w:ascii="宋体" w:hAnsi="宋体" w:eastAsia="宋体" w:cs="宋体"/>
                <w:i w:val="0"/>
                <w:iCs w:val="0"/>
                <w:color w:val="000000"/>
                <w:sz w:val="18"/>
                <w:szCs w:val="18"/>
                <w:u w:val="none"/>
              </w:rPr>
            </w:pPr>
          </w:p>
        </w:tc>
        <w:tc>
          <w:tcPr>
            <w:tcW w:w="1604" w:type="dxa"/>
            <w:tcBorders>
              <w:top w:val="nil"/>
              <w:left w:val="nil"/>
              <w:bottom w:val="nil"/>
              <w:right w:val="nil"/>
            </w:tcBorders>
            <w:shd w:val="clear" w:color="auto" w:fill="auto"/>
            <w:vAlign w:val="center"/>
          </w:tcPr>
          <w:p w14:paraId="4C50B426">
            <w:pPr>
              <w:rPr>
                <w:rFonts w:hint="eastAsia" w:ascii="宋体" w:hAnsi="宋体" w:eastAsia="宋体" w:cs="宋体"/>
                <w:i w:val="0"/>
                <w:iCs w:val="0"/>
                <w:color w:val="000000"/>
                <w:sz w:val="18"/>
                <w:szCs w:val="18"/>
                <w:u w:val="none"/>
              </w:rPr>
            </w:pPr>
          </w:p>
        </w:tc>
      </w:tr>
      <w:tr w14:paraId="1410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E2815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7B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F3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0C8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51090425T000012511357-遂宁市安居区生活垃圾分类和处理设施提标改造项目</w:t>
            </w:r>
          </w:p>
        </w:tc>
      </w:tr>
      <w:tr w14:paraId="0D55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019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5A4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遂宁市安居区综合行政执法局部门</w:t>
            </w:r>
          </w:p>
        </w:tc>
        <w:tc>
          <w:tcPr>
            <w:tcW w:w="846" w:type="dxa"/>
            <w:tcBorders>
              <w:top w:val="nil"/>
              <w:left w:val="nil"/>
              <w:bottom w:val="nil"/>
              <w:right w:val="nil"/>
            </w:tcBorders>
            <w:shd w:val="clear" w:color="auto" w:fill="auto"/>
            <w:vAlign w:val="center"/>
          </w:tcPr>
          <w:p w14:paraId="5E969F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7E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遂宁市安居区综合行政执法局</w:t>
            </w:r>
          </w:p>
        </w:tc>
      </w:tr>
      <w:tr w14:paraId="113A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16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71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3A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0A1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01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72D3">
            <w:pP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C2D5">
            <w:pPr>
              <w:rPr>
                <w:rFonts w:hint="eastAsia" w:ascii="宋体" w:hAnsi="宋体" w:eastAsia="宋体" w:cs="宋体"/>
                <w:i w:val="0"/>
                <w:iCs w:val="0"/>
                <w:color w:val="000000"/>
                <w:sz w:val="18"/>
                <w:szCs w:val="18"/>
                <w:u w:val="none"/>
              </w:rPr>
            </w:pPr>
          </w:p>
        </w:tc>
        <w:tc>
          <w:tcPr>
            <w:tcW w:w="50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FD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餐厨垃圾处理厂1座;更新改造新能源道路洗扫车6辆、高压冲洗车6辆、雾炮车1辆、吸污车1辆、餐厨垃圾收运车4辆，高空作业车2辆，垃圾清运车5辆、隔离栏清洗车1辆；更新改造垃圾中转站水平压缩箱40个、智能垃圾箱1000个；改造垃圾分类亭1200座，改造垃圾发酵池1200座。</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5CC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造餐厨垃圾处理厂1座;更新改造新能源道路洗扫车6辆、高压冲洗车6辆、雾炮车1辆、吸污车1辆、餐厨垃圾收运车4辆，高空作业车2辆，垃圾清运车5辆、隔离栏清洗车1辆；更新改造垃圾中转站水平压缩箱40个、智能垃圾箱1000个；改造垃圾分类亭1200座，改造垃圾发酵池1200座。</w:t>
            </w:r>
          </w:p>
        </w:tc>
      </w:tr>
      <w:tr w14:paraId="6668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8B41">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54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9F2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餐厨垃圾处理厂1座;更新改造新能源道路洗扫车6辆、高压冲洗车6辆、雾炮车1辆、吸污车1辆、餐厨垃圾收运车4辆，高空作业车2辆，垃圾清运车5辆、隔离栏清洗车1辆；更新改造垃圾中转站水平压缩箱40个、智能垃圾箱1000个；改造垃圾分类亭1200座，改造垃圾发酵池1200座。</w:t>
            </w:r>
          </w:p>
        </w:tc>
      </w:tr>
      <w:tr w14:paraId="04E1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D8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0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53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9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D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6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0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2E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F4A7">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9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4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10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E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8345">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D013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65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E5D8">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3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E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7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D5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C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8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0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6ACE">
            <w:pPr>
              <w:rPr>
                <w:rFonts w:hint="eastAsia" w:ascii="黑体" w:hAnsi="黑体" w:eastAsia="黑体" w:cs="黑体"/>
                <w:i w:val="0"/>
                <w:iCs w:val="0"/>
                <w:color w:val="000000"/>
                <w:sz w:val="18"/>
                <w:szCs w:val="18"/>
                <w:u w:val="none"/>
              </w:rPr>
            </w:pPr>
          </w:p>
        </w:tc>
      </w:tr>
      <w:tr w14:paraId="6CFE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1650">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2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0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7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AA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9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1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57C8">
            <w:pPr>
              <w:rPr>
                <w:rFonts w:hint="eastAsia" w:ascii="黑体" w:hAnsi="黑体" w:eastAsia="黑体" w:cs="黑体"/>
                <w:i w:val="0"/>
                <w:iCs w:val="0"/>
                <w:color w:val="000000"/>
                <w:sz w:val="18"/>
                <w:szCs w:val="18"/>
                <w:u w:val="none"/>
              </w:rPr>
            </w:pPr>
          </w:p>
        </w:tc>
      </w:tr>
      <w:tr w14:paraId="1CFC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9317">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1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E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A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23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8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5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9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B4B3">
            <w:pPr>
              <w:rPr>
                <w:rFonts w:hint="eastAsia" w:ascii="黑体" w:hAnsi="黑体" w:eastAsia="黑体" w:cs="黑体"/>
                <w:i w:val="0"/>
                <w:iCs w:val="0"/>
                <w:color w:val="000000"/>
                <w:sz w:val="18"/>
                <w:szCs w:val="18"/>
                <w:u w:val="none"/>
              </w:rPr>
            </w:pPr>
          </w:p>
        </w:tc>
      </w:tr>
      <w:tr w14:paraId="5583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CA06">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B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1C70">
            <w:pPr>
              <w:jc w:val="center"/>
              <w:rPr>
                <w:rFonts w:hint="eastAsia" w:ascii="微软雅黑" w:hAnsi="微软雅黑" w:eastAsia="微软雅黑" w:cs="微软雅黑"/>
                <w:i w:val="0"/>
                <w:iCs w:val="0"/>
                <w:color w:val="000000"/>
                <w:sz w:val="16"/>
                <w:szCs w:val="16"/>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A57D">
            <w:pPr>
              <w:jc w:val="center"/>
              <w:rPr>
                <w:rFonts w:hint="eastAsia" w:ascii="微软雅黑" w:hAnsi="微软雅黑" w:eastAsia="微软雅黑" w:cs="微软雅黑"/>
                <w:i w:val="0"/>
                <w:iCs w:val="0"/>
                <w:color w:val="000000"/>
                <w:sz w:val="16"/>
                <w:szCs w:val="16"/>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F13FA">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1CA">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B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DF683">
            <w:pPr>
              <w:rPr>
                <w:rFonts w:hint="eastAsia" w:ascii="黑体" w:hAnsi="黑体" w:eastAsia="黑体" w:cs="黑体"/>
                <w:i w:val="0"/>
                <w:iCs w:val="0"/>
                <w:color w:val="000000"/>
                <w:sz w:val="18"/>
                <w:szCs w:val="18"/>
                <w:u w:val="none"/>
              </w:rPr>
            </w:pPr>
          </w:p>
        </w:tc>
      </w:tr>
      <w:tr w14:paraId="12E5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BE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8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A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E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3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1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1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1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6C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B52F">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D9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E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4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改造餐厨垃圾处理厂1座;更新改造新能源道路洗扫车6辆、高压冲洗车6辆、雾炮车1辆、吸污车1辆、餐厨垃圾收运车4辆，高空作业车2辆，垃圾清运车5辆、隔离栏清洗车1辆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D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改造餐厨垃圾处理厂1座;更新改造新能源道路洗扫车6辆、高压冲洗车6辆、雾炮车1辆、吸污车1辆、餐厨垃圾收运车4辆，高空作业车2辆，垃圾清运车5辆、隔离栏清洗车1辆</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326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4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A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EF29">
            <w:pPr>
              <w:jc w:val="center"/>
              <w:rPr>
                <w:rFonts w:hint="eastAsia" w:ascii="宋体" w:hAnsi="宋体" w:eastAsia="宋体" w:cs="宋体"/>
                <w:i w:val="0"/>
                <w:iCs w:val="0"/>
                <w:color w:val="000000"/>
                <w:sz w:val="18"/>
                <w:szCs w:val="18"/>
                <w:u w:val="none"/>
              </w:rPr>
            </w:pPr>
          </w:p>
        </w:tc>
      </w:tr>
      <w:tr w14:paraId="3DBE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C70B">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6136">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1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有效补齐中心城区厨余垃圾处置能力短板，实现生活垃圾真正分类投放、分类收集、分类运输、分类处置。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6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F4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B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D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5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84EE">
            <w:pPr>
              <w:jc w:val="center"/>
              <w:rPr>
                <w:rFonts w:hint="eastAsia" w:ascii="宋体" w:hAnsi="宋体" w:eastAsia="宋体" w:cs="宋体"/>
                <w:i w:val="0"/>
                <w:iCs w:val="0"/>
                <w:color w:val="000000"/>
                <w:sz w:val="18"/>
                <w:szCs w:val="18"/>
                <w:u w:val="none"/>
              </w:rPr>
            </w:pPr>
          </w:p>
        </w:tc>
      </w:tr>
      <w:tr w14:paraId="38E2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8741">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E502">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7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E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4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199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7F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A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6A7C">
            <w:pPr>
              <w:jc w:val="center"/>
              <w:rPr>
                <w:rFonts w:hint="eastAsia" w:ascii="宋体" w:hAnsi="宋体" w:eastAsia="宋体" w:cs="宋体"/>
                <w:i w:val="0"/>
                <w:iCs w:val="0"/>
                <w:color w:val="000000"/>
                <w:sz w:val="18"/>
                <w:szCs w:val="18"/>
                <w:u w:val="none"/>
              </w:rPr>
            </w:pPr>
          </w:p>
        </w:tc>
      </w:tr>
      <w:tr w14:paraId="79A7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DA1D">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1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1266.61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D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2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8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325">
            <w:pPr>
              <w:jc w:val="center"/>
              <w:rPr>
                <w:rFonts w:hint="eastAsia" w:ascii="宋体" w:hAnsi="宋体" w:eastAsia="宋体" w:cs="宋体"/>
                <w:i w:val="0"/>
                <w:iCs w:val="0"/>
                <w:color w:val="000000"/>
                <w:sz w:val="18"/>
                <w:szCs w:val="18"/>
                <w:u w:val="none"/>
              </w:rPr>
            </w:pPr>
          </w:p>
        </w:tc>
      </w:tr>
      <w:tr w14:paraId="33B2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FB7B">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5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4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A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有效补齐中心城区厨余垃圾处置能力短板，实现生活垃圾真正分类投放、分类收集、分类运输、分类处置。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D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229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30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2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3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4083">
            <w:pPr>
              <w:jc w:val="center"/>
              <w:rPr>
                <w:rFonts w:hint="eastAsia" w:ascii="宋体" w:hAnsi="宋体" w:eastAsia="宋体" w:cs="宋体"/>
                <w:i w:val="0"/>
                <w:iCs w:val="0"/>
                <w:color w:val="000000"/>
                <w:sz w:val="18"/>
                <w:szCs w:val="18"/>
                <w:u w:val="none"/>
              </w:rPr>
            </w:pPr>
          </w:p>
        </w:tc>
      </w:tr>
      <w:tr w14:paraId="74D9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3AE4">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2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6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9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0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C5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877A">
            <w:pPr>
              <w:jc w:val="center"/>
              <w:rPr>
                <w:rFonts w:hint="eastAsia" w:ascii="微软雅黑" w:hAnsi="微软雅黑" w:eastAsia="微软雅黑" w:cs="微软雅黑"/>
                <w:i w:val="0"/>
                <w:iCs w:val="0"/>
                <w:color w:val="000000"/>
                <w:sz w:val="16"/>
                <w:szCs w:val="16"/>
                <w:u w:val="none"/>
              </w:rPr>
            </w:pPr>
          </w:p>
        </w:tc>
      </w:tr>
      <w:tr w14:paraId="01F3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731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E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73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9252">
            <w:pPr>
              <w:rPr>
                <w:rFonts w:hint="eastAsia" w:ascii="宋体" w:hAnsi="宋体" w:eastAsia="宋体" w:cs="宋体"/>
                <w:i w:val="0"/>
                <w:iCs w:val="0"/>
                <w:color w:val="000000"/>
                <w:sz w:val="18"/>
                <w:szCs w:val="18"/>
                <w:u w:val="none"/>
              </w:rPr>
            </w:pPr>
          </w:p>
        </w:tc>
      </w:tr>
      <w:tr w14:paraId="07E7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D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7B53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有效补齐中心城区厨余垃圾处置能力短板，实现生活垃圾真正分类投放、分类收集、分类运输、分类处置。</w:t>
            </w:r>
          </w:p>
        </w:tc>
      </w:tr>
      <w:tr w14:paraId="4D4B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6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9507E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9B4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7B7C3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376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E9F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项目负责人：王学华</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FDC3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财务负责人：冯梅</w:t>
            </w:r>
          </w:p>
        </w:tc>
      </w:tr>
    </w:tbl>
    <w:p w14:paraId="77A09487">
      <w:pPr>
        <w:widowControl/>
        <w:jc w:val="both"/>
        <w:outlineLvl w:val="0"/>
        <w:rPr>
          <w:rFonts w:hint="eastAsia" w:ascii="Times New Roman" w:hAnsi="Times New Roman" w:eastAsia="黑体"/>
          <w:color w:val="auto"/>
          <w:sz w:val="44"/>
          <w:szCs w:val="44"/>
          <w:highlight w:val="none"/>
        </w:rPr>
      </w:pPr>
    </w:p>
    <w:p w14:paraId="496E81C5">
      <w:pPr>
        <w:widowControl/>
        <w:jc w:val="center"/>
        <w:outlineLvl w:val="0"/>
        <w:rPr>
          <w:rFonts w:hint="eastAsia" w:ascii="Times New Roman" w:hAnsi="Times New Roman" w:eastAsia="黑体"/>
          <w:color w:val="auto"/>
          <w:sz w:val="44"/>
          <w:szCs w:val="44"/>
          <w:highlight w:val="none"/>
        </w:rPr>
      </w:pPr>
    </w:p>
    <w:p w14:paraId="74192534">
      <w:pPr>
        <w:widowControl/>
        <w:jc w:val="center"/>
        <w:outlineLvl w:val="0"/>
        <w:rPr>
          <w:rFonts w:hint="eastAsia" w:ascii="Times New Roman" w:hAnsi="Times New Roman" w:eastAsia="黑体"/>
          <w:color w:val="auto"/>
          <w:sz w:val="44"/>
          <w:szCs w:val="44"/>
          <w:highlight w:val="none"/>
        </w:rPr>
      </w:pPr>
    </w:p>
    <w:p w14:paraId="564309E2">
      <w:pPr>
        <w:widowControl/>
        <w:jc w:val="center"/>
        <w:outlineLvl w:val="0"/>
        <w:rPr>
          <w:rFonts w:hint="eastAsia" w:ascii="Times New Roman" w:hAnsi="Times New Roman" w:eastAsia="黑体"/>
          <w:color w:val="auto"/>
          <w:sz w:val="44"/>
          <w:szCs w:val="44"/>
          <w:highlight w:val="none"/>
        </w:rPr>
      </w:pPr>
    </w:p>
    <w:p w14:paraId="366F327D">
      <w:pPr>
        <w:widowControl/>
        <w:jc w:val="center"/>
        <w:outlineLvl w:val="0"/>
        <w:rPr>
          <w:rFonts w:hint="eastAsia" w:ascii="Times New Roman" w:hAnsi="Times New Roman" w:eastAsia="黑体"/>
          <w:color w:val="auto"/>
          <w:sz w:val="44"/>
          <w:szCs w:val="44"/>
          <w:highlight w:val="none"/>
        </w:rPr>
      </w:pPr>
    </w:p>
    <w:p w14:paraId="735E61A1">
      <w:pPr>
        <w:widowControl/>
        <w:jc w:val="center"/>
        <w:outlineLvl w:val="0"/>
        <w:rPr>
          <w:rFonts w:hint="eastAsia" w:ascii="Times New Roman" w:hAnsi="Times New Roman" w:eastAsia="仿宋"/>
          <w:b w:val="0"/>
          <w:color w:val="auto"/>
          <w:highlight w:val="none"/>
        </w:rPr>
      </w:pPr>
      <w:bookmarkStart w:id="78" w:name="_Toc21437"/>
      <w:r>
        <w:rPr>
          <w:rFonts w:hint="eastAsia" w:ascii="Times New Roman" w:hAnsi="Times New Roman" w:eastAsia="黑体"/>
          <w:color w:val="auto"/>
          <w:sz w:val="44"/>
          <w:szCs w:val="44"/>
          <w:highlight w:val="none"/>
        </w:rPr>
        <w:t>第</w:t>
      </w:r>
      <w:r>
        <w:rPr>
          <w:rStyle w:val="34"/>
          <w:rFonts w:hint="eastAsia" w:ascii="Times New Roman" w:hAnsi="Times New Roman" w:eastAsia="黑体"/>
          <w:b w:val="0"/>
          <w:color w:val="auto"/>
          <w:highlight w:val="none"/>
        </w:rPr>
        <w:t>五部分 附表</w:t>
      </w:r>
      <w:bookmarkEnd w:id="70"/>
      <w:bookmarkEnd w:id="77"/>
      <w:bookmarkEnd w:id="78"/>
      <w:bookmarkStart w:id="79" w:name="_Toc15396619"/>
    </w:p>
    <w:p w14:paraId="4C69FED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26E7D38">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9"/>
    </w:p>
    <w:p w14:paraId="3A3F4051">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0"/>
      <w:r>
        <w:rPr>
          <w:rFonts w:hint="eastAsia" w:ascii="Times New Roman" w:hAnsi="Times New Roman" w:eastAsia="仿宋_GB2312" w:cs="仿宋_GB2312"/>
          <w:color w:val="auto"/>
          <w:sz w:val="32"/>
          <w:szCs w:val="32"/>
          <w:highlight w:val="none"/>
        </w:rPr>
        <w:t>二、收入决算表</w:t>
      </w:r>
      <w:bookmarkEnd w:id="80"/>
    </w:p>
    <w:p w14:paraId="3EC0BB22">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1"/>
      <w:r>
        <w:rPr>
          <w:rFonts w:hint="eastAsia" w:ascii="Times New Roman" w:hAnsi="Times New Roman" w:eastAsia="仿宋_GB2312" w:cs="仿宋_GB2312"/>
          <w:color w:val="auto"/>
          <w:sz w:val="32"/>
          <w:szCs w:val="32"/>
          <w:highlight w:val="none"/>
        </w:rPr>
        <w:t>三、支出决算表</w:t>
      </w:r>
      <w:bookmarkEnd w:id="81"/>
    </w:p>
    <w:p w14:paraId="3E771215">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2"/>
      <w:r>
        <w:rPr>
          <w:rFonts w:hint="eastAsia" w:ascii="Times New Roman" w:hAnsi="Times New Roman" w:eastAsia="仿宋_GB2312" w:cs="仿宋_GB2312"/>
          <w:color w:val="auto"/>
          <w:sz w:val="32"/>
          <w:szCs w:val="32"/>
          <w:highlight w:val="none"/>
        </w:rPr>
        <w:t>四、财政拨款收入支出决算总表</w:t>
      </w:r>
      <w:bookmarkEnd w:id="82"/>
    </w:p>
    <w:p w14:paraId="5CFDC0D7">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3"/>
      <w:r>
        <w:rPr>
          <w:rFonts w:hint="eastAsia" w:ascii="Times New Roman" w:hAnsi="Times New Roman" w:eastAsia="仿宋_GB2312" w:cs="仿宋_GB2312"/>
          <w:color w:val="auto"/>
          <w:sz w:val="32"/>
          <w:szCs w:val="32"/>
          <w:highlight w:val="none"/>
        </w:rPr>
        <w:t>五、财政拨款支出决算明细表</w:t>
      </w:r>
      <w:bookmarkEnd w:id="83"/>
      <w:bookmarkStart w:id="84" w:name="_Toc15396624"/>
    </w:p>
    <w:p w14:paraId="746F0C87">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4"/>
    </w:p>
    <w:p w14:paraId="0F03B48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5"/>
      <w:r>
        <w:rPr>
          <w:rFonts w:hint="eastAsia" w:ascii="Times New Roman" w:hAnsi="Times New Roman" w:eastAsia="仿宋_GB2312" w:cs="仿宋_GB2312"/>
          <w:color w:val="auto"/>
          <w:sz w:val="32"/>
          <w:szCs w:val="32"/>
          <w:highlight w:val="none"/>
        </w:rPr>
        <w:t>七、一般公共预算财政拨款支出决算明细表</w:t>
      </w:r>
      <w:bookmarkEnd w:id="85"/>
    </w:p>
    <w:p w14:paraId="29DF5281">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6"/>
      <w:r>
        <w:rPr>
          <w:rFonts w:hint="eastAsia" w:ascii="Times New Roman" w:hAnsi="Times New Roman" w:eastAsia="仿宋_GB2312" w:cs="仿宋_GB2312"/>
          <w:color w:val="auto"/>
          <w:sz w:val="32"/>
          <w:szCs w:val="32"/>
          <w:highlight w:val="none"/>
        </w:rPr>
        <w:t>八、一般公共预算财政拨款基本支出决算表</w:t>
      </w:r>
      <w:bookmarkEnd w:id="86"/>
    </w:p>
    <w:p w14:paraId="341677B2">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27"/>
      <w:r>
        <w:rPr>
          <w:rFonts w:hint="eastAsia" w:ascii="Times New Roman" w:hAnsi="Times New Roman" w:eastAsia="仿宋_GB2312" w:cs="仿宋_GB2312"/>
          <w:color w:val="auto"/>
          <w:sz w:val="32"/>
          <w:szCs w:val="32"/>
          <w:highlight w:val="none"/>
        </w:rPr>
        <w:t>九、一般公共预算财政拨款项目支出决算表</w:t>
      </w:r>
      <w:bookmarkEnd w:id="87"/>
    </w:p>
    <w:p w14:paraId="3353B7C0">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8" w:name="_Toc15396628"/>
      <w:r>
        <w:rPr>
          <w:rFonts w:hint="eastAsia" w:ascii="Times New Roman" w:hAnsi="Times New Roman" w:eastAsia="仿宋_GB2312" w:cs="仿宋_GB2312"/>
          <w:color w:val="auto"/>
          <w:sz w:val="32"/>
          <w:szCs w:val="32"/>
          <w:highlight w:val="none"/>
        </w:rPr>
        <w:t>十、</w:t>
      </w:r>
      <w:bookmarkEnd w:id="88"/>
      <w:r>
        <w:rPr>
          <w:rFonts w:hint="eastAsia" w:ascii="Times New Roman" w:hAnsi="Times New Roman" w:eastAsia="仿宋_GB2312" w:cs="仿宋_GB2312"/>
          <w:color w:val="auto"/>
          <w:sz w:val="32"/>
          <w:szCs w:val="32"/>
          <w:highlight w:val="none"/>
        </w:rPr>
        <w:t>政府性基金预算财政拨款收入支出决算表</w:t>
      </w:r>
    </w:p>
    <w:p w14:paraId="1F028C81">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9" w:name="_Toc15396629"/>
      <w:r>
        <w:rPr>
          <w:rFonts w:hint="eastAsia" w:ascii="Times New Roman" w:hAnsi="Times New Roman" w:eastAsia="仿宋_GB2312" w:cs="仿宋_GB2312"/>
          <w:color w:val="auto"/>
          <w:sz w:val="32"/>
          <w:szCs w:val="32"/>
          <w:highlight w:val="none"/>
        </w:rPr>
        <w:t>十一、</w:t>
      </w:r>
      <w:bookmarkEnd w:id="8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6A7920D">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0" w:name="_Toc15396630"/>
      <w:r>
        <w:rPr>
          <w:rFonts w:hint="eastAsia" w:ascii="Times New Roman" w:hAnsi="Times New Roman" w:eastAsia="仿宋_GB2312" w:cs="仿宋_GB2312"/>
          <w:color w:val="auto"/>
          <w:sz w:val="32"/>
          <w:szCs w:val="32"/>
          <w:highlight w:val="none"/>
        </w:rPr>
        <w:t>十二、</w:t>
      </w:r>
      <w:bookmarkEnd w:id="90"/>
      <w:r>
        <w:rPr>
          <w:rFonts w:hint="eastAsia" w:ascii="Times New Roman" w:hAnsi="Times New Roman" w:eastAsia="仿宋_GB2312" w:cs="仿宋_GB2312"/>
          <w:color w:val="auto"/>
          <w:sz w:val="32"/>
          <w:szCs w:val="32"/>
          <w:highlight w:val="none"/>
          <w:lang w:eastAsia="zh-CN"/>
        </w:rPr>
        <w:t>国有资本经营预算财政拨款支出决算表</w:t>
      </w:r>
    </w:p>
    <w:p w14:paraId="1A01E892">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91" w:name="_Toc15396631"/>
      <w:r>
        <w:rPr>
          <w:rFonts w:hint="eastAsia" w:ascii="Times New Roman" w:hAnsi="Times New Roman" w:eastAsia="仿宋_GB2312" w:cs="仿宋_GB2312"/>
          <w:color w:val="auto"/>
          <w:sz w:val="32"/>
          <w:szCs w:val="32"/>
          <w:highlight w:val="none"/>
        </w:rPr>
        <w:t>十三、</w:t>
      </w:r>
      <w:bookmarkEnd w:id="91"/>
      <w:r>
        <w:rPr>
          <w:rFonts w:hint="eastAsia" w:ascii="Times New Roman" w:hAnsi="Times New Roman" w:eastAsia="仿宋_GB2312" w:cs="仿宋_GB2312"/>
          <w:color w:val="auto"/>
          <w:sz w:val="32"/>
          <w:szCs w:val="32"/>
          <w:highlight w:val="none"/>
          <w:lang w:eastAsia="zh-CN"/>
        </w:rPr>
        <w:t>财政拨款“三公”经费支出决算表</w:t>
      </w:r>
    </w:p>
    <w:p w14:paraId="22F9F7FC">
      <w:pPr>
        <w:rPr>
          <w:rFonts w:hint="eastAsia" w:ascii="Times New Roman" w:hAnsi="Times New Roman"/>
          <w:lang w:eastAsia="zh-CN"/>
        </w:rPr>
      </w:pPr>
    </w:p>
    <w:sectPr>
      <w:footerReference r:id="rId9" w:type="default"/>
      <w:pgSz w:w="11906" w:h="16838"/>
      <w:pgMar w:top="1440" w:right="1800" w:bottom="1440" w:left="1800" w:header="851" w:footer="992" w:gutter="0"/>
      <w:pgNumType w:fmt="numberInDash" w:start="4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1366A">
    <w:pPr>
      <w:pStyle w:val="14"/>
      <w:jc w:val="center"/>
    </w:pPr>
  </w:p>
  <w:p w14:paraId="1A6FB8E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CC84">
    <w:pPr>
      <w:pStyle w:val="14"/>
      <w:jc w:val="center"/>
    </w:pPr>
  </w:p>
  <w:p w14:paraId="14359AD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C35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D2D5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A3D2D5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3179">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8DE38">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C78DE38">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132DD571">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5732">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1E2C6">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B1E2C6">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239E5776">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4774">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3F62E">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13F62E">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68397A5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F45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8C806"/>
    <w:multiLevelType w:val="singleLevel"/>
    <w:tmpl w:val="54D8C806"/>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628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1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75459B"/>
    <w:rsid w:val="02FEBE30"/>
    <w:rsid w:val="039B59D4"/>
    <w:rsid w:val="0473446B"/>
    <w:rsid w:val="05096C4D"/>
    <w:rsid w:val="05454389"/>
    <w:rsid w:val="061E35DE"/>
    <w:rsid w:val="066E0107"/>
    <w:rsid w:val="07996F6E"/>
    <w:rsid w:val="07DFD8BA"/>
    <w:rsid w:val="09867E8F"/>
    <w:rsid w:val="09A62505"/>
    <w:rsid w:val="09FE081A"/>
    <w:rsid w:val="0A2032A3"/>
    <w:rsid w:val="0A536929"/>
    <w:rsid w:val="0B573DCF"/>
    <w:rsid w:val="0BE023D5"/>
    <w:rsid w:val="0C4F189D"/>
    <w:rsid w:val="0CA8290A"/>
    <w:rsid w:val="0D35B1ED"/>
    <w:rsid w:val="0E992CF7"/>
    <w:rsid w:val="0F98263C"/>
    <w:rsid w:val="0FB42C9E"/>
    <w:rsid w:val="0FBC7598"/>
    <w:rsid w:val="101860EC"/>
    <w:rsid w:val="109E0DDB"/>
    <w:rsid w:val="10C055FF"/>
    <w:rsid w:val="11761E61"/>
    <w:rsid w:val="11772AA4"/>
    <w:rsid w:val="118107EC"/>
    <w:rsid w:val="13D50BC4"/>
    <w:rsid w:val="151E6CAC"/>
    <w:rsid w:val="15E61BAF"/>
    <w:rsid w:val="165E0673"/>
    <w:rsid w:val="16BB723D"/>
    <w:rsid w:val="17216686"/>
    <w:rsid w:val="17222EEC"/>
    <w:rsid w:val="175B40AA"/>
    <w:rsid w:val="179C7B62"/>
    <w:rsid w:val="17C328B1"/>
    <w:rsid w:val="17FE198A"/>
    <w:rsid w:val="186504BB"/>
    <w:rsid w:val="18A11583"/>
    <w:rsid w:val="19115D70"/>
    <w:rsid w:val="19A445FC"/>
    <w:rsid w:val="1A3E4845"/>
    <w:rsid w:val="1AD20CCC"/>
    <w:rsid w:val="1BE8440E"/>
    <w:rsid w:val="1C8E144E"/>
    <w:rsid w:val="1D155CEE"/>
    <w:rsid w:val="1E504393"/>
    <w:rsid w:val="1E740ACF"/>
    <w:rsid w:val="1F8B66AF"/>
    <w:rsid w:val="1FF35744"/>
    <w:rsid w:val="1FF6BC77"/>
    <w:rsid w:val="218F4327"/>
    <w:rsid w:val="22E859B7"/>
    <w:rsid w:val="237468B4"/>
    <w:rsid w:val="23860B96"/>
    <w:rsid w:val="240371BF"/>
    <w:rsid w:val="257B0F03"/>
    <w:rsid w:val="260F557C"/>
    <w:rsid w:val="27295D80"/>
    <w:rsid w:val="281408E2"/>
    <w:rsid w:val="2877544C"/>
    <w:rsid w:val="290D304F"/>
    <w:rsid w:val="29BB1A51"/>
    <w:rsid w:val="29FD04D3"/>
    <w:rsid w:val="2A6F0E8C"/>
    <w:rsid w:val="2A905339"/>
    <w:rsid w:val="2ADD46A2"/>
    <w:rsid w:val="2BFC5429"/>
    <w:rsid w:val="2BFF7BC6"/>
    <w:rsid w:val="2C8A61B5"/>
    <w:rsid w:val="2D0227AB"/>
    <w:rsid w:val="2D404FA8"/>
    <w:rsid w:val="2D605CBB"/>
    <w:rsid w:val="2DF04E50"/>
    <w:rsid w:val="2F040D46"/>
    <w:rsid w:val="2FAE5751"/>
    <w:rsid w:val="2FB1A395"/>
    <w:rsid w:val="2FD9A7D8"/>
    <w:rsid w:val="31117F14"/>
    <w:rsid w:val="319F7F4E"/>
    <w:rsid w:val="32345726"/>
    <w:rsid w:val="3304709D"/>
    <w:rsid w:val="332C6C18"/>
    <w:rsid w:val="349D6851"/>
    <w:rsid w:val="3624500D"/>
    <w:rsid w:val="36324117"/>
    <w:rsid w:val="36A42632"/>
    <w:rsid w:val="36AA5135"/>
    <w:rsid w:val="36BE0DA7"/>
    <w:rsid w:val="376B6AA6"/>
    <w:rsid w:val="376D39B2"/>
    <w:rsid w:val="378325C5"/>
    <w:rsid w:val="37E16F03"/>
    <w:rsid w:val="37F470B1"/>
    <w:rsid w:val="37F53A3B"/>
    <w:rsid w:val="37FD79E0"/>
    <w:rsid w:val="389B6C89"/>
    <w:rsid w:val="38D469F0"/>
    <w:rsid w:val="39627CCD"/>
    <w:rsid w:val="397BAF1F"/>
    <w:rsid w:val="3A0967FA"/>
    <w:rsid w:val="3A2B49B3"/>
    <w:rsid w:val="3AB79AF3"/>
    <w:rsid w:val="3AC778F9"/>
    <w:rsid w:val="3B7EF35A"/>
    <w:rsid w:val="3B9FDB6C"/>
    <w:rsid w:val="3BF5BC2F"/>
    <w:rsid w:val="3BFF7B96"/>
    <w:rsid w:val="3CEBA265"/>
    <w:rsid w:val="3D98207C"/>
    <w:rsid w:val="3DEE7CF3"/>
    <w:rsid w:val="3E6D3368"/>
    <w:rsid w:val="3E78745D"/>
    <w:rsid w:val="3FF4CAE0"/>
    <w:rsid w:val="3FF7B227"/>
    <w:rsid w:val="42B57854"/>
    <w:rsid w:val="44E268DA"/>
    <w:rsid w:val="44F93E44"/>
    <w:rsid w:val="452218B4"/>
    <w:rsid w:val="45D16192"/>
    <w:rsid w:val="46D00C57"/>
    <w:rsid w:val="486A6C7A"/>
    <w:rsid w:val="489611FE"/>
    <w:rsid w:val="4A627F82"/>
    <w:rsid w:val="4B0E749A"/>
    <w:rsid w:val="4B4F25DA"/>
    <w:rsid w:val="4BCB0F88"/>
    <w:rsid w:val="4BE068DB"/>
    <w:rsid w:val="4D577224"/>
    <w:rsid w:val="4DBF1CEB"/>
    <w:rsid w:val="4EAB630A"/>
    <w:rsid w:val="4ECE2238"/>
    <w:rsid w:val="4F552D33"/>
    <w:rsid w:val="4F833267"/>
    <w:rsid w:val="4FE9BD67"/>
    <w:rsid w:val="4FFB052F"/>
    <w:rsid w:val="50371DAC"/>
    <w:rsid w:val="50A5500C"/>
    <w:rsid w:val="525D0B15"/>
    <w:rsid w:val="537E6D0A"/>
    <w:rsid w:val="53F74C96"/>
    <w:rsid w:val="55952BD6"/>
    <w:rsid w:val="56261BDC"/>
    <w:rsid w:val="56E47B74"/>
    <w:rsid w:val="57BD3DD4"/>
    <w:rsid w:val="58173319"/>
    <w:rsid w:val="586D2146"/>
    <w:rsid w:val="59B03041"/>
    <w:rsid w:val="5AF92295"/>
    <w:rsid w:val="5B2C51C2"/>
    <w:rsid w:val="5BDD79E6"/>
    <w:rsid w:val="5BF561CA"/>
    <w:rsid w:val="5BFF5DFC"/>
    <w:rsid w:val="5CD71FC4"/>
    <w:rsid w:val="5D1F11B5"/>
    <w:rsid w:val="5D9A1755"/>
    <w:rsid w:val="5DAE1B18"/>
    <w:rsid w:val="5DE7D9E5"/>
    <w:rsid w:val="5DF01D80"/>
    <w:rsid w:val="5ECEC941"/>
    <w:rsid w:val="5FBF9FF3"/>
    <w:rsid w:val="5FCD4E2C"/>
    <w:rsid w:val="5FD60486"/>
    <w:rsid w:val="5FEF394A"/>
    <w:rsid w:val="5FF67715"/>
    <w:rsid w:val="60ED618B"/>
    <w:rsid w:val="62BF3928"/>
    <w:rsid w:val="62C15217"/>
    <w:rsid w:val="633A2B50"/>
    <w:rsid w:val="647F5392"/>
    <w:rsid w:val="65613696"/>
    <w:rsid w:val="664B1D71"/>
    <w:rsid w:val="67AA3209"/>
    <w:rsid w:val="68BE55B7"/>
    <w:rsid w:val="698D0931"/>
    <w:rsid w:val="69F43BE2"/>
    <w:rsid w:val="6A5401BF"/>
    <w:rsid w:val="6AC46385"/>
    <w:rsid w:val="6B053271"/>
    <w:rsid w:val="6BBD1A66"/>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0567EF9"/>
    <w:rsid w:val="70DD7C0B"/>
    <w:rsid w:val="712A28F1"/>
    <w:rsid w:val="715C0E4B"/>
    <w:rsid w:val="72233669"/>
    <w:rsid w:val="72734D90"/>
    <w:rsid w:val="731E13F9"/>
    <w:rsid w:val="7332FE48"/>
    <w:rsid w:val="736D135E"/>
    <w:rsid w:val="73AB61DA"/>
    <w:rsid w:val="73AD73D5"/>
    <w:rsid w:val="73B6EB34"/>
    <w:rsid w:val="73FA497D"/>
    <w:rsid w:val="744731E5"/>
    <w:rsid w:val="74BBD01D"/>
    <w:rsid w:val="74ED5379"/>
    <w:rsid w:val="75DEEEC2"/>
    <w:rsid w:val="76E3355F"/>
    <w:rsid w:val="76FF5125"/>
    <w:rsid w:val="776F6FFA"/>
    <w:rsid w:val="778769C8"/>
    <w:rsid w:val="77AC3132"/>
    <w:rsid w:val="77DC22F5"/>
    <w:rsid w:val="79086DAD"/>
    <w:rsid w:val="79D7FD79"/>
    <w:rsid w:val="79EE5BA4"/>
    <w:rsid w:val="7A894339"/>
    <w:rsid w:val="7AFF7572"/>
    <w:rsid w:val="7B6C7DFB"/>
    <w:rsid w:val="7BBFBED0"/>
    <w:rsid w:val="7BC3E394"/>
    <w:rsid w:val="7C1F3737"/>
    <w:rsid w:val="7C3C3BD3"/>
    <w:rsid w:val="7CBFC87B"/>
    <w:rsid w:val="7CFE0F48"/>
    <w:rsid w:val="7D7EC23E"/>
    <w:rsid w:val="7D8F677B"/>
    <w:rsid w:val="7DA62E7B"/>
    <w:rsid w:val="7E1E2842"/>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 w:type="paragraph" w:styleId="6">
    <w:name w:val="annotation text"/>
    <w:basedOn w:val="1"/>
    <w:semiHidden/>
    <w:unhideWhenUsed/>
    <w:qFormat/>
    <w:uiPriority w:val="99"/>
    <w:pPr>
      <w:jc w:val="left"/>
    </w:pPr>
  </w:style>
  <w:style w:type="paragraph" w:styleId="7">
    <w:name w:val="Body Text"/>
    <w:basedOn w:val="1"/>
    <w:next w:val="8"/>
    <w:link w:val="31"/>
    <w:qFormat/>
    <w:uiPriority w:val="99"/>
    <w:pPr>
      <w:spacing w:beforeLines="30"/>
    </w:pPr>
    <w:rPr>
      <w:rFonts w:ascii="仿宋_GB2312" w:eastAsia="仿宋_GB2312"/>
      <w:kern w:val="0"/>
      <w:sz w:val="30"/>
    </w:r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ody Text Indent 2"/>
    <w:basedOn w:val="1"/>
    <w:qFormat/>
    <w:uiPriority w:val="0"/>
    <w:pPr>
      <w:spacing w:line="360" w:lineRule="auto"/>
      <w:ind w:firstLine="630"/>
    </w:pPr>
    <w:rPr>
      <w:rFonts w:ascii="楷体_GB2312" w:eastAsia="楷体_GB2312"/>
      <w:sz w:val="30"/>
    </w:rPr>
  </w:style>
  <w:style w:type="paragraph" w:styleId="13">
    <w:name w:val="Balloon Text"/>
    <w:basedOn w:val="1"/>
    <w:link w:val="37"/>
    <w:semiHidden/>
    <w:unhideWhenUsed/>
    <w:qFormat/>
    <w:uiPriority w:val="99"/>
    <w:rPr>
      <w:sz w:val="18"/>
      <w:szCs w:val="18"/>
    </w:rPr>
  </w:style>
  <w:style w:type="paragraph" w:styleId="14">
    <w:name w:val="footer"/>
    <w:basedOn w:val="1"/>
    <w:next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0"/>
    <w:semiHidden/>
    <w:qFormat/>
    <w:uiPriority w:val="0"/>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w:basedOn w:val="7"/>
    <w:qFormat/>
    <w:uiPriority w:val="99"/>
    <w:pPr>
      <w:ind w:firstLine="420" w:firstLineChars="1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5">
    <w:name w:val="正文-公1"/>
    <w:basedOn w:val="1"/>
    <w:qFormat/>
    <w:uiPriority w:val="0"/>
    <w:pPr>
      <w:ind w:firstLine="200" w:firstLineChars="200"/>
    </w:pPr>
    <w:rPr>
      <w:rFonts w:eastAsia="宋体"/>
      <w:sz w:val="21"/>
      <w:szCs w:val="20"/>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1"/>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1"/>
    <w:link w:val="3"/>
    <w:qFormat/>
    <w:uiPriority w:val="9"/>
    <w:rPr>
      <w:rFonts w:ascii="Times New Roman" w:hAnsi="Times New Roman"/>
      <w:b/>
      <w:bCs/>
      <w:kern w:val="44"/>
      <w:sz w:val="44"/>
      <w:szCs w:val="44"/>
    </w:rPr>
  </w:style>
  <w:style w:type="character" w:customStyle="1" w:styleId="35">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1"/>
    <w:link w:val="13"/>
    <w:semiHidden/>
    <w:qFormat/>
    <w:uiPriority w:val="99"/>
    <w:rPr>
      <w:rFonts w:ascii="Times New Roman" w:hAnsi="Times New Roman"/>
      <w:kern w:val="2"/>
      <w:sz w:val="18"/>
      <w:szCs w:val="18"/>
    </w:rPr>
  </w:style>
  <w:style w:type="character" w:customStyle="1" w:styleId="38">
    <w:name w:val="标题 3 Char"/>
    <w:basedOn w:val="21"/>
    <w:link w:val="5"/>
    <w:qFormat/>
    <w:uiPriority w:val="9"/>
    <w:rPr>
      <w:rFonts w:ascii="Times New Roman" w:hAnsi="Times New Roman"/>
      <w:b/>
      <w:bCs/>
      <w:kern w:val="2"/>
      <w:sz w:val="32"/>
      <w:szCs w:val="32"/>
    </w:r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质联正文"/>
    <w:basedOn w:val="1"/>
    <w:qFormat/>
    <w:uiPriority w:val="3"/>
    <w:pPr>
      <w:spacing w:line="600" w:lineRule="exact"/>
      <w:ind w:firstLine="640" w:firstLineChars="200"/>
    </w:pPr>
    <w:rPr>
      <w:kern w:val="0"/>
      <w:szCs w:val="28"/>
      <w:lang w:val="zh-CN"/>
    </w:rPr>
  </w:style>
  <w:style w:type="character" w:customStyle="1" w:styleId="44">
    <w:name w:val="font21"/>
    <w:basedOn w:val="21"/>
    <w:qFormat/>
    <w:uiPriority w:val="0"/>
    <w:rPr>
      <w:rFonts w:hint="eastAsia" w:ascii="黑体" w:hAnsi="宋体" w:eastAsia="黑体" w:cs="黑体"/>
      <w:b/>
      <w:bCs/>
      <w:color w:val="000000"/>
      <w:sz w:val="30"/>
      <w:szCs w:val="30"/>
      <w:u w:val="none"/>
    </w:rPr>
  </w:style>
  <w:style w:type="character" w:customStyle="1" w:styleId="45">
    <w:name w:val="font81"/>
    <w:basedOn w:val="21"/>
    <w:qFormat/>
    <w:uiPriority w:val="0"/>
    <w:rPr>
      <w:rFonts w:hint="eastAsia" w:ascii="黑体" w:hAnsi="宋体" w:eastAsia="黑体" w:cs="黑体"/>
      <w:b/>
      <w:bCs/>
      <w:color w:val="000000"/>
      <w:sz w:val="30"/>
      <w:szCs w:val="30"/>
      <w:u w:val="none"/>
    </w:rPr>
  </w:style>
  <w:style w:type="paragraph" w:customStyle="1" w:styleId="46">
    <w:name w:val="常用样式（方正仿宋简）"/>
    <w:basedOn w:val="1"/>
    <w:qFormat/>
    <w:uiPriority w:val="99"/>
    <w:pPr>
      <w:spacing w:line="580" w:lineRule="exact"/>
      <w:ind w:firstLine="42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10335.09</c:v>
                </c:pt>
                <c:pt idx="1">
                  <c:v>10335.09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6390.34</c:v>
                </c:pt>
                <c:pt idx="1">
                  <c:v>6390.34</c:v>
                </c:pt>
              </c:numCache>
            </c:numRef>
          </c:val>
        </c:ser>
        <c:dLbls>
          <c:showLegendKey val="0"/>
          <c:showVal val="0"/>
          <c:showCatName val="0"/>
          <c:showSerName val="0"/>
          <c:showPercent val="0"/>
          <c:showBubbleSize val="0"/>
        </c:dLbls>
        <c:gapWidth val="219"/>
        <c:overlap val="-27"/>
        <c:axId val="563125012"/>
        <c:axId val="543336824"/>
      </c:barChart>
      <c:catAx>
        <c:axId val="56312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336824"/>
        <c:crosses val="autoZero"/>
        <c:auto val="1"/>
        <c:lblAlgn val="ctr"/>
        <c:lblOffset val="100"/>
        <c:noMultiLvlLbl val="0"/>
      </c:catAx>
      <c:valAx>
        <c:axId val="543336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250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62a167-6eed-4f9e-b22d-cca0519302c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no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21.16</c:v>
                </c:pt>
                <c:pt idx="1">
                  <c:v>78.84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57f6fb-5db3-419f-bb89-58099d4e0a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占比（</a:t>
            </a:r>
            <a:r>
              <a:rPr lang="en-US" altLang="zh-CN"/>
              <a:t>%</a:t>
            </a:r>
            <a:r>
              <a:rPr altLang="zh-CN"/>
              <a:t>）</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14.5</c:v>
                </c:pt>
                <c:pt idx="1">
                  <c:v>85.5</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cadfdf-9bf8-4a08-9f37-12ba3714a9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625"/>
          <c:y val="0.02"/>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10335.09</c:v>
                </c:pt>
                <c:pt idx="1">
                  <c:v>10335.09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6390.34</c:v>
                </c:pt>
                <c:pt idx="1">
                  <c:v>6390.34</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9e7cff-6e77-4575-886d-6165a265b32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
          <c:y val="0.047"/>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#,##0.00</c:formatCode>
                <c:ptCount val="1"/>
                <c:pt idx="0">
                  <c:v>8335.09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1352.34</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ba7be7-73d9-47f7-8e53-3d9301a89ce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节能环保支出</c:v>
                </c:pt>
                <c:pt idx="2">
                  <c:v>城乡社区支出</c:v>
                </c:pt>
                <c:pt idx="3">
                  <c:v>社会保障和就业支出</c:v>
                </c:pt>
                <c:pt idx="4">
                  <c:v>卫生健康支出</c:v>
                </c:pt>
                <c:pt idx="5">
                  <c:v>住房保障支出</c:v>
                </c:pt>
              </c:strCache>
            </c:strRef>
          </c:cat>
          <c:val>
            <c:numRef>
              <c:f>Sheet1!$B$2:$B$7</c:f>
              <c:numCache>
                <c:formatCode>General</c:formatCode>
                <c:ptCount val="6"/>
                <c:pt idx="0">
                  <c:v>0.03</c:v>
                </c:pt>
                <c:pt idx="1">
                  <c:v>2.96</c:v>
                </c:pt>
                <c:pt idx="2">
                  <c:v>88.12</c:v>
                </c:pt>
                <c:pt idx="3">
                  <c:v>4.56</c:v>
                </c:pt>
                <c:pt idx="4">
                  <c:v>1.51</c:v>
                </c:pt>
                <c:pt idx="5">
                  <c:v>2.82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0dac16-a09e-4194-9383-b317cd0ab4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占比（%）</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98.21</c:v>
                </c:pt>
                <c:pt idx="2">
                  <c:v>1.79</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27d20d-68d5-4cc4-bb30-9db1432480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66</Pages>
  <Words>14866</Words>
  <Characters>15777</Characters>
  <Lines>61</Lines>
  <Paragraphs>17</Paragraphs>
  <TotalTime>3</TotalTime>
  <ScaleCrop>false</ScaleCrop>
  <LinksUpToDate>false</LinksUpToDate>
  <CharactersWithSpaces>15897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Administrator</cp:lastModifiedBy>
  <cp:lastPrinted>2025-07-29T22:54:00Z</cp:lastPrinted>
  <dcterms:modified xsi:type="dcterms:W3CDTF">2025-08-27T07:13:11Z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