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50B3A">
      <w:pPr>
        <w:spacing w:line="600" w:lineRule="exact"/>
        <w:jc w:val="center"/>
        <w:outlineLvl w:val="9"/>
        <w:rPr>
          <w:rFonts w:ascii="方正小标宋简体" w:hAnsi="宋体" w:eastAsia="方正小标宋简体"/>
          <w:color w:val="000000"/>
          <w:sz w:val="72"/>
          <w:szCs w:val="72"/>
        </w:rPr>
      </w:pPr>
      <w:bookmarkStart w:id="0" w:name="_Toc15306267"/>
      <w:bookmarkStart w:id="214" w:name="_GoBack"/>
      <w:bookmarkEnd w:id="214"/>
    </w:p>
    <w:p w14:paraId="295496EB">
      <w:pPr>
        <w:spacing w:line="600" w:lineRule="exact"/>
        <w:jc w:val="center"/>
        <w:outlineLvl w:val="9"/>
        <w:rPr>
          <w:rFonts w:ascii="方正小标宋简体" w:hAnsi="宋体" w:eastAsia="方正小标宋简体"/>
          <w:color w:val="000000"/>
          <w:sz w:val="72"/>
          <w:szCs w:val="72"/>
        </w:rPr>
      </w:pPr>
    </w:p>
    <w:p w14:paraId="5A47D19F">
      <w:pPr>
        <w:adjustRightInd w:val="0"/>
        <w:snapToGrid w:val="0"/>
        <w:spacing w:line="360" w:lineRule="auto"/>
        <w:jc w:val="center"/>
        <w:outlineLvl w:val="0"/>
        <w:rPr>
          <w:rFonts w:hint="eastAsia" w:ascii="Times New Roman" w:hAnsi="Times New Roman" w:eastAsia="方正小标宋简体" w:cs="Times New Roman"/>
          <w:color w:val="auto"/>
          <w:kern w:val="2"/>
          <w:sz w:val="44"/>
          <w:szCs w:val="44"/>
          <w:highlight w:val="none"/>
          <w:lang w:val="en-US" w:eastAsia="zh-CN" w:bidi="ar-SA"/>
        </w:rPr>
      </w:pPr>
      <w:bookmarkStart w:id="1" w:name="_Toc12885"/>
      <w:bookmarkStart w:id="2" w:name="_Toc11480"/>
      <w:bookmarkStart w:id="3" w:name="_Toc15378441"/>
      <w:bookmarkStart w:id="4" w:name="_Toc15377193"/>
      <w:bookmarkStart w:id="5" w:name="_Toc15377425"/>
      <w:bookmarkStart w:id="6" w:name="_Toc15396475"/>
      <w:bookmarkStart w:id="7" w:name="_Toc15396597"/>
      <w:bookmarkStart w:id="8" w:name="_Toc4432"/>
      <w:bookmarkStart w:id="9" w:name="_Toc1445"/>
    </w:p>
    <w:p w14:paraId="33AFBA61">
      <w:pPr>
        <w:adjustRightInd w:val="0"/>
        <w:snapToGrid w:val="0"/>
        <w:spacing w:line="360" w:lineRule="auto"/>
        <w:jc w:val="center"/>
        <w:outlineLvl w:val="0"/>
        <w:rPr>
          <w:rFonts w:hint="eastAsia" w:ascii="Times New Roman" w:hAnsi="Times New Roman" w:eastAsia="方正小标宋简体" w:cs="Times New Roman"/>
          <w:color w:val="auto"/>
          <w:kern w:val="2"/>
          <w:sz w:val="44"/>
          <w:szCs w:val="44"/>
          <w:highlight w:val="none"/>
          <w:lang w:val="en-US" w:eastAsia="zh-CN" w:bidi="ar-SA"/>
        </w:rPr>
      </w:pPr>
    </w:p>
    <w:p w14:paraId="604C77D3">
      <w:pPr>
        <w:adjustRightInd w:val="0"/>
        <w:snapToGrid w:val="0"/>
        <w:spacing w:line="360" w:lineRule="auto"/>
        <w:jc w:val="center"/>
        <w:outlineLvl w:val="0"/>
        <w:rPr>
          <w:rFonts w:hint="eastAsia" w:ascii="Times New Roman" w:hAnsi="Times New Roman" w:eastAsia="方正小标宋简体" w:cs="Times New Roman"/>
          <w:color w:val="auto"/>
          <w:kern w:val="2"/>
          <w:sz w:val="44"/>
          <w:szCs w:val="44"/>
          <w:highlight w:val="none"/>
          <w:lang w:val="en-US" w:eastAsia="zh-CN" w:bidi="ar-SA"/>
        </w:rPr>
      </w:pPr>
    </w:p>
    <w:p w14:paraId="60E31117">
      <w:pPr>
        <w:adjustRightInd w:val="0"/>
        <w:snapToGrid w:val="0"/>
        <w:spacing w:line="360" w:lineRule="auto"/>
        <w:jc w:val="center"/>
        <w:outlineLvl w:val="9"/>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bookmarkEnd w:id="1"/>
      <w:bookmarkEnd w:id="2"/>
      <w:bookmarkEnd w:id="3"/>
      <w:bookmarkEnd w:id="4"/>
      <w:bookmarkEnd w:id="5"/>
      <w:bookmarkEnd w:id="6"/>
      <w:bookmarkEnd w:id="7"/>
      <w:bookmarkEnd w:id="8"/>
      <w:bookmarkEnd w:id="9"/>
      <w:bookmarkStart w:id="10" w:name="_Toc7510"/>
      <w:bookmarkStart w:id="11" w:name="_Toc641"/>
      <w:bookmarkStart w:id="12" w:name="_Toc31161"/>
      <w:bookmarkStart w:id="13" w:name="_Toc11205"/>
      <w:bookmarkStart w:id="14" w:name="_Toc15396476"/>
      <w:bookmarkStart w:id="15" w:name="_Toc15396598"/>
      <w:bookmarkStart w:id="16" w:name="_Toc15377194"/>
      <w:bookmarkStart w:id="17" w:name="_Toc15377426"/>
      <w:bookmarkStart w:id="18" w:name="_Toc15378442"/>
    </w:p>
    <w:p w14:paraId="52110671">
      <w:pPr>
        <w:adjustRightInd w:val="0"/>
        <w:snapToGrid w:val="0"/>
        <w:spacing w:line="360" w:lineRule="auto"/>
        <w:jc w:val="center"/>
        <w:outlineLvl w:val="9"/>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0"/>
      <w:bookmarkStart w:id="19" w:name="_Toc15306268"/>
      <w:r>
        <w:rPr>
          <w:rFonts w:hint="eastAsia" w:ascii="Times New Roman" w:hAnsi="Times New Roman" w:eastAsia="方正小标宋简体" w:cs="Times New Roman"/>
          <w:color w:val="auto"/>
          <w:kern w:val="2"/>
          <w:sz w:val="44"/>
          <w:szCs w:val="44"/>
          <w:highlight w:val="none"/>
          <w:lang w:val="en-US" w:eastAsia="zh-CN" w:bidi="ar-SA"/>
        </w:rPr>
        <w:t>遂宁市安居区社会保险事业管理局</w:t>
      </w:r>
      <w:bookmarkEnd w:id="10"/>
      <w:bookmarkEnd w:id="11"/>
      <w:bookmarkEnd w:id="12"/>
      <w:bookmarkEnd w:id="13"/>
      <w:bookmarkStart w:id="20" w:name="_Toc15220"/>
      <w:bookmarkStart w:id="21" w:name="_Toc29796"/>
      <w:bookmarkStart w:id="22" w:name="_Toc8096"/>
      <w:bookmarkStart w:id="23" w:name="_Toc4039"/>
      <w:r>
        <w:rPr>
          <w:rFonts w:hint="eastAsia" w:ascii="Times New Roman" w:hAnsi="Times New Roman" w:eastAsia="方正小标宋简体" w:cs="Times New Roman"/>
          <w:color w:val="auto"/>
          <w:kern w:val="2"/>
          <w:sz w:val="44"/>
          <w:szCs w:val="44"/>
          <w:highlight w:val="none"/>
          <w:lang w:val="en-US" w:eastAsia="zh-CN" w:bidi="ar-SA"/>
        </w:rPr>
        <w:t>部门</w:t>
      </w:r>
      <w:bookmarkEnd w:id="14"/>
      <w:bookmarkEnd w:id="15"/>
      <w:bookmarkEnd w:id="16"/>
      <w:bookmarkEnd w:id="17"/>
      <w:bookmarkEnd w:id="18"/>
      <w:bookmarkEnd w:id="19"/>
      <w:bookmarkEnd w:id="20"/>
      <w:bookmarkEnd w:id="21"/>
      <w:bookmarkEnd w:id="22"/>
      <w:bookmarkEnd w:id="23"/>
      <w:r>
        <w:rPr>
          <w:rFonts w:hint="eastAsia" w:eastAsia="方正小标宋简体" w:cs="Times New Roman"/>
          <w:color w:val="auto"/>
          <w:kern w:val="2"/>
          <w:sz w:val="44"/>
          <w:szCs w:val="44"/>
          <w:highlight w:val="none"/>
          <w:lang w:val="en-US" w:eastAsia="zh-CN" w:bidi="ar-SA"/>
        </w:rPr>
        <w:t>决算</w:t>
      </w:r>
    </w:p>
    <w:p w14:paraId="7AFF6173">
      <w:pPr>
        <w:adjustRightInd w:val="0"/>
        <w:snapToGrid w:val="0"/>
        <w:spacing w:line="360" w:lineRule="auto"/>
        <w:jc w:val="center"/>
        <w:outlineLvl w:val="0"/>
        <w:rPr>
          <w:rFonts w:hint="eastAsia" w:ascii="黑体" w:hAnsi="黑体" w:eastAsia="黑体"/>
          <w:color w:val="000000"/>
          <w:sz w:val="72"/>
          <w:szCs w:val="72"/>
          <w:lang w:eastAsia="zh-CN"/>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770E15F2">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5A63933D">
      <w:pPr>
        <w:widowControl/>
        <w:jc w:val="center"/>
        <w:rPr>
          <w:rFonts w:ascii="黑体" w:hAnsi="黑体" w:eastAsia="黑体" w:cstheme="minorBidi"/>
          <w:sz w:val="28"/>
          <w:szCs w:val="28"/>
        </w:rPr>
      </w:pPr>
    </w:p>
    <w:p w14:paraId="179526C1">
      <w:pPr>
        <w:pStyle w:val="13"/>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p>
    <w:sdt>
      <w:sdtPr>
        <w:rPr>
          <w:rFonts w:ascii="宋体" w:hAnsi="宋体" w:eastAsia="宋体" w:cs="Times New Roman"/>
          <w:kern w:val="2"/>
          <w:sz w:val="21"/>
          <w:szCs w:val="24"/>
          <w:lang w:val="en-US" w:eastAsia="zh-CN" w:bidi="ar-SA"/>
        </w:rPr>
        <w:id w:val="147469642"/>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45C6930A">
          <w:pPr>
            <w:spacing w:before="0" w:beforeLines="0" w:after="0" w:afterLines="0" w:line="240" w:lineRule="auto"/>
            <w:ind w:left="0" w:leftChars="0" w:right="0" w:rightChars="0" w:firstLine="0" w:firstLineChars="0"/>
            <w:jc w:val="center"/>
          </w:pPr>
        </w:p>
        <w:p w14:paraId="6987F555">
          <w:pPr>
            <w:pStyle w:val="13"/>
            <w:tabs>
              <w:tab w:val="right" w:leader="dot" w:pos="8306"/>
              <w:tab w:val="clear" w:pos="8296"/>
            </w:tabs>
          </w:pPr>
          <w:r>
            <w:rPr>
              <w:b/>
            </w:rPr>
            <w:fldChar w:fldCharType="begin"/>
          </w:r>
          <w:r>
            <w:rPr>
              <w:b/>
            </w:rPr>
            <w:instrText xml:space="preserve">TOC \o "1-3" \h \u </w:instrText>
          </w:r>
          <w:r>
            <w:rPr>
              <w:b/>
            </w:rPr>
            <w:fldChar w:fldCharType="separate"/>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_Toc11399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部门</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_Toc11399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7E162FE3">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_Toc18721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一、部门职责</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_Toc18721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1FB7A490">
          <w:pPr>
            <w:pStyle w:val="15"/>
            <w:tabs>
              <w:tab w:val="right" w:leader="dot" w:pos="8306"/>
              <w:tab w:val="clear" w:pos="8296"/>
            </w:tabs>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_Toc31444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二、机构设置</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_Toc31444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02A11D05">
          <w:pPr>
            <w:pStyle w:val="13"/>
            <w:tabs>
              <w:tab w:val="right" w:leader="dot" w:pos="8306"/>
              <w:tab w:val="clear" w:pos="8296"/>
            </w:tabs>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_Toc27685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 xml:space="preserve">第二部分 </w:t>
          </w:r>
          <w:r>
            <w:rPr>
              <w:rFonts w:hint="eastAsia" w:ascii="Times New Roman" w:hAnsi="Times New Roman" w:eastAsia="黑体" w:cs="黑体"/>
              <w:color w:val="auto"/>
              <w:sz w:val="32"/>
              <w:szCs w:val="32"/>
              <w:highlight w:val="none"/>
              <w:lang w:eastAsia="zh-CN"/>
            </w:rPr>
            <w:t>2024</w:t>
          </w:r>
          <w:r>
            <w:rPr>
              <w:rFonts w:hint="eastAsia" w:ascii="Times New Roman" w:hAnsi="Times New Roman" w:eastAsia="黑体" w:cs="黑体"/>
              <w:color w:val="auto"/>
              <w:sz w:val="32"/>
              <w:szCs w:val="32"/>
              <w:highlight w:val="none"/>
            </w:rPr>
            <w:t>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_Toc27685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3</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30FC73AE">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_Toc28200 </w:instrText>
          </w:r>
          <w:r>
            <w:rPr>
              <w:rFonts w:hint="eastAsia" w:ascii="Times New Roman" w:hAnsi="Times New Roman" w:eastAsia="仿宋_GB2312" w:cs="仿宋_GB2312"/>
              <w:color w:val="auto"/>
              <w:sz w:val="32"/>
              <w:szCs w:val="32"/>
              <w:highlight w:val="none"/>
              <w:lang w:val="en-US" w:eastAsia="zh-CN"/>
            </w:rPr>
            <w:fldChar w:fldCharType="separate"/>
          </w:r>
          <w:r>
            <w:rPr>
              <w:rFonts w:hint="default" w:ascii="Times New Roman" w:hAnsi="Times New Roman" w:eastAsia="仿宋_GB2312" w:cs="仿宋_GB2312"/>
              <w:color w:val="auto"/>
              <w:sz w:val="32"/>
              <w:szCs w:val="32"/>
              <w:highlight w:val="none"/>
              <w:lang w:val="en-US" w:eastAsia="zh-CN"/>
            </w:rPr>
            <w:t xml:space="preserve">一、 </w:t>
          </w:r>
          <w:r>
            <w:rPr>
              <w:rFonts w:hint="eastAsia" w:ascii="Times New Roman" w:hAnsi="Times New Roman" w:eastAsia="仿宋_GB2312" w:cs="仿宋_GB2312"/>
              <w:color w:val="auto"/>
              <w:sz w:val="32"/>
              <w:szCs w:val="32"/>
              <w:highlight w:val="none"/>
              <w:lang w:val="en-US" w:eastAsia="zh-CN"/>
            </w:rPr>
            <w:t>收入支出决算总体情况说明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_Toc28200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16D6C3D8">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_Toc27307 </w:instrText>
          </w:r>
          <w:r>
            <w:rPr>
              <w:rFonts w:hint="eastAsia" w:ascii="Times New Roman" w:hAnsi="Times New Roman" w:eastAsia="仿宋_GB2312" w:cs="仿宋_GB2312"/>
              <w:color w:val="auto"/>
              <w:sz w:val="32"/>
              <w:szCs w:val="32"/>
              <w:highlight w:val="none"/>
              <w:lang w:val="en-US" w:eastAsia="zh-CN"/>
            </w:rPr>
            <w:fldChar w:fldCharType="separate"/>
          </w:r>
          <w:r>
            <w:rPr>
              <w:rFonts w:hint="default" w:ascii="Times New Roman" w:hAnsi="Times New Roman" w:eastAsia="仿宋_GB2312" w:cs="仿宋_GB2312"/>
              <w:color w:val="auto"/>
              <w:sz w:val="32"/>
              <w:szCs w:val="32"/>
              <w:highlight w:val="none"/>
              <w:lang w:val="en-US" w:eastAsia="zh-CN"/>
            </w:rPr>
            <w:t xml:space="preserve">二、 </w:t>
          </w:r>
          <w:r>
            <w:rPr>
              <w:rFonts w:hint="eastAsia" w:ascii="Times New Roman" w:hAnsi="Times New Roman" w:eastAsia="仿宋_GB2312" w:cs="仿宋_GB2312"/>
              <w:color w:val="auto"/>
              <w:sz w:val="32"/>
              <w:szCs w:val="32"/>
              <w:highlight w:val="none"/>
              <w:lang w:val="en-US" w:eastAsia="zh-CN"/>
            </w:rPr>
            <w:t>收入决算情况说明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_Toc27307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20550E3E">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_Toc8237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三、支出决算情况说明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_Toc8237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6CC1B57F">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_Toc9851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四、财政拨款收入支出决算总体情况说明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_Toc9851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3C6A01F9">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_Toc26436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五、 一般公共预算财政拨款支出决算情况说明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_Toc26436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72EC7C75">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_Toc4413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六、一般公共预算财政拨款基本支出决算情况说明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_Toc4413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06E14485">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_Toc22527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七、“三公”经费财政拨款支出决算情况说明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_Toc22527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414E962D">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_Toc22695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八、政府性基金预算支出决算情况说明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_Toc22695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41419864">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_Toc12058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九、国有资本经营预算支出决算情况说明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_Toc12058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1C3E40D0">
          <w:pPr>
            <w:pStyle w:val="15"/>
            <w:tabs>
              <w:tab w:val="right" w:leader="dot" w:pos="8306"/>
              <w:tab w:val="clear" w:pos="8296"/>
            </w:tabs>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_Toc23788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十、其他重要事项的情况说明</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_Toc23788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5B4EF5F9">
          <w:pPr>
            <w:pStyle w:val="13"/>
            <w:tabs>
              <w:tab w:val="right" w:leader="dot" w:pos="8306"/>
              <w:tab w:val="clear" w:pos="8296"/>
            </w:tabs>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_Toc20642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_Toc20642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14</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58BACA49">
          <w:pPr>
            <w:pStyle w:val="13"/>
            <w:tabs>
              <w:tab w:val="right" w:leader="dot" w:pos="8306"/>
              <w:tab w:val="clear" w:pos="8296"/>
            </w:tabs>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_Toc3055 </w:instrText>
          </w:r>
          <w:r>
            <w:rPr>
              <w:rFonts w:hint="eastAsia" w:ascii="Times New Roman" w:hAnsi="Times New Roman" w:eastAsia="黑体" w:cs="黑体"/>
              <w:color w:val="auto"/>
              <w:sz w:val="32"/>
              <w:szCs w:val="32"/>
              <w:highlight w:val="none"/>
            </w:rPr>
            <w:fldChar w:fldCharType="separate"/>
          </w:r>
          <w:r>
            <w:rPr>
              <w:rFonts w:hint="default" w:ascii="Times New Roman" w:hAnsi="Times New Roman" w:eastAsia="黑体" w:cs="黑体"/>
              <w:color w:val="auto"/>
              <w:sz w:val="32"/>
              <w:szCs w:val="32"/>
              <w:highlight w:val="none"/>
              <w:lang w:eastAsia="zh-CN"/>
            </w:rPr>
            <w:t>第四部分</w:t>
          </w:r>
          <w:r>
            <w:rPr>
              <w:rFonts w:hint="default" w:ascii="Times New Roman" w:hAnsi="Times New Roman" w:eastAsia="黑体" w:cs="黑体"/>
              <w:color w:val="auto"/>
              <w:sz w:val="32"/>
              <w:szCs w:val="32"/>
              <w:highlight w:val="none"/>
              <w:lang w:val="en-US" w:eastAsia="zh-CN"/>
            </w:rPr>
            <w:t xml:space="preserve"> </w:t>
          </w:r>
          <w:r>
            <w:rPr>
              <w:rFonts w:hint="default" w:ascii="Times New Roman" w:hAnsi="Times New Roman" w:eastAsia="黑体" w:cs="黑体"/>
              <w:color w:val="auto"/>
              <w:sz w:val="32"/>
              <w:szCs w:val="32"/>
              <w:highlight w:val="none"/>
              <w:lang w:eastAsia="zh-CN"/>
            </w:rPr>
            <w:t xml:space="preserve"> 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_Toc3055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18</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2AFA93D6">
          <w:pPr>
            <w:pStyle w:val="13"/>
            <w:tabs>
              <w:tab w:val="right" w:leader="dot" w:pos="8306"/>
              <w:tab w:val="clear" w:pos="8296"/>
            </w:tabs>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_Toc11498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lang w:eastAsia="zh-CN"/>
            </w:rPr>
            <w:t xml:space="preserve">第五部分 </w:t>
          </w:r>
          <w:r>
            <w:rPr>
              <w:rFonts w:hint="default" w:ascii="Times New Roman" w:hAnsi="Times New Roman" w:eastAsia="黑体" w:cs="黑体"/>
              <w:color w:val="auto"/>
              <w:sz w:val="32"/>
              <w:szCs w:val="32"/>
              <w:highlight w:val="none"/>
              <w:lang w:eastAsia="zh-CN"/>
            </w:rPr>
            <w:t>附表</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_Toc11498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51</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3870A4F9">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_Toc20168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一、 </w:t>
          </w:r>
          <w:r>
            <w:rPr>
              <w:rFonts w:hint="default" w:ascii="Times New Roman" w:hAnsi="Times New Roman" w:eastAsia="仿宋_GB2312" w:cs="仿宋_GB2312"/>
              <w:color w:val="auto"/>
              <w:sz w:val="32"/>
              <w:szCs w:val="32"/>
              <w:highlight w:val="none"/>
              <w:lang w:val="en-US" w:eastAsia="zh-CN"/>
            </w:rPr>
            <w:t>收入支出决算总表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_Toc20168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6F42487B">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_Toc8819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二、 </w:t>
          </w:r>
          <w:r>
            <w:rPr>
              <w:rFonts w:hint="default" w:ascii="Times New Roman" w:hAnsi="Times New Roman" w:eastAsia="仿宋_GB2312" w:cs="仿宋_GB2312"/>
              <w:color w:val="auto"/>
              <w:sz w:val="32"/>
              <w:szCs w:val="32"/>
              <w:highlight w:val="none"/>
              <w:lang w:val="en-US" w:eastAsia="zh-CN"/>
            </w:rPr>
            <w:t>收入决算表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_Toc8819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0DC088BB">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_Toc25746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三、 </w:t>
          </w:r>
          <w:r>
            <w:rPr>
              <w:rFonts w:hint="default" w:ascii="Times New Roman" w:hAnsi="Times New Roman" w:eastAsia="仿宋_GB2312" w:cs="仿宋_GB2312"/>
              <w:color w:val="auto"/>
              <w:sz w:val="32"/>
              <w:szCs w:val="32"/>
              <w:highlight w:val="none"/>
              <w:lang w:val="en-US" w:eastAsia="zh-CN"/>
            </w:rPr>
            <w:t>支出决算表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_Toc25746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4BCF4646">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_Toc27654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四、 </w:t>
          </w:r>
          <w:r>
            <w:rPr>
              <w:rFonts w:hint="default" w:ascii="Times New Roman" w:hAnsi="Times New Roman" w:eastAsia="仿宋_GB2312" w:cs="仿宋_GB2312"/>
              <w:color w:val="auto"/>
              <w:sz w:val="32"/>
              <w:szCs w:val="32"/>
              <w:highlight w:val="none"/>
              <w:lang w:val="en-US" w:eastAsia="zh-CN"/>
            </w:rPr>
            <w:t>财政拨款收入支出决算总表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_Toc27654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30669FB1">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_Toc7334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五、 </w:t>
          </w:r>
          <w:r>
            <w:rPr>
              <w:rFonts w:hint="default" w:ascii="Times New Roman" w:hAnsi="Times New Roman" w:eastAsia="仿宋_GB2312" w:cs="仿宋_GB2312"/>
              <w:color w:val="auto"/>
              <w:sz w:val="32"/>
              <w:szCs w:val="32"/>
              <w:highlight w:val="none"/>
              <w:lang w:val="en-US" w:eastAsia="zh-CN"/>
            </w:rPr>
            <w:t>财政拨款支出决算明细表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_Toc7334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129867DF">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_Toc25729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六、 </w:t>
          </w:r>
          <w:r>
            <w:rPr>
              <w:rFonts w:hint="default" w:ascii="Times New Roman" w:hAnsi="Times New Roman" w:eastAsia="仿宋_GB2312" w:cs="仿宋_GB2312"/>
              <w:color w:val="auto"/>
              <w:sz w:val="32"/>
              <w:szCs w:val="32"/>
              <w:highlight w:val="none"/>
              <w:lang w:val="en-US" w:eastAsia="zh-CN"/>
            </w:rPr>
            <w:t>一般公共预算财政拨款支出决算表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_Toc25729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27BCB557">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_Toc13227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七、 </w:t>
          </w:r>
          <w:r>
            <w:rPr>
              <w:rFonts w:hint="default" w:ascii="Times New Roman" w:hAnsi="Times New Roman" w:eastAsia="仿宋_GB2312" w:cs="仿宋_GB2312"/>
              <w:color w:val="auto"/>
              <w:sz w:val="32"/>
              <w:szCs w:val="32"/>
              <w:highlight w:val="none"/>
              <w:lang w:val="en-US" w:eastAsia="zh-CN"/>
            </w:rPr>
            <w:t>一般公共预算财政拨款支出决算明细表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_Toc13227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381A61FE">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_Toc29219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八、 </w:t>
          </w:r>
          <w:r>
            <w:rPr>
              <w:rFonts w:hint="default" w:ascii="Times New Roman" w:hAnsi="Times New Roman" w:eastAsia="仿宋_GB2312" w:cs="仿宋_GB2312"/>
              <w:color w:val="auto"/>
              <w:sz w:val="32"/>
              <w:szCs w:val="32"/>
              <w:highlight w:val="none"/>
              <w:lang w:val="en-US" w:eastAsia="zh-CN"/>
            </w:rPr>
            <w:t>一般公共预算财政拨款基本支出决算表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_Toc29219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55E64965">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_Toc31113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九、 </w:t>
          </w:r>
          <w:r>
            <w:rPr>
              <w:rFonts w:hint="default" w:ascii="Times New Roman" w:hAnsi="Times New Roman" w:eastAsia="仿宋_GB2312" w:cs="仿宋_GB2312"/>
              <w:color w:val="auto"/>
              <w:sz w:val="32"/>
              <w:szCs w:val="32"/>
              <w:highlight w:val="none"/>
              <w:lang w:val="en-US" w:eastAsia="zh-CN"/>
            </w:rPr>
            <w:t>一般公共预算财政拨款项目支出决算表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_Toc31113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77B628AA">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_Toc24665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十、 </w:t>
          </w:r>
          <w:r>
            <w:rPr>
              <w:rFonts w:hint="default" w:ascii="Times New Roman" w:hAnsi="Times New Roman" w:eastAsia="仿宋_GB2312" w:cs="仿宋_GB2312"/>
              <w:color w:val="auto"/>
              <w:sz w:val="32"/>
              <w:szCs w:val="32"/>
              <w:highlight w:val="none"/>
              <w:lang w:val="en-US" w:eastAsia="zh-CN"/>
            </w:rPr>
            <w:t>政府性基金预算财政拨款收入支出决算表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_Toc24665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249D2B53">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_Toc10256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十一、 </w:t>
          </w:r>
          <w:r>
            <w:rPr>
              <w:rFonts w:hint="default" w:ascii="Times New Roman" w:hAnsi="Times New Roman" w:eastAsia="仿宋_GB2312" w:cs="仿宋_GB2312"/>
              <w:color w:val="auto"/>
              <w:sz w:val="32"/>
              <w:szCs w:val="32"/>
              <w:highlight w:val="none"/>
              <w:lang w:val="en-US" w:eastAsia="zh-CN"/>
            </w:rPr>
            <w:t>国有资本经营预算财政拨款收入支出决算表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_Toc10256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5BFF5AD5">
          <w:pPr>
            <w:pStyle w:val="15"/>
            <w:tabs>
              <w:tab w:val="right" w:leader="dot" w:pos="8306"/>
              <w:tab w:val="clear" w:pos="8296"/>
            </w:tabs>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_Toc17125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十二、 </w:t>
          </w:r>
          <w:r>
            <w:rPr>
              <w:rFonts w:hint="default"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_Toc17125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03B80838">
          <w:pPr>
            <w:pStyle w:val="15"/>
            <w:tabs>
              <w:tab w:val="right" w:leader="dot" w:pos="8306"/>
              <w:tab w:val="clear" w:pos="8296"/>
            </w:tabs>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_Toc10533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 xml:space="preserve">十三、 </w:t>
          </w:r>
          <w:r>
            <w:rPr>
              <w:rFonts w:hint="default" w:ascii="Times New Roman" w:hAnsi="Times New Roman" w:eastAsia="仿宋_GB2312" w:cs="仿宋_GB2312"/>
              <w:color w:val="auto"/>
              <w:sz w:val="32"/>
              <w:szCs w:val="32"/>
              <w:highlight w:val="none"/>
              <w:lang w:val="en-US" w:eastAsia="zh-CN"/>
            </w:rPr>
            <w:t>财政拨款“三公”经费支出决算表</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PAGEREF _Toc10533 \h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51</w:t>
          </w:r>
          <w:r>
            <w:rPr>
              <w:rFonts w:hint="eastAsia" w:ascii="Times New Roman" w:hAnsi="Times New Roman" w:eastAsia="仿宋_GB2312" w:cs="仿宋_GB2312"/>
              <w:color w:val="auto"/>
              <w:sz w:val="32"/>
              <w:szCs w:val="32"/>
              <w:highlight w:val="none"/>
              <w:lang w:val="en-US" w:eastAsia="zh-CN"/>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79D39FFF">
          <w:pPr>
            <w:rPr>
              <w:rFonts w:ascii="Times New Roman" w:hAnsi="Times New Roman" w:eastAsia="宋体" w:cs="Times New Roman"/>
              <w:kern w:val="2"/>
              <w:sz w:val="21"/>
              <w:szCs w:val="24"/>
              <w:lang w:val="en-US" w:eastAsia="zh-CN" w:bidi="ar-SA"/>
            </w:rPr>
          </w:pPr>
          <w:r>
            <w:fldChar w:fldCharType="end"/>
          </w:r>
        </w:p>
      </w:sdtContent>
    </w:sdt>
    <w:p w14:paraId="604D8FBE">
      <w:pPr>
        <w:pStyle w:val="14"/>
      </w:pPr>
    </w:p>
    <w:p w14:paraId="7B4DF8C3">
      <w:pPr>
        <w:pStyle w:val="2"/>
        <w:jc w:val="center"/>
        <w:rPr>
          <w:rFonts w:hint="eastAsia" w:ascii="黑体" w:hAnsi="黑体" w:eastAsia="黑体"/>
          <w:b w:val="0"/>
        </w:rPr>
        <w:sectPr>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7537BADE">
      <w:pPr>
        <w:pStyle w:val="2"/>
        <w:jc w:val="center"/>
        <w:rPr>
          <w:rStyle w:val="31"/>
          <w:rFonts w:ascii="黑体" w:hAnsi="黑体" w:eastAsia="黑体"/>
          <w:b/>
          <w:bCs w:val="0"/>
        </w:rPr>
      </w:pPr>
      <w:bookmarkStart w:id="24" w:name="_Toc11399"/>
      <w:r>
        <w:rPr>
          <w:rFonts w:hint="eastAsia" w:ascii="黑体" w:hAnsi="黑体" w:eastAsia="黑体"/>
          <w:b w:val="0"/>
        </w:rPr>
        <w:t xml:space="preserve">第一部分 </w:t>
      </w:r>
      <w:r>
        <w:rPr>
          <w:rFonts w:hint="eastAsia" w:ascii="黑体" w:hAnsi="黑体" w:eastAsia="黑体"/>
          <w:b w:val="0"/>
          <w:lang w:val="en-US" w:eastAsia="zh-CN"/>
        </w:rPr>
        <w:t>部门</w:t>
      </w:r>
      <w:r>
        <w:rPr>
          <w:rStyle w:val="31"/>
          <w:rFonts w:hint="eastAsia" w:ascii="黑体" w:hAnsi="黑体" w:eastAsia="黑体"/>
          <w:b w:val="0"/>
          <w:bCs w:val="0"/>
        </w:rPr>
        <w:t>概况</w:t>
      </w:r>
      <w:bookmarkEnd w:id="24"/>
    </w:p>
    <w:p w14:paraId="45898EA4">
      <w:pPr>
        <w:widowControl/>
        <w:jc w:val="left"/>
        <w:rPr>
          <w:rFonts w:ascii="黑体" w:eastAsia="黑体"/>
          <w:color w:val="000000"/>
          <w:sz w:val="32"/>
          <w:szCs w:val="32"/>
        </w:rPr>
      </w:pPr>
    </w:p>
    <w:p w14:paraId="7AEB4BDC">
      <w:pPr>
        <w:pStyle w:val="3"/>
        <w:rPr>
          <w:rStyle w:val="32"/>
          <w:rFonts w:hint="eastAsia" w:ascii="Times New Roman" w:hAnsi="Times New Roman" w:eastAsia="黑体"/>
          <w:b w:val="0"/>
          <w:bCs w:val="0"/>
          <w:color w:val="auto"/>
          <w:highlight w:val="none"/>
          <w:lang w:eastAsia="zh-CN"/>
        </w:rPr>
      </w:pPr>
      <w:bookmarkStart w:id="25" w:name="_Toc15377197"/>
      <w:bookmarkStart w:id="26" w:name="_Toc15396600"/>
      <w:bookmarkStart w:id="27" w:name="_Toc18721"/>
      <w:bookmarkStart w:id="28" w:name="_Toc15377199"/>
      <w:bookmarkStart w:id="29" w:name="_Toc15378446"/>
      <w:r>
        <w:rPr>
          <w:rFonts w:hint="eastAsia" w:ascii="Times New Roman" w:hAnsi="Times New Roman" w:eastAsia="黑体"/>
          <w:b w:val="0"/>
          <w:color w:val="auto"/>
          <w:highlight w:val="none"/>
        </w:rPr>
        <w:t>一、</w:t>
      </w:r>
      <w:bookmarkEnd w:id="25"/>
      <w:bookmarkEnd w:id="26"/>
      <w:r>
        <w:rPr>
          <w:rFonts w:hint="eastAsia" w:ascii="Times New Roman" w:hAnsi="Times New Roman" w:eastAsia="黑体"/>
          <w:b w:val="0"/>
          <w:color w:val="auto"/>
          <w:highlight w:val="none"/>
          <w:lang w:eastAsia="zh-CN"/>
        </w:rPr>
        <w:t>部门职责</w:t>
      </w:r>
      <w:bookmarkEnd w:id="27"/>
    </w:p>
    <w:p w14:paraId="35ED879D">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组织《中华人民共和国社会保险法》《社会保险费征缴暂行条例》及国发2号《国务院关于机关事业单位工作人员养老保险制度改革的决定》和《城乡养老保险制度衔接暂行办法》《四川省被征地失地农民养老保障实施办法》等在全区的宣传和贯彻实施。</w:t>
      </w:r>
    </w:p>
    <w:p w14:paraId="7934EAE1">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2、负责单位社保登记工作，企业、机关事业单位以及城乡居民参保人员的参保登记及权益记录查询工作。</w:t>
      </w:r>
    </w:p>
    <w:p w14:paraId="70B73534">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3、推动全民参保计划的实施，负责全区养老保险参保扩面工作，努力实现社会养老保险全覆盖。</w:t>
      </w:r>
    </w:p>
    <w:p w14:paraId="4A61AEF0">
      <w:pPr>
        <w:ind w:firstLine="640" w:firstLineChars="200"/>
        <w:rPr>
          <w:rFonts w:hint="eastAsia" w:ascii="仿宋_GB2312" w:hAnsi="Times New Roman" w:eastAsia="仿宋_GB2312" w:cs="Times New Roman"/>
          <w:kern w:val="2"/>
          <w:sz w:val="32"/>
          <w:szCs w:val="32"/>
          <w:lang w:val="en-US" w:eastAsia="zh-CN" w:bidi="ar-SA"/>
        </w:rPr>
      </w:pPr>
      <w:r>
        <w:rPr>
          <w:rFonts w:hint="eastAsia" w:ascii="Times New Roman" w:hAnsi="Times New Roman" w:eastAsia="仿宋_GB2312" w:cs="仿宋_GB2312"/>
          <w:sz w:val="32"/>
          <w:szCs w:val="32"/>
          <w:lang w:val="en-US" w:eastAsia="zh-CN"/>
        </w:rPr>
        <w:t>4、负责全区企业职</w:t>
      </w:r>
      <w:r>
        <w:rPr>
          <w:rFonts w:hint="eastAsia" w:ascii="仿宋_GB2312" w:hAnsi="Times New Roman" w:eastAsia="仿宋_GB2312" w:cs="Times New Roman"/>
          <w:kern w:val="2"/>
          <w:sz w:val="32"/>
          <w:szCs w:val="32"/>
          <w:lang w:val="en-US" w:eastAsia="zh-CN" w:bidi="ar-SA"/>
        </w:rPr>
        <w:t>工基本养老保险、工伤保险、失业保险费的征缴工作；负责全区机关事业单位养老保险费、职业年金的征缴工作；负责全区城乡居民基本养老保险费的征缴工作。</w:t>
      </w:r>
    </w:p>
    <w:p w14:paraId="6FA590B6">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5、负责全区企业职工基本养老保险、工伤保险、机关事业单位养老保险、职业年金、城乡居民基本养老保险待遇的计算、核定、调增及发放工作。</w:t>
      </w:r>
    </w:p>
    <w:p w14:paraId="2286AB00">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6、加强对单位离退休人员的管理，研究制定开展社区服务的措施及办法，组织开展退管服务活动，丰富离退休人员的生活。</w:t>
      </w:r>
    </w:p>
    <w:p w14:paraId="52F47275">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7、负责社会保险基金的管理工作，负责对单位参保缴费及社会保险待遇支付的稽核工作，维护参保人员的合法权益，确保基金安全。</w:t>
      </w:r>
    </w:p>
    <w:p w14:paraId="03798F83">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8、负责机关事业单位、企业职工及城乡居民社会保险关系的转移接续工作。</w:t>
      </w:r>
    </w:p>
    <w:p w14:paraId="74CE1F7D">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9、负责被征地失地农民养老保障经办工作，负责中心内失地农民基本困难补助保障费的筹集、管理和发放工作。</w:t>
      </w:r>
    </w:p>
    <w:p w14:paraId="5B7B43AD">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10、完成区委、区政府交办的其他。</w:t>
      </w:r>
    </w:p>
    <w:p w14:paraId="19C9710B">
      <w:pPr>
        <w:ind w:firstLine="640"/>
        <w:rPr>
          <w:rFonts w:hint="eastAsia" w:ascii="仿宋_GB2312" w:hAnsi="仿宋_GB2312" w:eastAsia="仿宋_GB2312" w:cs="仿宋_GB2312"/>
          <w:sz w:val="32"/>
          <w:szCs w:val="32"/>
        </w:rPr>
      </w:pPr>
    </w:p>
    <w:bookmarkEnd w:id="28"/>
    <w:bookmarkEnd w:id="29"/>
    <w:p w14:paraId="7F7DCE66">
      <w:pPr>
        <w:pStyle w:val="3"/>
        <w:rPr>
          <w:rStyle w:val="32"/>
          <w:b w:val="0"/>
          <w:bCs w:val="0"/>
        </w:rPr>
      </w:pPr>
      <w:bookmarkStart w:id="30" w:name="_Toc15377200"/>
      <w:bookmarkStart w:id="31" w:name="_Toc15396601"/>
      <w:bookmarkStart w:id="32" w:name="_Toc8324"/>
      <w:bookmarkStart w:id="33" w:name="_Toc9164"/>
      <w:bookmarkStart w:id="34" w:name="_Toc16821_WPSOffice_Level2"/>
      <w:bookmarkStart w:id="35" w:name="_Toc31444"/>
      <w:r>
        <w:rPr>
          <w:rFonts w:hint="eastAsia" w:ascii="黑体" w:eastAsia="黑体"/>
          <w:b w:val="0"/>
          <w:color w:val="000000"/>
        </w:rPr>
        <w:t>二、</w:t>
      </w:r>
      <w:r>
        <w:rPr>
          <w:rFonts w:hint="eastAsia" w:ascii="黑体" w:hAnsi="黑体" w:eastAsia="黑体"/>
          <w:b w:val="0"/>
          <w:color w:val="000000"/>
        </w:rPr>
        <w:t>机</w:t>
      </w:r>
      <w:r>
        <w:rPr>
          <w:rStyle w:val="32"/>
          <w:rFonts w:hint="eastAsia" w:ascii="黑体" w:hAnsi="黑体" w:eastAsia="黑体"/>
          <w:b w:val="0"/>
          <w:bCs w:val="0"/>
        </w:rPr>
        <w:t>构设置</w:t>
      </w:r>
      <w:bookmarkEnd w:id="30"/>
      <w:bookmarkEnd w:id="31"/>
      <w:bookmarkEnd w:id="32"/>
      <w:bookmarkEnd w:id="33"/>
      <w:bookmarkEnd w:id="34"/>
      <w:bookmarkEnd w:id="35"/>
    </w:p>
    <w:p w14:paraId="4FFB63EC">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我局为区人社局下属二级局。区社保局下属二级单位0个，其中行政单位0个，参照公务员法管理的事业单位0个，其他事业单位0个</w:t>
      </w:r>
    </w:p>
    <w:p w14:paraId="3A46A39D">
      <w:pPr>
        <w:ind w:firstLine="640" w:firstLineChars="200"/>
        <w:rPr>
          <w:rFonts w:hint="eastAsia" w:ascii="Times New Roman" w:hAnsi="Times New Roman" w:eastAsia="仿宋_GB2312" w:cs="仿宋_GB2312"/>
          <w:sz w:val="32"/>
          <w:szCs w:val="32"/>
          <w:lang w:val="en-US" w:eastAsia="zh-CN"/>
        </w:rPr>
      </w:pPr>
    </w:p>
    <w:p w14:paraId="50FEDF93">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纳入区社保局2024年度单位决算编制范围的二级预算单位包括：无。</w:t>
      </w:r>
    </w:p>
    <w:p w14:paraId="6E1CF3E6">
      <w:pPr>
        <w:widowControl/>
        <w:jc w:val="left"/>
        <w:rPr>
          <w:rFonts w:ascii="仿宋" w:hAnsi="仿宋" w:eastAsia="仿宋"/>
          <w:color w:val="000000"/>
          <w:kern w:val="0"/>
          <w:sz w:val="32"/>
          <w:szCs w:val="32"/>
        </w:rPr>
      </w:pPr>
    </w:p>
    <w:p w14:paraId="0E598BAF">
      <w:pPr>
        <w:pStyle w:val="3"/>
        <w:outlineLvl w:val="9"/>
      </w:pPr>
    </w:p>
    <w:p w14:paraId="59C808A5">
      <w:pPr>
        <w:pStyle w:val="2"/>
        <w:jc w:val="center"/>
        <w:rPr>
          <w:rFonts w:hint="eastAsia" w:ascii="Times New Roman" w:hAnsi="Times New Roman" w:eastAsia="方正小标宋简体" w:cs="方正小标宋简体"/>
          <w:b w:val="0"/>
          <w:color w:val="auto"/>
          <w:highlight w:val="none"/>
        </w:rPr>
      </w:pPr>
      <w:bookmarkStart w:id="36" w:name="_Toc31007"/>
      <w:bookmarkStart w:id="37" w:name="_Toc15377204"/>
      <w:bookmarkStart w:id="38" w:name="_Toc702_WPSOffice_Level1"/>
      <w:bookmarkStart w:id="39" w:name="_Toc30103_WPSOffice_Level1"/>
      <w:bookmarkStart w:id="40" w:name="_Toc24165"/>
      <w:bookmarkStart w:id="41" w:name="_Toc15396602"/>
      <w:bookmarkStart w:id="42" w:name="_Toc27685"/>
      <w:r>
        <w:rPr>
          <w:rFonts w:hint="eastAsia" w:ascii="Times New Roman" w:hAnsi="Times New Roman" w:eastAsia="方正小标宋简体" w:cs="方正小标宋简体"/>
          <w:b w:val="0"/>
          <w:color w:val="auto"/>
          <w:highlight w:val="none"/>
        </w:rPr>
        <w:t xml:space="preserve">第二部分 </w:t>
      </w:r>
      <w:r>
        <w:rPr>
          <w:rFonts w:hint="eastAsia" w:ascii="Times New Roman" w:hAnsi="Times New Roman" w:eastAsia="方正小标宋简体" w:cs="方正小标宋简体"/>
          <w:b w:val="0"/>
          <w:color w:val="auto"/>
          <w:highlight w:val="none"/>
          <w:lang w:eastAsia="zh-CN"/>
        </w:rPr>
        <w:t>2024</w:t>
      </w:r>
      <w:r>
        <w:rPr>
          <w:rFonts w:hint="eastAsia" w:ascii="Times New Roman" w:hAnsi="Times New Roman" w:eastAsia="方正小标宋简体" w:cs="方正小标宋简体"/>
          <w:b w:val="0"/>
          <w:color w:val="auto"/>
          <w:highlight w:val="none"/>
        </w:rPr>
        <w:t>年度</w:t>
      </w:r>
      <w:r>
        <w:rPr>
          <w:rFonts w:hint="eastAsia" w:ascii="Times New Roman" w:hAnsi="Times New Roman"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36"/>
      <w:bookmarkEnd w:id="37"/>
      <w:bookmarkEnd w:id="38"/>
      <w:bookmarkEnd w:id="39"/>
      <w:bookmarkEnd w:id="40"/>
      <w:bookmarkEnd w:id="41"/>
      <w:bookmarkEnd w:id="42"/>
    </w:p>
    <w:p w14:paraId="3784890A"/>
    <w:p w14:paraId="57D71F55">
      <w:pPr>
        <w:pStyle w:val="30"/>
        <w:numPr>
          <w:ilvl w:val="0"/>
          <w:numId w:val="1"/>
        </w:numPr>
        <w:spacing w:line="600" w:lineRule="exact"/>
        <w:ind w:firstLineChars="0"/>
        <w:outlineLvl w:val="1"/>
        <w:rPr>
          <w:rStyle w:val="32"/>
          <w:rFonts w:ascii="黑体" w:hAnsi="黑体" w:eastAsia="黑体"/>
          <w:b w:val="0"/>
        </w:rPr>
      </w:pPr>
      <w:bookmarkStart w:id="43" w:name="_Toc12997"/>
      <w:bookmarkStart w:id="44" w:name="_Toc15377205"/>
      <w:bookmarkStart w:id="45" w:name="_Toc15396603"/>
      <w:bookmarkStart w:id="46" w:name="_Toc28200"/>
      <w:bookmarkStart w:id="47" w:name="_Toc8225"/>
      <w:bookmarkStart w:id="48" w:name="_Toc4333_WPSOffice_Level2"/>
      <w:r>
        <w:rPr>
          <w:rFonts w:hint="eastAsia" w:ascii="黑体" w:hAnsi="黑体" w:eastAsia="黑体"/>
          <w:color w:val="000000"/>
          <w:sz w:val="32"/>
          <w:szCs w:val="32"/>
        </w:rPr>
        <w:t>收</w:t>
      </w:r>
      <w:r>
        <w:rPr>
          <w:rStyle w:val="32"/>
          <w:rFonts w:hint="eastAsia" w:ascii="黑体" w:hAnsi="黑体" w:eastAsia="黑体"/>
          <w:b w:val="0"/>
        </w:rPr>
        <w:t>入支出决算总体情况说明</w:t>
      </w:r>
      <w:bookmarkEnd w:id="43"/>
      <w:bookmarkEnd w:id="44"/>
      <w:bookmarkEnd w:id="45"/>
      <w:bookmarkEnd w:id="46"/>
      <w:bookmarkEnd w:id="47"/>
      <w:bookmarkEnd w:id="48"/>
    </w:p>
    <w:p w14:paraId="1CCDA1C8">
      <w:pPr>
        <w:ind w:firstLine="640" w:firstLineChars="200"/>
        <w:rPr>
          <w:rFonts w:hint="eastAsia" w:ascii="仿宋_GB2312" w:hAnsi="Times New Roman" w:eastAsia="仿宋" w:cs="Times New Roman"/>
          <w:kern w:val="2"/>
          <w:sz w:val="32"/>
          <w:szCs w:val="32"/>
          <w:lang w:val="en-US" w:eastAsia="zh-CN" w:bidi="ar-SA"/>
        </w:rPr>
      </w:pPr>
      <w:r>
        <w:rPr>
          <w:rFonts w:hint="eastAsia" w:ascii="Times New Roman" w:hAnsi="Times New Roman" w:eastAsia="仿宋_GB2312" w:cs="仿宋_GB2312"/>
          <w:sz w:val="32"/>
          <w:szCs w:val="32"/>
          <w:lang w:val="en-US" w:eastAsia="zh-CN"/>
        </w:rPr>
        <w:t>2024年度收入、支出总计1313.50万元，与2023年相比，收入、支出总计各减少414.08万元，下降23.97%，主要变动原因是抚恤金减少、老机保清理转移养老保险费项目资金减少</w:t>
      </w:r>
      <w:r>
        <w:rPr>
          <w:rFonts w:hint="eastAsia" w:ascii="仿宋_GB2312" w:hAnsi="Times New Roman" w:eastAsia="仿宋_GB2312" w:cs="Times New Roman"/>
          <w:kern w:val="2"/>
          <w:sz w:val="32"/>
          <w:szCs w:val="32"/>
          <w:lang w:val="en-US" w:eastAsia="zh-CN" w:bidi="ar-SA"/>
        </w:rPr>
        <w:t>。</w:t>
      </w:r>
    </w:p>
    <w:p w14:paraId="40F592A2">
      <w:pPr>
        <w:rPr>
          <w:rFonts w:hint="eastAsia" w:ascii="仿宋_GB2312" w:hAnsi="Times New Roman" w:eastAsia="仿宋_GB2312" w:cs="Times New Roman"/>
          <w:kern w:val="2"/>
          <w:sz w:val="32"/>
          <w:szCs w:val="32"/>
          <w:lang w:val="en-US" w:eastAsia="zh-CN" w:bidi="ar-SA"/>
        </w:rPr>
      </w:pPr>
      <w:r>
        <w:rPr>
          <w:rFonts w:hint="eastAsia"/>
          <w:lang w:val="en-US" w:eastAsia="zh-CN"/>
        </w:rPr>
        <w:t xml:space="preserve">                                                       </w:t>
      </w:r>
      <w:r>
        <w:rPr>
          <w:rFonts w:hint="eastAsia" w:ascii="仿宋" w:hAnsi="仿宋" w:eastAsia="仿宋"/>
          <w:color w:val="auto"/>
          <w:sz w:val="32"/>
          <w:szCs w:val="32"/>
          <w:highlight w:val="none"/>
          <w:lang w:val="en-US" w:eastAsia="zh-CN"/>
        </w:rPr>
        <w:t xml:space="preserve"> </w:t>
      </w:r>
      <w:r>
        <w:rPr>
          <w:rFonts w:hint="eastAsia" w:ascii="仿宋_GB2312" w:hAnsi="Times New Roman" w:eastAsia="仿宋_GB2312" w:cs="Times New Roman"/>
          <w:kern w:val="2"/>
          <w:sz w:val="32"/>
          <w:szCs w:val="32"/>
          <w:lang w:val="en-US" w:eastAsia="zh-CN" w:bidi="ar-SA"/>
        </w:rPr>
        <w:t>单位：万元</w:t>
      </w:r>
    </w:p>
    <w:p w14:paraId="22E4D5BD">
      <w:pPr>
        <w:jc w:val="center"/>
      </w:pPr>
      <w:r>
        <w:rPr>
          <w:rFonts w:hint="eastAsia" w:ascii="仿宋" w:hAnsi="仿宋" w:eastAsia="仿宋"/>
          <w:color w:val="000000" w:themeColor="text1"/>
          <w:sz w:val="32"/>
          <w:szCs w:val="32"/>
          <w:highlight w:val="none"/>
        </w:rPr>
        <w:drawing>
          <wp:inline distT="0" distB="0" distL="114300" distR="114300">
            <wp:extent cx="4581525" cy="2466975"/>
            <wp:effectExtent l="4445" t="4445" r="16510" b="1270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6DECA2">
      <w:pPr>
        <w:jc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（图1：收入、支出决算总计变动情况图）（柱状图）</w:t>
      </w:r>
    </w:p>
    <w:p w14:paraId="4671BAC8">
      <w:pPr>
        <w:spacing w:line="600" w:lineRule="exact"/>
        <w:ind w:firstLine="640" w:firstLineChars="200"/>
        <w:jc w:val="left"/>
        <w:rPr>
          <w:rFonts w:ascii="仿宋_GB2312" w:eastAsia="仿宋_GB2312"/>
          <w:color w:val="000000"/>
          <w:sz w:val="32"/>
          <w:szCs w:val="32"/>
        </w:rPr>
      </w:pPr>
    </w:p>
    <w:p w14:paraId="1060668C">
      <w:pPr>
        <w:pStyle w:val="30"/>
        <w:numPr>
          <w:ilvl w:val="0"/>
          <w:numId w:val="1"/>
        </w:numPr>
        <w:spacing w:line="600" w:lineRule="exact"/>
        <w:ind w:firstLineChars="0"/>
        <w:outlineLvl w:val="1"/>
        <w:rPr>
          <w:rStyle w:val="32"/>
          <w:rFonts w:ascii="黑体" w:hAnsi="黑体" w:eastAsia="黑体"/>
          <w:b w:val="0"/>
        </w:rPr>
      </w:pPr>
      <w:bookmarkStart w:id="49" w:name="_Toc27307"/>
      <w:bookmarkStart w:id="50" w:name="_Toc14427"/>
      <w:bookmarkStart w:id="51" w:name="_Toc15396604"/>
      <w:bookmarkStart w:id="52" w:name="_Toc14591_WPSOffice_Level2"/>
      <w:bookmarkStart w:id="53" w:name="_Toc15054"/>
      <w:bookmarkStart w:id="54" w:name="_Toc15377206"/>
      <w:r>
        <w:rPr>
          <w:rFonts w:hint="eastAsia" w:ascii="黑体" w:hAnsi="黑体" w:eastAsia="黑体"/>
          <w:color w:val="000000"/>
          <w:sz w:val="32"/>
          <w:szCs w:val="32"/>
        </w:rPr>
        <w:t>收</w:t>
      </w:r>
      <w:r>
        <w:rPr>
          <w:rStyle w:val="32"/>
          <w:rFonts w:hint="eastAsia" w:ascii="黑体" w:hAnsi="黑体" w:eastAsia="黑体"/>
          <w:b w:val="0"/>
        </w:rPr>
        <w:t>入决算情况说明</w:t>
      </w:r>
      <w:bookmarkEnd w:id="49"/>
      <w:bookmarkEnd w:id="50"/>
      <w:bookmarkEnd w:id="51"/>
      <w:bookmarkEnd w:id="52"/>
      <w:bookmarkEnd w:id="53"/>
      <w:bookmarkEnd w:id="54"/>
    </w:p>
    <w:p w14:paraId="47F4EF83">
      <w:pPr>
        <w:ind w:firstLine="640" w:firstLineChars="200"/>
        <w:jc w:val="both"/>
        <w:rPr>
          <w:rFonts w:hint="eastAsia" w:ascii="Times New Roman" w:hAnsi="Times New Roman" w:eastAsia="仿宋_GB2312" w:cs="仿宋_GB2312"/>
          <w:sz w:val="32"/>
          <w:szCs w:val="32"/>
          <w:lang w:val="en-US" w:eastAsia="zh-CN"/>
        </w:rPr>
      </w:pPr>
      <w:bookmarkStart w:id="55" w:name="_Toc8372"/>
      <w:r>
        <w:rPr>
          <w:rFonts w:hint="eastAsia" w:ascii="Times New Roman" w:hAnsi="Times New Roman" w:eastAsia="仿宋_GB2312" w:cs="仿宋_GB2312"/>
          <w:sz w:val="32"/>
          <w:szCs w:val="32"/>
          <w:lang w:val="en-US" w:eastAsia="zh-CN"/>
        </w:rPr>
        <w:t>2024年本年收入合计1313.50万元，其中：一般公共预算财政拨款收入1313.50万元，占100%。</w:t>
      </w:r>
      <w:bookmarkEnd w:id="55"/>
    </w:p>
    <w:p w14:paraId="7CAAAEA7">
      <w:pPr>
        <w:jc w:val="right"/>
        <w:rPr>
          <w:rFonts w:ascii="仿宋" w:hAnsi="仿宋" w:eastAsia="仿宋"/>
          <w:color w:val="000000"/>
          <w:sz w:val="32"/>
          <w:szCs w:val="32"/>
        </w:rPr>
      </w:pPr>
      <w:r>
        <w:rPr>
          <w:rFonts w:hint="eastAsia"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525145</wp:posOffset>
            </wp:positionH>
            <wp:positionV relativeFrom="paragraph">
              <wp:posOffset>454025</wp:posOffset>
            </wp:positionV>
            <wp:extent cx="4772025" cy="2752725"/>
            <wp:effectExtent l="4445" t="4445" r="8890" b="1651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CD4CACB">
      <w:pPr>
        <w:ind w:firstLine="640" w:firstLineChars="200"/>
        <w:jc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（图2：收入决算结构图）（饼状图）</w:t>
      </w:r>
    </w:p>
    <w:p w14:paraId="72129631">
      <w:pPr>
        <w:pStyle w:val="14"/>
      </w:pPr>
    </w:p>
    <w:p w14:paraId="3E65B625">
      <w:pPr>
        <w:pStyle w:val="30"/>
        <w:numPr>
          <w:ilvl w:val="0"/>
          <w:numId w:val="0"/>
        </w:numPr>
        <w:spacing w:line="600" w:lineRule="exact"/>
        <w:ind w:left="640" w:leftChars="0"/>
        <w:outlineLvl w:val="1"/>
        <w:rPr>
          <w:rFonts w:hint="eastAsia" w:ascii="仿宋_GB2312" w:eastAsia="仿宋_GB2312" w:cs="Times New Roman"/>
          <w:kern w:val="2"/>
          <w:sz w:val="32"/>
          <w:szCs w:val="32"/>
          <w:lang w:val="en-US" w:eastAsia="zh-CN" w:bidi="ar-SA"/>
        </w:rPr>
      </w:pPr>
      <w:bookmarkStart w:id="56" w:name="_Toc8237"/>
      <w:bookmarkStart w:id="57" w:name="_Toc17829"/>
      <w:bookmarkStart w:id="58" w:name="_Toc11845_WPSOffice_Level2"/>
      <w:bookmarkStart w:id="59" w:name="_Toc349"/>
      <w:bookmarkStart w:id="60" w:name="_Toc15396605"/>
      <w:bookmarkStart w:id="61"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32"/>
          <w:rFonts w:hint="eastAsia" w:ascii="黑体" w:hAnsi="黑体" w:eastAsia="黑体"/>
          <w:b w:val="0"/>
        </w:rPr>
        <w:t>出决算情况说明</w:t>
      </w:r>
      <w:bookmarkEnd w:id="56"/>
      <w:bookmarkEnd w:id="57"/>
      <w:bookmarkEnd w:id="58"/>
      <w:bookmarkEnd w:id="59"/>
      <w:bookmarkEnd w:id="60"/>
      <w:bookmarkEnd w:id="61"/>
    </w:p>
    <w:p w14:paraId="38B3292F">
      <w:pPr>
        <w:ind w:firstLine="640" w:firstLineChars="20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2024年本年支出合计1313.50万元，其中：基本支出1296.95万元，占98.74%；项目支出16.55万元，占1.26%。</w:t>
      </w:r>
    </w:p>
    <w:p w14:paraId="537C55A1">
      <w:pPr>
        <w:rPr>
          <w:rFonts w:hint="eastAsia"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817880</wp:posOffset>
            </wp:positionH>
            <wp:positionV relativeFrom="paragraph">
              <wp:posOffset>71120</wp:posOffset>
            </wp:positionV>
            <wp:extent cx="4138930" cy="2695575"/>
            <wp:effectExtent l="4445" t="4445" r="17145" b="1270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9E12AC3">
      <w:pPr>
        <w:rPr>
          <w:rFonts w:hint="eastAsia" w:ascii="仿宋" w:hAnsi="仿宋" w:eastAsia="仿宋"/>
          <w:color w:val="000000" w:themeColor="text1"/>
          <w:sz w:val="32"/>
          <w:szCs w:val="32"/>
        </w:rPr>
      </w:pPr>
    </w:p>
    <w:p w14:paraId="1AA7DA56">
      <w:pPr>
        <w:rPr>
          <w:rFonts w:hint="eastAsia" w:ascii="仿宋" w:hAnsi="仿宋" w:eastAsia="仿宋"/>
          <w:color w:val="000000" w:themeColor="text1"/>
          <w:sz w:val="32"/>
          <w:szCs w:val="32"/>
        </w:rPr>
      </w:pPr>
    </w:p>
    <w:p w14:paraId="029D7B46">
      <w:pPr>
        <w:rPr>
          <w:rFonts w:hint="eastAsia" w:ascii="仿宋" w:hAnsi="仿宋" w:eastAsia="仿宋"/>
          <w:color w:val="000000" w:themeColor="text1"/>
          <w:sz w:val="32"/>
          <w:szCs w:val="32"/>
        </w:rPr>
      </w:pPr>
    </w:p>
    <w:p w14:paraId="2BC05918">
      <w:pPr>
        <w:rPr>
          <w:rFonts w:hint="eastAsia" w:ascii="仿宋" w:hAnsi="仿宋" w:eastAsia="仿宋"/>
          <w:color w:val="000000" w:themeColor="text1"/>
          <w:sz w:val="32"/>
          <w:szCs w:val="32"/>
        </w:rPr>
      </w:pPr>
    </w:p>
    <w:p w14:paraId="6960138F">
      <w:pPr>
        <w:rPr>
          <w:rFonts w:hint="eastAsia" w:ascii="仿宋" w:hAnsi="仿宋" w:eastAsia="仿宋"/>
          <w:color w:val="000000" w:themeColor="text1"/>
          <w:sz w:val="32"/>
          <w:szCs w:val="32"/>
        </w:rPr>
      </w:pPr>
    </w:p>
    <w:p w14:paraId="2AA0C00B">
      <w:pPr>
        <w:rPr>
          <w:rFonts w:hint="eastAsia" w:ascii="仿宋" w:hAnsi="仿宋" w:eastAsia="仿宋"/>
          <w:color w:val="000000" w:themeColor="text1"/>
          <w:sz w:val="32"/>
          <w:szCs w:val="32"/>
        </w:rPr>
      </w:pPr>
    </w:p>
    <w:p w14:paraId="33668EEC">
      <w:pPr>
        <w:rPr>
          <w:rFonts w:hint="eastAsia" w:ascii="仿宋" w:hAnsi="仿宋" w:eastAsia="仿宋"/>
          <w:color w:val="000000" w:themeColor="text1"/>
          <w:sz w:val="32"/>
          <w:szCs w:val="32"/>
        </w:rPr>
      </w:pPr>
    </w:p>
    <w:p w14:paraId="2FA0C6E3">
      <w:pPr>
        <w:ind w:firstLine="640" w:firstLineChars="200"/>
        <w:jc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（图3：支出决算结构图）（饼状图）</w:t>
      </w:r>
    </w:p>
    <w:p w14:paraId="3F303516">
      <w:pPr>
        <w:spacing w:line="600" w:lineRule="exact"/>
        <w:ind w:firstLine="640" w:firstLineChars="200"/>
        <w:rPr>
          <w:rFonts w:ascii="仿宋_GB2312" w:eastAsia="仿宋_GB2312"/>
          <w:color w:val="FF0000"/>
          <w:sz w:val="32"/>
          <w:szCs w:val="32"/>
        </w:rPr>
      </w:pPr>
    </w:p>
    <w:p w14:paraId="5292A815">
      <w:pPr>
        <w:spacing w:line="600" w:lineRule="exact"/>
        <w:ind w:firstLine="640" w:firstLineChars="200"/>
        <w:outlineLvl w:val="1"/>
        <w:rPr>
          <w:rStyle w:val="32"/>
          <w:rFonts w:ascii="黑体" w:hAnsi="黑体" w:eastAsia="黑体"/>
          <w:b w:val="0"/>
        </w:rPr>
      </w:pPr>
      <w:bookmarkStart w:id="62" w:name="_Toc15396606"/>
      <w:bookmarkStart w:id="63" w:name="_Toc9851"/>
      <w:bookmarkStart w:id="64" w:name="_Toc14832_WPSOffice_Level2"/>
      <w:bookmarkStart w:id="65" w:name="_Toc15377208"/>
      <w:bookmarkStart w:id="66" w:name="_Toc25851"/>
      <w:bookmarkStart w:id="67" w:name="_Toc1268"/>
      <w:r>
        <w:rPr>
          <w:rFonts w:hint="eastAsia" w:ascii="黑体" w:hAnsi="黑体" w:eastAsia="黑体"/>
          <w:color w:val="000000"/>
          <w:sz w:val="32"/>
          <w:szCs w:val="32"/>
        </w:rPr>
        <w:t>四、财</w:t>
      </w:r>
      <w:r>
        <w:rPr>
          <w:rStyle w:val="32"/>
          <w:rFonts w:hint="eastAsia" w:ascii="黑体" w:hAnsi="黑体" w:eastAsia="黑体"/>
          <w:b w:val="0"/>
        </w:rPr>
        <w:t>政拨款收入支出决算总体情况说明</w:t>
      </w:r>
      <w:bookmarkEnd w:id="62"/>
      <w:bookmarkEnd w:id="63"/>
      <w:bookmarkEnd w:id="64"/>
      <w:bookmarkEnd w:id="65"/>
      <w:bookmarkEnd w:id="66"/>
      <w:bookmarkEnd w:id="67"/>
    </w:p>
    <w:p w14:paraId="341DB8C2">
      <w:pPr>
        <w:ind w:firstLine="640" w:firstLineChars="200"/>
        <w:jc w:val="both"/>
        <w:rPr>
          <w:rFonts w:hint="eastAsia" w:ascii="仿宋_GB2312" w:eastAsia="仿宋_GB2312" w:cs="Times New Roman"/>
          <w:kern w:val="2"/>
          <w:sz w:val="32"/>
          <w:szCs w:val="32"/>
          <w:lang w:val="en-US" w:eastAsia="zh-CN" w:bidi="ar-SA"/>
        </w:rPr>
      </w:pPr>
      <w:r>
        <w:rPr>
          <w:rFonts w:hint="eastAsia" w:ascii="Times New Roman" w:hAnsi="Times New Roman" w:eastAsia="仿宋_GB2312" w:cs="仿宋_GB2312"/>
          <w:sz w:val="32"/>
          <w:szCs w:val="32"/>
          <w:lang w:val="en-US" w:eastAsia="zh-CN"/>
        </w:rPr>
        <w:t>2024年度财政拨款收入、支出总计1313.50万元，与2023年相比，财政拨款收入、支出总计各减少414.08万元，下降23.97%，主要变动原因是抚恤金减少、老机保清理转移养老保险费项目资金减少</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 xml:space="preserve">                                   </w:t>
      </w:r>
    </w:p>
    <w:p w14:paraId="54B95535">
      <w:pPr>
        <w:ind w:firstLine="640" w:firstLineChars="200"/>
        <w:jc w:val="righ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单位：万元</w:t>
      </w:r>
    </w:p>
    <w:p w14:paraId="2C34F94C">
      <w:pPr>
        <w:jc w:val="center"/>
      </w:pPr>
      <w:r>
        <w:rPr>
          <w:rFonts w:hint="eastAsia" w:ascii="仿宋" w:hAnsi="仿宋" w:eastAsia="仿宋"/>
          <w:color w:val="000000" w:themeColor="text1"/>
          <w:sz w:val="32"/>
          <w:szCs w:val="32"/>
        </w:rPr>
        <w:drawing>
          <wp:inline distT="0" distB="0" distL="114300" distR="114300">
            <wp:extent cx="4581525" cy="2466975"/>
            <wp:effectExtent l="4445" t="4445" r="16510" b="1270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40ABE9">
      <w:pPr>
        <w:jc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（图4：财政拨款收入、支出决算总计变动情况）（柱状图）</w:t>
      </w:r>
    </w:p>
    <w:p w14:paraId="5FC10D27">
      <w:pPr>
        <w:numPr>
          <w:ilvl w:val="0"/>
          <w:numId w:val="2"/>
        </w:numPr>
        <w:spacing w:line="600" w:lineRule="exact"/>
        <w:ind w:firstLine="643" w:firstLineChars="200"/>
        <w:outlineLvl w:val="1"/>
        <w:rPr>
          <w:rStyle w:val="32"/>
          <w:rFonts w:hint="eastAsia" w:ascii="黑体" w:hAnsi="黑体" w:eastAsia="黑体"/>
          <w:b w:val="0"/>
        </w:rPr>
      </w:pPr>
      <w:bookmarkStart w:id="68" w:name="_Toc26436"/>
      <w:bookmarkStart w:id="69" w:name="_Toc30891_WPSOffice_Level2"/>
      <w:bookmarkStart w:id="70" w:name="_Toc3423"/>
      <w:bookmarkStart w:id="71" w:name="_Toc15377209"/>
      <w:bookmarkStart w:id="72" w:name="_Toc25416"/>
      <w:bookmarkStart w:id="73" w:name="_Toc15396607"/>
      <w:r>
        <w:rPr>
          <w:rFonts w:hint="eastAsia" w:ascii="黑体" w:hAnsi="黑体" w:eastAsia="黑体"/>
          <w:b/>
          <w:color w:val="000000"/>
          <w:sz w:val="32"/>
          <w:szCs w:val="32"/>
        </w:rPr>
        <w:t>一</w:t>
      </w:r>
      <w:r>
        <w:rPr>
          <w:rStyle w:val="32"/>
          <w:rFonts w:hint="eastAsia" w:ascii="黑体" w:hAnsi="黑体" w:eastAsia="黑体"/>
          <w:b w:val="0"/>
        </w:rPr>
        <w:t>般公共预算财政拨款支出决算情况说明</w:t>
      </w:r>
      <w:bookmarkEnd w:id="68"/>
      <w:bookmarkEnd w:id="69"/>
      <w:bookmarkEnd w:id="70"/>
      <w:bookmarkEnd w:id="71"/>
      <w:bookmarkEnd w:id="72"/>
      <w:bookmarkEnd w:id="73"/>
    </w:p>
    <w:p w14:paraId="491AB97F">
      <w:pPr>
        <w:pStyle w:val="14"/>
        <w:numPr>
          <w:ilvl w:val="0"/>
          <w:numId w:val="0"/>
        </w:numPr>
      </w:pPr>
    </w:p>
    <w:p w14:paraId="682B7792">
      <w:pPr>
        <w:numPr>
          <w:ilvl w:val="0"/>
          <w:numId w:val="3"/>
        </w:numPr>
        <w:spacing w:line="600" w:lineRule="exact"/>
        <w:ind w:firstLine="643" w:firstLineChars="200"/>
        <w:outlineLvl w:val="9"/>
        <w:rPr>
          <w:rFonts w:hint="eastAsia" w:ascii="楷体" w:hAnsi="楷体" w:eastAsia="楷体" w:cs="楷体"/>
          <w:b/>
          <w:color w:val="000000"/>
          <w:sz w:val="32"/>
          <w:szCs w:val="32"/>
        </w:rPr>
      </w:pPr>
      <w:bookmarkStart w:id="74" w:name="_Toc15377210"/>
      <w:r>
        <w:rPr>
          <w:rFonts w:hint="eastAsia" w:ascii="楷体" w:hAnsi="楷体" w:eastAsia="楷体" w:cs="楷体"/>
          <w:b/>
          <w:color w:val="000000"/>
          <w:sz w:val="32"/>
          <w:szCs w:val="32"/>
        </w:rPr>
        <w:t>一般公共预算财政拨款支出决算总体情况</w:t>
      </w:r>
      <w:bookmarkEnd w:id="74"/>
    </w:p>
    <w:p w14:paraId="4BEB54F7">
      <w:pPr>
        <w:pStyle w:val="14"/>
        <w:numPr>
          <w:ilvl w:val="0"/>
          <w:numId w:val="0"/>
        </w:numPr>
      </w:pPr>
    </w:p>
    <w:p w14:paraId="31A62634">
      <w:pPr>
        <w:ind w:firstLine="640" w:firstLineChars="200"/>
        <w:rPr>
          <w:rFonts w:hint="eastAsia" w:eastAsia="仿宋"/>
          <w:lang w:eastAsia="zh-CN"/>
        </w:rPr>
      </w:pPr>
      <w:r>
        <w:rPr>
          <w:rFonts w:hint="eastAsia" w:ascii="Times New Roman" w:hAnsi="Times New Roman" w:eastAsia="仿宋_GB2312" w:cs="仿宋_GB2312"/>
          <w:sz w:val="32"/>
          <w:szCs w:val="32"/>
          <w:lang w:val="en-US" w:eastAsia="zh-CN"/>
        </w:rPr>
        <w:t>2024年一般公共预算财政拨款支出1313.50万元。占本年支出合计的100%。与2023年相比，财政拨款收入、支出总计各减少414.08万元，下降23.97%，主要变动原因是抚恤金减少、老机保清理转移养老保险费项目资金减少。</w:t>
      </w:r>
      <w:r>
        <w:rPr>
          <w:rFonts w:hint="eastAsia" w:ascii="仿宋_GB2312" w:eastAsia="仿宋_GB2312" w:cs="Times New Roman"/>
          <w:kern w:val="2"/>
          <w:sz w:val="32"/>
          <w:szCs w:val="32"/>
          <w:lang w:val="en-US" w:eastAsia="zh-CN" w:bidi="ar-SA"/>
        </w:rPr>
        <w:t xml:space="preserve"> </w:t>
      </w:r>
    </w:p>
    <w:p w14:paraId="4F193A89">
      <w:pPr>
        <w:pStyle w:val="6"/>
        <w:rPr>
          <w:rFonts w:hint="eastAsia"/>
          <w:lang w:val="en-US" w:eastAsia="zh-CN"/>
        </w:rPr>
      </w:pPr>
      <w:r>
        <w:rPr>
          <w:rFonts w:hint="eastAsia"/>
          <w:lang w:val="en-US" w:eastAsia="zh-CN"/>
        </w:rPr>
        <w:t xml:space="preserve">                                      </w:t>
      </w:r>
    </w:p>
    <w:p w14:paraId="56AF3DFF">
      <w:pPr>
        <w:pStyle w:val="6"/>
        <w:rPr>
          <w:rFonts w:hint="eastAsia"/>
          <w:lang w:val="en-US" w:eastAsia="zh-CN"/>
        </w:rPr>
      </w:pPr>
    </w:p>
    <w:p w14:paraId="44F11E33">
      <w:pPr>
        <w:pStyle w:val="6"/>
        <w:ind w:firstLine="5400" w:firstLineChars="1800"/>
        <w:rPr>
          <w:rFonts w:hint="eastAsia"/>
          <w:lang w:val="en-US" w:eastAsia="zh-CN"/>
        </w:rPr>
      </w:pPr>
    </w:p>
    <w:p w14:paraId="6A1DD6C9">
      <w:pPr>
        <w:pStyle w:val="6"/>
        <w:ind w:firstLine="5400" w:firstLineChars="1800"/>
        <w:rPr>
          <w:rFonts w:hint="eastAsia"/>
        </w:rPr>
      </w:pPr>
      <w:r>
        <w:rPr>
          <w:rFonts w:hint="eastAsia"/>
          <w:lang w:val="en-US" w:eastAsia="zh-CN"/>
        </w:rPr>
        <w:t xml:space="preserve"> </w:t>
      </w:r>
      <w:r>
        <w:rPr>
          <w:rFonts w:hint="eastAsia" w:ascii="仿宋_GB2312" w:hAnsi="Times New Roman" w:eastAsia="仿宋_GB2312" w:cs="Times New Roman"/>
          <w:kern w:val="2"/>
          <w:sz w:val="32"/>
          <w:szCs w:val="32"/>
          <w:lang w:val="en-US" w:eastAsia="zh-CN" w:bidi="ar-SA"/>
        </w:rPr>
        <w:t>单位：万元</w:t>
      </w:r>
    </w:p>
    <w:p w14:paraId="09D03632">
      <w:pPr>
        <w:pStyle w:val="6"/>
        <w:rPr>
          <w:rFonts w:hint="eastAsia"/>
        </w:rPr>
      </w:pPr>
    </w:p>
    <w:p w14:paraId="2210292B">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419100</wp:posOffset>
            </wp:positionH>
            <wp:positionV relativeFrom="paragraph">
              <wp:posOffset>-388620</wp:posOffset>
            </wp:positionV>
            <wp:extent cx="4254500" cy="2241550"/>
            <wp:effectExtent l="5080" t="4445" r="7620" b="952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04E6212">
      <w:pPr>
        <w:spacing w:line="600" w:lineRule="exact"/>
        <w:ind w:firstLine="640" w:firstLineChars="200"/>
        <w:rPr>
          <w:rFonts w:hint="eastAsia" w:ascii="仿宋" w:hAnsi="仿宋" w:eastAsia="仿宋"/>
          <w:color w:val="000000"/>
          <w:sz w:val="32"/>
          <w:szCs w:val="32"/>
        </w:rPr>
      </w:pPr>
    </w:p>
    <w:p w14:paraId="5931A204">
      <w:pPr>
        <w:pStyle w:val="6"/>
        <w:rPr>
          <w:rFonts w:hint="eastAsia" w:ascii="仿宋" w:hAnsi="仿宋" w:eastAsia="仿宋"/>
          <w:color w:val="000000"/>
          <w:sz w:val="32"/>
          <w:szCs w:val="32"/>
        </w:rPr>
      </w:pPr>
    </w:p>
    <w:p w14:paraId="2332C63C">
      <w:pPr>
        <w:pStyle w:val="6"/>
        <w:rPr>
          <w:rFonts w:hint="eastAsia" w:ascii="仿宋" w:hAnsi="仿宋" w:eastAsia="仿宋"/>
          <w:color w:val="000000"/>
          <w:sz w:val="32"/>
          <w:szCs w:val="32"/>
        </w:rPr>
      </w:pPr>
    </w:p>
    <w:p w14:paraId="0810A5B5">
      <w:pPr>
        <w:spacing w:line="600" w:lineRule="exact"/>
        <w:rPr>
          <w:rFonts w:hint="eastAsia" w:ascii="仿宋_GB2312" w:hAnsi="Times New Roman" w:eastAsia="仿宋_GB2312" w:cs="Times New Roman"/>
          <w:kern w:val="2"/>
          <w:sz w:val="32"/>
          <w:szCs w:val="32"/>
          <w:lang w:val="en-US" w:eastAsia="zh-CN" w:bidi="ar-SA"/>
        </w:rPr>
      </w:pPr>
    </w:p>
    <w:p w14:paraId="4C600B43">
      <w:pPr>
        <w:spacing w:line="600" w:lineRule="exact"/>
        <w:jc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（图5：一般公共预算财政拨款支出决算变动情况）（柱状图）</w:t>
      </w:r>
    </w:p>
    <w:p w14:paraId="1C0C14FD">
      <w:pPr>
        <w:numPr>
          <w:ilvl w:val="0"/>
          <w:numId w:val="0"/>
        </w:numPr>
        <w:spacing w:line="600" w:lineRule="exact"/>
        <w:ind w:firstLine="321" w:firstLineChars="100"/>
        <w:outlineLvl w:val="9"/>
        <w:rPr>
          <w:rFonts w:hint="eastAsia" w:ascii="楷体" w:hAnsi="楷体" w:eastAsia="楷体" w:cs="楷体"/>
        </w:rPr>
      </w:pPr>
      <w:bookmarkStart w:id="75" w:name="_Toc15377211"/>
      <w:r>
        <w:rPr>
          <w:rFonts w:hint="eastAsia" w:ascii="楷体" w:hAnsi="楷体" w:eastAsia="楷体" w:cs="楷体"/>
          <w:b/>
          <w:color w:val="000000"/>
          <w:sz w:val="32"/>
          <w:szCs w:val="32"/>
          <w:lang w:eastAsia="zh-CN"/>
        </w:rPr>
        <w:t>（二）</w:t>
      </w:r>
      <w:r>
        <w:rPr>
          <w:rFonts w:hint="eastAsia" w:ascii="楷体" w:hAnsi="楷体" w:eastAsia="楷体" w:cs="楷体"/>
          <w:b/>
          <w:color w:val="000000"/>
          <w:sz w:val="32"/>
          <w:szCs w:val="32"/>
        </w:rPr>
        <w:t>一般公共预算财政拨款支出决算结构情况</w:t>
      </w:r>
      <w:bookmarkEnd w:id="75"/>
    </w:p>
    <w:p w14:paraId="40F6988C">
      <w:pPr>
        <w:pStyle w:val="14"/>
      </w:pPr>
    </w:p>
    <w:p w14:paraId="2D1DE787">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2024年一般公共预算财政拨款支出1313.50万元，主要用于以下方面:社会保障和就业支出1256.46万元，占95.66%；卫生健康支出20.47万元，占1.56%；住房保障支出36.57万元，占2.78%。</w:t>
      </w:r>
    </w:p>
    <w:p w14:paraId="59FA90E0">
      <w:pPr>
        <w:ind w:firstLine="640" w:firstLineChars="200"/>
        <w:rPr>
          <w:rFonts w:hint="eastAsia" w:ascii="仿宋_GB2312" w:hAnsi="Times New Roman" w:eastAsia="仿宋_GB2312" w:cs="Times New Roman"/>
          <w:kern w:val="2"/>
          <w:sz w:val="32"/>
          <w:szCs w:val="32"/>
          <w:lang w:val="en-US" w:eastAsia="zh-CN" w:bidi="ar-SA"/>
        </w:rPr>
      </w:pPr>
    </w:p>
    <w:p w14:paraId="278839F9">
      <w:pPr>
        <w:spacing w:line="600" w:lineRule="exact"/>
        <w:ind w:firstLine="640"/>
        <w:rPr>
          <w:rFonts w:ascii="仿宋" w:hAnsi="仿宋" w:eastAsia="仿宋"/>
          <w:b/>
          <w:color w:val="000000" w:themeColor="text1"/>
          <w:sz w:val="32"/>
          <w:szCs w:val="32"/>
        </w:rPr>
      </w:pPr>
      <w:r>
        <w:rPr>
          <w:rFonts w:hint="eastAsia" w:ascii="仿宋_GB2312" w:hAnsi="Times New Roman" w:eastAsia="仿宋_GB2312" w:cs="Times New Roman"/>
          <w:kern w:val="2"/>
          <w:sz w:val="32"/>
          <w:szCs w:val="32"/>
          <w:lang w:val="en-US" w:eastAsia="zh-CN" w:bidi="ar-SA"/>
        </w:rPr>
        <w:drawing>
          <wp:anchor distT="0" distB="0" distL="114300" distR="114300" simplePos="0" relativeHeight="251661312" behindDoc="0" locked="0" layoutInCell="1" allowOverlap="1">
            <wp:simplePos x="0" y="0"/>
            <wp:positionH relativeFrom="column">
              <wp:posOffset>285115</wp:posOffset>
            </wp:positionH>
            <wp:positionV relativeFrom="paragraph">
              <wp:posOffset>42545</wp:posOffset>
            </wp:positionV>
            <wp:extent cx="5191125" cy="2733040"/>
            <wp:effectExtent l="4445" t="4445" r="5080" b="571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C3B6671">
      <w:pPr>
        <w:jc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（图6：一般公共预算财政拨款支出决算结构）（饼状图）</w:t>
      </w:r>
    </w:p>
    <w:p w14:paraId="14584875">
      <w:pPr>
        <w:spacing w:line="600" w:lineRule="exact"/>
        <w:rPr>
          <w:rFonts w:ascii="仿宋" w:hAnsi="仿宋" w:eastAsia="仿宋"/>
          <w:color w:val="000000"/>
          <w:sz w:val="32"/>
          <w:szCs w:val="32"/>
        </w:rPr>
      </w:pPr>
    </w:p>
    <w:p w14:paraId="3BEAE10D">
      <w:pPr>
        <w:spacing w:line="600" w:lineRule="exact"/>
        <w:ind w:firstLine="643" w:firstLineChars="200"/>
        <w:outlineLvl w:val="9"/>
        <w:rPr>
          <w:rFonts w:hint="eastAsia" w:ascii="楷体" w:hAnsi="楷体" w:eastAsia="楷体" w:cs="楷体"/>
          <w:b/>
          <w:color w:val="000000"/>
          <w:sz w:val="32"/>
          <w:szCs w:val="32"/>
        </w:rPr>
      </w:pPr>
      <w:bookmarkStart w:id="76" w:name="_Toc15377212"/>
      <w:r>
        <w:rPr>
          <w:rFonts w:hint="eastAsia" w:ascii="楷体" w:hAnsi="楷体" w:eastAsia="楷体" w:cs="楷体"/>
          <w:b/>
          <w:color w:val="000000"/>
          <w:sz w:val="32"/>
          <w:szCs w:val="32"/>
        </w:rPr>
        <w:t>（三）一般公共预算财政拨款支出决算具体情况</w:t>
      </w:r>
      <w:bookmarkEnd w:id="76"/>
    </w:p>
    <w:p w14:paraId="7E91CE00">
      <w:pPr>
        <w:ind w:firstLine="640" w:firstLineChars="200"/>
        <w:rPr>
          <w:rFonts w:hint="eastAsia" w:ascii="Times New Roman" w:hAnsi="Times New Roman" w:eastAsia="仿宋_GB2312" w:cs="仿宋_GB2312"/>
          <w:sz w:val="32"/>
          <w:szCs w:val="32"/>
          <w:lang w:val="en-US" w:eastAsia="zh-CN"/>
        </w:rPr>
      </w:pPr>
      <w:bookmarkStart w:id="77" w:name="_Toc15377213"/>
      <w:bookmarkStart w:id="78" w:name="_Toc15377444"/>
      <w:bookmarkStart w:id="79" w:name="_Toc15378460"/>
      <w:r>
        <w:rPr>
          <w:rFonts w:hint="eastAsia" w:ascii="Times New Roman" w:hAnsi="Times New Roman" w:eastAsia="仿宋_GB2312" w:cs="仿宋_GB2312"/>
          <w:sz w:val="32"/>
          <w:szCs w:val="32"/>
          <w:lang w:val="en-US" w:eastAsia="zh-CN"/>
        </w:rPr>
        <w:t>2024年一般公共预算支出决算数为1313.50，完成预算100.00%。其中：</w:t>
      </w:r>
      <w:bookmarkEnd w:id="77"/>
      <w:bookmarkEnd w:id="78"/>
      <w:bookmarkEnd w:id="79"/>
    </w:p>
    <w:p w14:paraId="2963747F">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1.社会保障和就业（类）人力资源和社会保障管理事务（款）社会保险经办机构支出: 支出决算为346.59万元，完成预算100%，决算数等于预算数。</w:t>
      </w:r>
    </w:p>
    <w:p w14:paraId="6B828967">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2.社会保障和就业（类）人力资源和社会保障管理事务（款）其他人力资源和社会保障管理事务支出（项）: 支出决算为118.81万元，决算数等于预算数。</w:t>
      </w:r>
    </w:p>
    <w:p w14:paraId="7DE1ED01">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3.社会保障和就业支出（类）行政事业单位养老支出（款）行政单位离退休（项）:支出决算为4.48 万元，完成预算100%，决算数等于预算数。</w:t>
      </w:r>
    </w:p>
    <w:p w14:paraId="075C9D27">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4.社会保障和就业支出（类）行政事业单位养老支出（款）机关事业单位基本养老保险缴费支出（项）:支出决算为48.88 万元，完成预算100%，决算数等于预算数。</w:t>
      </w:r>
    </w:p>
    <w:p w14:paraId="135A6148">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5.社会保障和就业支出（类）抚恤（款）死亡抚恤（项）:支出决算为734.44 万元，完成预算100%，决算数等于预算数。</w:t>
      </w:r>
    </w:p>
    <w:p w14:paraId="1A7110BC">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6.社会保障和就业支出（类）其他社会保障和就业支出（款）其他社会保障和就业支出（项）支出决算为3.26 万元，完成预算100%，决算数等于预算数。</w:t>
      </w:r>
    </w:p>
    <w:p w14:paraId="5964CB2C">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7.卫生健康支出（类）行政事业单位医疗（款）行政单位医疗（项）:支出决算为7.78万元，完成预算100%，决算数等于预算数。</w:t>
      </w:r>
    </w:p>
    <w:p w14:paraId="0BC0666E">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8.卫生健康支出（类）行政事业单位医疗（款）事业单位医疗（项）:支出决算为8.50万元，完成预算100%，决算数等于预算数。</w:t>
      </w:r>
    </w:p>
    <w:p w14:paraId="32A07F41">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9.卫生健康支出（类）行政事业单位医疗（款）公务员医疗补助（项）:支出决算为4.19万元，完成预算100%，决算数等于预算数。</w:t>
      </w:r>
    </w:p>
    <w:p w14:paraId="4DB9D54A">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10.住房保障支出（类）住房改革支出（款）住房公积金（项）: 支出决算为36.57万元，完成预算100%，决算数等于预算数。</w:t>
      </w:r>
    </w:p>
    <w:p w14:paraId="54557CE6">
      <w:pPr>
        <w:tabs>
          <w:tab w:val="right" w:pos="8306"/>
        </w:tabs>
        <w:spacing w:line="600" w:lineRule="exact"/>
        <w:ind w:firstLine="640" w:firstLineChars="200"/>
        <w:outlineLvl w:val="1"/>
        <w:rPr>
          <w:rStyle w:val="32"/>
        </w:rPr>
      </w:pPr>
      <w:bookmarkStart w:id="80" w:name="_Toc15377214"/>
      <w:bookmarkStart w:id="81" w:name="_Toc15396608"/>
      <w:bookmarkStart w:id="82" w:name="_Toc15917"/>
      <w:bookmarkStart w:id="83" w:name="_Toc28465"/>
      <w:bookmarkStart w:id="84" w:name="_Toc27312_WPSOffice_Level2"/>
      <w:bookmarkStart w:id="85" w:name="_Toc4413"/>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2"/>
          <w:rFonts w:hint="eastAsia" w:ascii="黑体" w:hAnsi="黑体" w:eastAsia="黑体"/>
          <w:b w:val="0"/>
        </w:rPr>
        <w:t>般公共预算财政拨款基本支出决算情况说明</w:t>
      </w:r>
      <w:bookmarkEnd w:id="80"/>
      <w:bookmarkEnd w:id="81"/>
      <w:bookmarkEnd w:id="82"/>
      <w:bookmarkEnd w:id="83"/>
      <w:bookmarkEnd w:id="84"/>
      <w:bookmarkEnd w:id="85"/>
      <w:r>
        <w:rPr>
          <w:rStyle w:val="32"/>
          <w:rFonts w:ascii="黑体" w:hAnsi="黑体" w:eastAsia="黑体"/>
          <w:b w:val="0"/>
        </w:rPr>
        <w:tab/>
      </w:r>
    </w:p>
    <w:p w14:paraId="66805415">
      <w:pPr>
        <w:ind w:firstLine="640" w:firstLineChars="200"/>
        <w:rPr>
          <w:rFonts w:hint="eastAsia" w:ascii="Times New Roman" w:hAnsi="Times New Roman" w:eastAsia="仿宋_GB2312" w:cs="仿宋_GB2312"/>
          <w:sz w:val="32"/>
          <w:szCs w:val="32"/>
          <w:lang w:val="en-US" w:eastAsia="zh-CN"/>
        </w:rPr>
      </w:pPr>
      <w:bookmarkStart w:id="86" w:name="_Toc15396609"/>
      <w:bookmarkStart w:id="87" w:name="_Toc15377215"/>
      <w:r>
        <w:rPr>
          <w:rFonts w:hint="eastAsia" w:ascii="Times New Roman" w:hAnsi="Times New Roman" w:eastAsia="仿宋_GB2312" w:cs="仿宋_GB2312"/>
          <w:sz w:val="32"/>
          <w:szCs w:val="32"/>
          <w:lang w:val="en-US" w:eastAsia="zh-CN"/>
        </w:rPr>
        <w:t>2024年一般公共预算财政拨款基本支出1296.95万元，其中：</w:t>
      </w:r>
    </w:p>
    <w:p w14:paraId="3BC837C7">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人员经费1245.62万元，主要包括：基本工资、津贴补贴、奖金、伙食补助费、绩效工资、机关事业单位基本养老保险缴费、职业年金缴费、其他社会保障缴费、其他工资福利支出、抚恤金、生活补助、奖励金、住房公积金、其他对个人和家庭的补助支出等。</w:t>
      </w:r>
      <w:r>
        <w:rPr>
          <w:rFonts w:hint="eastAsia" w:ascii="Times New Roman" w:hAnsi="Times New Roman" w:eastAsia="仿宋_GB2312" w:cs="仿宋_GB2312"/>
          <w:sz w:val="32"/>
          <w:szCs w:val="32"/>
          <w:lang w:val="en-US" w:eastAsia="zh-CN"/>
        </w:rPr>
        <w:br w:type="textWrapping"/>
      </w:r>
      <w:r>
        <w:rPr>
          <w:rFonts w:hint="eastAsia" w:ascii="Times New Roman" w:hAnsi="Times New Roman" w:eastAsia="仿宋_GB2312" w:cs="仿宋_GB2312"/>
          <w:sz w:val="32"/>
          <w:szCs w:val="32"/>
          <w:lang w:val="en-US" w:eastAsia="zh-CN"/>
        </w:rPr>
        <w:t>　　公用经费51.33万元，主要包括：办公费、印刷费、水费、电费、邮电费、差旅费、维修（护）费、培训费、劳务费、工会经费、福利费、其他交通费、其他商品和服务支出。</w:t>
      </w:r>
    </w:p>
    <w:p w14:paraId="21C4A378">
      <w:pPr>
        <w:spacing w:line="600" w:lineRule="exact"/>
        <w:ind w:firstLine="640"/>
        <w:outlineLvl w:val="1"/>
        <w:rPr>
          <w:rStyle w:val="32"/>
          <w:rFonts w:ascii="黑体" w:hAnsi="黑体" w:eastAsia="黑体"/>
          <w:b w:val="0"/>
        </w:rPr>
      </w:pPr>
      <w:bookmarkStart w:id="88" w:name="_Toc11822"/>
      <w:bookmarkStart w:id="89" w:name="_Toc20400_WPSOffice_Level2"/>
      <w:bookmarkStart w:id="90" w:name="_Toc30798"/>
      <w:bookmarkStart w:id="91" w:name="_Toc22527"/>
      <w:r>
        <w:rPr>
          <w:rFonts w:hint="eastAsia" w:ascii="黑体" w:eastAsia="黑体"/>
          <w:color w:val="000000"/>
          <w:sz w:val="32"/>
          <w:szCs w:val="32"/>
        </w:rPr>
        <w:t>七、</w:t>
      </w:r>
      <w:r>
        <w:rPr>
          <w:rStyle w:val="32"/>
          <w:rFonts w:hint="eastAsia" w:ascii="黑体" w:hAnsi="黑体" w:eastAsia="黑体"/>
        </w:rPr>
        <w:t>“</w:t>
      </w:r>
      <w:r>
        <w:rPr>
          <w:rStyle w:val="32"/>
          <w:rFonts w:hint="eastAsia" w:ascii="黑体" w:hAnsi="黑体" w:eastAsia="黑体"/>
          <w:b w:val="0"/>
        </w:rPr>
        <w:t>三公”经费财政拨款支出决算情况说明</w:t>
      </w:r>
      <w:bookmarkEnd w:id="86"/>
      <w:bookmarkEnd w:id="87"/>
      <w:bookmarkEnd w:id="88"/>
      <w:bookmarkEnd w:id="89"/>
      <w:bookmarkEnd w:id="90"/>
      <w:bookmarkEnd w:id="91"/>
    </w:p>
    <w:p w14:paraId="347C0BE6">
      <w:pPr>
        <w:spacing w:line="600" w:lineRule="exact"/>
        <w:ind w:firstLine="640"/>
        <w:rPr>
          <w:rFonts w:hint="eastAsia" w:ascii="楷体" w:hAnsi="楷体" w:eastAsia="楷体" w:cs="楷体"/>
          <w:b/>
          <w:color w:val="auto"/>
          <w:sz w:val="32"/>
          <w:szCs w:val="32"/>
          <w:highlight w:val="none"/>
        </w:rPr>
      </w:pPr>
      <w:bookmarkStart w:id="92" w:name="_Toc15377216"/>
      <w:r>
        <w:rPr>
          <w:rFonts w:hint="eastAsia" w:ascii="楷体" w:hAnsi="楷体" w:eastAsia="楷体" w:cs="楷体"/>
          <w:b/>
          <w:color w:val="auto"/>
          <w:sz w:val="32"/>
          <w:szCs w:val="32"/>
          <w:highlight w:val="none"/>
        </w:rPr>
        <w:t>（一）“三公”经费财政拨款支出决算总体情况说明</w:t>
      </w:r>
      <w:bookmarkEnd w:id="92"/>
    </w:p>
    <w:p w14:paraId="0AE86244">
      <w:pPr>
        <w:ind w:firstLine="640" w:firstLineChars="200"/>
        <w:rPr>
          <w:rFonts w:hint="eastAsia" w:ascii="Times New Roman" w:hAnsi="Times New Roman" w:eastAsia="仿宋_GB2312" w:cs="仿宋_GB2312"/>
          <w:sz w:val="32"/>
          <w:szCs w:val="32"/>
          <w:lang w:val="en-US" w:eastAsia="zh-CN"/>
        </w:rPr>
      </w:pPr>
      <w:bookmarkStart w:id="93" w:name="_Toc15377217"/>
      <w:r>
        <w:rPr>
          <w:rFonts w:hint="eastAsia" w:ascii="Times New Roman" w:hAnsi="Times New Roman" w:eastAsia="仿宋_GB2312" w:cs="仿宋_GB2312"/>
          <w:sz w:val="32"/>
          <w:szCs w:val="32"/>
          <w:lang w:val="en-US" w:eastAsia="zh-CN"/>
        </w:rPr>
        <w:t>2024年“三公”经费财政拨款支出决算为0万元，完成预算100%，较上年减少0.7万元，下降100%。决算数与预算数持平，主要原因是本单位本年度未开展接待工作。</w:t>
      </w:r>
    </w:p>
    <w:p w14:paraId="05735076">
      <w:pPr>
        <w:spacing w:line="600" w:lineRule="exact"/>
        <w:ind w:firstLine="640"/>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（二）“三公”经费财政拨款支出决算具体情况说明</w:t>
      </w:r>
      <w:bookmarkEnd w:id="93"/>
    </w:p>
    <w:p w14:paraId="102FA369">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2024年“三公”经费财政拨款支出决算中，因公出国（境）费支出决算0万元，占0%；公务用车购置及运行维护费支出决算0元，占0%；公务接待费支出决算0万元，占0%。具体情况如下：</w:t>
      </w:r>
    </w:p>
    <w:p w14:paraId="359EC0B5">
      <w:pPr>
        <w:pageBreakBefore w:val="0"/>
        <w:numPr>
          <w:ilvl w:val="0"/>
          <w:numId w:val="0"/>
        </w:numPr>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000000"/>
          <w:sz w:val="32"/>
          <w:szCs w:val="32"/>
          <w:lang w:val="en-US" w:eastAsia="zh-CN"/>
        </w:rPr>
      </w:pPr>
      <w:bookmarkStart w:id="94" w:name="_Toc15396610"/>
      <w:bookmarkStart w:id="95" w:name="_Toc15377218"/>
      <w:r>
        <w:rPr>
          <w:rFonts w:hint="eastAsia" w:ascii="楷体" w:hAnsi="楷体" w:eastAsia="楷体" w:cs="楷体"/>
          <w:b/>
          <w:color w:val="auto"/>
          <w:sz w:val="32"/>
          <w:szCs w:val="32"/>
          <w:highlight w:val="none"/>
        </w:rPr>
        <w:t>1.因公出国（境）经费支出</w:t>
      </w:r>
      <w:r>
        <w:rPr>
          <w:rFonts w:hint="eastAsia" w:ascii="Times New Roman" w:hAnsi="Times New Roman" w:eastAsia="仿宋_GB2312" w:cs="仿宋_GB2312"/>
          <w:sz w:val="32"/>
          <w:szCs w:val="32"/>
          <w:lang w:val="en-US" w:eastAsia="zh-CN"/>
        </w:rPr>
        <w:t>0万元，完成预算100%。全年安排因公出国（境）团组0次，出国（境）0人。</w:t>
      </w:r>
      <w:r>
        <w:rPr>
          <w:rFonts w:hint="default" w:ascii="Times New Roman" w:hAnsi="Times New Roman" w:eastAsia="仿宋_GB2312" w:cs="Times New Roman"/>
          <w:color w:val="000000"/>
          <w:sz w:val="32"/>
          <w:szCs w:val="32"/>
        </w:rPr>
        <w:t>因公出国（境）支出决算</w:t>
      </w:r>
      <w:r>
        <w:rPr>
          <w:rFonts w:hint="eastAsia" w:eastAsia="仿宋_GB2312" w:cs="Times New Roman"/>
          <w:color w:val="000000"/>
          <w:sz w:val="32"/>
          <w:szCs w:val="32"/>
          <w:lang w:val="en-US" w:eastAsia="zh-CN"/>
        </w:rPr>
        <w:t>与</w:t>
      </w: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持平</w:t>
      </w:r>
      <w:r>
        <w:rPr>
          <w:rFonts w:hint="default" w:ascii="Times New Roman" w:hAnsi="Times New Roman" w:eastAsia="仿宋_GB2312" w:cs="Times New Roman"/>
          <w:color w:val="000000"/>
          <w:sz w:val="32"/>
          <w:szCs w:val="32"/>
        </w:rPr>
        <w:t>。</w:t>
      </w:r>
    </w:p>
    <w:p w14:paraId="286FAFD6">
      <w:pPr>
        <w:spacing w:line="600" w:lineRule="exact"/>
        <w:ind w:firstLine="640"/>
        <w:rPr>
          <w:rFonts w:hint="eastAsia" w:ascii="Times New Roman" w:hAnsi="Times New Roman" w:eastAsia="仿宋_GB2312" w:cs="仿宋_GB2312"/>
          <w:sz w:val="32"/>
          <w:szCs w:val="32"/>
          <w:lang w:val="en-US" w:eastAsia="zh-CN"/>
        </w:rPr>
      </w:pPr>
      <w:r>
        <w:rPr>
          <w:rFonts w:hint="eastAsia" w:ascii="楷体" w:hAnsi="楷体" w:eastAsia="楷体" w:cs="楷体"/>
          <w:b/>
          <w:color w:val="auto"/>
          <w:sz w:val="32"/>
          <w:szCs w:val="32"/>
          <w:highlight w:val="none"/>
        </w:rPr>
        <w:t>2.公务用车购置及运行维护费支出</w:t>
      </w:r>
      <w:r>
        <w:rPr>
          <w:rFonts w:hint="eastAsia" w:ascii="Times New Roman" w:hAnsi="Times New Roman" w:eastAsia="仿宋_GB2312" w:cs="仿宋_GB2312"/>
          <w:sz w:val="32"/>
          <w:szCs w:val="32"/>
          <w:lang w:val="en-US" w:eastAsia="zh-CN"/>
        </w:rPr>
        <w:t>0万元。完成预算100%。公务用车购置及运行维护费支出决算与2023年持平，主要原因是未发生此项支出。</w:t>
      </w:r>
    </w:p>
    <w:p w14:paraId="0B27D8F1">
      <w:pPr>
        <w:spacing w:line="600"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其中：公务用车购置支出0万元。全年按规定更新购置公务用车0辆，其中：轿车0辆、金额0万元，越野车0辆、金额0万元，载客汽车0辆、金额0万元。截至2024年12月底，单位共有公务用车0辆，其中：轿车0辆、越野车0辆、载客汽车0辆。</w:t>
      </w:r>
    </w:p>
    <w:p w14:paraId="5EBB2B55">
      <w:pPr>
        <w:spacing w:line="600"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公务用车运行维护费支出0万元，完成预算100%。主要用于（具体工作）等所需的公务用车燃料费、维修费、过路过桥费、保险费等支出。</w:t>
      </w:r>
    </w:p>
    <w:p w14:paraId="796192CC">
      <w:pPr>
        <w:spacing w:line="600" w:lineRule="exact"/>
        <w:ind w:firstLine="640"/>
        <w:outlineLvl w:val="9"/>
        <w:rPr>
          <w:rFonts w:hint="eastAsia" w:ascii="仿宋" w:hAnsi="仿宋" w:eastAsia="仿宋"/>
          <w:color w:val="auto"/>
          <w:sz w:val="32"/>
          <w:szCs w:val="32"/>
          <w:highlight w:val="none"/>
          <w:lang w:eastAsia="zh-CN"/>
        </w:rPr>
      </w:pPr>
      <w:r>
        <w:rPr>
          <w:rFonts w:hint="eastAsia" w:ascii="楷体" w:hAnsi="楷体" w:eastAsia="楷体" w:cs="楷体"/>
          <w:b/>
          <w:color w:val="auto"/>
          <w:sz w:val="32"/>
          <w:szCs w:val="32"/>
          <w:highlight w:val="none"/>
        </w:rPr>
        <w:t>3.公务接待费支出</w:t>
      </w:r>
      <w:r>
        <w:rPr>
          <w:rFonts w:hint="eastAsia" w:ascii="楷体" w:hAnsi="楷体" w:eastAsia="楷体" w:cs="楷体"/>
          <w:b/>
          <w:bCs/>
          <w:kern w:val="0"/>
          <w:sz w:val="30"/>
          <w:szCs w:val="30"/>
          <w:lang w:val="en-US" w:eastAsia="zh-CN" w:bidi="ar-SA"/>
        </w:rPr>
        <w:t>0</w:t>
      </w:r>
      <w:r>
        <w:rPr>
          <w:rFonts w:hint="eastAsia" w:ascii="楷体" w:hAnsi="楷体" w:eastAsia="楷体" w:cs="楷体"/>
          <w:b/>
          <w:color w:val="auto"/>
          <w:sz w:val="32"/>
          <w:szCs w:val="32"/>
          <w:highlight w:val="none"/>
          <w:lang w:val="en-US" w:eastAsia="zh-CN"/>
        </w:rPr>
        <w:t>万元</w:t>
      </w:r>
      <w:r>
        <w:rPr>
          <w:rFonts w:hint="eastAsia" w:ascii="仿宋_GB2312" w:hAnsi="Times New Roman" w:eastAsia="仿宋_GB2312" w:cs="Times New Roman"/>
          <w:b/>
          <w:color w:val="auto"/>
          <w:sz w:val="32"/>
          <w:szCs w:val="32"/>
          <w:highlight w:val="none"/>
          <w:lang w:val="en-US" w:eastAsia="zh-CN"/>
        </w:rPr>
        <w:t>，</w:t>
      </w:r>
      <w:r>
        <w:rPr>
          <w:rFonts w:hint="eastAsia" w:ascii="Times New Roman" w:hAnsi="Times New Roman" w:eastAsia="仿宋_GB2312" w:cs="仿宋_GB2312"/>
          <w:sz w:val="32"/>
          <w:szCs w:val="32"/>
          <w:lang w:val="en-US" w:eastAsia="zh-CN"/>
        </w:rPr>
        <w:t>完成预算100%。公务接待费支出决算比2023年减少0.71万元，下降100.00%。主要原因是本单位严格预算支出，本年度未开展接待工作</w:t>
      </w:r>
      <w:r>
        <w:rPr>
          <w:rFonts w:hint="eastAsia" w:ascii="仿宋_GB2312" w:hAnsi="Times New Roman" w:eastAsia="仿宋_GB2312" w:cs="Times New Roman"/>
          <w:color w:val="auto"/>
          <w:sz w:val="32"/>
          <w:szCs w:val="32"/>
          <w:highlight w:val="none"/>
          <w:lang w:val="en-US" w:eastAsia="zh-CN"/>
        </w:rPr>
        <w:t>。</w:t>
      </w:r>
    </w:p>
    <w:p w14:paraId="4D6DDBB9">
      <w:pPr>
        <w:spacing w:line="600" w:lineRule="exact"/>
        <w:ind w:firstLine="640"/>
        <w:rPr>
          <w:rFonts w:hint="eastAsia" w:ascii="仿宋_GB2312" w:hAnsi="Times New Roman" w:eastAsia="仿宋_GB2312" w:cs="仿宋_GB2312"/>
          <w:kern w:val="0"/>
          <w:sz w:val="30"/>
          <w:szCs w:val="30"/>
          <w:lang w:val="en-US" w:eastAsia="zh-CN" w:bidi="ar-SA"/>
        </w:rPr>
      </w:pPr>
      <w:r>
        <w:rPr>
          <w:rFonts w:hint="eastAsia" w:ascii="楷体" w:hAnsi="楷体" w:eastAsia="楷体" w:cs="楷体"/>
          <w:b/>
          <w:color w:val="auto"/>
          <w:sz w:val="32"/>
          <w:szCs w:val="32"/>
          <w:highlight w:val="none"/>
          <w:lang w:val="en-US" w:eastAsia="zh-CN"/>
        </w:rPr>
        <w:t>国内公务接待支出</w:t>
      </w:r>
      <w:r>
        <w:rPr>
          <w:rFonts w:hint="eastAsia" w:ascii="Times New Roman" w:hAnsi="Times New Roman" w:eastAsia="仿宋_GB2312" w:cs="仿宋_GB2312"/>
          <w:sz w:val="32"/>
          <w:szCs w:val="32"/>
          <w:lang w:val="en-US" w:eastAsia="zh-CN"/>
        </w:rPr>
        <w:t>0万元，主要用于执行公务、开展业务活动开支的交通费、住宿费、用餐费等。国内公务接待0批次，0人次，共计支出0万元，具体内容包括：省、市领导的调研、视察。</w:t>
      </w:r>
    </w:p>
    <w:p w14:paraId="0DC3C2F6">
      <w:pPr>
        <w:spacing w:line="600" w:lineRule="exact"/>
        <w:ind w:firstLine="640"/>
        <w:rPr>
          <w:rFonts w:hint="eastAsia" w:ascii="仿宋_GB2312" w:hAnsi="Times New Roman" w:eastAsia="仿宋_GB2312" w:cs="仿宋_GB2312"/>
          <w:kern w:val="0"/>
          <w:sz w:val="30"/>
          <w:szCs w:val="30"/>
          <w:lang w:val="en-US" w:eastAsia="zh-CN" w:bidi="ar-SA"/>
        </w:rPr>
      </w:pPr>
      <w:r>
        <w:rPr>
          <w:rFonts w:hint="eastAsia" w:ascii="楷体" w:hAnsi="楷体" w:eastAsia="楷体" w:cs="楷体"/>
          <w:b/>
          <w:color w:val="auto"/>
          <w:sz w:val="32"/>
          <w:szCs w:val="32"/>
          <w:highlight w:val="none"/>
          <w:lang w:val="en-US" w:eastAsia="zh-CN"/>
        </w:rPr>
        <w:t>外事接待支出0万元</w:t>
      </w:r>
      <w:r>
        <w:rPr>
          <w:rFonts w:hint="eastAsia" w:ascii="仿宋_GB2312" w:hAnsi="Times New Roman" w:eastAsia="仿宋_GB2312" w:cs="Times New Roman"/>
          <w:b/>
          <w:color w:val="auto"/>
          <w:sz w:val="32"/>
          <w:szCs w:val="32"/>
          <w:highlight w:val="none"/>
          <w:lang w:val="en-US" w:eastAsia="zh-CN"/>
        </w:rPr>
        <w:t>，</w:t>
      </w:r>
      <w:r>
        <w:rPr>
          <w:rFonts w:hint="eastAsia" w:ascii="Times New Roman" w:hAnsi="Times New Roman" w:eastAsia="仿宋_GB2312" w:cs="仿宋_GB2312"/>
          <w:sz w:val="32"/>
          <w:szCs w:val="32"/>
          <w:lang w:val="en-US" w:eastAsia="zh-CN"/>
        </w:rPr>
        <w:t>外事接待0批次，0人，共计支出0万元。</w:t>
      </w:r>
    </w:p>
    <w:p w14:paraId="5C95898B">
      <w:pPr>
        <w:spacing w:line="600" w:lineRule="exact"/>
        <w:ind w:firstLine="640" w:firstLineChars="200"/>
        <w:outlineLvl w:val="1"/>
        <w:rPr>
          <w:rStyle w:val="32"/>
          <w:rFonts w:ascii="黑体" w:hAnsi="黑体" w:eastAsia="黑体"/>
        </w:rPr>
      </w:pPr>
      <w:bookmarkStart w:id="96" w:name="_Toc24180_WPSOffice_Level2"/>
      <w:bookmarkStart w:id="97" w:name="_Toc9098"/>
      <w:bookmarkStart w:id="98" w:name="_Toc9263"/>
      <w:bookmarkStart w:id="99" w:name="_Toc22695"/>
      <w:r>
        <w:rPr>
          <w:rFonts w:hint="eastAsia" w:ascii="黑体" w:eastAsia="黑体"/>
          <w:color w:val="000000"/>
          <w:sz w:val="32"/>
          <w:szCs w:val="32"/>
        </w:rPr>
        <w:t>八、</w:t>
      </w:r>
      <w:r>
        <w:rPr>
          <w:rStyle w:val="32"/>
          <w:rFonts w:hint="eastAsia" w:ascii="黑体" w:hAnsi="黑体" w:eastAsia="黑体"/>
          <w:b w:val="0"/>
        </w:rPr>
        <w:t>政府性基金预算支出决算情况说明</w:t>
      </w:r>
      <w:bookmarkEnd w:id="94"/>
      <w:bookmarkEnd w:id="95"/>
      <w:bookmarkEnd w:id="96"/>
      <w:bookmarkEnd w:id="97"/>
      <w:bookmarkEnd w:id="98"/>
      <w:bookmarkEnd w:id="99"/>
    </w:p>
    <w:p w14:paraId="14F0DA67">
      <w:pPr>
        <w:spacing w:line="600" w:lineRule="exact"/>
        <w:ind w:firstLine="640"/>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2024年政府性基金预算拨款支出0万元，占本年支出合计的0%。与2023年度相比，政府性基金预算财政拨款支出</w:t>
      </w:r>
      <w:r>
        <w:rPr>
          <w:rFonts w:hint="eastAsia" w:eastAsia="仿宋_GB2312" w:cs="仿宋_GB2312"/>
          <w:sz w:val="32"/>
          <w:szCs w:val="32"/>
          <w:lang w:val="en-US" w:eastAsia="zh-CN"/>
        </w:rPr>
        <w:t>与2023年持平</w:t>
      </w:r>
      <w:r>
        <w:rPr>
          <w:rFonts w:hint="default" w:ascii="Times New Roman" w:hAnsi="Times New Roman" w:eastAsia="仿宋_GB2312" w:cs="仿宋_GB2312"/>
          <w:sz w:val="32"/>
          <w:szCs w:val="32"/>
          <w:lang w:val="en-US" w:eastAsia="zh-CN"/>
        </w:rPr>
        <w:t>。</w:t>
      </w:r>
    </w:p>
    <w:p w14:paraId="701F693A">
      <w:pPr>
        <w:numPr>
          <w:ilvl w:val="0"/>
          <w:numId w:val="0"/>
        </w:numPr>
        <w:spacing w:line="600" w:lineRule="exact"/>
        <w:ind w:firstLine="640" w:firstLineChars="200"/>
        <w:outlineLvl w:val="1"/>
        <w:rPr>
          <w:rStyle w:val="32"/>
          <w:rFonts w:ascii="黑体" w:hAnsi="黑体" w:eastAsia="黑体"/>
          <w:b w:val="0"/>
        </w:rPr>
      </w:pPr>
      <w:bookmarkStart w:id="100" w:name="_Toc27662_WPSOffice_Level2"/>
      <w:bookmarkStart w:id="101" w:name="_Toc15396611"/>
      <w:bookmarkStart w:id="102" w:name="_Toc8627"/>
      <w:bookmarkStart w:id="103" w:name="_Toc19820"/>
      <w:bookmarkStart w:id="104" w:name="_Toc15377219"/>
      <w:bookmarkStart w:id="105" w:name="_Toc12058"/>
      <w:r>
        <w:rPr>
          <w:rStyle w:val="32"/>
          <w:rFonts w:hint="eastAsia" w:ascii="黑体" w:hAnsi="黑体" w:eastAsia="黑体"/>
          <w:b w:val="0"/>
          <w:lang w:eastAsia="zh-CN"/>
        </w:rPr>
        <w:t>九、</w:t>
      </w:r>
      <w:r>
        <w:rPr>
          <w:rStyle w:val="32"/>
          <w:rFonts w:hint="eastAsia" w:ascii="黑体" w:hAnsi="黑体" w:eastAsia="黑体"/>
          <w:b w:val="0"/>
        </w:rPr>
        <w:t>国有资本经营预算支出决算情况说明</w:t>
      </w:r>
      <w:bookmarkEnd w:id="100"/>
      <w:bookmarkEnd w:id="101"/>
      <w:bookmarkEnd w:id="102"/>
      <w:bookmarkEnd w:id="103"/>
      <w:bookmarkEnd w:id="104"/>
      <w:bookmarkEnd w:id="105"/>
    </w:p>
    <w:p w14:paraId="64532FC5">
      <w:pPr>
        <w:spacing w:line="600" w:lineRule="exact"/>
        <w:ind w:firstLine="640"/>
        <w:rPr>
          <w:rFonts w:hint="default" w:ascii="Times New Roman" w:hAnsi="Times New Roman" w:eastAsia="仿宋_GB2312" w:cs="仿宋_GB2312"/>
          <w:sz w:val="32"/>
          <w:szCs w:val="32"/>
          <w:lang w:val="en-US" w:eastAsia="zh-CN"/>
        </w:rPr>
      </w:pPr>
      <w:bookmarkStart w:id="106" w:name="_Toc15377221"/>
      <w:bookmarkStart w:id="107" w:name="_Toc15396612"/>
      <w:r>
        <w:rPr>
          <w:rFonts w:hint="default" w:ascii="Times New Roman" w:hAnsi="Times New Roman" w:eastAsia="仿宋_GB2312" w:cs="仿宋_GB2312"/>
          <w:sz w:val="32"/>
          <w:szCs w:val="32"/>
          <w:lang w:val="en-US" w:eastAsia="zh-CN"/>
        </w:rPr>
        <w:t>2024年国有资本经营预算拨款支出0万元，占本年支出合计的0%。与2023年度相比，国有资本经营预算财政拨款支出</w:t>
      </w:r>
      <w:r>
        <w:rPr>
          <w:rFonts w:hint="default" w:ascii="Times New Roman" w:hAnsi="Times New Roman" w:eastAsia="仿宋_GB2312" w:cs="Times New Roman"/>
          <w:color w:val="auto"/>
          <w:kern w:val="2"/>
          <w:sz w:val="32"/>
          <w:szCs w:val="32"/>
          <w:highlight w:val="none"/>
          <w:lang w:val="en-US" w:eastAsia="zh-CN" w:bidi="ar-SA"/>
        </w:rPr>
        <w:t>与2023年度</w:t>
      </w:r>
      <w:r>
        <w:rPr>
          <w:rFonts w:hint="eastAsia" w:eastAsia="仿宋_GB2312" w:cs="Times New Roman"/>
          <w:color w:val="auto"/>
          <w:kern w:val="2"/>
          <w:sz w:val="32"/>
          <w:szCs w:val="32"/>
          <w:highlight w:val="none"/>
          <w:lang w:val="en-US" w:eastAsia="zh-CN" w:bidi="ar-SA"/>
        </w:rPr>
        <w:t>持平。</w:t>
      </w:r>
    </w:p>
    <w:p w14:paraId="5E9E72FB">
      <w:pPr>
        <w:pStyle w:val="22"/>
        <w:rPr>
          <w:rStyle w:val="32"/>
          <w:rFonts w:hint="eastAsia" w:ascii="黑体" w:hAnsi="黑体" w:eastAsia="黑体"/>
          <w:b w:val="0"/>
          <w:lang w:val="en-US" w:eastAsia="zh-CN" w:bidi="ar-SA"/>
        </w:rPr>
      </w:pPr>
      <w:bookmarkStart w:id="108" w:name="_Toc23788"/>
      <w:r>
        <w:rPr>
          <w:rStyle w:val="32"/>
          <w:rFonts w:hint="eastAsia" w:ascii="黑体" w:hAnsi="黑体" w:eastAsia="黑体"/>
          <w:b w:val="0"/>
          <w:lang w:val="en-US" w:eastAsia="zh-CN" w:bidi="ar-SA"/>
        </w:rPr>
        <w:t>十、其他重要事项的情况说明</w:t>
      </w:r>
    </w:p>
    <w:bookmarkEnd w:id="106"/>
    <w:bookmarkEnd w:id="107"/>
    <w:bookmarkEnd w:id="108"/>
    <w:p w14:paraId="415C0E00">
      <w:pPr>
        <w:numPr>
          <w:ilvl w:val="0"/>
          <w:numId w:val="0"/>
        </w:numPr>
        <w:spacing w:line="600" w:lineRule="exact"/>
        <w:ind w:firstLine="643" w:firstLineChars="200"/>
        <w:rPr>
          <w:rFonts w:hint="eastAsia" w:ascii="楷体" w:hAnsi="楷体" w:eastAsia="楷体" w:cs="楷体"/>
          <w:b/>
          <w:color w:val="auto"/>
          <w:sz w:val="32"/>
          <w:szCs w:val="32"/>
          <w:highlight w:val="none"/>
        </w:rPr>
      </w:pPr>
      <w:bookmarkStart w:id="109" w:name="_Toc15377222"/>
      <w:r>
        <w:rPr>
          <w:rFonts w:hint="eastAsia" w:ascii="楷体" w:hAnsi="楷体" w:eastAsia="楷体" w:cs="楷体"/>
          <w:b/>
          <w:color w:val="auto"/>
          <w:sz w:val="32"/>
          <w:szCs w:val="32"/>
          <w:highlight w:val="none"/>
        </w:rPr>
        <w:t>（一）机关运行经费支出情况</w:t>
      </w:r>
      <w:bookmarkEnd w:id="109"/>
    </w:p>
    <w:p w14:paraId="4A2A2B78">
      <w:pPr>
        <w:spacing w:line="600" w:lineRule="exact"/>
        <w:ind w:firstLine="640"/>
        <w:rPr>
          <w:rFonts w:hint="default" w:ascii="Times New Roman" w:hAnsi="Times New Roman" w:eastAsia="仿宋_GB2312" w:cs="仿宋_GB2312"/>
          <w:sz w:val="32"/>
          <w:szCs w:val="32"/>
          <w:lang w:val="en-US" w:eastAsia="zh-CN"/>
        </w:rPr>
      </w:pPr>
      <w:bookmarkStart w:id="110" w:name="_Toc15377223"/>
      <w:r>
        <w:rPr>
          <w:rFonts w:hint="eastAsia" w:ascii="Times New Roman" w:hAnsi="Times New Roman" w:eastAsia="仿宋_GB2312" w:cs="仿宋_GB2312"/>
          <w:sz w:val="32"/>
          <w:szCs w:val="32"/>
          <w:lang w:val="en-US" w:eastAsia="zh-CN"/>
        </w:rPr>
        <w:t>2024年，区社保局机关运行经费支出51.33万元，比2023年增加2.78万元，增长5.73%。变动的主要原因是人员调动。</w:t>
      </w:r>
    </w:p>
    <w:p w14:paraId="7E7B5BD5">
      <w:pPr>
        <w:numPr>
          <w:ilvl w:val="0"/>
          <w:numId w:val="0"/>
        </w:numPr>
        <w:spacing w:line="600" w:lineRule="exact"/>
        <w:ind w:firstLine="643" w:firstLineChars="200"/>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（二）政府采购支出情况</w:t>
      </w:r>
      <w:bookmarkEnd w:id="110"/>
    </w:p>
    <w:p w14:paraId="07064B0C">
      <w:pPr>
        <w:spacing w:line="600" w:lineRule="exact"/>
        <w:ind w:firstLine="640"/>
        <w:rPr>
          <w:rFonts w:hint="default" w:ascii="Times New Roman" w:hAnsi="Times New Roman" w:eastAsia="仿宋_GB2312" w:cs="仿宋_GB2312"/>
          <w:sz w:val="32"/>
          <w:szCs w:val="32"/>
          <w:lang w:val="en-US" w:eastAsia="zh-CN"/>
        </w:rPr>
      </w:pPr>
      <w:bookmarkStart w:id="111" w:name="_Toc15377224"/>
      <w:r>
        <w:rPr>
          <w:rFonts w:hint="eastAsia" w:ascii="Times New Roman" w:hAnsi="Times New Roman" w:eastAsia="仿宋_GB2312" w:cs="仿宋_GB2312"/>
          <w:sz w:val="32"/>
          <w:szCs w:val="32"/>
          <w:lang w:val="en-US" w:eastAsia="zh-CN"/>
        </w:rPr>
        <w:t>2024年，区社保局政府采购支出总额0万元，其中：政府采购货物支出0万元、政府采购工程支出0万元、政府采购服务支出0万元。授予中小企业合同金额0万元，占政府采购支出总额的0%，其中：授予小微企业合同金额0万元，占政府采购支出总额的0%。因未达到政府规定的采购限额标准，故政府采购支出总额为0万元。</w:t>
      </w:r>
    </w:p>
    <w:p w14:paraId="6642F864">
      <w:pPr>
        <w:numPr>
          <w:ilvl w:val="0"/>
          <w:numId w:val="0"/>
        </w:numPr>
        <w:spacing w:line="600" w:lineRule="exact"/>
        <w:ind w:firstLine="643" w:firstLineChars="200"/>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（三）国有资产占有使用情况</w:t>
      </w:r>
      <w:bookmarkEnd w:id="111"/>
    </w:p>
    <w:p w14:paraId="23C7E9A9">
      <w:pPr>
        <w:spacing w:line="600" w:lineRule="exact"/>
        <w:ind w:firstLine="640"/>
        <w:rPr>
          <w:rFonts w:hint="eastAsia" w:ascii="仿宋" w:hAnsi="仿宋" w:eastAsia="仿宋"/>
          <w:b/>
          <w:color w:val="auto"/>
          <w:sz w:val="32"/>
          <w:szCs w:val="32"/>
          <w:highlight w:val="none"/>
          <w:lang w:eastAsia="zh-CN"/>
        </w:rPr>
      </w:pPr>
      <w:r>
        <w:rPr>
          <w:rFonts w:hint="eastAsia" w:ascii="Times New Roman" w:hAnsi="Times New Roman" w:eastAsia="仿宋_GB2312" w:cs="仿宋_GB2312"/>
          <w:sz w:val="32"/>
          <w:szCs w:val="32"/>
          <w:lang w:val="en-US" w:eastAsia="zh-CN"/>
        </w:rPr>
        <w:t>截至2024年12月31日，区社保局共有车辆0辆，其中：主要领导干部用车0辆、机要通信用车0辆、应急保障用车0辆、其他用车0辆。单价100万元以上设备0台（套）。</w:t>
      </w:r>
      <w:bookmarkStart w:id="112" w:name="_Toc15396613"/>
      <w:bookmarkStart w:id="113" w:name="_Toc15377225"/>
    </w:p>
    <w:p w14:paraId="17EA6730">
      <w:pPr>
        <w:numPr>
          <w:ilvl w:val="0"/>
          <w:numId w:val="0"/>
        </w:numPr>
        <w:spacing w:line="600" w:lineRule="exact"/>
        <w:ind w:firstLine="643" w:firstLineChars="200"/>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（四）预算绩效管理情况</w:t>
      </w:r>
    </w:p>
    <w:p w14:paraId="5FB0A705">
      <w:pPr>
        <w:spacing w:line="600"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预算绩效管理要求，遂宁市安居区社会保险事业管理局在2024年度预算编制阶段，组织对“建国初期参加革命工作退休干部困难补助2024”、“离休干部遗孀生活补助2024”、“基金风险防控项目”、“陈友生困难补助”、“城乡居民养老保险个人缴费补贴区级配套2024”、“基础养老金补贴区级配套2024”、“困难群体代缴城乡居民养老保险”、“职业年金做实及贴息2024”等8个项目开展了预算事前绩效评估，对8个项目编制了绩效目标，预算执行过程中，选取8个项目开展绩效监控。</w:t>
      </w:r>
    </w:p>
    <w:p w14:paraId="5E379226">
      <w:pPr>
        <w:spacing w:line="600" w:lineRule="exact"/>
        <w:ind w:firstLine="640"/>
      </w:pPr>
      <w:r>
        <w:rPr>
          <w:rFonts w:hint="eastAsia" w:ascii="Times New Roman" w:hAnsi="Times New Roman" w:eastAsia="仿宋_GB2312" w:cs="仿宋_GB2312"/>
          <w:sz w:val="32"/>
          <w:szCs w:val="32"/>
          <w:lang w:val="en-US" w:eastAsia="zh-CN"/>
        </w:rPr>
        <w:t>组织对2024年度一般公共预算</w:t>
      </w:r>
      <w:r>
        <w:rPr>
          <w:rFonts w:hint="eastAsia" w:eastAsia="仿宋_GB2312" w:cs="仿宋_GB2312"/>
          <w:sz w:val="32"/>
          <w:szCs w:val="32"/>
          <w:lang w:val="en-US" w:eastAsia="zh-CN"/>
        </w:rPr>
        <w:t>以及</w:t>
      </w:r>
      <w:r>
        <w:rPr>
          <w:rFonts w:hint="eastAsia" w:ascii="Times New Roman" w:hAnsi="Times New Roman" w:eastAsia="仿宋_GB2312" w:cs="仿宋_GB2312"/>
          <w:sz w:val="32"/>
          <w:szCs w:val="32"/>
          <w:lang w:val="en-US" w:eastAsia="zh-CN"/>
        </w:rPr>
        <w:t>资本资产、债券资金等全面开展绩效自评，形成遂宁市安居区社会保险事业管理局部门整体（含部门预算项目）绩效自评报告、“基础养老金补贴区级配套2024”、“困难群体代缴城乡居民养老保险”等专项预算项目绩效自评报告，其中，遂宁市安居区社会保险事业管理局部门整体（含部门预算项目）绩效自评得分为97分，绩效自评综述区社保局2024年整体绩效目标评价得分97分，总体运行良好，圆满完成2024年年初既定绩效目标；“基础养老金补贴区级配套2024”专项预算项目绩效自评得分为100分，绩效自评综述：通过项目实施按时完成了保险费征收和待遇发放任务，维护了保险对象的合法权益，提高了参保群众的满意度；“困难群体代缴城乡居民养老保险”专项预算项目绩效自评得分为100分，绩效自评综述：通过项目实施按时完成了代缴任务，维护了困难群体合法权益，提高了参保群众的满意度；“建国初期参加革命工作退休干部困难补助2024”专项预算项目绩效自评得分为100分，绩效自评综述：通过项目实施保障了建国初期革命人员困难补助每月及时足额的发放，有较好的社会效益；“离休干部遗孀生活补助2024”专项预算项目绩效自评得分为100分，绩效自评综述：通过项目实施保障了离休干部遗孀何治秀生活补助及时足额的发放，有较好的社会效益；“基金风险防控项目”专项预算项目绩效自评得分为100分，绩效自评综述：对死亡冒领、重复领取待遇及服刑人员领待等三类人员开展核查及基金追回工作，减少了社保基金管理性缺口财政兜底压力；“陈友生困难补助”专项预算项目绩效自评得分为100分，绩效自评综述：通过项目实施保障了陈友生每月伤残津贴补助的及时足额的发放，有较好的社会效益；“城乡居民养老保险个人缴费补贴区级配套2024”专项预算项目绩效自评得分为100分，绩效自评综述：通过项目实施对符合享受城乡居民养老保险个人缴费补贴人员应补尽补全覆盖，增强群众的幸福感，获得感；“职业年金做实及贴息2024”专项预算项目绩效自评得分为100分，绩效自评综述：通过项目实施为我区2024年达到退休年龄职工进行职业年金记实贴息、对转移到区外的机关事业单位职工进行年金记实贴息。绩效自评报告详见附件。</w:t>
      </w:r>
      <w:r>
        <w:br w:type="page"/>
      </w:r>
    </w:p>
    <w:p w14:paraId="250CFD04">
      <w:pPr>
        <w:pStyle w:val="6"/>
      </w:pPr>
    </w:p>
    <w:p w14:paraId="7CEEBB22">
      <w:pPr>
        <w:numPr>
          <w:ilvl w:val="0"/>
          <w:numId w:val="4"/>
        </w:numPr>
        <w:spacing w:line="600" w:lineRule="exact"/>
        <w:ind w:firstLine="660" w:firstLineChars="150"/>
        <w:jc w:val="center"/>
        <w:outlineLvl w:val="0"/>
        <w:rPr>
          <w:rStyle w:val="31"/>
          <w:rFonts w:ascii="黑体" w:hAnsi="黑体" w:eastAsia="黑体"/>
          <w:b w:val="0"/>
        </w:rPr>
      </w:pPr>
      <w:bookmarkStart w:id="114" w:name="_Toc20642"/>
      <w:bookmarkStart w:id="115" w:name="_Toc16821_WPSOffice_Level1"/>
      <w:bookmarkStart w:id="116" w:name="_Toc32753"/>
      <w:bookmarkStart w:id="117" w:name="_Toc23994"/>
      <w:bookmarkStart w:id="118" w:name="_Toc26519_WPSOffice_Level1"/>
      <w:r>
        <w:rPr>
          <w:rFonts w:hint="eastAsia" w:ascii="黑体" w:hAnsi="黑体" w:eastAsia="黑体"/>
          <w:color w:val="000000"/>
          <w:sz w:val="44"/>
          <w:szCs w:val="44"/>
        </w:rPr>
        <w:t>名</w:t>
      </w:r>
      <w:r>
        <w:rPr>
          <w:rStyle w:val="31"/>
          <w:rFonts w:hint="eastAsia" w:ascii="黑体" w:hAnsi="黑体" w:eastAsia="黑体"/>
          <w:b w:val="0"/>
        </w:rPr>
        <w:t>词解释</w:t>
      </w:r>
      <w:bookmarkEnd w:id="112"/>
      <w:bookmarkEnd w:id="113"/>
      <w:bookmarkEnd w:id="114"/>
      <w:bookmarkEnd w:id="115"/>
      <w:bookmarkEnd w:id="116"/>
      <w:bookmarkEnd w:id="117"/>
      <w:bookmarkEnd w:id="118"/>
    </w:p>
    <w:p w14:paraId="32BF6B79">
      <w:pPr>
        <w:spacing w:line="600" w:lineRule="exact"/>
        <w:jc w:val="left"/>
        <w:rPr>
          <w:rFonts w:ascii="宋体"/>
          <w:b/>
          <w:color w:val="000000"/>
          <w:sz w:val="44"/>
          <w:szCs w:val="44"/>
        </w:rPr>
      </w:pPr>
    </w:p>
    <w:p w14:paraId="7B8F83CD">
      <w:pPr>
        <w:spacing w:line="600" w:lineRule="exact"/>
        <w:ind w:firstLine="640"/>
        <w:rPr>
          <w:rFonts w:hint="eastAsia" w:ascii="仿宋_GB2312" w:hAnsi="Times New Roman" w:eastAsia="仿宋_GB2312" w:cs="Times New Roman"/>
          <w:color w:val="auto"/>
          <w:sz w:val="32"/>
          <w:szCs w:val="32"/>
          <w:highlight w:val="none"/>
          <w:lang w:val="en-US" w:eastAsia="zh-CN"/>
        </w:rPr>
      </w:pPr>
      <w:bookmarkStart w:id="119" w:name="_Toc18739"/>
      <w:bookmarkStart w:id="120" w:name="_Toc30506"/>
      <w:bookmarkStart w:id="121" w:name="_Toc7699"/>
      <w:bookmarkStart w:id="122" w:name="_Toc15377226"/>
      <w:r>
        <w:rPr>
          <w:rFonts w:hint="eastAsia" w:ascii="仿宋_GB2312" w:hAnsi="Times New Roman" w:eastAsia="仿宋_GB2312" w:cs="Times New Roman"/>
          <w:color w:val="auto"/>
          <w:sz w:val="32"/>
          <w:szCs w:val="32"/>
          <w:highlight w:val="none"/>
          <w:lang w:val="en-US" w:eastAsia="zh-CN"/>
        </w:rPr>
        <w:t>1.财政拨款收入：指单位从同级财政部门取得的财政预算资金。</w:t>
      </w:r>
      <w:bookmarkEnd w:id="119"/>
      <w:bookmarkEnd w:id="120"/>
      <w:bookmarkEnd w:id="121"/>
    </w:p>
    <w:p w14:paraId="0461C1CA">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2.事业收入：指事业单位开展专业业务活动及辅助活动取得的收入。</w:t>
      </w:r>
    </w:p>
    <w:p w14:paraId="3FB2EECC">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3.经营收入：指事业单位在专业业务活动及其辅助活动之外开展非独立核算经营活动取得的收入。</w:t>
      </w:r>
    </w:p>
    <w:p w14:paraId="4227B408">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4.其他收入：指单位取得的除上述收入以外的各项收入。</w:t>
      </w:r>
    </w:p>
    <w:p w14:paraId="44F8ABE9">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 xml:space="preserve">5.使用非财政拨款结余（含专用结余）：指事业单位使用以前年度积累的非财政拨款结余弥补当年收支差额的金额。 </w:t>
      </w:r>
    </w:p>
    <w:p w14:paraId="02FFCC59">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 xml:space="preserve">6.年初结转和结余：指以前年度尚未完成、结转到本年按有关规定继续使用的资金。 </w:t>
      </w:r>
    </w:p>
    <w:p w14:paraId="7663D0AD">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7.结余分配：指事业单位按照会计制度规定缴纳的所得税、提取的专用结余以及转入非财政拨款结余的金额等。</w:t>
      </w:r>
    </w:p>
    <w:p w14:paraId="786BAF7C">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8.年末结转和结余：指单位按有关规定结转到下年或以后年度继续使用的资金。</w:t>
      </w:r>
    </w:p>
    <w:p w14:paraId="73E92CC0">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9.社会保障和就业（类）人力资源和社会保障管理事务、行政（款）社会保险业务管理事务（项）: 指社会保险管理和基金监督方面的支出。</w:t>
      </w:r>
    </w:p>
    <w:p w14:paraId="7BDC75E0">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10.社会保障和就业（类）人力资源和社会保障管理事务、行政（款）社会保险经办机构（项）: 指社会保险经办机构开展业务工作的支出。</w:t>
      </w:r>
    </w:p>
    <w:p w14:paraId="607CE257">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11.社会保障和就业（类）人力资源和社会保障管理事务、行政（款）公共就业服务和职业技能鉴定机构（项）:指公共就业服务和职业技能鉴定机构的支出。</w:t>
      </w:r>
    </w:p>
    <w:p w14:paraId="07BFAA48">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12.社会保障和就业（类）人力资源和社会保障管理事务、行政（款）其他人力资源和社会保障管理事务支出（项）: 指除上述项目以外其他用于人力资源和社会保障管理事务方面的支出。</w:t>
      </w:r>
    </w:p>
    <w:p w14:paraId="272ABAEC">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13.社会保障和就业（类）行政事业单位离退休（款）机关事业单位基本养老保险缴费支出（项）:指机关事业单位实施养老保险制度由单位缴纳的基本养老保险费的支出。</w:t>
      </w:r>
    </w:p>
    <w:p w14:paraId="19E904B7">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14.社会保障和就业（类）行政事业单位离退休（款）机关事业单位职业年金缴费支出（项）: 指机关事业实施养老保险制度由单位实际缴纳的职业年金的支出。</w:t>
      </w:r>
    </w:p>
    <w:p w14:paraId="11DA91AE">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15.社会保障和就业（类）就业补助（款）其他就业补助支出（项）: 指除上述项目以外按规定确定的其他用于促进就业补助支出。</w:t>
      </w:r>
    </w:p>
    <w:p w14:paraId="17084905">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16.社会保障和就业（类）其他社会保障和就业（款）其他社会保障和就业（项）: 指除上述项目外其他用于社会保障和就业方面的支出。</w:t>
      </w:r>
    </w:p>
    <w:p w14:paraId="51C85244">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17.卫生健康（类）行政事业单位医疗（款）行政单位医疗（项）:指财政部门集中安排的行政单位基本医疗保险缴费经费，未参加医疗保险的行政单位的公费医疗经费，按国家规定享受离休人员、红军老战士待遇人员的医疗经费。</w:t>
      </w:r>
    </w:p>
    <w:p w14:paraId="7F124461">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18.卫生健康（类）行政事业单位医疗（款）事业单位医疗（项）: 指财政部门集中安排的事业单位基本医疗保险缴费经费，未参加医疗保险的事业单位的公费医疗经费，按国家规定享受离休人员待遇的医疗经费。</w:t>
      </w:r>
    </w:p>
    <w:p w14:paraId="55423660">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19.卫生健康（类）行政事业单位医疗（款）公务员医疗补助（项）: 指财政部门集中安排的公务员医疗补助经费。</w:t>
      </w:r>
    </w:p>
    <w:p w14:paraId="7CE302DA">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 xml:space="preserve">20.卫生健康（类）财政对基本医疗保险基金的补助（款）财政对城乡居民基本医疗保险基金的补助（项）:指财政对已将新型农村合作医疗基金和城镇居民基本医疗保险整合为城乡居民基本医疗保险基金的补助支出。  </w:t>
      </w:r>
    </w:p>
    <w:p w14:paraId="261C304D">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21.住房保障（类）住房改革（款）住房公积金（项）: 指按照《住房公积金管理条例》的规定，由单位及其在职职工缴存的住房公积金。</w:t>
      </w:r>
    </w:p>
    <w:p w14:paraId="2BD81579">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22.基本支出：指为保障机构正常运转、完成日常工作任务而发生的人员支出和公用支出。</w:t>
      </w:r>
    </w:p>
    <w:p w14:paraId="3B9B4096">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 xml:space="preserve">23.项目支出：指在基本支出之外为完成特定行政任务和事业发展目标所发生的支出。 </w:t>
      </w:r>
    </w:p>
    <w:p w14:paraId="24EFD686">
      <w:pPr>
        <w:spacing w:line="600" w:lineRule="exact"/>
        <w:ind w:firstLine="640"/>
        <w:rPr>
          <w:rFonts w:hint="eastAsia" w:ascii="Times New Roman" w:hAnsi="Times New Roman" w:eastAsia="仿宋_GB2312" w:cs="仿宋_GB2312"/>
          <w:color w:val="auto"/>
          <w:kern w:val="2"/>
          <w:sz w:val="32"/>
          <w:szCs w:val="32"/>
          <w:lang w:val="en-US" w:eastAsia="zh-CN" w:bidi="ar-SA"/>
        </w:rPr>
      </w:pPr>
      <w:r>
        <w:rPr>
          <w:rFonts w:hint="eastAsia" w:ascii="仿宋_GB2312" w:hAnsi="Times New Roman" w:eastAsia="仿宋_GB2312" w:cs="Times New Roman"/>
          <w:color w:val="auto"/>
          <w:sz w:val="32"/>
          <w:szCs w:val="32"/>
          <w:highlight w:val="none"/>
          <w:lang w:val="en-US" w:eastAsia="zh-CN"/>
        </w:rPr>
        <w:t>24.“三公”经费：指部门用财政拨款安排的因公出国（境）费、公务用车购置及运行费和公务接待费。其中，因公出国（境）费反映单位公务出国（境）的国际旅费、国外</w:t>
      </w:r>
      <w:r>
        <w:rPr>
          <w:rFonts w:hint="eastAsia" w:ascii="Times New Roman" w:hAnsi="Times New Roman" w:eastAsia="仿宋_GB2312" w:cs="仿宋_GB2312"/>
          <w:color w:val="auto"/>
          <w:kern w:val="2"/>
          <w:sz w:val="32"/>
          <w:szCs w:val="32"/>
          <w:lang w:val="en-US" w:eastAsia="zh-CN" w:bidi="ar-SA"/>
        </w:rPr>
        <w:t>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9399938">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1CA906">
      <w:pPr>
        <w:pageBreakBefore w:val="0"/>
        <w:numPr>
          <w:ilvl w:val="0"/>
          <w:numId w:val="0"/>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r>
        <w:rPr>
          <w:rFonts w:ascii="宋体"/>
          <w:b/>
          <w:color w:val="000000"/>
          <w:sz w:val="44"/>
          <w:szCs w:val="44"/>
        </w:rPr>
        <w:br w:type="page"/>
      </w:r>
      <w:bookmarkEnd w:id="122"/>
      <w:bookmarkStart w:id="123" w:name="_Toc3055"/>
      <w:bookmarkStart w:id="124" w:name="_Toc17692"/>
      <w:bookmarkStart w:id="125" w:name="_Toc21988"/>
      <w:bookmarkStart w:id="126" w:name="_Toc1550"/>
      <w:bookmarkStart w:id="127" w:name="_Toc2068"/>
      <w:bookmarkStart w:id="128" w:name="_Toc14768"/>
      <w:r>
        <w:rPr>
          <w:rFonts w:hint="default" w:ascii="Times New Roman" w:hAnsi="Times New Roman" w:eastAsia="微软雅黑" w:cs="Times New Roman"/>
          <w:color w:val="000000"/>
          <w:sz w:val="44"/>
          <w:szCs w:val="44"/>
          <w:lang w:eastAsia="zh-CN"/>
        </w:rPr>
        <w:t>第四部分</w:t>
      </w:r>
      <w:r>
        <w:rPr>
          <w:rFonts w:hint="default" w:ascii="Times New Roman" w:hAnsi="Times New Roman" w:eastAsia="微软雅黑" w:cs="Times New Roman"/>
          <w:color w:val="000000"/>
          <w:sz w:val="44"/>
          <w:szCs w:val="44"/>
          <w:lang w:val="en-US" w:eastAsia="zh-CN"/>
        </w:rPr>
        <w:t xml:space="preserve"> </w:t>
      </w:r>
      <w:r>
        <w:rPr>
          <w:rFonts w:hint="default" w:ascii="Times New Roman" w:hAnsi="Times New Roman" w:eastAsia="微软雅黑" w:cs="Times New Roman"/>
          <w:color w:val="000000"/>
          <w:sz w:val="44"/>
          <w:szCs w:val="44"/>
          <w:lang w:eastAsia="zh-CN"/>
        </w:rPr>
        <w:t xml:space="preserve"> 附件</w:t>
      </w:r>
      <w:bookmarkEnd w:id="123"/>
      <w:bookmarkEnd w:id="124"/>
      <w:bookmarkEnd w:id="125"/>
      <w:bookmarkEnd w:id="126"/>
      <w:bookmarkEnd w:id="127"/>
      <w:bookmarkEnd w:id="128"/>
    </w:p>
    <w:p w14:paraId="5465972F">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773B8A9E">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FEDA6A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val="0"/>
          <w:i w:val="0"/>
          <w:iCs w:val="0"/>
          <w:sz w:val="44"/>
          <w:szCs w:val="44"/>
          <w:highlight w:val="none"/>
          <w:shd w:val="clear" w:color="auto" w:fill="FFFFFF"/>
        </w:rPr>
      </w:pPr>
      <w:bookmarkStart w:id="129" w:name="_Toc20512_WPSOffice_Level2"/>
      <w:bookmarkStart w:id="130" w:name="_Toc28264_WPSOffice_Level2"/>
      <w:r>
        <w:rPr>
          <w:rFonts w:hint="default" w:ascii="Times New Roman" w:hAnsi="Times New Roman" w:eastAsia="方正小标宋简体" w:cs="Times New Roman"/>
          <w:b w:val="0"/>
          <w:bCs w:val="0"/>
          <w:i w:val="0"/>
          <w:iCs w:val="0"/>
          <w:sz w:val="44"/>
          <w:szCs w:val="44"/>
          <w:highlight w:val="none"/>
          <w:shd w:val="clear" w:color="auto" w:fill="FFFFFF"/>
        </w:rPr>
        <w:t>遂宁市安居区社会保险事业管理局</w:t>
      </w:r>
      <w:bookmarkEnd w:id="129"/>
      <w:bookmarkEnd w:id="130"/>
    </w:p>
    <w:p w14:paraId="699BA3B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bookmarkStart w:id="131" w:name="_Toc26783_WPSOffice_Level2"/>
      <w:bookmarkStart w:id="132" w:name="_Toc992_WPSOffice_Level2"/>
      <w:bookmarkStart w:id="133" w:name="_Toc13240_WPSOffice_Level2"/>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bookmarkEnd w:id="131"/>
      <w:bookmarkEnd w:id="132"/>
      <w:bookmarkEnd w:id="133"/>
    </w:p>
    <w:p w14:paraId="16CDE95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bookmarkStart w:id="134" w:name="_Toc12658_WPSOffice_Level2"/>
      <w:r>
        <w:rPr>
          <w:rFonts w:hint="default" w:ascii="Times New Roman" w:hAnsi="Times New Roman" w:eastAsia="仿宋_GB2312" w:cs="Times New Roman"/>
          <w:sz w:val="32"/>
          <w:szCs w:val="32"/>
          <w:highlight w:val="none"/>
          <w:shd w:val="clear" w:color="auto" w:fill="FFFFFF"/>
        </w:rPr>
        <w:t>（报告范围包括机关和下属单位）</w:t>
      </w:r>
      <w:bookmarkEnd w:id="134"/>
    </w:p>
    <w:p w14:paraId="475D25B0">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D6377C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bookmarkStart w:id="135" w:name="_Toc17518_WPSOffice_Level2"/>
      <w:bookmarkStart w:id="136" w:name="_Toc16258_WPSOffice_Level2"/>
      <w:bookmarkStart w:id="137" w:name="_Toc13236_WPSOffice_Level2"/>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bookmarkEnd w:id="135"/>
      <w:bookmarkEnd w:id="136"/>
      <w:bookmarkEnd w:id="137"/>
    </w:p>
    <w:p w14:paraId="0DB692C0">
      <w:pPr>
        <w:widowControl/>
        <w:adjustRightInd w:val="0"/>
        <w:snapToGrid w:val="0"/>
        <w:spacing w:line="578" w:lineRule="exact"/>
        <w:ind w:firstLine="643"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仿宋_GB2312"/>
          <w:sz w:val="32"/>
          <w:szCs w:val="32"/>
          <w:lang w:val="en-US" w:eastAsia="zh-CN"/>
        </w:rPr>
        <w:t>遂宁市安居区社会保险事业管理局(机关事业单位养老保险局、城乡居民养老保险管理局、失地无业农民社会保障服务管理中心)</w:t>
      </w:r>
    </w:p>
    <w:p w14:paraId="3A72BBBA">
      <w:pPr>
        <w:widowControl/>
        <w:adjustRightInd w:val="0"/>
        <w:snapToGrid w:val="0"/>
        <w:spacing w:line="578" w:lineRule="exact"/>
        <w:ind w:firstLine="640" w:firstLineChars="200"/>
        <w:contextualSpacing/>
        <w:jc w:val="left"/>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遂宁市安居区社会保险事业管理局为区人社局下属参公事业单位</w:t>
      </w:r>
      <w:r>
        <w:rPr>
          <w:rFonts w:hint="default" w:ascii="Times New Roman" w:hAnsi="Times New Roman" w:eastAsia="仿宋_GB2312" w:cs="仿宋_GB2312"/>
          <w:sz w:val="32"/>
          <w:szCs w:val="32"/>
          <w:lang w:val="en-US" w:eastAsia="zh-CN"/>
        </w:rPr>
        <w:t>。</w:t>
      </w:r>
    </w:p>
    <w:p w14:paraId="473EEEC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Times New Roman" w:hAnsi="Times New Roman" w:eastAsia="仿宋_GB2312" w:cs="仿宋_GB2312"/>
          <w:color w:val="auto"/>
          <w:kern w:val="2"/>
          <w:sz w:val="32"/>
          <w:szCs w:val="32"/>
          <w:highlight w:val="none"/>
          <w:lang w:val="en-US" w:eastAsia="zh-CN" w:bidi="ar-SA"/>
        </w:rPr>
        <w:t xml:space="preserve">                                  </w:t>
      </w:r>
    </w:p>
    <w:p w14:paraId="11E424A4">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1、组织</w:t>
      </w:r>
      <w:r>
        <w:rPr>
          <w:rFonts w:hint="eastAsia" w:eastAsia="仿宋_GB2312" w:cs="仿宋_GB2312"/>
          <w:sz w:val="32"/>
          <w:szCs w:val="32"/>
          <w:lang w:val="en-US" w:eastAsia="zh-CN"/>
        </w:rPr>
        <w:t>《中华人民共和国社会保险法》</w:t>
      </w:r>
      <w:r>
        <w:rPr>
          <w:rFonts w:hint="eastAsia" w:ascii="Times New Roman" w:hAnsi="Times New Roman" w:eastAsia="仿宋_GB2312" w:cs="仿宋_GB2312"/>
          <w:sz w:val="32"/>
          <w:szCs w:val="32"/>
          <w:lang w:val="en-US" w:eastAsia="zh-CN"/>
        </w:rPr>
        <w:t>《社会保险费征缴暂行条例》及国发2号《国务院关于机关事业单位工作人员养老保险制度改革的决定》和《城乡养老保险制度衔接暂行办法》《四川省被征地失地农民养老保障实施办法》等在全区的宣传和贯彻实施。</w:t>
      </w:r>
    </w:p>
    <w:p w14:paraId="26512BA5">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2、负责单位社保登记工作，企业、机关事业单位以及城乡居民参保人员的参保登记及权益记录查询工作。</w:t>
      </w:r>
    </w:p>
    <w:p w14:paraId="1BE30964">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3、推动全民参保计划的实施，负责全区养老保险参保扩面工作，努力实现社会养老保险全覆盖。</w:t>
      </w:r>
    </w:p>
    <w:p w14:paraId="5C0D070D">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4、负责全区企业职工基本养老保险、工伤保险、失业保险费的征缴工作；负责全区机关事业单位养老保险费、职业年金的征缴工作；负责全区城乡居民基本养老保险费的征缴工作。</w:t>
      </w:r>
    </w:p>
    <w:p w14:paraId="6FE025E0">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5、负责全区企业职工基本养老保险、工伤保险、机关事业单位养老保险、职业年金、城乡居民基本养老保险待遇的计算、核定、调增及发放工作。</w:t>
      </w:r>
    </w:p>
    <w:p w14:paraId="58D85A92">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6、加强对单位离退休人员的管理，研究制定开展社区服务的措施及办法，组织开展退管服务活动，丰富离退休人员的生活。</w:t>
      </w:r>
    </w:p>
    <w:p w14:paraId="7CC9314D">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7、负责社会保险基金的管理工作，负责对单位参保缴费及社会保险待遇支付的稽核工作，维护参保人员的合法权益，确保基金安全。</w:t>
      </w:r>
    </w:p>
    <w:p w14:paraId="262A2EAF">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8、负责机关事业单位、企业职工及城乡居民社会保险关系的转移接续工作。</w:t>
      </w:r>
    </w:p>
    <w:p w14:paraId="2BC30F7F">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9、负责被征地失地农民养老保障经办工作，负责中心内失地农民基本生活补助保障费的筹集、管理和发放工作。</w:t>
      </w:r>
    </w:p>
    <w:p w14:paraId="759BAF8A">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10、完成区委、区政府交办的其它工作。</w:t>
      </w:r>
    </w:p>
    <w:p w14:paraId="6EFF9A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仿宋_GB2312"/>
          <w:sz w:val="32"/>
          <w:szCs w:val="32"/>
          <w:lang w:val="en-US" w:eastAsia="zh-CN"/>
        </w:rPr>
        <w:t>截至2024年末，区社保局在编职工人数28人，实有人数28人。其中：行政人员10人，事业人员18人</w:t>
      </w:r>
      <w:r>
        <w:rPr>
          <w:rFonts w:hint="eastAsia" w:ascii="Times New Roman" w:hAnsi="Times New Roman" w:eastAsia="仿宋_GB2312" w:cs="仿宋_GB2312"/>
          <w:sz w:val="32"/>
          <w:szCs w:val="32"/>
          <w:lang w:val="en-US" w:eastAsia="zh-CN"/>
        </w:rPr>
        <w:t>。</w:t>
      </w:r>
    </w:p>
    <w:p w14:paraId="56ED63B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bookmarkStart w:id="138" w:name="_Toc28328_WPSOffice_Level2"/>
      <w:bookmarkStart w:id="139" w:name="_Toc10641_WPSOffice_Level2"/>
      <w:bookmarkStart w:id="140" w:name="_Toc12494_WPSOffice_Level2"/>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bookmarkEnd w:id="138"/>
      <w:bookmarkEnd w:id="139"/>
      <w:bookmarkEnd w:id="140"/>
    </w:p>
    <w:p w14:paraId="33905A2D">
      <w:pPr>
        <w:ind w:firstLine="643" w:firstLineChars="200"/>
        <w:rPr>
          <w:rFonts w:hint="default" w:ascii="Times New Roman" w:hAnsi="Times New Roman" w:eastAsia="仿宋_GB2312" w:cs="仿宋_GB2312"/>
          <w:sz w:val="32"/>
          <w:szCs w:val="32"/>
          <w:lang w:val="en-US"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（一）</w:t>
      </w:r>
      <w:r>
        <w:rPr>
          <w:rFonts w:hint="eastAsia" w:ascii="Times New Roman" w:hAnsi="Times New Roman" w:eastAsia="楷体_GB2312" w:cs="Times New Roman"/>
          <w:b/>
          <w:bCs/>
          <w:color w:val="auto"/>
          <w:kern w:val="0"/>
          <w:sz w:val="32"/>
          <w:szCs w:val="32"/>
          <w:highlight w:val="none"/>
          <w:shd w:val="clear" w:color="auto" w:fill="FFFFFF"/>
          <w:lang w:val="zh-CN"/>
        </w:rPr>
        <w:t>收入情况</w:t>
      </w:r>
      <w:r>
        <w:rPr>
          <w:rFonts w:hint="default"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仿宋_GB2312" w:cs="仿宋_GB2312"/>
          <w:sz w:val="32"/>
          <w:szCs w:val="32"/>
          <w:lang w:val="en-US" w:eastAsia="zh-CN"/>
        </w:rPr>
        <w:t>区社保局2024年初预算收入3570.70万元，决算收入合计1313.50万元，其中：一般公共预算财政拨款收入1313.50万元，占100%。</w:t>
      </w:r>
    </w:p>
    <w:p w14:paraId="24C2E7B7">
      <w:pPr>
        <w:ind w:firstLine="643" w:firstLineChars="200"/>
        <w:rPr>
          <w:rFonts w:hint="default" w:ascii="Times New Roman" w:hAnsi="Times New Roman" w:eastAsia="仿宋_GB2312" w:cs="仿宋_GB2312"/>
          <w:sz w:val="32"/>
          <w:szCs w:val="32"/>
          <w:lang w:val="zh-CN"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zh-CN"/>
        </w:rPr>
        <w:t>二</w:t>
      </w:r>
      <w:r>
        <w:rPr>
          <w:rFonts w:hint="default"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zh-CN"/>
        </w:rPr>
        <w:t>支出情况</w:t>
      </w:r>
      <w:r>
        <w:rPr>
          <w:rFonts w:hint="default"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仿宋_GB2312" w:cs="仿宋_GB2312"/>
          <w:sz w:val="32"/>
          <w:szCs w:val="32"/>
          <w:lang w:val="en-US" w:eastAsia="zh-CN"/>
        </w:rPr>
        <w:t>区社保局2024年初预算收入3570.70万元，决算支出合计1313.50万元，其中：基本支出1296.95万元，占98.74%；项目支出16.55万元，占1.26%。</w:t>
      </w:r>
    </w:p>
    <w:p w14:paraId="43C887C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sz w:val="32"/>
          <w:szCs w:val="32"/>
          <w:lang w:val="en-US" w:eastAsia="zh-CN"/>
        </w:rPr>
        <w:t>区社保局2024年决算报表无结转结余</w:t>
      </w:r>
      <w:r>
        <w:rPr>
          <w:rFonts w:hint="default" w:ascii="Times New Roman" w:hAnsi="Times New Roman" w:eastAsia="仿宋_GB2312" w:cs="仿宋_GB2312"/>
          <w:sz w:val="32"/>
          <w:szCs w:val="32"/>
          <w:lang w:val="en-US" w:eastAsia="zh-CN"/>
        </w:rPr>
        <w:t>。</w:t>
      </w:r>
    </w:p>
    <w:p w14:paraId="28160A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bookmarkStart w:id="141" w:name="_Toc18169_WPSOffice_Level2"/>
      <w:bookmarkStart w:id="142" w:name="_Toc17727_WPSOffice_Level2"/>
      <w:bookmarkStart w:id="143" w:name="_Toc3779_WPSOffice_Level2"/>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bookmarkEnd w:id="141"/>
      <w:bookmarkEnd w:id="142"/>
      <w:bookmarkEnd w:id="143"/>
    </w:p>
    <w:p w14:paraId="012B357F">
      <w:pPr>
        <w:ind w:firstLine="643" w:firstLineChars="200"/>
        <w:rPr>
          <w:rFonts w:hint="default" w:ascii="Times New Roman" w:hAnsi="Times New Roman" w:eastAsia="仿宋_GB2312" w:cs="仿宋_GB2312"/>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w:t>
      </w:r>
      <w:r>
        <w:rPr>
          <w:rFonts w:hint="default" w:ascii="Times New Roman" w:hAnsi="Times New Roman" w:eastAsia="仿宋_GB2312" w:cs="仿宋_GB2312"/>
          <w:sz w:val="32"/>
          <w:szCs w:val="32"/>
          <w:lang w:val="zh-CN" w:eastAsia="zh-CN"/>
        </w:rPr>
        <w:t>据部门预算绩效评价指标体系</w:t>
      </w:r>
      <w:r>
        <w:rPr>
          <w:rFonts w:hint="eastAsia" w:ascii="Times New Roman" w:hAnsi="Times New Roman" w:eastAsia="仿宋_GB2312" w:cs="仿宋_GB2312"/>
          <w:sz w:val="32"/>
          <w:szCs w:val="32"/>
          <w:lang w:val="zh-CN" w:eastAsia="zh-CN"/>
        </w:rPr>
        <w:t>“</w:t>
      </w:r>
      <w:r>
        <w:rPr>
          <w:rFonts w:hint="default" w:ascii="Times New Roman" w:hAnsi="Times New Roman" w:eastAsia="仿宋_GB2312" w:cs="仿宋_GB2312"/>
          <w:sz w:val="32"/>
          <w:szCs w:val="32"/>
          <w:lang w:val="zh-CN" w:eastAsia="zh-CN"/>
        </w:rPr>
        <w:t>总体绩效</w:t>
      </w:r>
      <w:r>
        <w:rPr>
          <w:rFonts w:hint="eastAsia" w:ascii="Times New Roman" w:hAnsi="Times New Roman" w:eastAsia="仿宋_GB2312" w:cs="仿宋_GB2312"/>
          <w:sz w:val="32"/>
          <w:szCs w:val="32"/>
          <w:lang w:val="zh-CN" w:eastAsia="zh-CN"/>
        </w:rPr>
        <w:t>”</w:t>
      </w:r>
      <w:r>
        <w:rPr>
          <w:rFonts w:hint="default" w:ascii="Times New Roman" w:hAnsi="Times New Roman" w:eastAsia="仿宋_GB2312" w:cs="仿宋_GB2312"/>
          <w:sz w:val="32"/>
          <w:szCs w:val="32"/>
          <w:lang w:val="zh-CN" w:eastAsia="zh-CN"/>
        </w:rPr>
        <w:t>涉及</w:t>
      </w:r>
      <w:r>
        <w:rPr>
          <w:rFonts w:hint="eastAsia" w:ascii="Times New Roman" w:hAnsi="Times New Roman" w:eastAsia="仿宋_GB2312" w:cs="仿宋_GB2312"/>
          <w:sz w:val="32"/>
          <w:szCs w:val="32"/>
          <w:lang w:val="zh-CN" w:eastAsia="zh-CN"/>
        </w:rPr>
        <w:t>二、三级</w:t>
      </w:r>
      <w:r>
        <w:rPr>
          <w:rFonts w:hint="default" w:ascii="Times New Roman" w:hAnsi="Times New Roman" w:eastAsia="仿宋_GB2312" w:cs="仿宋_GB2312"/>
          <w:sz w:val="32"/>
          <w:szCs w:val="32"/>
          <w:lang w:val="zh-CN" w:eastAsia="zh-CN"/>
        </w:rPr>
        <w:t>指标进行</w:t>
      </w:r>
      <w:r>
        <w:rPr>
          <w:rFonts w:hint="eastAsia" w:ascii="Times New Roman" w:hAnsi="Times New Roman" w:eastAsia="仿宋_GB2312" w:cs="仿宋_GB2312"/>
          <w:sz w:val="32"/>
          <w:szCs w:val="32"/>
          <w:lang w:val="zh-CN" w:eastAsia="zh-CN"/>
        </w:rPr>
        <w:t>逐项</w:t>
      </w:r>
      <w:r>
        <w:rPr>
          <w:rFonts w:hint="default" w:ascii="Times New Roman" w:hAnsi="Times New Roman" w:eastAsia="仿宋_GB2312" w:cs="仿宋_GB2312"/>
          <w:sz w:val="32"/>
          <w:szCs w:val="32"/>
          <w:lang w:val="zh-CN" w:eastAsia="zh-CN"/>
        </w:rPr>
        <w:t>绩效分析</w:t>
      </w:r>
      <w:r>
        <w:rPr>
          <w:rFonts w:hint="eastAsia" w:ascii="Times New Roman" w:hAnsi="Times New Roman" w:eastAsia="仿宋_GB2312" w:cs="仿宋_GB2312"/>
          <w:sz w:val="32"/>
          <w:szCs w:val="32"/>
          <w:lang w:val="zh-CN" w:eastAsia="zh-CN"/>
        </w:rPr>
        <w:t>并评分</w:t>
      </w:r>
      <w:r>
        <w:rPr>
          <w:rFonts w:hint="default" w:ascii="Times New Roman" w:hAnsi="Times New Roman" w:eastAsia="仿宋_GB2312" w:cs="仿宋_GB2312"/>
          <w:sz w:val="32"/>
          <w:szCs w:val="32"/>
          <w:lang w:val="zh-CN" w:eastAsia="zh-CN"/>
        </w:rPr>
        <w:t>，依次包括履职效能、预算管理、财务管理、资产管理、采购管理等情况。</w:t>
      </w:r>
    </w:p>
    <w:p w14:paraId="506D8388">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1.履职效能。部门整体绩效目标中，2024年</w:t>
      </w:r>
      <w:r>
        <w:rPr>
          <w:rFonts w:hint="eastAsia" w:eastAsia="仿宋_GB2312" w:cs="仿宋_GB2312"/>
          <w:sz w:val="32"/>
          <w:szCs w:val="32"/>
          <w:lang w:val="en-US" w:eastAsia="zh-CN"/>
        </w:rPr>
        <w:t>城乡居民基础养老金</w:t>
      </w:r>
      <w:r>
        <w:rPr>
          <w:rFonts w:hint="eastAsia" w:ascii="Times New Roman" w:hAnsi="Times New Roman" w:eastAsia="仿宋_GB2312" w:cs="仿宋_GB2312"/>
          <w:sz w:val="32"/>
          <w:szCs w:val="32"/>
          <w:lang w:val="en-US" w:eastAsia="zh-CN"/>
        </w:rPr>
        <w:t>待遇领取人数为129000人，人均领取标准为139元每人每月，其中人均财政配套标准区级承担2602.62万元已全部落实到位，保障了领取群众配套基础养老金补助部分及时到位，完成全年目标。城乡居民养老保险个人缴费补贴区级配套资金130万元，完成全年目标。2024年职业年金做实缴纳1719.81万元，完成全年目标。基金风险防控2024年基金追回社保基金154719.14元。完成效果较好，减少了管理系风险缺口。</w:t>
      </w:r>
    </w:p>
    <w:p w14:paraId="7BBCF063">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预算管理。区社保局高度重视预算、绩效管理工作，严格按要求编制年初部门预算，努力做到预算与实际支出相符合，增强绩效目标对预算支出的规范作用，提升预算资金实际效用。全年本着“过紧日子”原则，量入为出，缩减三公经费、差旅、办公设备购置、信息网络及软件购置更新等一般性开支，全年预算数与执行数相匹配，有节奏有计划进行经费开支，高质高效完成全年总体目标。2024年单位预算收入统筹3570.70万元，年终无结余。</w:t>
      </w:r>
    </w:p>
    <w:p w14:paraId="19201867">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3.资产管理。区社保局2024年度资产保存完整、配置合理、处置规范、账务管理合规、账实相符。人均资产进行调配使用。办公设备资产超最低使用年限情况较好。资产盘活率：区社保局2024年度无闲置资产。   </w:t>
      </w:r>
    </w:p>
    <w:p w14:paraId="684FBCB3">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采购管理。区社保局严格执行政府采购制度，按照《机关管理制度》规定，1万元及以上采购需编制预算方案，经“三重一大”集体决策后由专人牵头履行采购流程；0.1-1万元以下，需由需求部门编制采购请示，经部室负责人、分管领导、主要领导签批后实施内部采购流程。</w:t>
      </w:r>
    </w:p>
    <w:p w14:paraId="6DC6BF7E">
      <w:pPr>
        <w:ind w:firstLine="640" w:firstLineChars="20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5.财务管理。区社保局严格制定财务管理制度，公务卡使用管理办法等制度，合理设置财务岗位、明确职责权限，严格实行不相容岗位分离，严格按照单位内部财务管理制度报销资金，资金使用规范，符合相关财务管理制度的规定。</w:t>
      </w:r>
    </w:p>
    <w:p w14:paraId="3FD847C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D5B7BDD">
      <w:pPr>
        <w:ind w:firstLine="640" w:firstLineChars="200"/>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常年项目绩效分析。该类项目总数 7个，涉及预算总金额3026.26万元，1—12月预算执行总体进度为100%，其中：预算结余率大于10%的项目共计0个。</w:t>
      </w:r>
    </w:p>
    <w:p w14:paraId="54A10210">
      <w:pPr>
        <w:ind w:firstLine="640" w:firstLineChars="200"/>
        <w:rPr>
          <w:rFonts w:hint="default" w:ascii="Times New Roman" w:hAnsi="Times New Roman" w:eastAsia="仿宋_GB2312" w:cs="仿宋_GB2312"/>
          <w:sz w:val="32"/>
          <w:szCs w:val="32"/>
          <w:lang w:val="zh-CN" w:eastAsia="zh-CN"/>
        </w:rPr>
      </w:pPr>
      <w:r>
        <w:rPr>
          <w:rFonts w:hint="default" w:ascii="Times New Roman" w:hAnsi="Times New Roman" w:eastAsia="仿宋_GB2312" w:cs="仿宋_GB2312"/>
          <w:sz w:val="32"/>
          <w:szCs w:val="32"/>
          <w:lang w:val="en-US" w:eastAsia="zh-CN"/>
        </w:rPr>
        <w:t>阶段（一次性）项目绩效分析。该类项目总数0个</w:t>
      </w:r>
      <w:r>
        <w:rPr>
          <w:rFonts w:hint="default" w:ascii="Times New Roman" w:hAnsi="Times New Roman" w:eastAsia="仿宋_GB2312" w:cs="仿宋_GB2312"/>
          <w:sz w:val="32"/>
          <w:szCs w:val="32"/>
          <w:lang w:val="zh-CN" w:eastAsia="zh-CN"/>
        </w:rPr>
        <w:t>。</w:t>
      </w:r>
    </w:p>
    <w:p w14:paraId="7EC124B8">
      <w:pPr>
        <w:ind w:firstLine="640" w:firstLineChars="20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val="zh-CN" w:eastAsia="zh-CN"/>
        </w:rPr>
        <w:t>项目决策。区社保局项目设立按规定履行评估论证、申报程序符合规范要求、目标设置合理，规范完整，做到量化细化。部门预算项目在规定时间完成了项目入库。</w:t>
      </w:r>
    </w:p>
    <w:p w14:paraId="2C0621DD">
      <w:pPr>
        <w:ind w:firstLine="640" w:firstLineChars="20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2.项目执行</w:t>
      </w:r>
      <w:r>
        <w:rPr>
          <w:rFonts w:hint="eastAsia" w:ascii="Times New Roman" w:hAnsi="Times New Roman" w:eastAsia="仿宋_GB2312" w:cs="仿宋_GB2312"/>
          <w:sz w:val="32"/>
          <w:szCs w:val="32"/>
          <w:lang w:val="zh-CN" w:eastAsia="zh-CN"/>
        </w:rPr>
        <w:t>。区社保局2024年设置特定目标类项目7个,基础养老金补贴区级配套2602.62万元，实际执行2602.62万元，执行率为100%。基金风险防控项目8.72万元，实际执行8.72万元，执行率为100%。城乡居民养老保险个人缴费补贴区级配套130万元，实际执行130万元，执行率为100%。职业年金做实及贴息1720万元，实际执行1719.81万元，执行率为100%。离休干部遗孀生活补助1.88万元，实际执行1.88万元，执行率为100%。陈友生困难补助金3.88万元，实际执行3.88万元，执行率为100%。建国初期参加革命工作退休干部困难补助</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CN" w:eastAsia="zh-CN"/>
        </w:rPr>
        <w:t>.06万元，实际执行</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CN" w:eastAsia="zh-CN"/>
        </w:rPr>
        <w:t>.06万元，执行率为100%。项目整体执行效果良好。</w:t>
      </w:r>
    </w:p>
    <w:p w14:paraId="0A39216B">
      <w:pPr>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zh-CN" w:eastAsia="zh-CN"/>
        </w:rPr>
        <w:t>目标实现。区社保局2024年度设定整体绩效目标1个，项目绩效目标7个，绩效目标合计8个，全年完成绩效目标8个。其中偏离设定值30%绩效目标有0个，整体项目目标完成情况良好，保障了养老金发放及时到位，完成了社会保险基金的管理工作，维护参保人员的合法权益，确保了基金安全。绩效目标偏离度较低、超额完成完成设定绩效目标</w:t>
      </w:r>
      <w:r>
        <w:rPr>
          <w:rFonts w:hint="eastAsia" w:ascii="Times New Roman" w:hAnsi="Times New Roman" w:eastAsia="仿宋_GB2312" w:cs="仿宋_GB2312"/>
          <w:sz w:val="32"/>
          <w:szCs w:val="32"/>
          <w:lang w:val="en-US" w:eastAsia="zh-CN"/>
        </w:rPr>
        <w:t>。</w:t>
      </w:r>
      <w:r>
        <w:rPr>
          <w:rFonts w:hint="eastAsia" w:eastAsia="仿宋_GB2312" w:cs="Times New Roman"/>
          <w:sz w:val="32"/>
          <w:szCs w:val="32"/>
          <w:highlight w:val="none"/>
          <w:lang w:val="en-US" w:eastAsia="zh-CN"/>
        </w:rPr>
        <w:tab/>
      </w:r>
      <w:r>
        <w:rPr>
          <w:rFonts w:hint="eastAsia" w:eastAsia="仿宋_GB2312" w:cs="Times New Roman"/>
          <w:sz w:val="32"/>
          <w:szCs w:val="32"/>
          <w:highlight w:val="none"/>
          <w:lang w:val="en-US" w:eastAsia="zh-CN"/>
        </w:rPr>
        <w:t xml:space="preserve"> </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sz w:val="32"/>
          <w:szCs w:val="32"/>
          <w:lang w:val="zh-CN" w:eastAsia="zh-CN"/>
        </w:rPr>
        <w:t>区社保局设置绩效目标贴合实际，绩效管理严格按照上级部门要求，开展自评工作，对评价结果及时总结上报、公开。</w:t>
      </w:r>
    </w:p>
    <w:p w14:paraId="2E56ECD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bookmarkStart w:id="144" w:name="_Toc18730_WPSOffice_Level2"/>
      <w:bookmarkStart w:id="145" w:name="_Toc24784_WPSOffice_Level2"/>
      <w:bookmarkStart w:id="146" w:name="_Toc17435_WPSOffice_Level2"/>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bookmarkEnd w:id="144"/>
      <w:bookmarkEnd w:id="145"/>
      <w:bookmarkEnd w:id="146"/>
    </w:p>
    <w:p w14:paraId="0119C80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415156D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eastAsia" w:ascii="Times New Roman" w:hAnsi="Times New Roman" w:eastAsia="仿宋_GB2312" w:cs="仿宋_GB2312"/>
          <w:sz w:val="32"/>
          <w:szCs w:val="32"/>
          <w:lang w:val="en-US" w:eastAsia="zh-CN"/>
        </w:rPr>
        <w:t>区社保局2024年整体绩效目标评价得分97分，总体运行良好，圆满完成2024年年初既定绩效目标。</w:t>
      </w:r>
    </w:p>
    <w:p w14:paraId="263032A5">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r>
        <w:rPr>
          <w:rFonts w:hint="eastAsia" w:eastAsia="楷体_GB2312" w:cs="Times New Roman"/>
          <w:b/>
          <w:bCs/>
          <w:color w:val="000000"/>
          <w:kern w:val="0"/>
          <w:sz w:val="32"/>
          <w:szCs w:val="32"/>
          <w:highlight w:val="none"/>
          <w:shd w:val="clear" w:color="auto" w:fill="FFFFFF"/>
          <w:lang w:val="zh-CN"/>
        </w:rPr>
        <w:t>。</w:t>
      </w:r>
    </w:p>
    <w:p w14:paraId="3FFD2B6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区社保局虽然能够按质按量完成财政安排的预算绩效管理工作，但在实际的操作过程中，还存在财务管理制度不完善、绩效目标设置浮于表面、绩效目标调整衔接不到位等问题。</w:t>
      </w:r>
    </w:p>
    <w:p w14:paraId="1D4B2A16">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bookmarkStart w:id="147" w:name="_Hlk110546638"/>
      <w:r>
        <w:rPr>
          <w:rFonts w:hint="eastAsia" w:eastAsia="楷体_GB2312" w:cs="Times New Roman"/>
          <w:b/>
          <w:bCs/>
          <w:color w:val="000000"/>
          <w:kern w:val="0"/>
          <w:sz w:val="32"/>
          <w:szCs w:val="32"/>
          <w:highlight w:val="none"/>
          <w:shd w:val="clear" w:color="auto" w:fill="FFFFFF"/>
          <w:lang w:val="en-US" w:eastAsia="zh-CN"/>
        </w:rPr>
        <w:t xml:space="preserve"> </w:t>
      </w:r>
    </w:p>
    <w:p w14:paraId="7890CA9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1.遵循先有预算、后有支出的原则，加强财务管理和内部控制监督制度。严禁超预算和无预算安排支出，严格开支范围和标准，严格支出报销审核，不报销任何超范围、超标准的费用。 </w:t>
      </w:r>
    </w:p>
    <w:p w14:paraId="1AD2592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2.严格控制“三公”经费。认真贯彻落实中央、区委区政府相关规定，严格“三公”经费支出的审核和审批，合理压缩“三公”经费支出。</w:t>
      </w:r>
    </w:p>
    <w:bookmarkEnd w:id="147"/>
    <w:p w14:paraId="6FAA46C9">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CC0A7A1">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highlight w:val="none"/>
          <w:u w:val="none"/>
          <w:lang w:val="en-US" w:eastAsia="zh-CN" w:bidi="ar"/>
        </w:rPr>
      </w:pPr>
      <w:bookmarkStart w:id="148" w:name="_Toc11230_WPSOffice_Level2"/>
      <w:bookmarkStart w:id="149" w:name="_Toc19745_WPSOffice_Level2"/>
      <w:bookmarkStart w:id="150" w:name="_Toc20220_WPSOffice_Level2"/>
      <w:r>
        <w:rPr>
          <w:rFonts w:hint="eastAsia" w:ascii="Times New Roman" w:hAnsi="Times New Roman" w:eastAsia="仿宋_GB2312" w:cs="Times New Roman"/>
          <w:kern w:val="2"/>
          <w:sz w:val="32"/>
          <w:szCs w:val="32"/>
          <w:highlight w:val="none"/>
          <w:u w:val="none"/>
          <w:lang w:val="zh-CN" w:eastAsia="zh-CN" w:bidi="ar"/>
        </w:rPr>
        <w:t>附表：</w:t>
      </w:r>
      <w:r>
        <w:rPr>
          <w:rFonts w:hint="eastAsia" w:eastAsia="仿宋_GB2312" w:cs="Times New Roman"/>
          <w:color w:val="000000" w:themeColor="text1"/>
          <w:kern w:val="2"/>
          <w:sz w:val="32"/>
          <w:szCs w:val="32"/>
          <w:highlight w:val="none"/>
          <w:u w:val="none"/>
          <w:lang w:val="en-US" w:eastAsia="zh-CN" w:bidi="ar"/>
        </w:rPr>
        <w:t>1.</w:t>
      </w:r>
      <w:r>
        <w:rPr>
          <w:rFonts w:hint="default" w:ascii="Times New Roman" w:hAnsi="Times New Roman" w:eastAsia="仿宋_GB2312" w:cs="Times New Roman"/>
          <w:kern w:val="2"/>
          <w:sz w:val="32"/>
          <w:szCs w:val="32"/>
          <w:highlight w:val="none"/>
          <w:u w:val="none"/>
          <w:lang w:val="en-US" w:eastAsia="zh-CN" w:bidi="ar"/>
        </w:rPr>
        <w:t>部门整体支出绩效自评表</w:t>
      </w:r>
      <w:bookmarkEnd w:id="148"/>
      <w:bookmarkEnd w:id="149"/>
      <w:bookmarkEnd w:id="150"/>
    </w:p>
    <w:p w14:paraId="2DD39E16">
      <w:pPr>
        <w:pStyle w:val="8"/>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2"/>
          <w:sz w:val="32"/>
          <w:szCs w:val="32"/>
          <w:highlight w:val="none"/>
          <w:u w:val="none"/>
          <w:lang w:val="zh-CN" w:eastAsia="zh-CN" w:bidi="ar"/>
        </w:rPr>
      </w:pPr>
      <w:bookmarkStart w:id="151" w:name="_Toc26586_WPSOffice_Level2"/>
      <w:bookmarkStart w:id="152" w:name="_Toc13012_WPSOffice_Level2"/>
      <w:bookmarkStart w:id="153" w:name="_Toc23504_WPSOffice_Level2"/>
      <w:r>
        <w:rPr>
          <w:rFonts w:hint="default" w:ascii="Times New Roman" w:hAnsi="Times New Roman" w:eastAsia="仿宋_GB2312" w:cs="Times New Roman"/>
          <w:kern w:val="2"/>
          <w:sz w:val="32"/>
          <w:szCs w:val="32"/>
          <w:highlight w:val="none"/>
          <w:u w:val="none"/>
          <w:lang w:val="en-US" w:eastAsia="zh-CN" w:bidi="ar"/>
        </w:rPr>
        <w:t>2.部门预算项目支出绩效自评表（2024年度）</w:t>
      </w:r>
      <w:bookmarkEnd w:id="151"/>
      <w:bookmarkEnd w:id="152"/>
      <w:bookmarkEnd w:id="153"/>
    </w:p>
    <w:p w14:paraId="0D1E8CF3">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kern w:val="0"/>
          <w:sz w:val="30"/>
          <w:szCs w:val="30"/>
          <w:u w:val="none"/>
          <w:lang w:val="en-US" w:eastAsia="zh-CN" w:bidi="ar"/>
        </w:rPr>
        <w:sectPr>
          <w:footerReference r:id="rId9" w:type="firs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tbl>
      <w:tblPr>
        <w:tblStyle w:val="17"/>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9"/>
        <w:gridCol w:w="1521"/>
        <w:gridCol w:w="2597"/>
        <w:gridCol w:w="858"/>
        <w:gridCol w:w="1996"/>
        <w:gridCol w:w="4056"/>
        <w:gridCol w:w="893"/>
        <w:gridCol w:w="794"/>
      </w:tblGrid>
      <w:tr w14:paraId="65F0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14174" w:type="dxa"/>
            <w:gridSpan w:val="8"/>
            <w:tcBorders>
              <w:top w:val="nil"/>
              <w:left w:val="nil"/>
              <w:bottom w:val="nil"/>
              <w:right w:val="nil"/>
            </w:tcBorders>
            <w:shd w:val="clear" w:color="auto" w:fill="auto"/>
            <w:vAlign w:val="center"/>
          </w:tcPr>
          <w:p w14:paraId="27BB176F">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18"/>
                <w:szCs w:val="18"/>
                <w:u w:val="none"/>
              </w:rPr>
            </w:pPr>
            <w:r>
              <w:rPr>
                <w:rFonts w:hint="default" w:ascii="黑体" w:hAnsi="宋体" w:eastAsia="黑体" w:cs="黑体"/>
                <w:b/>
                <w:bCs/>
                <w:i w:val="0"/>
                <w:iCs w:val="0"/>
                <w:color w:val="000000"/>
                <w:kern w:val="0"/>
                <w:sz w:val="30"/>
                <w:szCs w:val="30"/>
                <w:u w:val="none"/>
                <w:lang w:val="en-US" w:eastAsia="zh-CN" w:bidi="ar"/>
              </w:rPr>
              <w:t>部门整体支出绩效自评表</w:t>
            </w:r>
          </w:p>
        </w:tc>
      </w:tr>
      <w:tr w14:paraId="140F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3167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FF0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指标解释</w:t>
            </w:r>
          </w:p>
        </w:tc>
        <w:tc>
          <w:tcPr>
            <w:tcW w:w="4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886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评分说明</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2BC2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自评得分</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BFCA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备注</w:t>
            </w:r>
          </w:p>
        </w:tc>
      </w:tr>
      <w:tr w14:paraId="33FD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9" w:type="dxa"/>
            <w:tcBorders>
              <w:top w:val="single" w:color="000000" w:sz="4" w:space="0"/>
              <w:left w:val="single" w:color="000000" w:sz="4" w:space="0"/>
              <w:bottom w:val="single" w:color="000000" w:sz="4" w:space="0"/>
              <w:right w:val="nil"/>
            </w:tcBorders>
            <w:shd w:val="clear" w:color="auto" w:fill="auto"/>
            <w:vAlign w:val="center"/>
          </w:tcPr>
          <w:p w14:paraId="37482E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0C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F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8B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指标分值</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D48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4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7F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2A52">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18"/>
                <w:szCs w:val="18"/>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D3A9F">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18"/>
                <w:szCs w:val="18"/>
                <w:u w:val="none"/>
              </w:rPr>
            </w:pPr>
          </w:p>
        </w:tc>
      </w:tr>
      <w:tr w14:paraId="4DEB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E58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总体绩效</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（65分）</w:t>
            </w:r>
          </w:p>
        </w:tc>
        <w:tc>
          <w:tcPr>
            <w:tcW w:w="1521" w:type="dxa"/>
            <w:vMerge w:val="restart"/>
            <w:tcBorders>
              <w:top w:val="single" w:color="000000" w:sz="4" w:space="0"/>
              <w:left w:val="single" w:color="000000" w:sz="4" w:space="0"/>
              <w:bottom w:val="nil"/>
              <w:right w:val="single" w:color="000000" w:sz="4" w:space="0"/>
            </w:tcBorders>
            <w:shd w:val="clear" w:color="auto" w:fill="auto"/>
            <w:vAlign w:val="center"/>
          </w:tcPr>
          <w:p w14:paraId="420634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履职效能</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（19分）</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64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基础养老金发放履职效果</w:t>
            </w:r>
          </w:p>
        </w:tc>
        <w:tc>
          <w:tcPr>
            <w:tcW w:w="858" w:type="dxa"/>
            <w:vMerge w:val="restart"/>
            <w:tcBorders>
              <w:top w:val="single" w:color="000000" w:sz="4" w:space="0"/>
              <w:left w:val="single" w:color="000000" w:sz="4" w:space="0"/>
              <w:bottom w:val="nil"/>
              <w:right w:val="single" w:color="000000" w:sz="4" w:space="0"/>
            </w:tcBorders>
            <w:shd w:val="clear" w:color="auto" w:fill="auto"/>
            <w:vAlign w:val="center"/>
          </w:tcPr>
          <w:p w14:paraId="3F8403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996" w:type="dxa"/>
            <w:vMerge w:val="restart"/>
            <w:tcBorders>
              <w:top w:val="single" w:color="000000" w:sz="4" w:space="0"/>
              <w:left w:val="single" w:color="000000" w:sz="4" w:space="0"/>
              <w:bottom w:val="nil"/>
              <w:right w:val="single" w:color="000000" w:sz="4" w:space="0"/>
            </w:tcBorders>
            <w:shd w:val="clear" w:color="auto" w:fill="auto"/>
            <w:vAlign w:val="center"/>
          </w:tcPr>
          <w:p w14:paraId="3B7173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部门整体绩效目标中选定4-6个核心职能目标，反映该项职能目标完成效果情况</w:t>
            </w:r>
          </w:p>
        </w:tc>
        <w:tc>
          <w:tcPr>
            <w:tcW w:w="4056" w:type="dxa"/>
            <w:vMerge w:val="restart"/>
            <w:tcBorders>
              <w:top w:val="single" w:color="000000" w:sz="4" w:space="0"/>
              <w:left w:val="single" w:color="000000" w:sz="4" w:space="0"/>
              <w:bottom w:val="nil"/>
              <w:right w:val="single" w:color="000000" w:sz="4" w:space="0"/>
            </w:tcBorders>
            <w:shd w:val="clear" w:color="auto" w:fill="auto"/>
            <w:vAlign w:val="center"/>
          </w:tcPr>
          <w:p w14:paraId="6AD2A2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893" w:type="dxa"/>
            <w:vMerge w:val="restart"/>
            <w:tcBorders>
              <w:top w:val="single" w:color="000000" w:sz="4" w:space="0"/>
              <w:left w:val="single" w:color="000000" w:sz="4" w:space="0"/>
              <w:bottom w:val="nil"/>
              <w:right w:val="single" w:color="000000" w:sz="4" w:space="0"/>
            </w:tcBorders>
            <w:shd w:val="clear" w:color="auto" w:fill="auto"/>
            <w:vAlign w:val="center"/>
          </w:tcPr>
          <w:p w14:paraId="498BF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4" w:type="dxa"/>
            <w:vMerge w:val="restart"/>
            <w:tcBorders>
              <w:top w:val="single" w:color="000000" w:sz="4" w:space="0"/>
              <w:left w:val="single" w:color="000000" w:sz="4" w:space="0"/>
              <w:bottom w:val="nil"/>
              <w:right w:val="single" w:color="000000" w:sz="4" w:space="0"/>
            </w:tcBorders>
            <w:shd w:val="clear" w:color="auto" w:fill="auto"/>
            <w:vAlign w:val="center"/>
          </w:tcPr>
          <w:p w14:paraId="2EF752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B9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7DF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nil"/>
              <w:right w:val="single" w:color="000000" w:sz="4" w:space="0"/>
            </w:tcBorders>
            <w:shd w:val="clear" w:color="auto" w:fill="auto"/>
            <w:vAlign w:val="center"/>
          </w:tcPr>
          <w:p w14:paraId="438EE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51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个人缴费补贴到位履职效果</w:t>
            </w:r>
          </w:p>
        </w:tc>
        <w:tc>
          <w:tcPr>
            <w:tcW w:w="858" w:type="dxa"/>
            <w:vMerge w:val="continue"/>
            <w:tcBorders>
              <w:top w:val="single" w:color="000000" w:sz="4" w:space="0"/>
              <w:left w:val="single" w:color="000000" w:sz="4" w:space="0"/>
              <w:bottom w:val="nil"/>
              <w:right w:val="single" w:color="000000" w:sz="4" w:space="0"/>
            </w:tcBorders>
            <w:shd w:val="clear" w:color="auto" w:fill="auto"/>
            <w:vAlign w:val="center"/>
          </w:tcPr>
          <w:p w14:paraId="03C504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1996" w:type="dxa"/>
            <w:vMerge w:val="continue"/>
            <w:tcBorders>
              <w:top w:val="single" w:color="000000" w:sz="4" w:space="0"/>
              <w:left w:val="single" w:color="000000" w:sz="4" w:space="0"/>
              <w:bottom w:val="nil"/>
              <w:right w:val="single" w:color="000000" w:sz="4" w:space="0"/>
            </w:tcBorders>
            <w:shd w:val="clear" w:color="auto" w:fill="auto"/>
            <w:vAlign w:val="center"/>
          </w:tcPr>
          <w:p w14:paraId="692E1D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4056" w:type="dxa"/>
            <w:vMerge w:val="continue"/>
            <w:tcBorders>
              <w:top w:val="single" w:color="000000" w:sz="4" w:space="0"/>
              <w:left w:val="single" w:color="000000" w:sz="4" w:space="0"/>
              <w:bottom w:val="nil"/>
              <w:right w:val="single" w:color="000000" w:sz="4" w:space="0"/>
            </w:tcBorders>
            <w:shd w:val="clear" w:color="auto" w:fill="auto"/>
            <w:vAlign w:val="center"/>
          </w:tcPr>
          <w:p w14:paraId="18F6FC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14:paraId="290329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14:paraId="6EB1C6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82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E98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nil"/>
              <w:right w:val="single" w:color="000000" w:sz="4" w:space="0"/>
            </w:tcBorders>
            <w:shd w:val="clear" w:color="auto" w:fill="auto"/>
            <w:vAlign w:val="center"/>
          </w:tcPr>
          <w:p w14:paraId="695A1B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57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职业年金记实贴息履职效果</w:t>
            </w:r>
          </w:p>
        </w:tc>
        <w:tc>
          <w:tcPr>
            <w:tcW w:w="858" w:type="dxa"/>
            <w:vMerge w:val="continue"/>
            <w:tcBorders>
              <w:top w:val="single" w:color="000000" w:sz="4" w:space="0"/>
              <w:left w:val="single" w:color="000000" w:sz="4" w:space="0"/>
              <w:bottom w:val="nil"/>
              <w:right w:val="single" w:color="000000" w:sz="4" w:space="0"/>
            </w:tcBorders>
            <w:shd w:val="clear" w:color="auto" w:fill="auto"/>
            <w:vAlign w:val="center"/>
          </w:tcPr>
          <w:p w14:paraId="2B0B2E6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1996" w:type="dxa"/>
            <w:vMerge w:val="continue"/>
            <w:tcBorders>
              <w:top w:val="single" w:color="000000" w:sz="4" w:space="0"/>
              <w:left w:val="single" w:color="000000" w:sz="4" w:space="0"/>
              <w:bottom w:val="nil"/>
              <w:right w:val="single" w:color="000000" w:sz="4" w:space="0"/>
            </w:tcBorders>
            <w:shd w:val="clear" w:color="auto" w:fill="auto"/>
            <w:vAlign w:val="center"/>
          </w:tcPr>
          <w:p w14:paraId="32FC39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4056" w:type="dxa"/>
            <w:vMerge w:val="continue"/>
            <w:tcBorders>
              <w:top w:val="single" w:color="000000" w:sz="4" w:space="0"/>
              <w:left w:val="single" w:color="000000" w:sz="4" w:space="0"/>
              <w:bottom w:val="nil"/>
              <w:right w:val="single" w:color="000000" w:sz="4" w:space="0"/>
            </w:tcBorders>
            <w:shd w:val="clear" w:color="auto" w:fill="auto"/>
            <w:vAlign w:val="center"/>
          </w:tcPr>
          <w:p w14:paraId="0A52B54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14:paraId="15BE9F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14:paraId="5454FE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EC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C35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nil"/>
              <w:right w:val="single" w:color="000000" w:sz="4" w:space="0"/>
            </w:tcBorders>
            <w:shd w:val="clear" w:color="auto" w:fill="auto"/>
            <w:vAlign w:val="center"/>
          </w:tcPr>
          <w:p w14:paraId="1D31C4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2E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基金风险防控履职效果</w:t>
            </w:r>
          </w:p>
        </w:tc>
        <w:tc>
          <w:tcPr>
            <w:tcW w:w="858" w:type="dxa"/>
            <w:vMerge w:val="continue"/>
            <w:tcBorders>
              <w:top w:val="single" w:color="000000" w:sz="4" w:space="0"/>
              <w:left w:val="single" w:color="000000" w:sz="4" w:space="0"/>
              <w:bottom w:val="nil"/>
              <w:right w:val="single" w:color="000000" w:sz="4" w:space="0"/>
            </w:tcBorders>
            <w:shd w:val="clear" w:color="auto" w:fill="auto"/>
            <w:vAlign w:val="center"/>
          </w:tcPr>
          <w:p w14:paraId="778FC5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1996" w:type="dxa"/>
            <w:vMerge w:val="continue"/>
            <w:tcBorders>
              <w:top w:val="single" w:color="000000" w:sz="4" w:space="0"/>
              <w:left w:val="single" w:color="000000" w:sz="4" w:space="0"/>
              <w:bottom w:val="nil"/>
              <w:right w:val="single" w:color="000000" w:sz="4" w:space="0"/>
            </w:tcBorders>
            <w:shd w:val="clear" w:color="auto" w:fill="auto"/>
            <w:vAlign w:val="center"/>
          </w:tcPr>
          <w:p w14:paraId="6566AD3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4056" w:type="dxa"/>
            <w:vMerge w:val="continue"/>
            <w:tcBorders>
              <w:top w:val="single" w:color="000000" w:sz="4" w:space="0"/>
              <w:left w:val="single" w:color="000000" w:sz="4" w:space="0"/>
              <w:bottom w:val="nil"/>
              <w:right w:val="single" w:color="000000" w:sz="4" w:space="0"/>
            </w:tcBorders>
            <w:shd w:val="clear" w:color="auto" w:fill="auto"/>
            <w:vAlign w:val="center"/>
          </w:tcPr>
          <w:p w14:paraId="442159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14:paraId="788186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14:paraId="54F6CC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04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ABE4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48F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预算管理</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（21分）</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C3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预算编制质量</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5C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FE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部门是否严格按要求编制年初部门预算，年初预算编制的科学性和准确性</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6B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该项指标得分=（1-财政拨款预算偏离度）×100%×8。偏离度=|预算执行数-调整预算数|÷调整预算数。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7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F61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FB8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2EA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0D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D4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支出执行进度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02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7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部门1至12月预算执行情况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09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04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F1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A4A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B7F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E3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预算年终结余</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F4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14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部门整体年终预算结余情况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48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9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AF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67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EF6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BD4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E5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严控一般性支出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51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63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60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该项指标得分=基础分值+加分值。</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1.基础分值。一般性支出财政拨款年初预算较上年实现压减得1.5分；一般性支出财政拨款预算执行较上年实现压减得1.5分。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C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08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90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01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22E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资产管理</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（9分）</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C1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人均资产变化率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26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7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部门人均资产变化情况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7C3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4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061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F61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39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A6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57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资产利用率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0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0F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部门资产超最低使用年限情况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196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该项指标得分=（超最低使用年限的办公家具账面原值÷办公家具账面原值×100%×1.5）+（超最低使用年限的办公设备账面原值÷办公设备账面原值×100%×1.5）。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F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29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585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089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总体绩效</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（65分）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D2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资产管理</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（9分）</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A0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资产盘活率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C4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AA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部门闲置一年以上的资产盘活情况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1E6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A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D5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67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4B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0A6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采购管理</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（6分）</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A8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支持中小企业发展</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8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B6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部门是否严格执行政府采购促进中小企业发展相关管理办法</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79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E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F2F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86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012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41B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28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采购执行率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35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69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部门政府采购项目资金支付比例情况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6E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该项指标得分=当年政府采购实际支付总金额÷（当年政府采购总预算数-当年已完成采购项目节约金额）×100%×3。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3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E6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9B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9DC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项目绩效</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（35分）</w:t>
            </w:r>
          </w:p>
        </w:tc>
        <w:tc>
          <w:tcPr>
            <w:tcW w:w="1521" w:type="dxa"/>
            <w:vMerge w:val="restart"/>
            <w:tcBorders>
              <w:top w:val="single" w:color="000000" w:sz="4" w:space="0"/>
              <w:left w:val="single" w:color="000000" w:sz="4" w:space="0"/>
              <w:bottom w:val="nil"/>
              <w:right w:val="single" w:color="000000" w:sz="4" w:space="0"/>
            </w:tcBorders>
            <w:shd w:val="clear" w:color="auto" w:fill="auto"/>
            <w:vAlign w:val="center"/>
          </w:tcPr>
          <w:p w14:paraId="06A50D2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项目决策</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（12分）</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5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决策程序</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5C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4C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部门预算项目设立是否按规定履行评估论证、申报程序</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E1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B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CB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8B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6A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nil"/>
              <w:right w:val="single" w:color="000000" w:sz="4" w:space="0"/>
            </w:tcBorders>
            <w:shd w:val="clear" w:color="auto" w:fill="auto"/>
            <w:vAlign w:val="center"/>
          </w:tcPr>
          <w:p w14:paraId="69FE133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D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目标设置</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4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56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BA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C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C6E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5F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nil"/>
              <w:right w:val="single" w:color="000000" w:sz="4" w:space="0"/>
            </w:tcBorders>
            <w:shd w:val="clear" w:color="auto" w:fill="auto"/>
            <w:vAlign w:val="center"/>
          </w:tcPr>
          <w:p w14:paraId="6B2A316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72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项目入库</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A5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07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部门预算项目是否在规定时间完成项目入库</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3C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B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51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2B9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restart"/>
            <w:tcBorders>
              <w:top w:val="single" w:color="000000" w:sz="4" w:space="0"/>
              <w:left w:val="single" w:color="000000" w:sz="4" w:space="0"/>
              <w:bottom w:val="nil"/>
              <w:right w:val="single" w:color="000000" w:sz="4" w:space="0"/>
            </w:tcBorders>
            <w:shd w:val="clear" w:color="auto" w:fill="auto"/>
            <w:vAlign w:val="center"/>
          </w:tcPr>
          <w:p w14:paraId="4A91C5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项目执行</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（12分）</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CC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执行同向</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AE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9E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部门预算项目实际列支内容是否与绩效目标设置方向相符</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50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2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9D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AF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B0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nil"/>
              <w:right w:val="single" w:color="000000" w:sz="4" w:space="0"/>
            </w:tcBorders>
            <w:shd w:val="clear" w:color="auto" w:fill="auto"/>
            <w:vAlign w:val="center"/>
          </w:tcPr>
          <w:p w14:paraId="122E18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nil"/>
              <w:right w:val="single" w:color="000000" w:sz="4" w:space="0"/>
            </w:tcBorders>
            <w:shd w:val="clear" w:color="auto" w:fill="auto"/>
            <w:vAlign w:val="center"/>
          </w:tcPr>
          <w:p w14:paraId="0F7DB2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项目调整</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51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76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部门预算项目是否采取对应调整措施</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A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0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77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B7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E9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nil"/>
              <w:right w:val="single" w:color="000000" w:sz="4" w:space="0"/>
            </w:tcBorders>
            <w:shd w:val="clear" w:color="auto" w:fill="auto"/>
            <w:vAlign w:val="center"/>
          </w:tcPr>
          <w:p w14:paraId="124D347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1D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执行结果</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606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E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部门预算项目预算执行情况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5C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1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C9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7E3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6A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9F8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目标实现</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（11分）</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98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目标完成</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EE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26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部门预算项目绩效目标数量指标完成情况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4F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该项指标得分=完成绩效目标数量指标的部门预算阶段项目（含一次性项目）数量÷部门预算阶段项目（含一次性项目）总数×100%×6。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9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0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8F8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36BB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5E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F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目标偏离</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70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41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部门预算项目绩效目标数量指标实现程度与预期目标的偏离情况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EA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0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A8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1C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6D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C7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94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实现效果</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7A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1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部门预算项目绩效目标效益指标实施效果</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B5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该项指标得分=完成绩效目标效益指标的部门预算阶段项目（含一次性项目）数量÷部门预算阶段项目（含一次性项目）总数×100%×5。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9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E0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E6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40A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扣分项</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E19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财务管理</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C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财务管理制度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5C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B6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部门财务管理制度建立情况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E9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部门未制定内部财务管理制度等制度机制的,财务管理制度未得到落实，发现一处扣1分，扣完为止。</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6D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E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3F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C387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C8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AF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财务岗位设置</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14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F6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部门财务岗位设置是否符合相关财务管理制度要求</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A0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部门未合理设置财务工作岗位，职责权限不明确，未严格实行不相容岗位分离，发现一处扣1分，扣完为止。</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54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74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BC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3DAE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57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D1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资金使用规范</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9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23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部门资金使用是否符合相关财务管理制度规定</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4E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部门资金使用不符合相关财务管理制度规定的，发现一处扣1分，扣完为止。</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82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3F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2F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787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E27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预算绩效存在问题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14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EDA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预算管理和绩效管理工作存在问题</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C7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39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1F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26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743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18"/>
                <w:szCs w:val="18"/>
                <w:u w:val="none"/>
              </w:rPr>
            </w:pPr>
          </w:p>
        </w:tc>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AD2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被评价部门配合度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34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5C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被评价对象工作配合情况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A9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6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EB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66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5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777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分值</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9D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97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1A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D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92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14:paraId="70ABE869">
      <w:pPr>
        <w:keepNext w:val="0"/>
        <w:keepLines w:val="0"/>
        <w:widowControl/>
        <w:suppressLineNumbers w:val="0"/>
        <w:spacing w:before="0" w:beforeAutospacing="0" w:after="0" w:afterAutospacing="0"/>
        <w:ind w:left="0" w:right="0"/>
        <w:jc w:val="both"/>
        <w:textAlignment w:val="center"/>
        <w:rPr>
          <w:rFonts w:hint="eastAsia" w:ascii="黑体" w:hAnsi="宋体" w:eastAsia="黑体" w:cs="黑体"/>
          <w:b/>
          <w:bCs/>
          <w:i w:val="0"/>
          <w:iCs w:val="0"/>
          <w:color w:val="000000"/>
          <w:kern w:val="0"/>
          <w:sz w:val="30"/>
          <w:szCs w:val="30"/>
          <w:u w:val="none"/>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tbl>
      <w:tblPr>
        <w:tblStyle w:val="17"/>
        <w:tblW w:w="9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609"/>
        <w:gridCol w:w="355"/>
        <w:gridCol w:w="616"/>
        <w:gridCol w:w="354"/>
        <w:gridCol w:w="363"/>
        <w:gridCol w:w="766"/>
        <w:gridCol w:w="836"/>
        <w:gridCol w:w="825"/>
        <w:gridCol w:w="688"/>
        <w:gridCol w:w="872"/>
        <w:gridCol w:w="638"/>
        <w:gridCol w:w="650"/>
        <w:gridCol w:w="1538"/>
      </w:tblGrid>
      <w:tr w14:paraId="7F03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81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D60A60B">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17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3B9ED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5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E75E6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51090424T000011111850-陈友生困难补助</w:t>
            </w:r>
          </w:p>
        </w:tc>
      </w:tr>
      <w:tr w14:paraId="2304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6546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23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5722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遂宁市安居区社会保险事业管理局部门</w:t>
            </w:r>
          </w:p>
        </w:tc>
        <w:tc>
          <w:tcPr>
            <w:tcW w:w="825" w:type="dxa"/>
            <w:tcBorders>
              <w:top w:val="nil"/>
              <w:left w:val="nil"/>
              <w:bottom w:val="nil"/>
              <w:right w:val="nil"/>
            </w:tcBorders>
            <w:shd w:val="clear" w:color="auto" w:fill="auto"/>
            <w:vAlign w:val="center"/>
          </w:tcPr>
          <w:p w14:paraId="530D687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4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AA0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遂宁市安居区社会保险事业管理局</w:t>
            </w:r>
          </w:p>
        </w:tc>
      </w:tr>
      <w:tr w14:paraId="4277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A117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5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33E2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23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1BE2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52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7272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1CBD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543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18"/>
                <w:szCs w:val="18"/>
                <w:u w:val="none"/>
              </w:rPr>
            </w:pPr>
          </w:p>
        </w:tc>
        <w:tc>
          <w:tcPr>
            <w:tcW w:w="15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57D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18"/>
                <w:szCs w:val="18"/>
                <w:u w:val="none"/>
              </w:rPr>
            </w:pPr>
          </w:p>
        </w:tc>
        <w:tc>
          <w:tcPr>
            <w:tcW w:w="23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0CD0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根据遂安人社[2023]6号、遂安社险函[2023]34号执行，每月发放伤残津贴补助</w:t>
            </w:r>
          </w:p>
        </w:tc>
        <w:tc>
          <w:tcPr>
            <w:tcW w:w="52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2A576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按照文件要求每月按对陈友生发放困难补助</w:t>
            </w:r>
          </w:p>
        </w:tc>
      </w:tr>
      <w:tr w14:paraId="26E9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7D6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18"/>
                <w:szCs w:val="18"/>
                <w:u w:val="none"/>
              </w:rPr>
            </w:pP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9882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5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69BD0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按照文件要求每月按对陈友生发放困难补助</w:t>
            </w:r>
          </w:p>
        </w:tc>
      </w:tr>
      <w:tr w14:paraId="6A8C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1A9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DEA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FF8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DF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1E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75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A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9A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2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3E5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0521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B0F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C63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C5B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8E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FC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29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60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92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85BE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93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DB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F98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1BF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2B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80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73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C2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8F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4D2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iCs/>
                <w:color w:val="000000"/>
                <w:sz w:val="18"/>
                <w:szCs w:val="18"/>
                <w:u w:val="none"/>
              </w:rPr>
            </w:pPr>
          </w:p>
        </w:tc>
      </w:tr>
      <w:tr w14:paraId="1327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B18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193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C92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58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3D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F4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A6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3F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B09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iCs/>
                <w:color w:val="000000"/>
                <w:sz w:val="18"/>
                <w:szCs w:val="18"/>
                <w:u w:val="none"/>
              </w:rPr>
            </w:pPr>
          </w:p>
        </w:tc>
      </w:tr>
      <w:tr w14:paraId="7D52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FD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DFC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238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F9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71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28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25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76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C237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iCs/>
                <w:color w:val="000000"/>
                <w:sz w:val="18"/>
                <w:szCs w:val="18"/>
                <w:u w:val="none"/>
              </w:rPr>
            </w:pPr>
          </w:p>
        </w:tc>
      </w:tr>
      <w:tr w14:paraId="0D7F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0BCC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14A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4E7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B06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5C8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19E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25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40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C6F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iCs/>
                <w:color w:val="000000"/>
                <w:sz w:val="18"/>
                <w:szCs w:val="18"/>
                <w:u w:val="none"/>
              </w:rPr>
            </w:pPr>
          </w:p>
        </w:tc>
      </w:tr>
      <w:tr w14:paraId="133D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B4D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A48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6FA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F3A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2C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80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4E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A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C7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83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CF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21F0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0D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032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AF9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1EC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陈友生每月发放伤残津贴补助</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9B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DE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CA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EA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45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93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2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r>
      <w:tr w14:paraId="5C23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CE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34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702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DB5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应发尽发</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3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1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94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B2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DB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C1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F4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r>
      <w:tr w14:paraId="7AB3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89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A56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30D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39E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按时发放</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71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97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CEB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EE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按时</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7F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DB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894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r>
      <w:tr w14:paraId="72AB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B8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F8C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988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676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陈友生每月发放伤残津贴补助</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DF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50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2BB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F7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45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C0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71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r>
      <w:tr w14:paraId="5965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81D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1BC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BE2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帮扶对象满意度指标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35E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发放对象满意度指标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AB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56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45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33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64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A8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2FA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r>
      <w:tr w14:paraId="78DE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A4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C01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274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62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按标准发放</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4A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E8C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89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4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0B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15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2CC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iCs/>
                <w:color w:val="000000"/>
                <w:sz w:val="18"/>
                <w:szCs w:val="18"/>
                <w:u w:val="none"/>
              </w:rPr>
            </w:pPr>
          </w:p>
        </w:tc>
      </w:tr>
      <w:tr w14:paraId="4BBB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F038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06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90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F55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18"/>
                <w:szCs w:val="18"/>
                <w:u w:val="none"/>
              </w:rPr>
            </w:pPr>
          </w:p>
        </w:tc>
      </w:tr>
      <w:tr w14:paraId="1EAB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9A7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5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C07FC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按照文件要求每月按对陈友生发放困难补助。</w:t>
            </w:r>
          </w:p>
        </w:tc>
      </w:tr>
      <w:tr w14:paraId="28AE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52C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5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3B415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30F8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7D0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5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01499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5A58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2E82B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项目负责人：曾莉</w:t>
            </w:r>
          </w:p>
        </w:tc>
        <w:tc>
          <w:tcPr>
            <w:tcW w:w="52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C8985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财务负责人：张丹</w:t>
            </w:r>
          </w:p>
        </w:tc>
      </w:tr>
    </w:tbl>
    <w:p w14:paraId="621E6E0A">
      <w:pPr>
        <w:pStyle w:val="6"/>
        <w:rPr>
          <w:rFonts w:hint="eastAsia" w:ascii="Times New Roman" w:hAnsi="Times New Roman" w:cs="宋体"/>
          <w:color w:val="FF0000"/>
          <w:kern w:val="0"/>
          <w:sz w:val="32"/>
          <w:szCs w:val="32"/>
          <w:highlight w:val="yellow"/>
          <w:shd w:val="clear" w:color="auto" w:fill="FFFFFF"/>
          <w:lang w:val="zh-CN"/>
        </w:rPr>
      </w:pPr>
    </w:p>
    <w:tbl>
      <w:tblPr>
        <w:tblStyle w:val="17"/>
        <w:tblW w:w="9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080"/>
        <w:gridCol w:w="818"/>
        <w:gridCol w:w="825"/>
        <w:gridCol w:w="775"/>
        <w:gridCol w:w="888"/>
        <w:gridCol w:w="950"/>
        <w:gridCol w:w="650"/>
        <w:gridCol w:w="725"/>
        <w:gridCol w:w="675"/>
        <w:gridCol w:w="619"/>
        <w:gridCol w:w="1052"/>
      </w:tblGrid>
      <w:tr w14:paraId="06A3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8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8667E0B">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01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B08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248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51090424T000011111513-城乡居民养老保险个人缴费补贴区级配套2024</w:t>
            </w:r>
          </w:p>
        </w:tc>
      </w:tr>
      <w:tr w14:paraId="0276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39A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8F9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950" w:type="dxa"/>
            <w:tcBorders>
              <w:top w:val="nil"/>
              <w:left w:val="nil"/>
              <w:bottom w:val="nil"/>
              <w:right w:val="nil"/>
            </w:tcBorders>
            <w:shd w:val="clear" w:color="auto" w:fill="auto"/>
            <w:vAlign w:val="center"/>
          </w:tcPr>
          <w:p w14:paraId="1B00EEE3">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7C7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14:paraId="45E0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4A1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D97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E99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682EF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F1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61B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45E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E23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2024年度城乡居民养老保险个人缴费补贴区级配套资金。</w:t>
            </w:r>
          </w:p>
        </w:tc>
        <w:tc>
          <w:tcPr>
            <w:tcW w:w="46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8CC8B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完成对符合享受城乡居民养老保险个人缴费补贴人员应补尽补全覆盖。</w:t>
            </w:r>
          </w:p>
        </w:tc>
      </w:tr>
      <w:tr w14:paraId="648D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B56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E6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C9E6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确保符合享受城乡居民养老保险个人缴费补贴人员补贴按时到位。</w:t>
            </w:r>
          </w:p>
        </w:tc>
      </w:tr>
      <w:tr w14:paraId="369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04D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6D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A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C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A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86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81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E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BC3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233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5B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3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75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34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6B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2C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1F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5F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0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F352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04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13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BF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BB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4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6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41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0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D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0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803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985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B32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0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81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E4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7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E4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0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72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0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726F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F01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14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CD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33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4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B6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87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0F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A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0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EB2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BC7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90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BB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8BB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F0E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28A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0D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C9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FE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0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1C7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38F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BED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D6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3E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6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15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05C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E9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1F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54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9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70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2AE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0C8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08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7C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EF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保障人数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F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CA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应保尽保</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9B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E84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6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DA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A3A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F06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3D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92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E7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D4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补贴的准确性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7C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1D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A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3F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A5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B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A6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258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83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14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D9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1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完成时效</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3B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C4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E4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C4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C8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DA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ED1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05F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67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2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63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60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保障个人缴费补贴及时到位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70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00A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2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D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0B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A59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8A9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19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6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E4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5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享受缴费补贴对象满意度指标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09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7A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0A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91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9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0B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B14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68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63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A6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BB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按相关缴费档次确保配套到位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1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2B6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城乡居民养老保险，补贴标准不低于40元/人/年。对每年200、300、400元、500</w:t>
            </w:r>
            <w:r>
              <w:rPr>
                <w:rFonts w:hint="default" w:ascii="宋体" w:hAnsi="宋体" w:eastAsia="宋体" w:cs="宋体"/>
                <w:i w:val="0"/>
                <w:iCs w:val="0"/>
                <w:color w:val="000000"/>
                <w:kern w:val="0"/>
                <w:sz w:val="16"/>
                <w:szCs w:val="16"/>
                <w:u w:val="none"/>
                <w:lang w:val="en-US" w:eastAsia="zh-CN" w:bidi="ar"/>
              </w:rPr>
              <w:br w:type="textWrapping"/>
            </w:r>
            <w:r>
              <w:rPr>
                <w:rFonts w:hint="default" w:ascii="宋体" w:hAnsi="宋体" w:eastAsia="宋体" w:cs="宋体"/>
                <w:i w:val="0"/>
                <w:iCs w:val="0"/>
                <w:color w:val="000000"/>
                <w:kern w:val="0"/>
                <w:sz w:val="16"/>
                <w:szCs w:val="16"/>
                <w:u w:val="none"/>
                <w:lang w:val="en-US" w:eastAsia="zh-CN" w:bidi="ar"/>
              </w:rPr>
              <w:t>元、600元、700元、800元、900元、1000元、1500元、2000元、3000元、4000元、</w:t>
            </w:r>
            <w:r>
              <w:rPr>
                <w:rFonts w:hint="default" w:ascii="宋体" w:hAnsi="宋体" w:eastAsia="宋体" w:cs="宋体"/>
                <w:i w:val="0"/>
                <w:iCs w:val="0"/>
                <w:color w:val="000000"/>
                <w:kern w:val="0"/>
                <w:sz w:val="16"/>
                <w:szCs w:val="16"/>
                <w:u w:val="none"/>
                <w:lang w:val="en-US" w:eastAsia="zh-CN" w:bidi="ar"/>
              </w:rPr>
              <w:br w:type="textWrapping"/>
            </w:r>
            <w:r>
              <w:rPr>
                <w:rFonts w:hint="default" w:ascii="宋体" w:hAnsi="宋体" w:eastAsia="宋体" w:cs="宋体"/>
                <w:i w:val="0"/>
                <w:iCs w:val="0"/>
                <w:color w:val="000000"/>
                <w:kern w:val="0"/>
                <w:sz w:val="16"/>
                <w:szCs w:val="16"/>
                <w:u w:val="none"/>
                <w:lang w:val="en-US" w:eastAsia="zh-CN" w:bidi="ar"/>
              </w:rPr>
              <w:t>5000元、6000元15个档次，对应的</w:t>
            </w:r>
            <w:r>
              <w:rPr>
                <w:rFonts w:hint="eastAsia" w:ascii="宋体" w:hAnsi="宋体" w:cs="宋体"/>
                <w:i w:val="0"/>
                <w:iCs w:val="0"/>
                <w:color w:val="000000"/>
                <w:kern w:val="0"/>
                <w:sz w:val="16"/>
                <w:szCs w:val="16"/>
                <w:u w:val="none"/>
                <w:lang w:val="en-US" w:eastAsia="zh-CN" w:bidi="ar"/>
              </w:rPr>
              <w:t>政府</w:t>
            </w:r>
            <w:r>
              <w:rPr>
                <w:rFonts w:hint="default" w:ascii="宋体" w:hAnsi="宋体" w:eastAsia="宋体" w:cs="宋体"/>
                <w:i w:val="0"/>
                <w:iCs w:val="0"/>
                <w:color w:val="000000"/>
                <w:kern w:val="0"/>
                <w:sz w:val="16"/>
                <w:szCs w:val="16"/>
                <w:u w:val="none"/>
                <w:lang w:val="en-US" w:eastAsia="zh-CN" w:bidi="ar"/>
              </w:rPr>
              <w:t>补贴为40元、45元、50元、60元、60元、65元、70元、75元、80元、100元、120元、</w:t>
            </w:r>
            <w:r>
              <w:rPr>
                <w:rFonts w:hint="default" w:ascii="宋体" w:hAnsi="宋体" w:eastAsia="宋体" w:cs="宋体"/>
                <w:i w:val="0"/>
                <w:iCs w:val="0"/>
                <w:color w:val="000000"/>
                <w:kern w:val="0"/>
                <w:sz w:val="16"/>
                <w:szCs w:val="16"/>
                <w:u w:val="none"/>
                <w:lang w:val="en-US" w:eastAsia="zh-CN" w:bidi="ar"/>
              </w:rPr>
              <w:br w:type="textWrapping"/>
            </w:r>
            <w:r>
              <w:rPr>
                <w:rFonts w:hint="default" w:ascii="宋体" w:hAnsi="宋体" w:eastAsia="宋体" w:cs="宋体"/>
                <w:i w:val="0"/>
                <w:iCs w:val="0"/>
                <w:color w:val="000000"/>
                <w:kern w:val="0"/>
                <w:sz w:val="16"/>
                <w:szCs w:val="16"/>
                <w:u w:val="none"/>
                <w:lang w:val="en-US" w:eastAsia="zh-CN" w:bidi="ar"/>
              </w:rPr>
              <w:t>160元、200元、240元、280元。省级財政按政府补贴总量的50%安排，各县（市、区），分档次予以补助；其余部分由市、县两级财政共同财政共同分担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BF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17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FE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2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22F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BC9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84FD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6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CD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6DE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62C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F6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0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9C7A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对符合享受城乡居民养老保险个人缴费补贴人员应补尽补全覆盖，增强群众的幸福感，获得感。</w:t>
            </w:r>
          </w:p>
        </w:tc>
      </w:tr>
      <w:tr w14:paraId="7655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92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0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854C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1C9F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B8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0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41D2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1B4F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D1E4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项目负责人：冯梅</w:t>
            </w:r>
          </w:p>
        </w:tc>
        <w:tc>
          <w:tcPr>
            <w:tcW w:w="55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F492C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财务负责人：张丹</w:t>
            </w:r>
          </w:p>
        </w:tc>
      </w:tr>
    </w:tbl>
    <w:p w14:paraId="405E54D5">
      <w:pPr>
        <w:rPr>
          <w:rFonts w:hint="eastAsia" w:ascii="Times New Roman" w:hAnsi="Times New Roman" w:eastAsia="仿宋_GB2312" w:cs="仿宋_GB2312"/>
          <w:b w:val="0"/>
          <w:bCs w:val="0"/>
          <w:kern w:val="0"/>
          <w:position w:val="0"/>
          <w:sz w:val="32"/>
          <w:szCs w:val="32"/>
          <w:highlight w:val="none"/>
          <w:lang w:val="en-US" w:eastAsia="zh-CN" w:bidi="ar-SA"/>
        </w:rPr>
      </w:pPr>
    </w:p>
    <w:p w14:paraId="3BF2731F">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7"/>
        <w:tblW w:w="99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080"/>
        <w:gridCol w:w="1080"/>
        <w:gridCol w:w="1965"/>
        <w:gridCol w:w="525"/>
        <w:gridCol w:w="499"/>
        <w:gridCol w:w="587"/>
        <w:gridCol w:w="913"/>
        <w:gridCol w:w="637"/>
        <w:gridCol w:w="663"/>
        <w:gridCol w:w="1107"/>
      </w:tblGrid>
      <w:tr w14:paraId="5FA3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9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4219CC">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CD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CC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CD76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51090424T000011111273-基金风险防控项目2024</w:t>
            </w:r>
          </w:p>
        </w:tc>
      </w:tr>
      <w:tr w14:paraId="2E3A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AB7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6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627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913" w:type="dxa"/>
            <w:tcBorders>
              <w:top w:val="nil"/>
              <w:left w:val="nil"/>
              <w:bottom w:val="nil"/>
              <w:right w:val="nil"/>
            </w:tcBorders>
            <w:shd w:val="clear" w:color="auto" w:fill="auto"/>
            <w:vAlign w:val="center"/>
          </w:tcPr>
          <w:p w14:paraId="3BD7B9E4">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AC1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14:paraId="3AC5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707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A06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6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D1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09AD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B5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410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30F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6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B63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组织对全区约16万（农保13万元、企保3万、机保0.35万）养老金待遇领取人员进行生存认证，对高龄人员、高风险人员进行上门认证核查；2、社保基金管理与稽核，重点组织开展参保稽核、一次性补缴稽核及工伤待遇稽核；3、组织开展对死亡冒领、重复领待及服刑人员领待等三类人员开展核查及基金追回工作，减少社保基金管理性缺口财政兜底压力。川府发【2020】18号：因违规参保、支出造成基金减收增支的形成的管理性缺口由地方政府负责全额追回，无法追回的由地方政府弥补。4、社保、机保、居保基金稽核与风险防控所需律师费、差旅费、印刷费、宣传费等</w:t>
            </w:r>
          </w:p>
        </w:tc>
        <w:tc>
          <w:tcPr>
            <w:tcW w:w="3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FDBE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2024年社保基金追回15万余元，分别是重复领待10人，涉及金额8万余元，服刑领待9人，涉及金额5万余元，死亡冒领4人，涉及金额2万余元。</w:t>
            </w:r>
          </w:p>
        </w:tc>
      </w:tr>
      <w:tr w14:paraId="22E0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195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08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73CB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组织开展对死亡冒领、重复领待及服刑人员领待等三类人员开展核查及基金追回，开展参保稽核、一次性补缴稽核及工伤待遇稽核，对高龄人员、高风险人员进行上门认证核查。</w:t>
            </w:r>
          </w:p>
        </w:tc>
      </w:tr>
      <w:tr w14:paraId="7A87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4AE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8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3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31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AF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4A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9B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DC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5FE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87B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22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3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4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30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6E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2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52A2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DE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5A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F3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9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69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C4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83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7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D448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1D9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0E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A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8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9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6DC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11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E3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4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013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C3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7B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60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4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C8F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5E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1D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21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4C2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B97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53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F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036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EDD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003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A8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2F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11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679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960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8F2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DF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79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50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C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C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57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83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F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60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85D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66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99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C22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3B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社保基金管理与稽核，重点组织开展参保稽核、一次性补缴稽核及工伤待遇稽核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E9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C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18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万人次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97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87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88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65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7F1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D3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47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64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E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养老金待遇领取人员进行生存认证、对高龄人员、高风险人员进行上门认证核查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CC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6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C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万人次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3B2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D6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5ED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006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71B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1D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5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0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年审、稽核工作完成率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84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0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3B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28F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3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CD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FB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ADD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2F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0C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DE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年审、稽核工作完成及时性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E9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8E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E3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0A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74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D5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46C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208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69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E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5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8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减少社保基金管理性缺口财政兜底压力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F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C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68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55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C5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76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480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0D9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9C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9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4B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7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B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CA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D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60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37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D4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74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B48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88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14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B9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B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社保、机保、居保基金稽核与风险防控所需律师费、差旅费、印刷费、宣传费等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01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8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12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8.72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3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B1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779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D51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59B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44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00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FE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2EE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4E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0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559F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2024年社保基金追回15万余元，分别是重复领待10人，涉及金额8万余元，服刑领待9人，涉及金额5万余元，死亡冒领4人，涉及金额2万余元。项目绩效目标贴合实际，应用结果良好。</w:t>
            </w:r>
          </w:p>
        </w:tc>
      </w:tr>
      <w:tr w14:paraId="3D9C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BE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0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8ADF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24C0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81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0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5902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3335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BC35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项目负责人：何发</w:t>
            </w: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302A5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财务负责人：张丹</w:t>
            </w:r>
          </w:p>
        </w:tc>
      </w:tr>
    </w:tbl>
    <w:p w14:paraId="08C3FC33">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7"/>
        <w:tblW w:w="9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080"/>
        <w:gridCol w:w="945"/>
        <w:gridCol w:w="1080"/>
        <w:gridCol w:w="743"/>
        <w:gridCol w:w="762"/>
        <w:gridCol w:w="917"/>
        <w:gridCol w:w="687"/>
        <w:gridCol w:w="750"/>
        <w:gridCol w:w="900"/>
        <w:gridCol w:w="1225"/>
      </w:tblGrid>
      <w:tr w14:paraId="5ECF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BC9732">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0A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D0B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0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D7B0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51090424T000011111720-建国初期参加革命工作退休干部困难补助2024</w:t>
            </w:r>
          </w:p>
        </w:tc>
      </w:tr>
      <w:tr w14:paraId="107F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7A7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017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917" w:type="dxa"/>
            <w:tcBorders>
              <w:top w:val="nil"/>
              <w:left w:val="nil"/>
              <w:bottom w:val="nil"/>
              <w:right w:val="nil"/>
            </w:tcBorders>
            <w:shd w:val="clear" w:color="auto" w:fill="auto"/>
            <w:vAlign w:val="center"/>
          </w:tcPr>
          <w:p w14:paraId="2DFAAA82">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A0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14:paraId="4532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88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127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FEA0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3382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BC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982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CE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AC6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根据遂安委组干退[2011]6号，遂安委组通[2014]24号文件执行，文件规定的照顾对象。中共遂宁市安居区委组织部关于2020年调整我区建国初期参加革命工作退休干部困难补助标准的函，附件：6名符合享受困难补助的退休干部名单，发放困难补助。</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9FBE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按照文件要求对建国初期参加革命工作退休干部每月发放困难补助</w:t>
            </w:r>
          </w:p>
        </w:tc>
      </w:tr>
      <w:tr w14:paraId="17C1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4A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62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0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5095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按照文件要求对建国初期参加革命工作退休干部每月发放困难补助</w:t>
            </w:r>
          </w:p>
        </w:tc>
      </w:tr>
      <w:tr w14:paraId="2EC3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965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F1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6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8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B2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37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44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A0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8A6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6D2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55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1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0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88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2.06</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D6C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2.06</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37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EF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5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72EA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63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F4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68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C4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2F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2.06</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6BE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2.06</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F8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D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80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91C7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65F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0C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9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A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5E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A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6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F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752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6AD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DE0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3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27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4F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5E4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D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5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7C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B7D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712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ED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A5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8C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DC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9A54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A5D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AA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83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ECA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5B1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32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B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8E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5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ED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4F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ED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0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B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C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7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7A0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39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312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40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B3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享受困难补助的退休干部人员</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3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2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C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A7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9C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EF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292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493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90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15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2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94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应发尽发</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0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9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4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A0E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F7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2E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3AA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FCC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08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CB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F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44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按时发放</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78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EE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C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BE5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E2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57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297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3CC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C1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B7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5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D7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保障我区建国初期参加革命工作退休干部生活补助</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9C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F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3A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7E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E2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F7F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BBA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74A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D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4B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帮扶对象满意度指标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9F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发放对象满意度指标</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5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93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C9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F31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0D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2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819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444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41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C9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0A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3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按标准发放</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D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3C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BB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DD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91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E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CF3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797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0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667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8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A5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09E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617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E8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0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5DE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按照文件要求每月按时对建国初期参加革命工作退休干部每月发放困难补助</w:t>
            </w:r>
          </w:p>
        </w:tc>
      </w:tr>
      <w:tr w14:paraId="526B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B5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0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DAD2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6E05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C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0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BD28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0779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E259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项目负责人：曾莉</w:t>
            </w:r>
          </w:p>
        </w:tc>
        <w:tc>
          <w:tcPr>
            <w:tcW w:w="5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478A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财务负责人：张丹</w:t>
            </w:r>
          </w:p>
        </w:tc>
      </w:tr>
    </w:tbl>
    <w:p w14:paraId="15D08956">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7"/>
        <w:tblW w:w="10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1080"/>
        <w:gridCol w:w="1080"/>
        <w:gridCol w:w="1364"/>
        <w:gridCol w:w="762"/>
        <w:gridCol w:w="844"/>
        <w:gridCol w:w="1227"/>
        <w:gridCol w:w="787"/>
        <w:gridCol w:w="738"/>
        <w:gridCol w:w="940"/>
        <w:gridCol w:w="808"/>
      </w:tblGrid>
      <w:tr w14:paraId="7036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0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B11C9E">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20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B0E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5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3F99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51090424T000011111736-离休干部遗孀生活补助2024</w:t>
            </w:r>
          </w:p>
        </w:tc>
      </w:tr>
      <w:tr w14:paraId="3DBB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DFC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2EC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1227" w:type="dxa"/>
            <w:tcBorders>
              <w:top w:val="nil"/>
              <w:left w:val="nil"/>
              <w:bottom w:val="nil"/>
              <w:right w:val="nil"/>
            </w:tcBorders>
            <w:shd w:val="clear" w:color="auto" w:fill="auto"/>
            <w:vAlign w:val="center"/>
          </w:tcPr>
          <w:p w14:paraId="32D7DBB3">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B08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14:paraId="127B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EC3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DDB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73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7810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24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6D7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604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178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遂安委老（2009）7号关于落实离休干部遗孀何治秀生活补贴的函规定，由社保局每月代发何治秀生活补贴。</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BA28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按照文件要求每月按时对离休干部遗孀何治秀发放生活补贴</w:t>
            </w:r>
          </w:p>
        </w:tc>
      </w:tr>
      <w:tr w14:paraId="443F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820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14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5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9830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按照文件要求每月按时对离休干部遗孀何治秀发放生活补贴</w:t>
            </w:r>
          </w:p>
        </w:tc>
      </w:tr>
      <w:tr w14:paraId="730D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9E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8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9F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64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82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F0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79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2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1DF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3D8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D5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D2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2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D5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1.88</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1F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2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4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EC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7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009C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19B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0F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F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2B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A7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1.88</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04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D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4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A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E2C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FE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ED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1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14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FE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9D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B6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C7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A0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5B8E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087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F8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1B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AD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D9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E13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AE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22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37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771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C83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1A2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28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E8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3A7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4D00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111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C5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C5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AAD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D17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25A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25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35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E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1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B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F7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13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1D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95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8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403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FAC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B4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6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5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发放人数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AC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A7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E6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E7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B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35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838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705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61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19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D2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E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应发尽发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9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41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3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A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EF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86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AB9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54A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C0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FF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4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B0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每月发放</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D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E1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5B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月</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5C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6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BEC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63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9F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5E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33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4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保障领取人的基本生活保障</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2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98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2F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8A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5A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5C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2B6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663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D7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2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8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帮扶对象满意度指标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A0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帮扶对象满意度指标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A7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87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58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7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E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CF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634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AA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9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9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D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按标准发放</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8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4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22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66C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7E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B8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67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B5A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2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B782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3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05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7BDA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202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3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51E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按照文件要求每月按时对离休干部遗孀何治秀发放生活补贴</w:t>
            </w:r>
          </w:p>
        </w:tc>
      </w:tr>
      <w:tr w14:paraId="6ADB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AD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C08E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33F9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E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0DD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5998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BAC8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项目负责人：曾莉</w:t>
            </w:r>
          </w:p>
        </w:tc>
        <w:tc>
          <w:tcPr>
            <w:tcW w:w="53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4C7FA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财务负责人：张丹</w:t>
            </w:r>
          </w:p>
        </w:tc>
      </w:tr>
    </w:tbl>
    <w:p w14:paraId="22A915B2">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7"/>
        <w:tblW w:w="10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131"/>
        <w:gridCol w:w="1194"/>
        <w:gridCol w:w="1044"/>
        <w:gridCol w:w="587"/>
        <w:gridCol w:w="500"/>
        <w:gridCol w:w="638"/>
        <w:gridCol w:w="1175"/>
        <w:gridCol w:w="762"/>
        <w:gridCol w:w="713"/>
        <w:gridCol w:w="1453"/>
      </w:tblGrid>
      <w:tr w14:paraId="4D56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0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73F01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FD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15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0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E9DF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51090424T000011111658-职业年金做实及贴息2024</w:t>
            </w:r>
          </w:p>
        </w:tc>
      </w:tr>
      <w:tr w14:paraId="1BA9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A2B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9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992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1175" w:type="dxa"/>
            <w:tcBorders>
              <w:top w:val="nil"/>
              <w:left w:val="nil"/>
              <w:bottom w:val="nil"/>
              <w:right w:val="nil"/>
            </w:tcBorders>
            <w:shd w:val="clear" w:color="auto" w:fill="auto"/>
            <w:vAlign w:val="center"/>
          </w:tcPr>
          <w:p w14:paraId="2492A5A7">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B61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14:paraId="13EA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934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F3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9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E5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D14A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4C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21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109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B6A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预计全区2024年退休职工年金做实及贴息。</w:t>
            </w:r>
          </w:p>
        </w:tc>
        <w:tc>
          <w:tcPr>
            <w:tcW w:w="4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76C0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对2024年达到退休年龄职工进行职业年金记实贴息。对转移到区外的机关事业单位职工进行年金记实贴息。</w:t>
            </w:r>
          </w:p>
        </w:tc>
      </w:tr>
      <w:tr w14:paraId="2757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8E6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CA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0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D713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对2024年达到退休年龄职工进行职业年金记实贴息。对转移到区外的机关事业单位职工进行年金记实贴息。</w:t>
            </w:r>
          </w:p>
        </w:tc>
      </w:tr>
      <w:tr w14:paraId="712F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A3C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DE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6F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D8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9F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8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A9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4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44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0BE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93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64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C2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9D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1,719.81</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0E3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1,719.81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2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64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41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3438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58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5F1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C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A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23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1,719.81</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AB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1,719.81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CF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02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D0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EC4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849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FF2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F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C1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94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DFA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2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01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3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112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EA7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0D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83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80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03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8D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F0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E2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3B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BAAA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504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F6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C2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4E4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176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844B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3C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C4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24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611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116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5E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CB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6B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CA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5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C9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DA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B4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AE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A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E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0B5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BB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91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8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9F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年金做实人数</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73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4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DE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CF5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应缴尽缴</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FA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0E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EF7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44C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133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92E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7B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48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记实的准确性</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22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59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7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A5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88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B8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E4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89C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2A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10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E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F9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完成时效</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3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FA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96F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当年</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B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18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AEE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501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3E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27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B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8B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保险年金及贴息及时到位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C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46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3D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A61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8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4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E5B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73E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6E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9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C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16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E5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6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C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EAC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C4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F8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718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4D4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9E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AC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A8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62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按标准发放</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3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27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5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DF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3F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F8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F1E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32A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2DC3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F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F4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2F3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2B0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EE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1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FE42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对2024年达到退休年龄职工进行职业年金记实贴息。对转移到区外的机关事业单位职工进行年金记实贴息。</w:t>
            </w:r>
          </w:p>
        </w:tc>
      </w:tr>
      <w:tr w14:paraId="6C8F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32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1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9112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037F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99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1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E222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6367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5687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项目负责人：李迷</w:t>
            </w:r>
          </w:p>
        </w:tc>
        <w:tc>
          <w:tcPr>
            <w:tcW w:w="5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0D71D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财务负责人：张丹</w:t>
            </w:r>
          </w:p>
        </w:tc>
      </w:tr>
    </w:tbl>
    <w:p w14:paraId="4B2CD740">
      <w:pPr>
        <w:rPr>
          <w:rFonts w:hint="eastAsia" w:ascii="Times New Roman" w:hAnsi="Times New Roman" w:eastAsia="仿宋_GB2312" w:cs="仿宋_GB2312"/>
          <w:b w:val="0"/>
          <w:bCs w:val="0"/>
          <w:kern w:val="0"/>
          <w:position w:val="0"/>
          <w:sz w:val="32"/>
          <w:szCs w:val="32"/>
          <w:highlight w:val="none"/>
          <w:lang w:val="en-US" w:eastAsia="zh-CN" w:bidi="ar-SA"/>
        </w:rPr>
      </w:pPr>
    </w:p>
    <w:p w14:paraId="24D6CACA">
      <w:pPr>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600D5810">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2BD4B87E">
      <w:pPr>
        <w:pStyle w:val="4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31EE7B9">
      <w:pPr>
        <w:pStyle w:val="4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bookmarkStart w:id="154" w:name="_Toc19354_WPSOffice_Level2"/>
      <w:bookmarkStart w:id="155" w:name="_Toc26568_WPSOffice_Level2"/>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bookmarkEnd w:id="154"/>
      <w:bookmarkEnd w:id="155"/>
    </w:p>
    <w:p w14:paraId="72AC715D">
      <w:pPr>
        <w:pStyle w:val="40"/>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（困难群体代缴城乡居民养老保险）</w:t>
      </w:r>
    </w:p>
    <w:p w14:paraId="0A66908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bookmarkStart w:id="156" w:name="_Toc27596_WPSOffice_Level2"/>
      <w:bookmarkStart w:id="157" w:name="_Toc32536_WPSOffice_Level2"/>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bookmarkEnd w:id="156"/>
      <w:bookmarkEnd w:id="157"/>
    </w:p>
    <w:p w14:paraId="3DC8EB5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en-US" w:eastAsia="zh-CN" w:bidi="ar-SA"/>
        </w:rPr>
        <w:t>为贯彻党中央、国务院决策部署，巩固拓展社会保险扶贫成果，持续做好脱贫人口、困难群体社会保险帮扶，促进社会保险高质量可持续发展，助理全面实施乡村振兴战略。《关于巩固拓展社会保险扶贫成果助力全面实施乡村振兴战略的通知》（川人社办发〔2021〕71号）第一条要求：对参加我省城乡居民基本养老保险的低保对象、特困人员、返贫致贫人口、重度残疾人等缴费困难群体，地方政府按每年100元的标准为其代缴养老保险费，所需经费纳入各地一般公共预算统筹安排。</w:t>
      </w:r>
      <w:r>
        <w:rPr>
          <w:rFonts w:hint="eastAsia" w:eastAsia="仿宋_GB2312" w:cs="仿宋_GB2312"/>
          <w:b w:val="0"/>
          <w:bCs w:val="0"/>
          <w:kern w:val="0"/>
          <w:position w:val="0"/>
          <w:sz w:val="32"/>
          <w:szCs w:val="32"/>
          <w:highlight w:val="none"/>
          <w:lang w:val="en-US" w:eastAsia="zh-CN" w:bidi="ar-SA"/>
        </w:rPr>
        <w:t>人力资源和社会保障部门</w:t>
      </w:r>
      <w:r>
        <w:rPr>
          <w:rFonts w:hint="eastAsia" w:ascii="Times New Roman" w:hAnsi="Times New Roman" w:eastAsia="仿宋_GB2312" w:cs="仿宋_GB2312"/>
          <w:b w:val="0"/>
          <w:bCs w:val="0"/>
          <w:kern w:val="0"/>
          <w:position w:val="0"/>
          <w:sz w:val="32"/>
          <w:szCs w:val="32"/>
          <w:highlight w:val="none"/>
          <w:lang w:val="en-US" w:eastAsia="zh-CN" w:bidi="ar-SA"/>
        </w:rPr>
        <w:t>牵头做好相关政策研究制定，抓好政策落实</w:t>
      </w:r>
      <w:r>
        <w:rPr>
          <w:rFonts w:hint="eastAsia" w:ascii="Times New Roman" w:hAnsi="Times New Roman" w:eastAsia="仿宋_GB2312" w:cs="仿宋_GB2312"/>
          <w:b w:val="0"/>
          <w:bCs w:val="0"/>
          <w:kern w:val="0"/>
          <w:position w:val="0"/>
          <w:sz w:val="32"/>
          <w:szCs w:val="32"/>
          <w:highlight w:val="none"/>
          <w:lang w:val="zh-CN" w:eastAsia="zh-CN" w:bidi="ar-SA"/>
        </w:rPr>
        <w:t>。</w:t>
      </w:r>
    </w:p>
    <w:p w14:paraId="1AA840C2">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仿宋_GB2312"/>
          <w:b w:val="0"/>
          <w:bCs w:val="0"/>
          <w:kern w:val="0"/>
          <w:position w:val="0"/>
          <w:sz w:val="32"/>
          <w:szCs w:val="32"/>
          <w:highlight w:val="none"/>
          <w:lang w:val="en-US" w:eastAsia="zh-CN" w:bidi="ar-SA"/>
        </w:rPr>
        <w:t>困难群体代缴项目资金由区财政局统一安排管理。该项目实施目的是：进一步减轻困难群体参保缴费负担。对参加我省城乡居民基本养老保险的低保对象、特困人员、返贫致贫人口、重度残疾人等缴费困难群体，按每年100元的标准为其代缴养老保险费。对困难群体社会保险帮扶</w:t>
      </w:r>
      <w:r>
        <w:rPr>
          <w:rFonts w:hint="eastAsia" w:ascii="Times New Roman" w:hAnsi="Times New Roman" w:eastAsia="仿宋_GB2312" w:cs="仿宋_GB2312"/>
          <w:b w:val="0"/>
          <w:bCs w:val="0"/>
          <w:kern w:val="0"/>
          <w:position w:val="0"/>
          <w:sz w:val="32"/>
          <w:szCs w:val="32"/>
          <w:highlight w:val="none"/>
          <w:lang w:val="zh-CN" w:eastAsia="zh-CN" w:bidi="ar-SA"/>
        </w:rPr>
        <w:t>。</w:t>
      </w:r>
    </w:p>
    <w:p w14:paraId="5D74D96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仿宋_GB2312"/>
          <w:b w:val="0"/>
          <w:bCs w:val="0"/>
          <w:kern w:val="0"/>
          <w:position w:val="0"/>
          <w:sz w:val="32"/>
          <w:szCs w:val="32"/>
          <w:highlight w:val="none"/>
          <w:lang w:val="zh-CN" w:eastAsia="zh-CN" w:bidi="ar-SA"/>
        </w:rPr>
        <w:t>该项目由区社保局进行代缴，统计代缴人数，按实际代缴人数向区财政局申请所需资金。该项目资金全由代缴困难群体缴纳城乡居民养老保险使用。</w:t>
      </w:r>
    </w:p>
    <w:p w14:paraId="182B768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按政策规定对年度内困难群体城乡居保个人缴费实行政府代缴，代缴人数为年度内符合条件人员应缴尽缴，确保资金在规定时间按照代缴城乡居民基本养老保险最低标准100元缴纳。项目自评工作开展情况：一是确定绩效评价的主要内容，二是梳理核定各项绩效评价目标，三是分层分类实施基金预算绩效评价，四是开展绩效评价分析与结果运用，五是总结绩效评价结果和改进措施。</w:t>
      </w:r>
    </w:p>
    <w:p w14:paraId="7002351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bookmarkStart w:id="158" w:name="_Toc6367_WPSOffice_Level2"/>
      <w:bookmarkStart w:id="159" w:name="_Toc13832_WPSOffice_Level2"/>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bookmarkEnd w:id="158"/>
      <w:bookmarkEnd w:id="159"/>
    </w:p>
    <w:p w14:paraId="544BF38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通过项目绩效自评进一步完善困难群体代缴工作，做到应缴尽缴。</w:t>
      </w:r>
    </w:p>
    <w:p w14:paraId="1489AED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全过程及其实施效果进行综合评价和判断。财政部门负责经费保障，重点关注脱贫地区预算安排和资金分配下达情况，确保按时足额拨付到位。核实资金用途，是否及时将资金拨入社会保障基金财政专户、专款专用。</w:t>
      </w:r>
    </w:p>
    <w:p w14:paraId="34DC86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bCs w:val="0"/>
          <w:kern w:val="0"/>
          <w:position w:val="0"/>
          <w:sz w:val="32"/>
          <w:szCs w:val="32"/>
          <w:highlight w:val="none"/>
          <w:lang w:val="zh-CN" w:eastAsia="zh-CN" w:bidi="ar-SA"/>
        </w:rPr>
        <w:t>该项目绩效自评在区社保局核查困难群体代缴人员清单，核对代缴金额，核查是否及时将资金拨入社会保障基金财政专户、专款专用。</w:t>
      </w:r>
    </w:p>
    <w:p w14:paraId="19D0AFD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一是确定绩效评价的主要内容，二是梳理核定各项绩效评价目标，三是分层分类实施基金预算绩效评价，四是开展绩效评价分析与结果运用，五是总结绩效评价结果和改进措施。</w:t>
      </w:r>
    </w:p>
    <w:p w14:paraId="149B98A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根据下发的有关文件要求，我局迅速向主要负责人报告有关情况。按照主要领导的指示意见，组建了绩效评价管理工作领导小组，迅速开展前期各项准备工作，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p>
    <w:p w14:paraId="00DF6D5A">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bookmarkStart w:id="160" w:name="_Toc26037_WPSOffice_Level2"/>
      <w:bookmarkStart w:id="161" w:name="_Toc28519_WPSOffice_Level2"/>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bookmarkEnd w:id="160"/>
      <w:bookmarkEnd w:id="161"/>
      <w:r>
        <w:rPr>
          <w:rFonts w:hint="eastAsia" w:ascii="Times New Roman" w:hAnsi="Times New Roman"/>
          <w:color w:val="auto"/>
          <w:sz w:val="32"/>
          <w:szCs w:val="32"/>
          <w:highlight w:val="none"/>
          <w:u w:val="none"/>
          <w:lang w:val="zh-CN"/>
        </w:rPr>
        <w:tab/>
      </w:r>
    </w:p>
    <w:p w14:paraId="1800073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31375BC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C498B6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项目决策。在国家授权范围内，依法依规、按照法定程序制定社会保险基金管理相关政策。</w:t>
      </w:r>
    </w:p>
    <w:p w14:paraId="2EC187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bCs/>
          <w:kern w:val="0"/>
          <w:position w:val="0"/>
          <w:sz w:val="32"/>
          <w:szCs w:val="32"/>
          <w:highlight w:val="none"/>
          <w:lang w:val="zh-CN" w:eastAsia="zh-CN" w:bidi="ar-SA"/>
        </w:rPr>
        <w:t>过程指标：</w:t>
      </w:r>
      <w:r>
        <w:rPr>
          <w:rFonts w:hint="eastAsia" w:ascii="Times New Roman" w:hAnsi="Times New Roman" w:eastAsia="仿宋_GB2312" w:cs="仿宋_GB2312"/>
          <w:b w:val="0"/>
          <w:bCs w:val="0"/>
          <w:kern w:val="0"/>
          <w:position w:val="0"/>
          <w:sz w:val="32"/>
          <w:szCs w:val="32"/>
          <w:highlight w:val="none"/>
          <w:lang w:val="zh-CN" w:eastAsia="zh-CN" w:bidi="ar-SA"/>
        </w:rPr>
        <w:t>预算编制无漏填、错填，编报说明合理。严格执行批复预算，预算执行报表报送及时准确。严格按照国家规定进行预算调整。</w:t>
      </w:r>
    </w:p>
    <w:p w14:paraId="7C6491C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bCs/>
          <w:kern w:val="0"/>
          <w:position w:val="0"/>
          <w:sz w:val="32"/>
          <w:szCs w:val="32"/>
          <w:highlight w:val="none"/>
          <w:lang w:val="zh-CN" w:eastAsia="zh-CN" w:bidi="ar-SA"/>
        </w:rPr>
        <w:t>政策执行指标：</w:t>
      </w:r>
      <w:r>
        <w:rPr>
          <w:rFonts w:hint="eastAsia" w:ascii="Times New Roman" w:hAnsi="Times New Roman" w:eastAsia="仿宋_GB2312" w:cs="仿宋_GB2312"/>
          <w:b w:val="0"/>
          <w:bCs w:val="0"/>
          <w:kern w:val="0"/>
          <w:position w:val="0"/>
          <w:sz w:val="32"/>
          <w:szCs w:val="32"/>
          <w:highlight w:val="none"/>
          <w:lang w:val="zh-CN" w:eastAsia="zh-CN" w:bidi="ar-SA"/>
        </w:rPr>
        <w:t>根据《关于巩固拓展社会保险扶贫成果助力全面实施乡村振兴战略的通知》（川人社办发〔2021〕71号）第一条要求：对参加我省城乡居民基本养老保险的低保对象、特困人员、返贫致贫人口、重度残疾人等缴费困难群体，地方政府按每年100元的标准为其代缴养老保险费，所需经费纳入各地一般公共预算统筹安排。</w:t>
      </w:r>
    </w:p>
    <w:p w14:paraId="424422C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困难群体城乡居民基本养老保险个人缴费政府代缴资金预算是由区社保局进行代缴，统计代缴人数，按实际代缴人数报区财政局审核确定，下达所需资金指标。该项目资金全由代缴困难群体缴纳城乡居民养老保险使用。为确保财政补助资金安全，严格按照社保基金财务管理制度，实行“收支两条线”管理，单独记账、独立核算，专款专用，预决算及时按规定向社会公开，自觉接受社会、群众、舆论的监督。</w:t>
      </w:r>
    </w:p>
    <w:p w14:paraId="1278736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严格按照社保基金财务管理制度，将资金拨城乡居保基金专户，专款专用。</w:t>
      </w:r>
    </w:p>
    <w:p w14:paraId="2867233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4.项目结果。2024年完成代缴人数14264人，代缴资金147.39万元，做到应缴尽缴</w:t>
      </w:r>
      <w:r>
        <w:rPr>
          <w:rFonts w:hint="eastAsia" w:ascii="Times New Roman" w:hAnsi="Times New Roman" w:eastAsia="仿宋_GB2312" w:cs="仿宋_GB2312"/>
          <w:b w:val="0"/>
          <w:bCs w:val="0"/>
          <w:kern w:val="0"/>
          <w:position w:val="0"/>
          <w:sz w:val="32"/>
          <w:szCs w:val="32"/>
          <w:highlight w:val="none"/>
          <w:lang w:val="zh-CN" w:eastAsia="zh-CN" w:bidi="ar-SA"/>
        </w:rPr>
        <w:t>。</w:t>
      </w:r>
    </w:p>
    <w:p w14:paraId="29E2BD7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643C2C2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1.产业发展。无。</w:t>
      </w:r>
    </w:p>
    <w:p w14:paraId="3E2C99E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民生保障。对参加我省城乡居民基本养老保险的低保对象、特困人员、返贫致贫人口、重度残疾人等缴费困难群体，地方政府按每年100元的标准为其代缴养老保险费</w:t>
      </w:r>
      <w:r>
        <w:rPr>
          <w:rFonts w:hint="eastAsia" w:ascii="Times New Roman" w:hAnsi="Times New Roman" w:eastAsia="仿宋_GB2312" w:cs="仿宋_GB2312"/>
          <w:b w:val="0"/>
          <w:bCs w:val="0"/>
          <w:kern w:val="0"/>
          <w:position w:val="0"/>
          <w:sz w:val="32"/>
          <w:szCs w:val="32"/>
          <w:highlight w:val="none"/>
          <w:lang w:val="en-US" w:eastAsia="zh-CN" w:bidi="ar-SA"/>
        </w:rPr>
        <w:t>，对象精准、标准合理、群众满意度高。</w:t>
      </w:r>
    </w:p>
    <w:p w14:paraId="4995A34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3.基础设施。无</w:t>
      </w:r>
      <w:r>
        <w:rPr>
          <w:rFonts w:hint="eastAsia" w:ascii="Times New Roman" w:hAnsi="Times New Roman" w:eastAsia="仿宋_GB2312" w:cs="仿宋_GB2312"/>
          <w:b w:val="0"/>
          <w:bCs w:val="0"/>
          <w:kern w:val="0"/>
          <w:position w:val="0"/>
          <w:sz w:val="32"/>
          <w:szCs w:val="32"/>
          <w:highlight w:val="none"/>
          <w:lang w:val="zh-CN" w:eastAsia="zh-CN" w:bidi="ar-SA"/>
        </w:rPr>
        <w:t>。</w:t>
      </w:r>
    </w:p>
    <w:p w14:paraId="541F4FB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行政运转。无。</w:t>
      </w:r>
    </w:p>
    <w:p w14:paraId="7DBE0E9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eastAsia="仿宋_GB2312" w:cs="仿宋_GB2312"/>
          <w:b w:val="0"/>
          <w:bCs w:val="0"/>
          <w:kern w:val="0"/>
          <w:position w:val="0"/>
          <w:sz w:val="32"/>
          <w:szCs w:val="32"/>
          <w:highlight w:val="none"/>
          <w:lang w:val="zh-CN" w:eastAsia="zh-CN" w:bidi="ar-SA"/>
        </w:rPr>
        <w:t>无</w:t>
      </w:r>
      <w:r>
        <w:rPr>
          <w:rFonts w:hint="eastAsia" w:ascii="Times New Roman" w:hAnsi="Times New Roman" w:eastAsia="仿宋_GB2312" w:cs="仿宋_GB2312"/>
          <w:b w:val="0"/>
          <w:bCs w:val="0"/>
          <w:kern w:val="0"/>
          <w:position w:val="0"/>
          <w:sz w:val="32"/>
          <w:szCs w:val="32"/>
          <w:highlight w:val="none"/>
          <w:lang w:val="zh-CN" w:eastAsia="zh-CN" w:bidi="ar-SA"/>
        </w:rPr>
        <w:t>。</w:t>
      </w:r>
    </w:p>
    <w:p w14:paraId="6F39FCF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bookmarkStart w:id="162" w:name="_Toc27205_WPSOffice_Level2"/>
      <w:bookmarkStart w:id="163" w:name="_Toc19420_WPSOffice_Level2"/>
      <w:r>
        <w:rPr>
          <w:rFonts w:hint="eastAsia" w:ascii="黑体" w:hAnsi="黑体" w:eastAsia="黑体" w:cs="黑体"/>
          <w:b w:val="0"/>
          <w:bCs w:val="0"/>
          <w:kern w:val="0"/>
          <w:position w:val="0"/>
          <w:sz w:val="32"/>
          <w:szCs w:val="32"/>
          <w:highlight w:val="none"/>
          <w:lang w:val="en-US" w:eastAsia="zh-CN" w:bidi="ar-SA"/>
        </w:rPr>
        <w:t>四、评价结论</w:t>
      </w:r>
      <w:bookmarkEnd w:id="162"/>
      <w:bookmarkEnd w:id="163"/>
    </w:p>
    <w:p w14:paraId="57C8AC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通过预算绩效目标自评，2024年我区困难群体城乡居民养老保险政府代缴完成度较高，按时完成了代缴任务，维护了困难群体合法权益，提高了参保群众的满意度。通过自评，综合得分100分</w:t>
      </w:r>
      <w:r>
        <w:rPr>
          <w:rFonts w:hint="eastAsia" w:ascii="Times New Roman" w:hAnsi="Times New Roman" w:eastAsia="仿宋_GB2312" w:cs="仿宋_GB2312"/>
          <w:b w:val="0"/>
          <w:bCs w:val="0"/>
          <w:kern w:val="0"/>
          <w:position w:val="0"/>
          <w:sz w:val="32"/>
          <w:szCs w:val="32"/>
          <w:highlight w:val="none"/>
          <w:lang w:val="zh-CN" w:eastAsia="zh-CN" w:bidi="ar-SA"/>
        </w:rPr>
        <w:t>。</w:t>
      </w:r>
    </w:p>
    <w:p w14:paraId="3427A36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bookmarkStart w:id="164" w:name="_Toc30507_WPSOffice_Level2"/>
      <w:bookmarkStart w:id="165" w:name="_Toc8669_WPSOffice_Level2"/>
      <w:r>
        <w:rPr>
          <w:rFonts w:hint="eastAsia" w:ascii="黑体" w:hAnsi="黑体" w:eastAsia="黑体" w:cs="黑体"/>
          <w:b w:val="0"/>
          <w:bCs w:val="0"/>
          <w:kern w:val="0"/>
          <w:position w:val="0"/>
          <w:sz w:val="32"/>
          <w:szCs w:val="32"/>
          <w:highlight w:val="none"/>
          <w:lang w:val="en-US" w:eastAsia="zh-CN" w:bidi="ar-SA"/>
        </w:rPr>
        <w:t>五、存在主要问题</w:t>
      </w:r>
      <w:bookmarkEnd w:id="164"/>
      <w:bookmarkEnd w:id="165"/>
    </w:p>
    <w:p w14:paraId="4C7164D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14:paraId="2ADFF1C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bookmarkStart w:id="166" w:name="_Toc16546_WPSOffice_Level2"/>
      <w:bookmarkStart w:id="167" w:name="_Toc31531_WPSOffice_Level2"/>
      <w:r>
        <w:rPr>
          <w:rFonts w:hint="eastAsia" w:ascii="黑体" w:hAnsi="黑体" w:eastAsia="黑体" w:cs="黑体"/>
          <w:b w:val="0"/>
          <w:bCs w:val="0"/>
          <w:kern w:val="0"/>
          <w:position w:val="0"/>
          <w:sz w:val="32"/>
          <w:szCs w:val="32"/>
          <w:highlight w:val="none"/>
          <w:lang w:val="zh-CN" w:eastAsia="zh-CN" w:bidi="ar-SA"/>
        </w:rPr>
        <w:t>六、改进建议</w:t>
      </w:r>
      <w:bookmarkEnd w:id="166"/>
      <w:bookmarkEnd w:id="167"/>
    </w:p>
    <w:p w14:paraId="5130C21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加强与区残联和乡村振兴局进行数据本地化核实，锁定了准确的代缴人员，将符合代缴条件的人员纳入代缴，全面完成了代缴的相关目标任务。</w:t>
      </w:r>
    </w:p>
    <w:tbl>
      <w:tblPr>
        <w:tblStyle w:val="17"/>
        <w:tblW w:w="9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230"/>
        <w:gridCol w:w="736"/>
        <w:gridCol w:w="838"/>
        <w:gridCol w:w="687"/>
        <w:gridCol w:w="713"/>
        <w:gridCol w:w="537"/>
        <w:gridCol w:w="625"/>
        <w:gridCol w:w="663"/>
        <w:gridCol w:w="775"/>
        <w:gridCol w:w="2218"/>
      </w:tblGrid>
      <w:tr w14:paraId="7469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8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F320B3">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专项资金绩效目标完成情况自评表（2024年度）</w:t>
            </w:r>
          </w:p>
        </w:tc>
      </w:tr>
      <w:tr w14:paraId="5E80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959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7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69A8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51090422T000000403184-困难群体代缴城乡居民养老保险</w:t>
            </w:r>
          </w:p>
        </w:tc>
      </w:tr>
      <w:tr w14:paraId="27F1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D99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9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34A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1162" w:type="dxa"/>
            <w:gridSpan w:val="2"/>
            <w:tcBorders>
              <w:top w:val="nil"/>
              <w:left w:val="nil"/>
              <w:bottom w:val="nil"/>
              <w:right w:val="nil"/>
            </w:tcBorders>
            <w:shd w:val="clear" w:color="auto" w:fill="auto"/>
            <w:vAlign w:val="center"/>
          </w:tcPr>
          <w:p w14:paraId="6E8746E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3C1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14:paraId="6958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C3A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180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9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758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4A6C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ED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E854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3E9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9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DDB7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确保符合待遇领取条件人员的基础养老金按时足额发放和参保缴费人员缴费补贴按时足额兑现。</w:t>
            </w:r>
          </w:p>
        </w:tc>
        <w:tc>
          <w:tcPr>
            <w:tcW w:w="48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2BCB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完成14246人城乡居民基本养老保险个人缴费代缴</w:t>
            </w:r>
          </w:p>
        </w:tc>
      </w:tr>
      <w:tr w14:paraId="6195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1E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D4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7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781E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为全区低保对象、特困人员、返贫致贫人口等困难群体代缴城乡居民基本养老保险实行政府代缴，代缴标准为100元/人/年，由省级和县级共同承担。</w:t>
            </w:r>
          </w:p>
        </w:tc>
      </w:tr>
      <w:tr w14:paraId="07C0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92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F0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BC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B1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3DD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8D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63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E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4BE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00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2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21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4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147.39</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D0E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147.39</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27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3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C9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D93C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556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459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83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3D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83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147.39</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FAD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147.39</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185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8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1B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1B9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E9C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73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07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02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30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C58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37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5E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E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99B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31E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CB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13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71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3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26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5BD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E6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7F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FFE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2D7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B4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66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FE9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FDE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8DC9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206C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89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A2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1A0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FF8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3E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61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53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2E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D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E1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2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D1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6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41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D19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92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83B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6E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8D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代缴城乡居民基本养老保险个人缴费人数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F1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按照政策规定应缴尽缴</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4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3AB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14264人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9E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67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784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CE6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9C4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9A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16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64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对低保对象、特困人员、返贫致贫人口等困难群体参保率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8A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E9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1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E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1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1C5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D34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80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5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E0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B6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资金在规定时间下达率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D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D6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0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C8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C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5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6C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9BF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4A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DD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95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20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代缴城乡居民基本养老保险最低标准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B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7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F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元</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D4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E5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DA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773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1B1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E7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A3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9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8E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对困难群体的促进作用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3C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41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长期</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D3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5A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长期</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7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0B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D3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08B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5F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DD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33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A8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对低保对象、特困人员、返贫致贫人口等困难群体满意度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A3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C5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1A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6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8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33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7C8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560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ED7F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55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9A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C3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644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44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0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54D5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完成年度内14246人城乡居民基本养老保险个人缴费代缴，确保了符合待遇领取条件人员的基础养老金按时足额发放和参保缴费人员缴费补贴按时足额兑现。</w:t>
            </w:r>
          </w:p>
        </w:tc>
      </w:tr>
      <w:tr w14:paraId="322D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6B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0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C3A8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3CE6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C1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0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8A06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0D0A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4FA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项目负责人：汪世伟</w:t>
            </w:r>
          </w:p>
        </w:tc>
        <w:tc>
          <w:tcPr>
            <w:tcW w:w="5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6D425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财务负责人：张丹</w:t>
            </w:r>
          </w:p>
        </w:tc>
      </w:tr>
    </w:tbl>
    <w:p w14:paraId="65FF4249">
      <w:pPr>
        <w:rPr>
          <w:rFonts w:hint="eastAsia" w:ascii="Times New Roman" w:hAnsi="Times New Roman" w:eastAsia="方正小标宋简体" w:cs="方正小标宋简体"/>
          <w:color w:val="auto"/>
          <w:kern w:val="2"/>
          <w:sz w:val="44"/>
          <w:szCs w:val="44"/>
          <w:highlight w:val="none"/>
          <w:lang w:val="en-US" w:eastAsia="zh-CN"/>
        </w:rPr>
      </w:pPr>
    </w:p>
    <w:p w14:paraId="54B2B40C">
      <w:pPr>
        <w:pStyle w:val="4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bookmarkStart w:id="168" w:name="_Toc6580_WPSOffice_Level2"/>
      <w:bookmarkStart w:id="169" w:name="_Toc16195_WPSOffice_Level2"/>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bookmarkEnd w:id="168"/>
      <w:bookmarkEnd w:id="169"/>
    </w:p>
    <w:p w14:paraId="216CC5C2">
      <w:pPr>
        <w:pStyle w:val="40"/>
        <w:keepNext w:val="0"/>
        <w:keepLines w:val="0"/>
        <w:pageBreakBefore w:val="0"/>
        <w:widowControl w:val="0"/>
        <w:kinsoku/>
        <w:wordWrap/>
        <w:overflowPunct/>
        <w:topLinePunct w:val="0"/>
        <w:autoSpaceDE/>
        <w:autoSpaceDN/>
        <w:bidi w:val="0"/>
        <w:spacing w:line="578" w:lineRule="exact"/>
        <w:ind w:left="0" w:leftChars="0" w:firstLine="0"/>
        <w:jc w:val="center"/>
        <w:textAlignment w:val="auto"/>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（基础养老金补贴区级配套2024）</w:t>
      </w:r>
    </w:p>
    <w:p w14:paraId="449BF0D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bookmarkStart w:id="170" w:name="_Toc7243_WPSOffice_Level2"/>
      <w:bookmarkStart w:id="171" w:name="_Toc7464_WPSOffice_Level2"/>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bookmarkEnd w:id="170"/>
      <w:bookmarkEnd w:id="171"/>
    </w:p>
    <w:p w14:paraId="6E012AD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eastAsia="仿宋_GB2312" w:cs="仿宋_GB2312"/>
          <w:kern w:val="0"/>
          <w:sz w:val="32"/>
          <w:szCs w:val="32"/>
          <w:highlight w:val="none"/>
        </w:rPr>
        <w:t>《四川省完善城乡居民基本养老保险制度的实施方案》</w:t>
      </w:r>
      <w:r>
        <w:rPr>
          <w:rFonts w:hint="eastAsia" w:eastAsia="仿宋_GB2312" w:cs="仿宋_GB2312"/>
          <w:kern w:val="0"/>
          <w:sz w:val="32"/>
          <w:szCs w:val="32"/>
          <w:highlight w:val="none"/>
          <w:lang w:eastAsia="zh-CN"/>
        </w:rPr>
        <w:t>（</w:t>
      </w:r>
      <w:r>
        <w:rPr>
          <w:rFonts w:hint="eastAsia" w:ascii="Times New Roman" w:hAnsi="Times New Roman" w:eastAsia="仿宋_GB2312" w:cs="仿宋_GB2312"/>
          <w:kern w:val="0"/>
          <w:sz w:val="32"/>
          <w:szCs w:val="32"/>
          <w:highlight w:val="none"/>
        </w:rPr>
        <w:t>川人社发〔2020〕10号</w:t>
      </w:r>
      <w:r>
        <w:rPr>
          <w:rFonts w:hint="eastAsia" w:ascii="Times New Roman" w:hAnsi="Times New Roman" w:eastAsia="仿宋_GB2312" w:cs="仿宋_GB2312"/>
          <w:kern w:val="0"/>
          <w:sz w:val="32"/>
          <w:szCs w:val="32"/>
          <w:highlight w:val="none"/>
          <w:lang w:eastAsia="zh-CN"/>
        </w:rPr>
        <w:t>）文中提出全省基础养老金最低标准调整方案报省委和省政府确定，所需资金由省、市（州）、县（市、区）三级财政共同负担。在中央和省确定的基础养老金最低标准基础上，市（州）、县（市、区）可结合实际适当提高基础养老金标准，所需资金自行负担</w:t>
      </w:r>
      <w:r>
        <w:rPr>
          <w:rFonts w:hint="eastAsia" w:ascii="Times New Roman" w:hAnsi="Times New Roman" w:eastAsia="仿宋_GB2312" w:cs="仿宋_GB2312"/>
          <w:kern w:val="0"/>
          <w:sz w:val="32"/>
          <w:szCs w:val="32"/>
          <w:highlight w:val="none"/>
          <w:lang w:val="zh-CN"/>
        </w:rPr>
        <w:t>。目前我市城乡居民基本养老保险为市级统筹的社会保险基金，市级补助资金将直接拨付至市财政城乡居民基本养老保险基金专户，县级补助资金由各县（市、区）、市直园区财政部门上解至市财政城乡居民基本养老保险基金专户，确保我市城乡居民基本养老保险财政补助资金及时足额到位。</w:t>
      </w:r>
    </w:p>
    <w:p w14:paraId="3C746322">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仿宋_GB2312"/>
          <w:b w:val="0"/>
          <w:bCs w:val="0"/>
          <w:kern w:val="0"/>
          <w:sz w:val="32"/>
          <w:szCs w:val="32"/>
          <w:highlight w:val="none"/>
          <w:lang w:val="zh-CN"/>
        </w:rPr>
        <w:t>基础养老金补贴区级配套</w:t>
      </w:r>
      <w:r>
        <w:rPr>
          <w:rFonts w:hint="eastAsia" w:ascii="Times New Roman" w:hAnsi="Times New Roman" w:eastAsia="仿宋_GB2312" w:cs="仿宋_GB2312"/>
          <w:b w:val="0"/>
          <w:bCs w:val="0"/>
          <w:kern w:val="0"/>
          <w:sz w:val="32"/>
          <w:szCs w:val="32"/>
          <w:highlight w:val="none"/>
          <w:lang w:val="zh-CN" w:eastAsia="zh-CN"/>
        </w:rPr>
        <w:t>资金</w:t>
      </w:r>
      <w:r>
        <w:rPr>
          <w:rFonts w:hint="eastAsia" w:ascii="Times New Roman" w:hAnsi="Times New Roman" w:eastAsia="仿宋_GB2312" w:cs="仿宋_GB2312"/>
          <w:b w:val="0"/>
          <w:bCs w:val="0"/>
          <w:kern w:val="0"/>
          <w:position w:val="0"/>
          <w:sz w:val="32"/>
          <w:szCs w:val="32"/>
          <w:highlight w:val="none"/>
          <w:lang w:val="zh-CN" w:eastAsia="zh-CN" w:bidi="ar-SA"/>
        </w:rPr>
        <w:t>由区财政局统一安排管理。该项目实施目的是：对参加我省城乡居民基本养老保险的</w:t>
      </w:r>
      <w:r>
        <w:rPr>
          <w:rFonts w:hint="eastAsia" w:eastAsia="仿宋_GB2312" w:cs="仿宋_GB2312"/>
          <w:b w:val="0"/>
          <w:bCs w:val="0"/>
          <w:kern w:val="0"/>
          <w:position w:val="0"/>
          <w:sz w:val="32"/>
          <w:szCs w:val="32"/>
          <w:highlight w:val="none"/>
          <w:lang w:val="zh-CN" w:eastAsia="zh-CN" w:bidi="ar-SA"/>
        </w:rPr>
        <w:t>居民进行补贴，</w:t>
      </w:r>
      <w:r>
        <w:rPr>
          <w:rFonts w:hint="eastAsia" w:ascii="Times New Roman" w:hAnsi="Times New Roman" w:eastAsia="仿宋_GB2312" w:cs="仿宋_GB2312"/>
          <w:b w:val="0"/>
          <w:bCs w:val="0"/>
          <w:kern w:val="0"/>
          <w:position w:val="0"/>
          <w:sz w:val="32"/>
          <w:szCs w:val="32"/>
          <w:highlight w:val="none"/>
          <w:lang w:val="zh-CN" w:eastAsia="zh-CN" w:bidi="ar-SA"/>
        </w:rPr>
        <w:t>缓解养老金改革压力、保障老年人基本生活、促进社会和谐稳定</w:t>
      </w:r>
      <w:r>
        <w:rPr>
          <w:rFonts w:hint="eastAsia" w:eastAsia="仿宋_GB2312" w:cs="仿宋_GB2312"/>
          <w:b w:val="0"/>
          <w:bCs w:val="0"/>
          <w:kern w:val="0"/>
          <w:position w:val="0"/>
          <w:sz w:val="32"/>
          <w:szCs w:val="32"/>
          <w:highlight w:val="none"/>
          <w:lang w:val="zh-CN" w:eastAsia="zh-CN" w:bidi="ar-SA"/>
        </w:rPr>
        <w:t>发展。</w:t>
      </w:r>
    </w:p>
    <w:p w14:paraId="644424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仿宋_GB2312"/>
          <w:b w:val="0"/>
          <w:kern w:val="0"/>
          <w:sz w:val="32"/>
          <w:szCs w:val="32"/>
          <w:highlight w:val="none"/>
          <w:u w:val="none"/>
          <w:lang w:val="zh-CN" w:eastAsia="zh-CN"/>
        </w:rPr>
        <w:t>根据《社会保险基金预算绩效管理实施办法》，遵循“绩效预算执行”原则，实行绩效预算管理，确保预算的有效应用。城乡居民基本养老保险基金预算是由社保经办机构会同各级税务部门编制预决算，报同级</w:t>
      </w:r>
      <w:r>
        <w:rPr>
          <w:rFonts w:hint="eastAsia" w:eastAsia="仿宋_GB2312" w:cs="仿宋_GB2312"/>
          <w:b w:val="0"/>
          <w:kern w:val="0"/>
          <w:sz w:val="32"/>
          <w:szCs w:val="32"/>
          <w:highlight w:val="none"/>
          <w:u w:val="none"/>
          <w:lang w:val="zh-CN" w:eastAsia="zh-CN"/>
        </w:rPr>
        <w:t>人力资源社会保障部</w:t>
      </w:r>
      <w:r>
        <w:rPr>
          <w:rFonts w:hint="eastAsia" w:ascii="Times New Roman" w:hAnsi="Times New Roman" w:eastAsia="仿宋_GB2312" w:cs="仿宋_GB2312"/>
          <w:b w:val="0"/>
          <w:kern w:val="0"/>
          <w:sz w:val="32"/>
          <w:szCs w:val="32"/>
          <w:highlight w:val="none"/>
          <w:u w:val="none"/>
          <w:lang w:val="zh-CN" w:eastAsia="zh-CN"/>
        </w:rPr>
        <w:t>门和财政部门共同审核确定。为确保财政补助资金安全，严格按照社保基金财务管理制度，实行“收支两条线”管理，单独记账、独立核算，专款专用，预决算及时按规定向社会公开，自觉接受社会、群众、舆论的监督。使用全省统一社保信息系统和基金财务集中管理平台进行社保基金的账务处理，在系统内生成计划推送到财务模块，进行基金收支处理，确保了基金收支财务业务一体化。监管过程中做到了事前审核，事中监督，事后检查，无截留、挤占、挪用等现象发生</w:t>
      </w:r>
      <w:r>
        <w:rPr>
          <w:rFonts w:hint="eastAsia" w:eastAsia="仿宋_GB2312" w:cs="仿宋_GB2312"/>
          <w:b w:val="0"/>
          <w:bCs w:val="0"/>
          <w:kern w:val="0"/>
          <w:position w:val="0"/>
          <w:sz w:val="32"/>
          <w:szCs w:val="32"/>
          <w:highlight w:val="none"/>
          <w:lang w:val="zh-CN" w:eastAsia="zh-CN" w:bidi="ar-SA"/>
        </w:rPr>
        <w:t>。</w:t>
      </w:r>
    </w:p>
    <w:p w14:paraId="0391FCA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年度内基金收支平衡运行规范，保证基金运行规范安全，增强基金可持续性。城乡居民养老保险养老金领取人员按月足额发放养老金，为缴费人员按规定足额补贴到位，以保证参保人员个人权益。项目自评工作开展情况：一是确定绩效评价的主要内容，二是梳理核定各项绩效评价目标，三是分层分类实施基金预算绩效评价，四是开展绩效评价分析与结果运用，五是总结绩效评价结果和改进措施。</w:t>
      </w:r>
    </w:p>
    <w:p w14:paraId="442A5AC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bookmarkStart w:id="172" w:name="_Toc30303_WPSOffice_Level2"/>
      <w:bookmarkStart w:id="173" w:name="_Toc8331_WPSOffice_Level2"/>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bookmarkEnd w:id="172"/>
      <w:bookmarkEnd w:id="173"/>
    </w:p>
    <w:p w14:paraId="08DE9C8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kern w:val="0"/>
          <w:sz w:val="32"/>
          <w:szCs w:val="32"/>
          <w:highlight w:val="none"/>
          <w:u w:val="none"/>
          <w:lang w:val="zh-CN"/>
        </w:rPr>
        <w:t>通过项目绩效自评</w:t>
      </w:r>
      <w:r>
        <w:rPr>
          <w:rFonts w:hint="eastAsia" w:eastAsia="仿宋_GB2312" w:cs="仿宋_GB2312"/>
          <w:b w:val="0"/>
          <w:kern w:val="0"/>
          <w:sz w:val="32"/>
          <w:szCs w:val="32"/>
          <w:highlight w:val="none"/>
          <w:u w:val="none"/>
          <w:lang w:val="zh-CN"/>
        </w:rPr>
        <w:t>促进</w:t>
      </w:r>
      <w:r>
        <w:rPr>
          <w:rFonts w:hint="eastAsia" w:ascii="Times New Roman" w:hAnsi="Times New Roman" w:eastAsia="仿宋_GB2312" w:cs="仿宋_GB2312"/>
          <w:b w:val="0"/>
          <w:bCs w:val="0"/>
          <w:kern w:val="0"/>
          <w:position w:val="0"/>
          <w:sz w:val="32"/>
          <w:szCs w:val="32"/>
          <w:highlight w:val="none"/>
          <w:lang w:val="zh-CN" w:eastAsia="zh-CN" w:bidi="ar-SA"/>
        </w:rPr>
        <w:t>年度内基金收支平衡运行规范，保证基金运行规范安全，增强基金可持续性</w:t>
      </w:r>
      <w:r>
        <w:rPr>
          <w:rFonts w:hint="eastAsia" w:eastAsia="仿宋_GB2312" w:cs="仿宋_GB2312"/>
          <w:b w:val="0"/>
          <w:bCs w:val="0"/>
          <w:kern w:val="0"/>
          <w:position w:val="0"/>
          <w:sz w:val="32"/>
          <w:szCs w:val="32"/>
          <w:highlight w:val="none"/>
          <w:lang w:val="zh-CN" w:eastAsia="zh-CN" w:bidi="ar-SA"/>
        </w:rPr>
        <w:t>，保证缴费人员按规定足额补贴到位，保证参保人员个人权益。</w:t>
      </w:r>
    </w:p>
    <w:p w14:paraId="7668464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财政部门负责经费保障，</w:t>
      </w:r>
      <w:r>
        <w:rPr>
          <w:rFonts w:hint="eastAsia" w:eastAsia="仿宋_GB2312" w:cs="仿宋_GB2312"/>
          <w:b w:val="0"/>
          <w:bCs w:val="0"/>
          <w:kern w:val="0"/>
          <w:position w:val="0"/>
          <w:sz w:val="32"/>
          <w:szCs w:val="32"/>
          <w:highlight w:val="none"/>
          <w:lang w:val="zh-CN" w:eastAsia="zh-CN" w:bidi="ar-SA"/>
        </w:rPr>
        <w:t>区社保局</w:t>
      </w:r>
      <w:r>
        <w:rPr>
          <w:rFonts w:hint="eastAsia" w:ascii="Times New Roman" w:hAnsi="Times New Roman" w:eastAsia="仿宋_GB2312" w:cs="仿宋_GB2312"/>
          <w:b w:val="0"/>
          <w:bCs w:val="0"/>
          <w:kern w:val="0"/>
          <w:position w:val="0"/>
          <w:sz w:val="32"/>
          <w:szCs w:val="32"/>
          <w:highlight w:val="none"/>
          <w:lang w:val="zh-CN" w:eastAsia="zh-CN" w:bidi="ar-SA"/>
        </w:rPr>
        <w:t>关注预算安排和资金分配下达情况，确保按时足额拨付到位。核实资金用途，是否及时将资金</w:t>
      </w:r>
      <w:r>
        <w:rPr>
          <w:rFonts w:hint="eastAsia" w:eastAsia="仿宋_GB2312" w:cs="仿宋_GB2312"/>
          <w:b w:val="0"/>
          <w:bCs w:val="0"/>
          <w:kern w:val="0"/>
          <w:position w:val="0"/>
          <w:sz w:val="32"/>
          <w:szCs w:val="32"/>
          <w:highlight w:val="none"/>
          <w:lang w:val="zh-CN" w:eastAsia="zh-CN" w:bidi="ar-SA"/>
        </w:rPr>
        <w:t>上解至市</w:t>
      </w:r>
      <w:r>
        <w:rPr>
          <w:rFonts w:hint="eastAsia" w:ascii="Times New Roman" w:hAnsi="Times New Roman" w:eastAsia="仿宋_GB2312" w:cs="仿宋_GB2312"/>
          <w:b w:val="0"/>
          <w:bCs w:val="0"/>
          <w:kern w:val="0"/>
          <w:position w:val="0"/>
          <w:sz w:val="32"/>
          <w:szCs w:val="32"/>
          <w:highlight w:val="none"/>
          <w:lang w:val="zh-CN" w:eastAsia="zh-CN" w:bidi="ar-SA"/>
        </w:rPr>
        <w:t>财政</w:t>
      </w:r>
      <w:r>
        <w:rPr>
          <w:rFonts w:hint="eastAsia" w:eastAsia="仿宋_GB2312" w:cs="仿宋_GB2312"/>
          <w:b w:val="0"/>
          <w:bCs w:val="0"/>
          <w:kern w:val="0"/>
          <w:position w:val="0"/>
          <w:sz w:val="32"/>
          <w:szCs w:val="32"/>
          <w:highlight w:val="none"/>
          <w:lang w:val="zh-CN" w:eastAsia="zh-CN" w:bidi="ar-SA"/>
        </w:rPr>
        <w:t>城乡居民养老保险基金户</w:t>
      </w:r>
      <w:r>
        <w:rPr>
          <w:rFonts w:hint="eastAsia" w:ascii="Times New Roman" w:hAnsi="Times New Roman" w:eastAsia="仿宋_GB2312" w:cs="仿宋_GB2312"/>
          <w:b w:val="0"/>
          <w:bCs w:val="0"/>
          <w:kern w:val="0"/>
          <w:position w:val="0"/>
          <w:sz w:val="32"/>
          <w:szCs w:val="32"/>
          <w:highlight w:val="none"/>
          <w:lang w:val="zh-CN" w:eastAsia="zh-CN" w:bidi="ar-SA"/>
        </w:rPr>
        <w:t>、专款专用。</w:t>
      </w:r>
    </w:p>
    <w:p w14:paraId="2FCBBF9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color w:val="auto"/>
          <w:kern w:val="0"/>
          <w:sz w:val="32"/>
          <w:szCs w:val="32"/>
          <w:highlight w:val="none"/>
          <w:u w:val="none"/>
          <w:lang w:val="zh-CN"/>
        </w:rPr>
        <w:t>对基金收、支、管等环节开展监督检查，建立查处欺诈骗保长效机制；定期开展基金运行情况分析，建立基金运行风险预警和处置机制。</w:t>
      </w:r>
    </w:p>
    <w:p w14:paraId="63475A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一是确定绩效评价的主要内容，二是梳理核定各项绩效评价目标，三是分层分类实施基金预算绩效评价，四是开展绩效评价分析与结果运用，五是总结绩效评价结果和改进措施。</w:t>
      </w:r>
    </w:p>
    <w:p w14:paraId="75CE9D8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根据下发的有关文件要求，我局迅速向主要负责人报告有关情况。按照主要领导的指示意见，组建了绩效评价管理工作领导小组，迅速开展前期各项准备工作，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p>
    <w:p w14:paraId="5445584C">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bookmarkStart w:id="174" w:name="_Toc3952_WPSOffice_Level2"/>
      <w:bookmarkStart w:id="175" w:name="_Toc32180_WPSOffice_Level2"/>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bookmarkEnd w:id="174"/>
      <w:bookmarkEnd w:id="175"/>
      <w:r>
        <w:rPr>
          <w:rFonts w:hint="eastAsia" w:ascii="Times New Roman" w:hAnsi="Times New Roman"/>
          <w:color w:val="auto"/>
          <w:sz w:val="32"/>
          <w:szCs w:val="32"/>
          <w:highlight w:val="none"/>
          <w:u w:val="none"/>
          <w:lang w:val="zh-CN"/>
        </w:rPr>
        <w:tab/>
      </w:r>
    </w:p>
    <w:p w14:paraId="59E2A01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61B5BD1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CB87AD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项目决策。在国家授权范围内，依法依规、按照法定程序制定社会保险基金管理相关政策。</w:t>
      </w:r>
    </w:p>
    <w:p w14:paraId="11C4E2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bCs/>
          <w:kern w:val="0"/>
          <w:position w:val="0"/>
          <w:sz w:val="32"/>
          <w:szCs w:val="32"/>
          <w:highlight w:val="none"/>
          <w:lang w:val="zh-CN" w:eastAsia="zh-CN" w:bidi="ar-SA"/>
        </w:rPr>
        <w:t>过程指标：</w:t>
      </w:r>
      <w:r>
        <w:rPr>
          <w:rFonts w:hint="eastAsia" w:ascii="Times New Roman" w:hAnsi="Times New Roman" w:eastAsia="仿宋_GB2312" w:cs="仿宋_GB2312"/>
          <w:b w:val="0"/>
          <w:bCs w:val="0"/>
          <w:kern w:val="0"/>
          <w:position w:val="0"/>
          <w:sz w:val="32"/>
          <w:szCs w:val="32"/>
          <w:highlight w:val="none"/>
          <w:lang w:val="zh-CN" w:eastAsia="zh-CN" w:bidi="ar-SA"/>
        </w:rPr>
        <w:t>预算编制无漏填、错填，编报说明合理。严格执行批复预算，预算执行报表报送及时准确。严格按照国家规定进行预算调整。</w:t>
      </w:r>
    </w:p>
    <w:p w14:paraId="76F779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bCs/>
          <w:kern w:val="0"/>
          <w:position w:val="0"/>
          <w:sz w:val="32"/>
          <w:szCs w:val="32"/>
          <w:highlight w:val="none"/>
          <w:lang w:val="zh-CN" w:eastAsia="zh-CN" w:bidi="ar-SA"/>
        </w:rPr>
        <w:t>政策执行指标：</w:t>
      </w:r>
      <w:r>
        <w:rPr>
          <w:rFonts w:hint="eastAsia" w:ascii="Times New Roman" w:hAnsi="Times New Roman" w:eastAsia="仿宋_GB2312" w:cs="仿宋_GB2312"/>
          <w:b w:val="0"/>
          <w:bCs w:val="0"/>
          <w:kern w:val="0"/>
          <w:position w:val="0"/>
          <w:sz w:val="32"/>
          <w:szCs w:val="32"/>
          <w:highlight w:val="none"/>
          <w:lang w:val="zh-CN" w:eastAsia="zh-CN" w:bidi="ar-SA"/>
        </w:rPr>
        <w:t>根据四川省人民政府《关于建立统一的城乡居民基本养老保险制度实施意见》（川府发〔2014〕23号文件）和四川省人力资源和社会保障厅 四川省财政厅《关于进一步完善城乡居民基本养老保险制度的通知》（川人社发〔2022〕20号）相关规定执行参保、缴费标准、待遇支付范围。</w:t>
      </w:r>
    </w:p>
    <w:p w14:paraId="795FEEB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项目管理。对项目资金的管理严格按照《四川省财政厅 四川省人力资源和社会保障厅关于印发四川省城乡居民基本养老保险基金财务管理办法的通知》（川财社〔2015〕185号）、《财政部 人力资源和社会保障部 国家卫生计生委关于印发社会保险基金财务制度》的通知（财社〔2017〕144号）文件相关规定，及时将资金拨入社会保障基金财政专户、专款专用，任何地区、部门、单位和个人，均不得截留、挤占和挪用。</w:t>
      </w:r>
    </w:p>
    <w:p w14:paraId="2D1B5C0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严格按照社保基金财务管理制度，将资金上解至市财政城乡居民养老保险基金专户，专款专用。</w:t>
      </w:r>
    </w:p>
    <w:p w14:paraId="283AC54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4.项目结果。2024年调整后预算数2602.62万元，执行数2602.62万元，全部</w:t>
      </w:r>
      <w:r>
        <w:rPr>
          <w:rFonts w:hint="eastAsia" w:ascii="Times New Roman" w:hAnsi="Times New Roman" w:eastAsia="仿宋_GB2312" w:cs="仿宋_GB2312"/>
          <w:b w:val="0"/>
          <w:bCs w:val="0"/>
          <w:kern w:val="0"/>
          <w:position w:val="0"/>
          <w:sz w:val="32"/>
          <w:szCs w:val="32"/>
          <w:highlight w:val="none"/>
          <w:lang w:val="zh-CN" w:eastAsia="zh-CN" w:bidi="ar-SA"/>
        </w:rPr>
        <w:t>上解至市财政城乡居民养老保险基金专户</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按时完成了保险费征收和待遇发放任务，维护了保险对象的合法权益，提高了参保群众的满意度。</w:t>
      </w:r>
    </w:p>
    <w:p w14:paraId="4AE440C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2CB38F1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1.产业发展。无。</w:t>
      </w:r>
    </w:p>
    <w:p w14:paraId="3F20103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民生保障。基本养老金补贴应补尽补，均完成预算指标，各项社会保险待遇在规定时限内拨付到位</w:t>
      </w:r>
      <w:r>
        <w:rPr>
          <w:rFonts w:hint="eastAsia" w:ascii="Times New Roman" w:hAnsi="Times New Roman" w:eastAsia="仿宋_GB2312" w:cs="仿宋_GB2312"/>
          <w:b w:val="0"/>
          <w:bCs w:val="0"/>
          <w:kern w:val="0"/>
          <w:position w:val="0"/>
          <w:sz w:val="32"/>
          <w:szCs w:val="32"/>
          <w:highlight w:val="none"/>
          <w:lang w:val="en-US" w:eastAsia="zh-CN" w:bidi="ar-SA"/>
        </w:rPr>
        <w:t>，提升社会经济效益。</w:t>
      </w:r>
    </w:p>
    <w:p w14:paraId="21EB725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3.基础设施。无</w:t>
      </w:r>
      <w:r>
        <w:rPr>
          <w:rFonts w:hint="eastAsia" w:ascii="Times New Roman" w:hAnsi="Times New Roman" w:eastAsia="仿宋_GB2312" w:cs="仿宋_GB2312"/>
          <w:b w:val="0"/>
          <w:bCs w:val="0"/>
          <w:kern w:val="0"/>
          <w:position w:val="0"/>
          <w:sz w:val="32"/>
          <w:szCs w:val="32"/>
          <w:highlight w:val="none"/>
          <w:lang w:val="zh-CN" w:eastAsia="zh-CN" w:bidi="ar-SA"/>
        </w:rPr>
        <w:t>。</w:t>
      </w:r>
    </w:p>
    <w:p w14:paraId="213C23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行政运转。无。</w:t>
      </w:r>
    </w:p>
    <w:p w14:paraId="3F41237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eastAsia="仿宋_GB2312" w:cs="仿宋_GB2312"/>
          <w:b w:val="0"/>
          <w:bCs w:val="0"/>
          <w:kern w:val="0"/>
          <w:position w:val="0"/>
          <w:sz w:val="32"/>
          <w:szCs w:val="32"/>
          <w:highlight w:val="none"/>
          <w:lang w:val="zh-CN" w:eastAsia="zh-CN" w:bidi="ar-SA"/>
        </w:rPr>
        <w:t>无</w:t>
      </w:r>
      <w:r>
        <w:rPr>
          <w:rFonts w:hint="eastAsia" w:ascii="Times New Roman" w:hAnsi="Times New Roman" w:eastAsia="仿宋_GB2312" w:cs="仿宋_GB2312"/>
          <w:b w:val="0"/>
          <w:bCs w:val="0"/>
          <w:kern w:val="0"/>
          <w:position w:val="0"/>
          <w:sz w:val="32"/>
          <w:szCs w:val="32"/>
          <w:highlight w:val="none"/>
          <w:lang w:val="zh-CN" w:eastAsia="zh-CN" w:bidi="ar-SA"/>
        </w:rPr>
        <w:t>。</w:t>
      </w:r>
    </w:p>
    <w:p w14:paraId="19B9C1D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bookmarkStart w:id="176" w:name="_Toc11190_WPSOffice_Level2"/>
      <w:bookmarkStart w:id="177" w:name="_Toc12485_WPSOffice_Level2"/>
      <w:r>
        <w:rPr>
          <w:rFonts w:hint="eastAsia" w:ascii="黑体" w:hAnsi="黑体" w:eastAsia="黑体" w:cs="黑体"/>
          <w:b w:val="0"/>
          <w:bCs w:val="0"/>
          <w:kern w:val="0"/>
          <w:position w:val="0"/>
          <w:sz w:val="32"/>
          <w:szCs w:val="32"/>
          <w:highlight w:val="none"/>
          <w:lang w:val="en-US" w:eastAsia="zh-CN" w:bidi="ar-SA"/>
        </w:rPr>
        <w:t>四、评价结论</w:t>
      </w:r>
      <w:bookmarkEnd w:id="176"/>
      <w:bookmarkEnd w:id="177"/>
    </w:p>
    <w:p w14:paraId="4F7DA65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通过预算绩效目标自评，2024年我市城乡居民养老保险各项绩效指标完成度较高，按时完成了保险费征收和待遇发放任务，维护了保险对象的合法权益，提高了参保群众的满意度。通过自评，综合得分100分</w:t>
      </w:r>
      <w:r>
        <w:rPr>
          <w:rFonts w:hint="eastAsia" w:ascii="Times New Roman" w:hAnsi="Times New Roman" w:eastAsia="仿宋_GB2312" w:cs="仿宋_GB2312"/>
          <w:b w:val="0"/>
          <w:bCs w:val="0"/>
          <w:kern w:val="0"/>
          <w:position w:val="0"/>
          <w:sz w:val="32"/>
          <w:szCs w:val="32"/>
          <w:highlight w:val="none"/>
          <w:lang w:val="zh-CN" w:eastAsia="zh-CN" w:bidi="ar-SA"/>
        </w:rPr>
        <w:t>。</w:t>
      </w:r>
    </w:p>
    <w:p w14:paraId="765B8CB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bookmarkStart w:id="178" w:name="_Toc7904_WPSOffice_Level2"/>
      <w:bookmarkStart w:id="179" w:name="_Toc8168_WPSOffice_Level2"/>
      <w:r>
        <w:rPr>
          <w:rFonts w:hint="eastAsia" w:ascii="黑体" w:hAnsi="黑体" w:eastAsia="黑体" w:cs="黑体"/>
          <w:b w:val="0"/>
          <w:bCs w:val="0"/>
          <w:kern w:val="0"/>
          <w:position w:val="0"/>
          <w:sz w:val="32"/>
          <w:szCs w:val="32"/>
          <w:highlight w:val="none"/>
          <w:lang w:val="en-US" w:eastAsia="zh-CN" w:bidi="ar-SA"/>
        </w:rPr>
        <w:t>五、存在主要问题</w:t>
      </w:r>
      <w:bookmarkEnd w:id="178"/>
      <w:bookmarkEnd w:id="179"/>
    </w:p>
    <w:p w14:paraId="5F22C8F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2024年被征地退休人员个人账户养老金支出测算较低，导致2024年社会保险待遇支出高于预计数。</w:t>
      </w:r>
    </w:p>
    <w:p w14:paraId="0FA2F2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bookmarkStart w:id="180" w:name="_Toc16785_WPSOffice_Level2"/>
      <w:bookmarkStart w:id="181" w:name="_Toc12870_WPSOffice_Level2"/>
      <w:r>
        <w:rPr>
          <w:rFonts w:hint="eastAsia" w:ascii="黑体" w:hAnsi="黑体" w:eastAsia="黑体" w:cs="黑体"/>
          <w:b w:val="0"/>
          <w:bCs w:val="0"/>
          <w:kern w:val="0"/>
          <w:position w:val="0"/>
          <w:sz w:val="32"/>
          <w:szCs w:val="32"/>
          <w:highlight w:val="none"/>
          <w:lang w:val="zh-CN" w:eastAsia="zh-CN" w:bidi="ar-SA"/>
        </w:rPr>
        <w:t>六、改进建议</w:t>
      </w:r>
      <w:bookmarkEnd w:id="180"/>
      <w:bookmarkEnd w:id="181"/>
    </w:p>
    <w:p w14:paraId="0348562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进一步加强城乡居民养老保险征缴扩面工作，加大政策宣传力度，扩大城乡居民养老保险覆盖范围，切实做到应收尽收，应保尽保。</w:t>
      </w:r>
    </w:p>
    <w:tbl>
      <w:tblPr>
        <w:tblStyle w:val="17"/>
        <w:tblW w:w="104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080"/>
        <w:gridCol w:w="996"/>
        <w:gridCol w:w="988"/>
        <w:gridCol w:w="700"/>
        <w:gridCol w:w="937"/>
        <w:gridCol w:w="788"/>
        <w:gridCol w:w="1125"/>
        <w:gridCol w:w="750"/>
        <w:gridCol w:w="800"/>
        <w:gridCol w:w="1483"/>
      </w:tblGrid>
      <w:tr w14:paraId="559B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04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D717D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专项资金绩效目标完成情况自评表（2024年度）</w:t>
            </w:r>
          </w:p>
        </w:tc>
      </w:tr>
      <w:tr w14:paraId="30AA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3A9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5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5DAC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51090424T000011120418-基础养老金补贴区级配套2024</w:t>
            </w:r>
          </w:p>
        </w:tc>
      </w:tr>
      <w:tr w14:paraId="1AFF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FCD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4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2E4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1125" w:type="dxa"/>
            <w:tcBorders>
              <w:top w:val="nil"/>
              <w:left w:val="nil"/>
              <w:bottom w:val="nil"/>
              <w:right w:val="nil"/>
            </w:tcBorders>
            <w:shd w:val="clear" w:color="auto" w:fill="auto"/>
            <w:vAlign w:val="center"/>
          </w:tcPr>
          <w:p w14:paraId="7FCBBF79">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69C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14:paraId="3AD6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437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F1D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4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BEB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00EA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1A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43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0B5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33C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确保符合条件的城乡居民养老待遇领取人员养老金按时足额发放</w:t>
            </w:r>
          </w:p>
        </w:tc>
        <w:tc>
          <w:tcPr>
            <w:tcW w:w="4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D396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2024年我区城乡居民养老保险各项绩效指标完成度较高，按时完成了待遇发放任务，维护了保险对象的合法权益，提高了参保群众的满意度。</w:t>
            </w:r>
          </w:p>
        </w:tc>
      </w:tr>
      <w:tr w14:paraId="0F9E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BF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DA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5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0C5D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严格按照《四川省财政厅 四川省人力资源和社会保障厅关于印发四川省城乡居民基本养老保险基金财务管理办法的通知》（川财社〔2015〕185号）、《财政部 人力资源和社会保障部 国家卫生计生委关于印发社会保险基金财务制度》的通知（财社〔2017〕144号）文件相关规定，及时将县级配套资金上解市级社会保障基金财政专户、专款专用，任何地区、部门、单位和个人，均不得截留、挤占和挪用。</w:t>
            </w:r>
          </w:p>
        </w:tc>
      </w:tr>
      <w:tr w14:paraId="611C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CDB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9E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61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6F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08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84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3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0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1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797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E5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27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D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1,160.00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C8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2,602.62</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E09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2,602.62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24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C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8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39E7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B5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94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C3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4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1,160.00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AE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2,602.62</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76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2,602.62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3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24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5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A3A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1E4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1A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5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7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39E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4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DB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44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CAE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17B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04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F1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8E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7B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7D8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2C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4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A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3F6A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C4B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14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C2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01D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50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74D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439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A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8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891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A4C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713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38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C6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A6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D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A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3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5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06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C5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C1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84C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5AD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F20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6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ED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保障人数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2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36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应保尽保</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7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3B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B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28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458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413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4B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3A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02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AC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补贴的准确性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3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F1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1E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14E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EA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4F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411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725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AED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D5D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3A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CC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补贴拨付及时性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4E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E7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在规定时效内拨付到位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2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6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在规定时效内拨付到位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23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0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F83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E62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86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A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7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A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保险每月领取群众的基础养老金到位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F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5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A3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BA5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65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4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07E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9AA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A1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6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D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5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B4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9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2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17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0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D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E56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ABD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3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D9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9B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F5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按国家规定标准补贴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1C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A4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人均163元/人/月，中央财政负担123元，剩余40元由省市县三级财政共同承担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B6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E4D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2024年县级承担2602.62万元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AD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9C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D5C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1AE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3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98CB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BC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52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DB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B8D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D8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6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9A50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通过预算绩效目标自评，2024年我区城乡居民养老保险各项绩效指标完成度较高，按时完成了待遇发放任务，维护了保险对象的合法权益，提高了参保群众的满意度。</w:t>
            </w:r>
          </w:p>
        </w:tc>
      </w:tr>
      <w:tr w14:paraId="6F2D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6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1025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2024年城乡居民基础养老金县级匹配资金测算较低，导致2024年基础养老金县级匹配资金实际支出高于预计数。</w:t>
            </w:r>
          </w:p>
        </w:tc>
      </w:tr>
      <w:tr w14:paraId="2156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72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6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DE4D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进一步加强城乡居民养老保险区级配套资金年初预算的准确性。</w:t>
            </w:r>
          </w:p>
        </w:tc>
      </w:tr>
      <w:tr w14:paraId="306B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35A8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项目负责人：冯梅</w:t>
            </w:r>
          </w:p>
        </w:tc>
        <w:tc>
          <w:tcPr>
            <w:tcW w:w="58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66C33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财务负责人：张丹</w:t>
            </w:r>
          </w:p>
        </w:tc>
      </w:tr>
    </w:tbl>
    <w:p w14:paraId="1911D877">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069AFCB1">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p>
    <w:p w14:paraId="5009D075">
      <w:pPr>
        <w:pageBreakBefore w:val="0"/>
        <w:numPr>
          <w:ilvl w:val="0"/>
          <w:numId w:val="5"/>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bookmarkStart w:id="182" w:name="_Toc11498"/>
      <w:bookmarkStart w:id="183" w:name="_Toc31539"/>
      <w:bookmarkStart w:id="184" w:name="_Toc9744"/>
      <w:bookmarkStart w:id="185" w:name="_Toc3928"/>
      <w:bookmarkStart w:id="186" w:name="_Toc31749"/>
      <w:bookmarkStart w:id="187" w:name="_Toc1694"/>
      <w:r>
        <w:rPr>
          <w:rFonts w:hint="default" w:ascii="Times New Roman" w:hAnsi="Times New Roman" w:eastAsia="微软雅黑" w:cs="Times New Roman"/>
          <w:color w:val="000000"/>
          <w:sz w:val="44"/>
          <w:szCs w:val="44"/>
          <w:lang w:eastAsia="zh-CN"/>
        </w:rPr>
        <w:t>附表</w:t>
      </w:r>
      <w:bookmarkEnd w:id="182"/>
      <w:bookmarkEnd w:id="183"/>
      <w:bookmarkEnd w:id="184"/>
      <w:bookmarkEnd w:id="185"/>
      <w:bookmarkEnd w:id="186"/>
      <w:bookmarkEnd w:id="187"/>
    </w:p>
    <w:p w14:paraId="66AC9873">
      <w:pPr>
        <w:pStyle w:val="15"/>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Style w:val="32"/>
          <w:rFonts w:hint="default" w:ascii="Times New Roman" w:hAnsi="Times New Roman" w:eastAsia="黑体" w:cs="Times New Roman"/>
          <w:b w:val="0"/>
          <w:lang w:val="en-US" w:eastAsia="zh-CN" w:bidi="ar-SA"/>
        </w:rPr>
      </w:pPr>
    </w:p>
    <w:p w14:paraId="2EB01721">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188" w:name="_Toc20168"/>
      <w:bookmarkStart w:id="189" w:name="_Toc1830"/>
      <w:r>
        <w:rPr>
          <w:rStyle w:val="32"/>
          <w:rFonts w:hint="default" w:ascii="Times New Roman" w:hAnsi="Times New Roman" w:eastAsia="仿宋_GB2312" w:cs="Times New Roman"/>
          <w:b w:val="0"/>
          <w:lang w:val="en-US" w:eastAsia="zh-CN" w:bidi="ar-SA"/>
        </w:rPr>
        <w:t>收入支出决算总表</w:t>
      </w:r>
      <w:bookmarkEnd w:id="188"/>
    </w:p>
    <w:bookmarkEnd w:id="189"/>
    <w:p w14:paraId="11CF9ABE">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190" w:name="_Toc8819"/>
      <w:bookmarkStart w:id="191" w:name="_Toc13257"/>
      <w:r>
        <w:rPr>
          <w:rStyle w:val="32"/>
          <w:rFonts w:hint="default" w:ascii="Times New Roman" w:hAnsi="Times New Roman" w:eastAsia="仿宋_GB2312" w:cs="Times New Roman"/>
          <w:b w:val="0"/>
          <w:lang w:val="en-US" w:eastAsia="zh-CN" w:bidi="ar-SA"/>
        </w:rPr>
        <w:t>收入决算表</w:t>
      </w:r>
      <w:bookmarkEnd w:id="190"/>
    </w:p>
    <w:bookmarkEnd w:id="191"/>
    <w:p w14:paraId="6233AED3">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192" w:name="_Toc25746"/>
      <w:bookmarkStart w:id="193" w:name="_Toc3999"/>
      <w:r>
        <w:rPr>
          <w:rStyle w:val="32"/>
          <w:rFonts w:hint="default" w:ascii="Times New Roman" w:hAnsi="Times New Roman" w:eastAsia="仿宋_GB2312" w:cs="Times New Roman"/>
          <w:b w:val="0"/>
          <w:lang w:val="en-US" w:eastAsia="zh-CN" w:bidi="ar-SA"/>
        </w:rPr>
        <w:t>支出决算表</w:t>
      </w:r>
      <w:bookmarkEnd w:id="192"/>
    </w:p>
    <w:bookmarkEnd w:id="193"/>
    <w:p w14:paraId="21E60E3F">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194" w:name="_Toc27654"/>
      <w:bookmarkStart w:id="195" w:name="_Toc8848"/>
      <w:r>
        <w:rPr>
          <w:rStyle w:val="32"/>
          <w:rFonts w:hint="default" w:ascii="Times New Roman" w:hAnsi="Times New Roman" w:eastAsia="仿宋_GB2312" w:cs="Times New Roman"/>
          <w:b w:val="0"/>
          <w:lang w:val="en-US" w:eastAsia="zh-CN" w:bidi="ar-SA"/>
        </w:rPr>
        <w:t>财政拨款收入支出决算总表</w:t>
      </w:r>
      <w:bookmarkEnd w:id="194"/>
    </w:p>
    <w:bookmarkEnd w:id="195"/>
    <w:p w14:paraId="5DCFFF5A">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196" w:name="_Toc7334"/>
      <w:bookmarkStart w:id="197" w:name="_Toc21332"/>
      <w:r>
        <w:rPr>
          <w:rStyle w:val="32"/>
          <w:rFonts w:hint="default" w:ascii="Times New Roman" w:hAnsi="Times New Roman" w:eastAsia="仿宋_GB2312" w:cs="Times New Roman"/>
          <w:b w:val="0"/>
          <w:lang w:val="en-US" w:eastAsia="zh-CN" w:bidi="ar-SA"/>
        </w:rPr>
        <w:t>财政拨款支出决算明细表</w:t>
      </w:r>
      <w:bookmarkEnd w:id="196"/>
    </w:p>
    <w:bookmarkEnd w:id="197"/>
    <w:p w14:paraId="1E0AC079">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198" w:name="_Toc25729"/>
      <w:bookmarkStart w:id="199" w:name="_Toc11631"/>
      <w:r>
        <w:rPr>
          <w:rStyle w:val="32"/>
          <w:rFonts w:hint="default" w:ascii="Times New Roman" w:hAnsi="Times New Roman" w:eastAsia="仿宋_GB2312" w:cs="Times New Roman"/>
          <w:b w:val="0"/>
          <w:lang w:val="en-US" w:eastAsia="zh-CN" w:bidi="ar-SA"/>
        </w:rPr>
        <w:t>一般公共预算财政拨款支出决算表</w:t>
      </w:r>
      <w:bookmarkEnd w:id="198"/>
    </w:p>
    <w:bookmarkEnd w:id="199"/>
    <w:p w14:paraId="331A658E">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200" w:name="_Toc13227"/>
      <w:bookmarkStart w:id="201" w:name="_Toc7771"/>
      <w:r>
        <w:rPr>
          <w:rStyle w:val="32"/>
          <w:rFonts w:hint="default" w:ascii="Times New Roman" w:hAnsi="Times New Roman" w:eastAsia="仿宋_GB2312" w:cs="Times New Roman"/>
          <w:b w:val="0"/>
          <w:lang w:val="en-US" w:eastAsia="zh-CN" w:bidi="ar-SA"/>
        </w:rPr>
        <w:t>一般公共预算财政拨款支出决算明细表</w:t>
      </w:r>
      <w:bookmarkEnd w:id="200"/>
    </w:p>
    <w:bookmarkEnd w:id="201"/>
    <w:p w14:paraId="4521C0DF">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202" w:name="_Toc29219"/>
      <w:bookmarkStart w:id="203" w:name="_Toc16528"/>
      <w:r>
        <w:rPr>
          <w:rStyle w:val="32"/>
          <w:rFonts w:hint="default" w:ascii="Times New Roman" w:hAnsi="Times New Roman" w:eastAsia="仿宋_GB2312" w:cs="Times New Roman"/>
          <w:b w:val="0"/>
          <w:lang w:val="en-US" w:eastAsia="zh-CN" w:bidi="ar-SA"/>
        </w:rPr>
        <w:t>一般公共预算财政拨款基本支出决算表</w:t>
      </w:r>
      <w:bookmarkEnd w:id="202"/>
    </w:p>
    <w:bookmarkEnd w:id="203"/>
    <w:p w14:paraId="7D2B48B2">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204" w:name="_Toc31113"/>
      <w:bookmarkStart w:id="205" w:name="_Toc25333"/>
      <w:r>
        <w:rPr>
          <w:rStyle w:val="32"/>
          <w:rFonts w:hint="default" w:ascii="Times New Roman" w:hAnsi="Times New Roman" w:eastAsia="仿宋_GB2312" w:cs="Times New Roman"/>
          <w:b w:val="0"/>
          <w:lang w:val="en-US" w:eastAsia="zh-CN" w:bidi="ar-SA"/>
        </w:rPr>
        <w:t>一般公共预算财政拨款项目支出决算表</w:t>
      </w:r>
      <w:bookmarkEnd w:id="204"/>
    </w:p>
    <w:bookmarkEnd w:id="205"/>
    <w:p w14:paraId="71BAA115">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206" w:name="_Toc24665"/>
      <w:bookmarkStart w:id="207" w:name="_Toc26856"/>
      <w:r>
        <w:rPr>
          <w:rStyle w:val="32"/>
          <w:rFonts w:hint="default" w:ascii="Times New Roman" w:hAnsi="Times New Roman" w:eastAsia="仿宋_GB2312" w:cs="Times New Roman"/>
          <w:b w:val="0"/>
          <w:lang w:val="en-US" w:eastAsia="zh-CN" w:bidi="ar-SA"/>
        </w:rPr>
        <w:t>政府性基金预算财政拨款收入支出决算表</w:t>
      </w:r>
      <w:bookmarkEnd w:id="206"/>
    </w:p>
    <w:bookmarkEnd w:id="207"/>
    <w:p w14:paraId="172DC83A">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208" w:name="_Toc10256"/>
      <w:bookmarkStart w:id="209" w:name="_Toc14102"/>
      <w:r>
        <w:rPr>
          <w:rStyle w:val="32"/>
          <w:rFonts w:hint="default" w:ascii="Times New Roman" w:hAnsi="Times New Roman" w:eastAsia="仿宋_GB2312" w:cs="Times New Roman"/>
          <w:b w:val="0"/>
          <w:lang w:val="en-US" w:eastAsia="zh-CN" w:bidi="ar-SA"/>
        </w:rPr>
        <w:t>国有资本经营预算财政拨款收入支出决算表</w:t>
      </w:r>
      <w:bookmarkEnd w:id="208"/>
    </w:p>
    <w:bookmarkEnd w:id="209"/>
    <w:p w14:paraId="3C6351FE">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210" w:name="_Toc17125"/>
      <w:bookmarkStart w:id="211" w:name="_Toc30250"/>
      <w:r>
        <w:rPr>
          <w:rStyle w:val="32"/>
          <w:rFonts w:hint="default" w:ascii="Times New Roman" w:hAnsi="Times New Roman" w:eastAsia="仿宋_GB2312" w:cs="Times New Roman"/>
          <w:b w:val="0"/>
          <w:lang w:val="en-US" w:eastAsia="zh-CN" w:bidi="ar-SA"/>
        </w:rPr>
        <w:t>国有资本经营预算财政拨款支出决算表</w:t>
      </w:r>
      <w:bookmarkEnd w:id="210"/>
    </w:p>
    <w:bookmarkEnd w:id="211"/>
    <w:p w14:paraId="24691869">
      <w:pPr>
        <w:pStyle w:val="15"/>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outlineLvl w:val="1"/>
        <w:rPr>
          <w:rStyle w:val="32"/>
          <w:rFonts w:hint="default" w:ascii="Times New Roman" w:hAnsi="Times New Roman" w:eastAsia="仿宋_GB2312" w:cs="Times New Roman"/>
          <w:b w:val="0"/>
          <w:lang w:val="en-US" w:eastAsia="zh-CN" w:bidi="ar-SA"/>
        </w:rPr>
      </w:pPr>
      <w:bookmarkStart w:id="212" w:name="_Toc10533"/>
      <w:bookmarkStart w:id="213" w:name="_Toc7946"/>
      <w:r>
        <w:rPr>
          <w:rStyle w:val="32"/>
          <w:rFonts w:hint="default" w:ascii="Times New Roman" w:hAnsi="Times New Roman" w:eastAsia="仿宋_GB2312" w:cs="Times New Roman"/>
          <w:b w:val="0"/>
          <w:lang w:val="en-US" w:eastAsia="zh-CN" w:bidi="ar-SA"/>
        </w:rPr>
        <w:t>财政拨款“三公”经费支出决算表</w:t>
      </w:r>
      <w:bookmarkEnd w:id="212"/>
    </w:p>
    <w:bookmarkEnd w:id="213"/>
    <w:p w14:paraId="6ACC6C6D">
      <w:pPr>
        <w:rPr>
          <w:rFonts w:hint="default" w:ascii="Times New Roman" w:hAnsi="Times New Roman" w:eastAsia="仿宋_GB2312" w:cs="Times New Roman"/>
          <w:lang w:eastAsia="zh-CN"/>
        </w:rPr>
      </w:pPr>
    </w:p>
    <w:p w14:paraId="43A2BB78">
      <w:pPr>
        <w:rPr>
          <w:rFonts w:hint="eastAsia" w:ascii="Times New Roman" w:hAnsi="Times New Roman"/>
          <w:lang w:eastAsia="zh-CN"/>
        </w:rPr>
      </w:pPr>
    </w:p>
    <w:p w14:paraId="4DCC2CD3">
      <w:pPr>
        <w:rPr>
          <w:rFonts w:ascii="仿宋" w:hAnsi="仿宋" w:eastAsia="仿宋"/>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97EFA2-DA33-4E9C-A961-FF555733ED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embedRegular r:id="rId2" w:fontKey="{EBE14E10-EFCB-419F-A5C6-63F56C18C435}"/>
  </w:font>
  <w:font w:name="仿宋_GB2312">
    <w:panose1 w:val="02010609030101010101"/>
    <w:charset w:val="86"/>
    <w:family w:val="modern"/>
    <w:pitch w:val="default"/>
    <w:sig w:usb0="00000001" w:usb1="080E0000" w:usb2="00000000" w:usb3="00000000" w:csb0="00040000" w:csb1="00000000"/>
    <w:embedRegular r:id="rId3" w:fontKey="{97D453FA-D395-4333-AD77-A945ACF237B9}"/>
  </w:font>
  <w:font w:name="仿宋">
    <w:panose1 w:val="02010609060101010101"/>
    <w:charset w:val="86"/>
    <w:family w:val="auto"/>
    <w:pitch w:val="default"/>
    <w:sig w:usb0="800002BF" w:usb1="38CF7CFA" w:usb2="00000016" w:usb3="00000000" w:csb0="00040001" w:csb1="00000000"/>
    <w:embedRegular r:id="rId4" w:fontKey="{98D1413C-07C5-4A49-8CD2-3F9B6F9EAAC6}"/>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embedRegular r:id="rId5" w:fontKey="{E6819AF6-3AFD-43E5-A932-90C16D5F0285}"/>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embedRegular r:id="rId6" w:fontKey="{E4042FE9-2AEF-4354-B455-BD92BA977B78}"/>
  </w:font>
  <w:font w:name="楷体">
    <w:panose1 w:val="02010609060101010101"/>
    <w:charset w:val="86"/>
    <w:family w:val="auto"/>
    <w:pitch w:val="default"/>
    <w:sig w:usb0="800002BF" w:usb1="38CF7CFA" w:usb2="00000016" w:usb3="00000000" w:csb0="00040001" w:csb1="00000000"/>
    <w:embedRegular r:id="rId7" w:fontKey="{FEA9E486-2254-418D-8791-238DEBF27FC9}"/>
  </w:font>
  <w:font w:name="楷体_GB2312">
    <w:panose1 w:val="02010609030101010101"/>
    <w:charset w:val="86"/>
    <w:family w:val="modern"/>
    <w:pitch w:val="default"/>
    <w:sig w:usb0="00000001" w:usb1="080E0000" w:usb2="00000000" w:usb3="00000000" w:csb0="00040000" w:csb1="00000000"/>
    <w:embedRegular r:id="rId8" w:fontKey="{E39E19F1-88F3-4BD1-B09E-6BB2701C71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56E0">
    <w:pPr>
      <w:pStyle w:val="11"/>
      <w:jc w:val="center"/>
    </w:pPr>
  </w:p>
  <w:p w14:paraId="44AD1E4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29B4">
    <w:pPr>
      <w:pStyle w:val="11"/>
    </w:pPr>
    <w:r>
      <w:rPr>
        <w:sz w:val="18"/>
      </w:rP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3A8EA73">
                <w:pPr>
                  <w:pStyle w:val="11"/>
                  <w:rPr>
                    <w:rFonts w:hint="eastAsia" w:eastAsia="宋体"/>
                    <w:lang w:eastAsia="zh-CN"/>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9FAD5">
    <w:pPr>
      <w:pStyle w:val="11"/>
      <w:jc w:val="center"/>
    </w:pPr>
  </w:p>
  <w:p w14:paraId="68E10DF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3913D">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E295F">
    <w:pPr>
      <w:pStyle w:val="11"/>
      <w:jc w:val="center"/>
    </w:pPr>
    <w:r>
      <w:rPr>
        <w:sz w:val="18"/>
      </w:rPr>
      <w:pict>
        <v:shape id="_x0000_s2055" o:spid="_x0000_s2055" o:spt="202" type="#_x0000_t202" style="position:absolute;left:0pt;margin-top:0pt;height:144pt;width:144pt;mso-position-horizontal:righ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sdt>
                <w:sdtPr>
                  <w:id w:val="147470294"/>
                </w:sdtPr>
                <w:sdtContent>
                  <w:p w14:paraId="1A3E9EC3">
                    <w:pPr>
                      <w:pStyle w:val="11"/>
                      <w:jc w:val="center"/>
                    </w:pPr>
                    <w:r>
                      <w:fldChar w:fldCharType="begin"/>
                    </w:r>
                    <w:r>
                      <w:instrText xml:space="preserve">PAGE   \* MERGEFORMAT</w:instrText>
                    </w:r>
                    <w:r>
                      <w:fldChar w:fldCharType="separate"/>
                    </w:r>
                    <w:r>
                      <w:rPr>
                        <w:lang w:val="zh-CN"/>
                      </w:rPr>
                      <w:t>24</w:t>
                    </w:r>
                    <w:r>
                      <w:fldChar w:fldCharType="end"/>
                    </w:r>
                  </w:p>
                </w:sdtContent>
              </w:sdt>
              <w:p w14:paraId="6D96B136">
                <w:pPr>
                  <w:pStyle w:val="6"/>
                </w:pPr>
              </w:p>
            </w:txbxContent>
          </v:textbox>
        </v:shape>
      </w:pict>
    </w:r>
  </w:p>
  <w:p w14:paraId="79A8AC18">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CD87">
    <w:pPr>
      <w:pStyle w:val="11"/>
    </w:pPr>
    <w:r>
      <w:rPr>
        <w:sz w:val="18"/>
      </w:rPr>
      <w:pict>
        <v:shape id="_x0000_s2056" o:spid="_x0000_s2056" o:spt="202" type="#_x0000_t202" style="position:absolute;left:0pt;margin-top:0pt;height:144pt;width:144pt;mso-position-horizontal:right;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9BC67D">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EB8B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E0BC0"/>
    <w:multiLevelType w:val="singleLevel"/>
    <w:tmpl w:val="A9CE0BC0"/>
    <w:lvl w:ilvl="0" w:tentative="0">
      <w:start w:val="1"/>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3FEEEC9"/>
    <w:multiLevelType w:val="singleLevel"/>
    <w:tmpl w:val="33FEEEC9"/>
    <w:lvl w:ilvl="0" w:tentative="0">
      <w:start w:val="5"/>
      <w:numFmt w:val="chineseCounting"/>
      <w:suff w:val="space"/>
      <w:lvlText w:val="第%1部分"/>
      <w:lvlJc w:val="left"/>
      <w:rPr>
        <w:rFonts w:hint="eastAsia"/>
      </w:rPr>
    </w:lvl>
  </w:abstractNum>
  <w:abstractNum w:abstractNumId="4">
    <w:nsid w:val="4F6325C9"/>
    <w:multiLevelType w:val="singleLevel"/>
    <w:tmpl w:val="4F6325C9"/>
    <w:lvl w:ilvl="0" w:tentative="0">
      <w:start w:val="5"/>
      <w:numFmt w:val="chineseCounting"/>
      <w:suff w:val="nothing"/>
      <w:lvlText w:val="%1、"/>
      <w:lvlJc w:val="left"/>
      <w:rPr>
        <w:rFonts w:hint="eastAsia"/>
      </w:rPr>
    </w:lvl>
  </w:abstractNum>
  <w:abstractNum w:abstractNumId="5">
    <w:nsid w:val="78B2AC06"/>
    <w:multiLevelType w:val="singleLevel"/>
    <w:tmpl w:val="78B2AC06"/>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FiZTFlNzk0M2Y4MmRlMDVkNGJjMjFkNDUzZWE3N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404"/>
    <w:rsid w:val="000E6613"/>
    <w:rsid w:val="000E7119"/>
    <w:rsid w:val="00114E9B"/>
    <w:rsid w:val="00142216"/>
    <w:rsid w:val="00144D6A"/>
    <w:rsid w:val="0014729F"/>
    <w:rsid w:val="00157BAB"/>
    <w:rsid w:val="001654D1"/>
    <w:rsid w:val="00174518"/>
    <w:rsid w:val="0018106D"/>
    <w:rsid w:val="001877A7"/>
    <w:rsid w:val="00191536"/>
    <w:rsid w:val="00196687"/>
    <w:rsid w:val="001A7F22"/>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2B56"/>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7125"/>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3C5B"/>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6CB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C97FEE"/>
    <w:rsid w:val="01F30303"/>
    <w:rsid w:val="021A33E9"/>
    <w:rsid w:val="027175AD"/>
    <w:rsid w:val="02FB3080"/>
    <w:rsid w:val="0335467F"/>
    <w:rsid w:val="034F468D"/>
    <w:rsid w:val="03FC7A53"/>
    <w:rsid w:val="0429608C"/>
    <w:rsid w:val="047F1C7D"/>
    <w:rsid w:val="055F5B8F"/>
    <w:rsid w:val="0613719F"/>
    <w:rsid w:val="06295BA3"/>
    <w:rsid w:val="06407008"/>
    <w:rsid w:val="07D17BFE"/>
    <w:rsid w:val="08916750"/>
    <w:rsid w:val="089E07AB"/>
    <w:rsid w:val="08D63970"/>
    <w:rsid w:val="095708CB"/>
    <w:rsid w:val="0C1900DE"/>
    <w:rsid w:val="0C8A5894"/>
    <w:rsid w:val="0D6E4859"/>
    <w:rsid w:val="0DC97078"/>
    <w:rsid w:val="0E3C75DB"/>
    <w:rsid w:val="0E9C4B5B"/>
    <w:rsid w:val="0ECB1270"/>
    <w:rsid w:val="0F0D4BFD"/>
    <w:rsid w:val="0F544ED9"/>
    <w:rsid w:val="0F5E389D"/>
    <w:rsid w:val="106106C1"/>
    <w:rsid w:val="10A661A8"/>
    <w:rsid w:val="10AB02AB"/>
    <w:rsid w:val="10C055FF"/>
    <w:rsid w:val="1103526F"/>
    <w:rsid w:val="112640D0"/>
    <w:rsid w:val="11632106"/>
    <w:rsid w:val="1169222A"/>
    <w:rsid w:val="12045813"/>
    <w:rsid w:val="1225018D"/>
    <w:rsid w:val="13221F4B"/>
    <w:rsid w:val="132D4C2B"/>
    <w:rsid w:val="139A3A3A"/>
    <w:rsid w:val="13F3A2D4"/>
    <w:rsid w:val="1490662F"/>
    <w:rsid w:val="14DF3B52"/>
    <w:rsid w:val="14E1385B"/>
    <w:rsid w:val="16351403"/>
    <w:rsid w:val="1648533D"/>
    <w:rsid w:val="16A51D45"/>
    <w:rsid w:val="16BB723D"/>
    <w:rsid w:val="16CF5E02"/>
    <w:rsid w:val="16ED255A"/>
    <w:rsid w:val="178F79EA"/>
    <w:rsid w:val="179C1B06"/>
    <w:rsid w:val="17AC5D52"/>
    <w:rsid w:val="185E6F19"/>
    <w:rsid w:val="19262CD7"/>
    <w:rsid w:val="19E42CEA"/>
    <w:rsid w:val="1A421510"/>
    <w:rsid w:val="1A7678E1"/>
    <w:rsid w:val="1AE31951"/>
    <w:rsid w:val="1B7927B8"/>
    <w:rsid w:val="1BC712F3"/>
    <w:rsid w:val="1BDA3AD0"/>
    <w:rsid w:val="1C04061B"/>
    <w:rsid w:val="1C2C25CD"/>
    <w:rsid w:val="1C3B059B"/>
    <w:rsid w:val="1C63448B"/>
    <w:rsid w:val="1CB82E95"/>
    <w:rsid w:val="1D8D0D60"/>
    <w:rsid w:val="1E3044CB"/>
    <w:rsid w:val="1E4C5E17"/>
    <w:rsid w:val="1ED97B1D"/>
    <w:rsid w:val="1EF21E27"/>
    <w:rsid w:val="1F190675"/>
    <w:rsid w:val="1F1971AC"/>
    <w:rsid w:val="1F890DB4"/>
    <w:rsid w:val="1FA91DF0"/>
    <w:rsid w:val="1FD168E5"/>
    <w:rsid w:val="20FC780C"/>
    <w:rsid w:val="2122672A"/>
    <w:rsid w:val="214D6F32"/>
    <w:rsid w:val="21AE219D"/>
    <w:rsid w:val="222E39E0"/>
    <w:rsid w:val="240371BF"/>
    <w:rsid w:val="245639E8"/>
    <w:rsid w:val="24EA329B"/>
    <w:rsid w:val="2527105B"/>
    <w:rsid w:val="25CF25CB"/>
    <w:rsid w:val="2671167A"/>
    <w:rsid w:val="27326CE6"/>
    <w:rsid w:val="27350CB3"/>
    <w:rsid w:val="2753439D"/>
    <w:rsid w:val="299133B4"/>
    <w:rsid w:val="29B3002A"/>
    <w:rsid w:val="29FD04D3"/>
    <w:rsid w:val="2AF605A6"/>
    <w:rsid w:val="2B48500D"/>
    <w:rsid w:val="2B4B71CE"/>
    <w:rsid w:val="2B50099D"/>
    <w:rsid w:val="2BEF4671"/>
    <w:rsid w:val="2BF07464"/>
    <w:rsid w:val="2C85754C"/>
    <w:rsid w:val="2D3A2DE2"/>
    <w:rsid w:val="2DBF0527"/>
    <w:rsid w:val="2DEA6B98"/>
    <w:rsid w:val="2E22203B"/>
    <w:rsid w:val="2E4853C4"/>
    <w:rsid w:val="2E9431C1"/>
    <w:rsid w:val="2EA23990"/>
    <w:rsid w:val="2EDB30C0"/>
    <w:rsid w:val="2F4D50D8"/>
    <w:rsid w:val="2F8D12B0"/>
    <w:rsid w:val="2F927CC3"/>
    <w:rsid w:val="30472DC1"/>
    <w:rsid w:val="305F007B"/>
    <w:rsid w:val="31245BB5"/>
    <w:rsid w:val="319F7F4E"/>
    <w:rsid w:val="31FC2B80"/>
    <w:rsid w:val="321416F9"/>
    <w:rsid w:val="32326CA4"/>
    <w:rsid w:val="32983A36"/>
    <w:rsid w:val="32B05E2E"/>
    <w:rsid w:val="32B64DC8"/>
    <w:rsid w:val="340058C2"/>
    <w:rsid w:val="34481A48"/>
    <w:rsid w:val="350602A5"/>
    <w:rsid w:val="36346ED5"/>
    <w:rsid w:val="36995063"/>
    <w:rsid w:val="36C87AEF"/>
    <w:rsid w:val="370357B9"/>
    <w:rsid w:val="38850371"/>
    <w:rsid w:val="3A220F0E"/>
    <w:rsid w:val="3A414812"/>
    <w:rsid w:val="3A7960EA"/>
    <w:rsid w:val="3B2507AE"/>
    <w:rsid w:val="3BEF1FB1"/>
    <w:rsid w:val="3BF0121F"/>
    <w:rsid w:val="3C482648"/>
    <w:rsid w:val="3C6C4655"/>
    <w:rsid w:val="3C7B3963"/>
    <w:rsid w:val="3D756082"/>
    <w:rsid w:val="3D942619"/>
    <w:rsid w:val="3D9C75C2"/>
    <w:rsid w:val="3DD44C2C"/>
    <w:rsid w:val="3E7F3389"/>
    <w:rsid w:val="3EC279EE"/>
    <w:rsid w:val="3EE56A49"/>
    <w:rsid w:val="3F745F43"/>
    <w:rsid w:val="3F915CC1"/>
    <w:rsid w:val="405B0970"/>
    <w:rsid w:val="40A43FF3"/>
    <w:rsid w:val="411307C7"/>
    <w:rsid w:val="412118E5"/>
    <w:rsid w:val="41900927"/>
    <w:rsid w:val="42485D2F"/>
    <w:rsid w:val="43047404"/>
    <w:rsid w:val="4311431C"/>
    <w:rsid w:val="43160825"/>
    <w:rsid w:val="432F012B"/>
    <w:rsid w:val="43767477"/>
    <w:rsid w:val="438E103A"/>
    <w:rsid w:val="43D6336B"/>
    <w:rsid w:val="441821D6"/>
    <w:rsid w:val="44354AE5"/>
    <w:rsid w:val="44A91191"/>
    <w:rsid w:val="4557495D"/>
    <w:rsid w:val="45936F27"/>
    <w:rsid w:val="45DD4911"/>
    <w:rsid w:val="45F25861"/>
    <w:rsid w:val="460A2040"/>
    <w:rsid w:val="466D4D18"/>
    <w:rsid w:val="46AE6E50"/>
    <w:rsid w:val="46E97851"/>
    <w:rsid w:val="46E978C0"/>
    <w:rsid w:val="47001F63"/>
    <w:rsid w:val="47061E1B"/>
    <w:rsid w:val="470A54BB"/>
    <w:rsid w:val="47E71B78"/>
    <w:rsid w:val="48F01978"/>
    <w:rsid w:val="49735363"/>
    <w:rsid w:val="49961824"/>
    <w:rsid w:val="49A431D0"/>
    <w:rsid w:val="4A1A1A75"/>
    <w:rsid w:val="4AE65F9E"/>
    <w:rsid w:val="4B4F1AB2"/>
    <w:rsid w:val="4B7825A6"/>
    <w:rsid w:val="4BB11B8C"/>
    <w:rsid w:val="4C1803DC"/>
    <w:rsid w:val="4C8F6FF7"/>
    <w:rsid w:val="4D44407E"/>
    <w:rsid w:val="4D766F5E"/>
    <w:rsid w:val="4DAF0285"/>
    <w:rsid w:val="4DC1305F"/>
    <w:rsid w:val="4E25666D"/>
    <w:rsid w:val="4E567D24"/>
    <w:rsid w:val="4EB52815"/>
    <w:rsid w:val="4ECE2238"/>
    <w:rsid w:val="4EEE2FB9"/>
    <w:rsid w:val="4F82685A"/>
    <w:rsid w:val="4FA35613"/>
    <w:rsid w:val="50EF75F5"/>
    <w:rsid w:val="511B54CF"/>
    <w:rsid w:val="51BC19F4"/>
    <w:rsid w:val="5222076E"/>
    <w:rsid w:val="522E07C0"/>
    <w:rsid w:val="52D96A11"/>
    <w:rsid w:val="52F0413D"/>
    <w:rsid w:val="53237C95"/>
    <w:rsid w:val="5325146B"/>
    <w:rsid w:val="53987B5A"/>
    <w:rsid w:val="53A03DC5"/>
    <w:rsid w:val="53EB0F44"/>
    <w:rsid w:val="545913FB"/>
    <w:rsid w:val="54B77900"/>
    <w:rsid w:val="54C71312"/>
    <w:rsid w:val="55131233"/>
    <w:rsid w:val="557B1606"/>
    <w:rsid w:val="55D9643A"/>
    <w:rsid w:val="55ED35BE"/>
    <w:rsid w:val="55F632FF"/>
    <w:rsid w:val="562F47FD"/>
    <w:rsid w:val="56B469F9"/>
    <w:rsid w:val="5753760E"/>
    <w:rsid w:val="580F569F"/>
    <w:rsid w:val="582D32BD"/>
    <w:rsid w:val="584D6FF9"/>
    <w:rsid w:val="58C2041D"/>
    <w:rsid w:val="593E01AA"/>
    <w:rsid w:val="5945779B"/>
    <w:rsid w:val="59655275"/>
    <w:rsid w:val="59EA6784"/>
    <w:rsid w:val="5A392C80"/>
    <w:rsid w:val="5A825E4E"/>
    <w:rsid w:val="5A8F21FA"/>
    <w:rsid w:val="5BDD25CD"/>
    <w:rsid w:val="5C4F5A70"/>
    <w:rsid w:val="5CC45043"/>
    <w:rsid w:val="5DC13B71"/>
    <w:rsid w:val="5E0C26B9"/>
    <w:rsid w:val="5E2E025F"/>
    <w:rsid w:val="5E8941DB"/>
    <w:rsid w:val="60394492"/>
    <w:rsid w:val="6063119D"/>
    <w:rsid w:val="606D14EF"/>
    <w:rsid w:val="61044197"/>
    <w:rsid w:val="61160F79"/>
    <w:rsid w:val="6120301E"/>
    <w:rsid w:val="617E5FEE"/>
    <w:rsid w:val="619A0207"/>
    <w:rsid w:val="61DB748D"/>
    <w:rsid w:val="62755926"/>
    <w:rsid w:val="63654BA9"/>
    <w:rsid w:val="6381675E"/>
    <w:rsid w:val="640F435F"/>
    <w:rsid w:val="648E6FDB"/>
    <w:rsid w:val="65DA1B55"/>
    <w:rsid w:val="65DE496F"/>
    <w:rsid w:val="66F33392"/>
    <w:rsid w:val="680E39BE"/>
    <w:rsid w:val="683935E8"/>
    <w:rsid w:val="691A229A"/>
    <w:rsid w:val="69851D1A"/>
    <w:rsid w:val="6A3A1C79"/>
    <w:rsid w:val="6A590377"/>
    <w:rsid w:val="6B2A76B1"/>
    <w:rsid w:val="6B300DAB"/>
    <w:rsid w:val="6B3702FA"/>
    <w:rsid w:val="6B4454AE"/>
    <w:rsid w:val="6C0131EA"/>
    <w:rsid w:val="6C1E5971"/>
    <w:rsid w:val="6C826CCD"/>
    <w:rsid w:val="6D6E2395"/>
    <w:rsid w:val="6E2D5DFF"/>
    <w:rsid w:val="6E806C0E"/>
    <w:rsid w:val="6E974192"/>
    <w:rsid w:val="6ECA14B6"/>
    <w:rsid w:val="6F1D3AA3"/>
    <w:rsid w:val="71153CEC"/>
    <w:rsid w:val="714F1478"/>
    <w:rsid w:val="72054E36"/>
    <w:rsid w:val="722229ED"/>
    <w:rsid w:val="726F6720"/>
    <w:rsid w:val="72734D90"/>
    <w:rsid w:val="72AB0BE8"/>
    <w:rsid w:val="7458474E"/>
    <w:rsid w:val="754E656F"/>
    <w:rsid w:val="755B44AE"/>
    <w:rsid w:val="75EC6FAB"/>
    <w:rsid w:val="75FF496C"/>
    <w:rsid w:val="761E1E54"/>
    <w:rsid w:val="76A13826"/>
    <w:rsid w:val="77187D56"/>
    <w:rsid w:val="771B3267"/>
    <w:rsid w:val="779B1B8B"/>
    <w:rsid w:val="77D10DF8"/>
    <w:rsid w:val="77FF547E"/>
    <w:rsid w:val="780B4ECB"/>
    <w:rsid w:val="78233728"/>
    <w:rsid w:val="7893153F"/>
    <w:rsid w:val="78957128"/>
    <w:rsid w:val="78AA05BF"/>
    <w:rsid w:val="78C22378"/>
    <w:rsid w:val="78DC3646"/>
    <w:rsid w:val="79096BB0"/>
    <w:rsid w:val="79511400"/>
    <w:rsid w:val="7A1837D8"/>
    <w:rsid w:val="7A4F587D"/>
    <w:rsid w:val="7A8674E5"/>
    <w:rsid w:val="7AA00AE6"/>
    <w:rsid w:val="7AB410BC"/>
    <w:rsid w:val="7AD3062A"/>
    <w:rsid w:val="7AF11CE6"/>
    <w:rsid w:val="7B2B0480"/>
    <w:rsid w:val="7B596719"/>
    <w:rsid w:val="7C0C3314"/>
    <w:rsid w:val="7C420137"/>
    <w:rsid w:val="7C8A0A93"/>
    <w:rsid w:val="7CDF7D43"/>
    <w:rsid w:val="7D107883"/>
    <w:rsid w:val="7D507B55"/>
    <w:rsid w:val="7DBD3473"/>
    <w:rsid w:val="7E06287D"/>
    <w:rsid w:val="7E2C266F"/>
    <w:rsid w:val="7E4A358E"/>
    <w:rsid w:val="7EE431FA"/>
    <w:rsid w:val="7F13736D"/>
    <w:rsid w:val="7FBA3130"/>
    <w:rsid w:val="D9DA3DC0"/>
    <w:rsid w:val="DF9EAF36"/>
    <w:rsid w:val="F76F75ED"/>
    <w:rsid w:val="FCE7CDC2"/>
    <w:rsid w:val="FF6F1308"/>
    <w:rsid w:val="FFBC3E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link w:val="41"/>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99"/>
    <w:pPr>
      <w:widowControl/>
      <w:jc w:val="left"/>
    </w:pPr>
    <w:rPr>
      <w:rFonts w:ascii="宋体" w:hAnsi="宋体" w:cs="宋体"/>
      <w:kern w:val="0"/>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paragraph" w:customStyle="1" w:styleId="22">
    <w:name w:val="常用样式（方正仿宋简）"/>
    <w:basedOn w:val="1"/>
    <w:next w:val="1"/>
    <w:qFormat/>
    <w:uiPriority w:val="99"/>
    <w:pPr>
      <w:spacing w:line="560" w:lineRule="exact"/>
      <w:ind w:firstLine="640" w:firstLineChars="200"/>
    </w:pPr>
    <w:rPr>
      <w:rFonts w:eastAsia="方正仿宋简体"/>
      <w:sz w:val="32"/>
      <w:szCs w:val="20"/>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 Char Char5"/>
    <w:basedOn w:val="19"/>
    <w:link w:val="3"/>
    <w:qFormat/>
    <w:locked/>
    <w:uiPriority w:val="9"/>
    <w:rPr>
      <w:rFonts w:ascii="Cambria" w:hAnsi="Cambria" w:eastAsia="宋体" w:cs="Times New Roman"/>
      <w:b/>
      <w:bCs/>
      <w:kern w:val="2"/>
      <w:sz w:val="32"/>
      <w:szCs w:val="32"/>
    </w:rPr>
  </w:style>
  <w:style w:type="paragraph" w:customStyle="1" w:styleId="38">
    <w:name w:val="WPSOffice手动目录 1"/>
    <w:qFormat/>
    <w:uiPriority w:val="0"/>
    <w:pPr>
      <w:ind w:leftChars="0"/>
    </w:pPr>
    <w:rPr>
      <w:rFonts w:ascii="Calibri" w:hAnsi="Calibri" w:eastAsia="宋体" w:cs="Times New Roman"/>
      <w:sz w:val="20"/>
      <w:szCs w:val="20"/>
    </w:rPr>
  </w:style>
  <w:style w:type="paragraph" w:customStyle="1" w:styleId="39">
    <w:name w:val="WPSOffice手动目录 2"/>
    <w:qFormat/>
    <w:uiPriority w:val="0"/>
    <w:pPr>
      <w:ind w:leftChars="200"/>
    </w:pPr>
    <w:rPr>
      <w:rFonts w:ascii="Calibri" w:hAnsi="Calibri" w:eastAsia="宋体" w:cs="Times New Roman"/>
      <w:sz w:val="20"/>
      <w:szCs w:val="20"/>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1">
    <w:name w:val="脚注文本 Char"/>
    <w:basedOn w:val="19"/>
    <w:link w:val="14"/>
    <w:qFormat/>
    <w:uiPriority w:val="0"/>
    <w:rPr>
      <w:rFonts w:hint="eastAsia" w:ascii="仿宋_GB2312" w:eastAsia="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0083651186"/>
          <c:y val="0.148790320128903"/>
          <c:w val="0.871141159330136"/>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0.00_ </c:formatCode>
                <c:ptCount val="4"/>
                <c:pt idx="0">
                  <c:v>1313.5</c:v>
                </c:pt>
                <c:pt idx="1">
                  <c:v>1313.5</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1727.58</c:v>
                </c:pt>
                <c:pt idx="1">
                  <c:v>1727.58</c:v>
                </c:pt>
              </c:numCache>
            </c:numRef>
          </c:val>
        </c:ser>
        <c:dLbls>
          <c:showLegendKey val="0"/>
          <c:showVal val="1"/>
          <c:showCatName val="0"/>
          <c:showSerName val="0"/>
          <c:showPercent val="0"/>
          <c:showBubbleSize val="0"/>
        </c:dLbls>
        <c:gapWidth val="75"/>
        <c:overlap val="-25"/>
        <c:axId val="123022720"/>
        <c:axId val="123028608"/>
      </c:barChart>
      <c:catAx>
        <c:axId val="1230227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028608"/>
        <c:crosses val="autoZero"/>
        <c:auto val="1"/>
        <c:lblAlgn val="ctr"/>
        <c:lblOffset val="100"/>
        <c:noMultiLvlLbl val="0"/>
      </c:catAx>
      <c:valAx>
        <c:axId val="123028608"/>
        <c:scaling>
          <c:orientation val="minMax"/>
        </c:scaling>
        <c:delete val="0"/>
        <c:axPos val="l"/>
        <c:majorGridlines/>
        <c:numFmt formatCode="0.00_ "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02272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cb4b1d6-0b36-44d5-98d2-05c451ba48d6}"/>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0803295-e1ec-4f40-bb64-e8d0e722983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0.902372104330914</c:v>
                </c:pt>
                <c:pt idx="1">
                  <c:v>0.0976278956690862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893c525-f0bc-4ccc-922f-c06dcd820b39}"/>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0.00_ </c:formatCode>
                <c:ptCount val="4"/>
                <c:pt idx="0">
                  <c:v>1313.5</c:v>
                </c:pt>
                <c:pt idx="1">
                  <c:v>1313.5</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1727.58</c:v>
                </c:pt>
                <c:pt idx="1">
                  <c:v>1727.58</c:v>
                </c:pt>
              </c:numCache>
            </c:numRef>
          </c:val>
        </c:ser>
        <c:dLbls>
          <c:showLegendKey val="0"/>
          <c:showVal val="1"/>
          <c:showCatName val="0"/>
          <c:showSerName val="0"/>
          <c:showPercent val="0"/>
          <c:showBubbleSize val="0"/>
        </c:dLbls>
        <c:gapWidth val="75"/>
        <c:overlap val="-25"/>
        <c:axId val="232254464"/>
        <c:axId val="82731776"/>
      </c:barChart>
      <c:catAx>
        <c:axId val="232254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31776"/>
        <c:crosses val="autoZero"/>
        <c:auto val="1"/>
        <c:lblAlgn val="ctr"/>
        <c:lblOffset val="100"/>
        <c:noMultiLvlLbl val="0"/>
      </c:catAx>
      <c:valAx>
        <c:axId val="82731776"/>
        <c:scaling>
          <c:orientation val="minMax"/>
        </c:scaling>
        <c:delete val="0"/>
        <c:axPos val="l"/>
        <c:majorGridlines/>
        <c:numFmt formatCode="0.00_ "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25446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789a175-9a09-4f11-a0b6-465ad228d1e3}"/>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115970149253731"/>
          <c:y val="0.402832861189802"/>
          <c:w val="0.87955223880597"/>
          <c:h val="0.536543909348442"/>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Sheet1!$B$2:$B$5</c:f>
              <c:numCache>
                <c:formatCode>0.00_ </c:formatCode>
                <c:ptCount val="4"/>
                <c:pt idx="0">
                  <c:v>1313.5</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Sheet1!$C$2:$C$5</c:f>
              <c:numCache>
                <c:formatCode>General</c:formatCode>
                <c:ptCount val="4"/>
                <c:pt idx="0">
                  <c:v>1727.58</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0.00_ "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2a10ea4-2b4a-4ca8-acc1-a0074881f5f4}"/>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1"/>
              <c:layout>
                <c:manualLayout>
                  <c:x val="-0.035768501237375"/>
                  <c:y val="0.0120395902107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09790598916021"/>
                  <c:y val="-0.009402726036055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c:v>
                </c:pt>
                <c:pt idx="1">
                  <c:v>卫生健康支出</c:v>
                </c:pt>
                <c:pt idx="2">
                  <c:v>住房保障支出</c:v>
                </c:pt>
              </c:strCache>
            </c:strRef>
          </c:cat>
          <c:val>
            <c:numRef>
              <c:f>Sheet1!$B$2:$B$4</c:f>
              <c:numCache>
                <c:formatCode>0.00%</c:formatCode>
                <c:ptCount val="3"/>
                <c:pt idx="0">
                  <c:v>0.95657403882756</c:v>
                </c:pt>
                <c:pt idx="1">
                  <c:v>0.0155843167110773</c:v>
                </c:pt>
                <c:pt idx="2">
                  <c:v>0.0278416444613628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bd92643-af44-4187-b66f-ae22b60f612e}"/>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textRotate="1"/>
    <customShpInfo spid="_x0000_s2055" textRotate="1"/>
    <customShpInfo spid="_x0000_s205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54</Pages>
  <Words>10998</Words>
  <Characters>11896</Characters>
  <Lines>7</Lines>
  <Paragraphs>17</Paragraphs>
  <TotalTime>21</TotalTime>
  <ScaleCrop>false</ScaleCrop>
  <LinksUpToDate>false</LinksUpToDate>
  <CharactersWithSpaces>12209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Administrator</cp:lastModifiedBy>
  <cp:lastPrinted>2020-07-24T18:58:00Z</cp:lastPrinted>
  <dcterms:modified xsi:type="dcterms:W3CDTF">2025-09-19T03:26:31Z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8D757FA5A97343ADA7A4E24E96BBF81B</vt:lpwstr>
  </property>
  <property fmtid="{D5CDD505-2E9C-101B-9397-08002B2CF9AE}" pid="4" name="KSOTemplateDocerSaveRecord">
    <vt:lpwstr>eyJoZGlkIjoiMjcwYjc0NzEyMzZlNTZmOWU5MGU4MTc5MzFmMjczNTkifQ==</vt:lpwstr>
  </property>
</Properties>
</file>