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17239">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7425"/>
      <w:bookmarkStart w:id="2" w:name="_Toc15396597"/>
      <w:bookmarkStart w:id="3" w:name="_Toc15378441"/>
      <w:bookmarkStart w:id="4" w:name="_Toc15396475"/>
      <w:bookmarkStart w:id="5" w:name="_Toc15306267"/>
      <w:bookmarkStart w:id="6" w:name="OLE_LINK3"/>
    </w:p>
    <w:p w14:paraId="40E8CEC8">
      <w:pPr>
        <w:adjustRightInd w:val="0"/>
        <w:snapToGrid w:val="0"/>
        <w:spacing w:line="360" w:lineRule="auto"/>
        <w:jc w:val="center"/>
        <w:outlineLvl w:val="0"/>
        <w:rPr>
          <w:rFonts w:hint="eastAsia" w:ascii="黑体" w:hAnsi="黑体" w:eastAsia="黑体" w:cs="黑体"/>
          <w:color w:val="auto"/>
          <w:sz w:val="52"/>
          <w:szCs w:val="52"/>
          <w:highlight w:val="none"/>
        </w:rPr>
      </w:pPr>
    </w:p>
    <w:p w14:paraId="4AA7F73B">
      <w:pPr>
        <w:adjustRightInd w:val="0"/>
        <w:snapToGrid w:val="0"/>
        <w:spacing w:line="360" w:lineRule="auto"/>
        <w:jc w:val="center"/>
        <w:outlineLvl w:val="0"/>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2024年</w:t>
      </w:r>
      <w:r>
        <w:rPr>
          <w:rFonts w:hint="eastAsia" w:ascii="黑体" w:hAnsi="黑体" w:eastAsia="黑体" w:cs="黑体"/>
          <w:color w:val="auto"/>
          <w:sz w:val="52"/>
          <w:szCs w:val="52"/>
          <w:highlight w:val="none"/>
        </w:rPr>
        <w:t>度</w:t>
      </w:r>
      <w:bookmarkEnd w:id="0"/>
      <w:bookmarkEnd w:id="1"/>
      <w:bookmarkEnd w:id="2"/>
      <w:bookmarkEnd w:id="3"/>
      <w:bookmarkEnd w:id="4"/>
    </w:p>
    <w:p w14:paraId="50CB759B">
      <w:pPr>
        <w:adjustRightInd w:val="0"/>
        <w:snapToGrid w:val="0"/>
        <w:spacing w:line="360" w:lineRule="auto"/>
        <w:ind w:firstLine="0" w:firstLineChars="0"/>
        <w:jc w:val="center"/>
        <w:outlineLvl w:val="0"/>
        <w:rPr>
          <w:rFonts w:hint="eastAsia" w:ascii="方正小标宋简体" w:hAnsi="方正小标宋简体" w:eastAsia="方正小标宋简体" w:cs="方正小标宋简体"/>
          <w:color w:val="auto"/>
          <w:sz w:val="52"/>
          <w:szCs w:val="52"/>
          <w:highlight w:val="none"/>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7" w:name="_Toc15377194"/>
      <w:bookmarkStart w:id="8" w:name="_Toc15377426"/>
      <w:bookmarkStart w:id="9" w:name="_Toc15396476"/>
      <w:bookmarkStart w:id="10" w:name="_Toc15396598"/>
      <w:bookmarkStart w:id="11" w:name="_Toc15378442"/>
      <w:r>
        <w:rPr>
          <w:rFonts w:hint="eastAsia" w:ascii="黑体" w:hAnsi="黑体" w:eastAsia="黑体" w:cs="黑体"/>
          <w:color w:val="auto"/>
          <w:sz w:val="52"/>
          <w:szCs w:val="52"/>
          <w:highlight w:val="none"/>
        </w:rPr>
        <w:t>四川省</w:t>
      </w:r>
      <w:bookmarkEnd w:id="5"/>
      <w:bookmarkStart w:id="12" w:name="_Toc15306268"/>
      <w:r>
        <w:rPr>
          <w:rFonts w:hint="eastAsia" w:ascii="黑体" w:hAnsi="黑体" w:eastAsia="黑体" w:cs="黑体"/>
          <w:color w:val="auto"/>
          <w:sz w:val="52"/>
          <w:szCs w:val="52"/>
          <w:highlight w:val="none"/>
          <w:lang w:val="en-US" w:eastAsia="zh-CN"/>
        </w:rPr>
        <w:t>遂宁市安居区经济信息化和科学技术局</w:t>
      </w:r>
      <w:r>
        <w:rPr>
          <w:rFonts w:hint="eastAsia" w:ascii="黑体" w:hAnsi="黑体" w:eastAsia="黑体" w:cs="黑体"/>
          <w:color w:val="auto"/>
          <w:sz w:val="52"/>
          <w:szCs w:val="52"/>
          <w:highlight w:val="none"/>
        </w:rPr>
        <w:t>部门决算</w:t>
      </w:r>
      <w:bookmarkEnd w:id="6"/>
      <w:bookmarkEnd w:id="7"/>
      <w:bookmarkEnd w:id="8"/>
      <w:bookmarkEnd w:id="9"/>
      <w:bookmarkEnd w:id="10"/>
      <w:bookmarkEnd w:id="11"/>
      <w:bookmarkEnd w:id="12"/>
      <w:r>
        <w:rPr>
          <w:rFonts w:hint="eastAsia" w:ascii="黑体" w:hAnsi="黑体" w:eastAsia="黑体" w:cs="黑体"/>
          <w:color w:val="auto"/>
          <w:sz w:val="52"/>
          <w:szCs w:val="52"/>
          <w:highlight w:val="none"/>
          <w:lang w:val="en-US" w:eastAsia="zh-CN"/>
        </w:rPr>
        <w:t>公开</w:t>
      </w:r>
    </w:p>
    <w:p w14:paraId="1FFB905B">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1435142E">
      <w:pPr>
        <w:widowControl/>
        <w:jc w:val="center"/>
        <w:rPr>
          <w:rFonts w:ascii="黑体" w:hAnsi="黑体" w:eastAsia="黑体" w:cstheme="minorBidi"/>
          <w:color w:val="auto"/>
          <w:sz w:val="28"/>
          <w:szCs w:val="28"/>
          <w:highlight w:val="none"/>
        </w:rPr>
      </w:pPr>
    </w:p>
    <w:p w14:paraId="6644E3F2">
      <w:pPr>
        <w:pStyle w:val="18"/>
        <w:rPr>
          <w:rFonts w:hint="eastAsia" w:ascii="方正仿宋简体" w:hAnsi="方正仿宋简体" w:eastAsia="方正仿宋简体" w:cs="方正仿宋简体"/>
          <w:color w:val="auto"/>
          <w:highlight w:val="none"/>
        </w:rPr>
      </w:pPr>
      <w:r>
        <w:rPr>
          <w:rFonts w:hint="eastAsia" w:ascii="方正仿宋简体" w:hAnsi="方正仿宋简体" w:eastAsia="方正仿宋简体" w:cs="方正仿宋简体"/>
          <w:color w:val="auto"/>
          <w:highlight w:val="none"/>
        </w:rPr>
        <w:t>公开时间：20</w:t>
      </w:r>
      <w:r>
        <w:rPr>
          <w:rFonts w:hint="eastAsia" w:ascii="方正仿宋简体" w:hAnsi="方正仿宋简体" w:eastAsia="方正仿宋简体" w:cs="方正仿宋简体"/>
          <w:color w:val="auto"/>
          <w:highlight w:val="none"/>
          <w:lang w:val="en-US" w:eastAsia="zh-CN"/>
        </w:rPr>
        <w:t>25</w:t>
      </w:r>
      <w:r>
        <w:rPr>
          <w:rFonts w:hint="eastAsia" w:ascii="方正仿宋简体" w:hAnsi="方正仿宋简体" w:eastAsia="方正仿宋简体" w:cs="方正仿宋简体"/>
          <w:color w:val="auto"/>
          <w:highlight w:val="none"/>
        </w:rPr>
        <w:t>年</w:t>
      </w:r>
      <w:r>
        <w:rPr>
          <w:rFonts w:hint="eastAsia" w:ascii="方正仿宋简体" w:hAnsi="方正仿宋简体" w:eastAsia="方正仿宋简体" w:cs="方正仿宋简体"/>
          <w:color w:val="auto"/>
          <w:highlight w:val="none"/>
          <w:lang w:val="en-US" w:eastAsia="zh-CN"/>
        </w:rPr>
        <w:t>8</w:t>
      </w:r>
      <w:r>
        <w:rPr>
          <w:rFonts w:hint="eastAsia" w:ascii="方正仿宋简体" w:hAnsi="方正仿宋简体" w:eastAsia="方正仿宋简体" w:cs="方正仿宋简体"/>
          <w:color w:val="auto"/>
          <w:highlight w:val="none"/>
        </w:rPr>
        <w:t>月</w:t>
      </w:r>
      <w:r>
        <w:rPr>
          <w:rFonts w:hint="eastAsia" w:ascii="方正仿宋简体" w:hAnsi="方正仿宋简体" w:eastAsia="方正仿宋简体" w:cs="方正仿宋简体"/>
          <w:color w:val="auto"/>
          <w:highlight w:val="none"/>
          <w:lang w:val="en-US" w:eastAsia="zh-CN"/>
        </w:rPr>
        <w:t>28</w:t>
      </w:r>
      <w:r>
        <w:rPr>
          <w:rFonts w:hint="eastAsia" w:ascii="方正仿宋简体" w:hAnsi="方正仿宋简体" w:eastAsia="方正仿宋简体" w:cs="方正仿宋简体"/>
          <w:color w:val="auto"/>
          <w:highlight w:val="none"/>
        </w:rPr>
        <w:t>日</w:t>
      </w:r>
    </w:p>
    <w:sdt>
      <w:sdtPr>
        <w:rPr>
          <w:rFonts w:ascii="宋体" w:hAnsi="宋体" w:eastAsia="宋体" w:cs="Times New Roman"/>
          <w:kern w:val="2"/>
          <w:sz w:val="21"/>
          <w:szCs w:val="24"/>
          <w:lang w:val="en-US" w:eastAsia="zh-CN" w:bidi="ar-SA"/>
        </w:rPr>
        <w:id w:val="147475381"/>
        <w15:color w:val="DBDBDB"/>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1AC16D64">
          <w:pPr>
            <w:spacing w:before="0" w:beforeLines="0" w:after="0" w:afterLines="0" w:line="240" w:lineRule="auto"/>
            <w:ind w:left="0" w:leftChars="0" w:right="0" w:rightChars="0" w:firstLine="0" w:firstLineChars="0"/>
            <w:jc w:val="center"/>
          </w:pPr>
          <w:bookmarkStart w:id="13" w:name="_Toc22248_WPSOffice_Type3"/>
        </w:p>
        <w:p w14:paraId="7196E8ED">
          <w:pPr>
            <w:pStyle w:val="44"/>
            <w:tabs>
              <w:tab w:val="right" w:leader="dot" w:pos="8306"/>
            </w:tabs>
          </w:pPr>
          <w:r>
            <w:fldChar w:fldCharType="begin"/>
          </w:r>
          <w:r>
            <w:instrText xml:space="preserve"> HYPERLINK \l _Toc27386_WPSOffice_Level1 </w:instrText>
          </w:r>
          <w:r>
            <w:fldChar w:fldCharType="separate"/>
          </w:r>
          <w:sdt>
            <w:sdtPr>
              <w:rPr>
                <w:rFonts w:ascii="Times New Roman" w:hAnsi="Times New Roman" w:eastAsia="宋体" w:cs="Times New Roman"/>
                <w:kern w:val="2"/>
                <w:sz w:val="21"/>
                <w:szCs w:val="24"/>
                <w:lang w:val="en-US" w:eastAsia="zh-CN" w:bidi="ar-SA"/>
              </w:rPr>
              <w:id w:val="147458981"/>
              <w:placeholder>
                <w:docPart w:val="{5dfd76b8-4626-4aa5-93db-66508112552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第一部分 部门概况</w:t>
              </w:r>
            </w:sdtContent>
          </w:sdt>
          <w:r>
            <w:tab/>
          </w:r>
          <w:bookmarkStart w:id="14" w:name="_Toc27386_WPSOffice_Level1Page"/>
          <w:r>
            <w:t>1</w:t>
          </w:r>
          <w:bookmarkEnd w:id="14"/>
          <w:r>
            <w:fldChar w:fldCharType="end"/>
          </w:r>
        </w:p>
        <w:p w14:paraId="372F574D">
          <w:pPr>
            <w:pStyle w:val="44"/>
            <w:numPr>
              <w:ilvl w:val="-1"/>
              <w:numId w:val="0"/>
            </w:numPr>
            <w:tabs>
              <w:tab w:val="right" w:leader="dot" w:pos="8306"/>
            </w:tabs>
            <w:ind w:left="420"/>
            <w:rPr>
              <w:rFonts w:hint="eastAsia" w:eastAsia="仿宋_GB2312"/>
              <w:color w:val="auto"/>
              <w:lang w:val="en-US" w:eastAsia="zh-CN"/>
            </w:rPr>
          </w:pPr>
          <w:r>
            <w:rPr>
              <w:rFonts w:hint="eastAsia" w:eastAsia="仿宋_GB2312"/>
              <w:color w:val="auto"/>
              <w:lang w:val="en-US" w:eastAsia="zh-CN"/>
            </w:rPr>
            <w:t>一、部门职责</w:t>
          </w:r>
          <w:r>
            <w:rPr>
              <w:rFonts w:hint="eastAsia" w:eastAsia="仿宋_GB2312"/>
              <w:color w:val="auto"/>
            </w:rPr>
            <w:tab/>
          </w:r>
          <w:r>
            <w:rPr>
              <w:rFonts w:hint="eastAsia" w:eastAsia="仿宋_GB2312"/>
              <w:color w:val="auto"/>
            </w:rPr>
            <w:t>1</w:t>
          </w:r>
        </w:p>
        <w:p w14:paraId="20897276">
          <w:pPr>
            <w:pStyle w:val="44"/>
            <w:numPr>
              <w:ilvl w:val="-1"/>
              <w:numId w:val="0"/>
            </w:numPr>
            <w:tabs>
              <w:tab w:val="right" w:leader="dot" w:pos="8306"/>
            </w:tabs>
            <w:ind w:left="420"/>
            <w:rPr>
              <w:rFonts w:hint="eastAsia" w:eastAsia="仿宋_GB2312"/>
              <w:color w:val="auto"/>
              <w:lang w:val="en-US" w:eastAsia="zh-CN"/>
            </w:rPr>
          </w:pPr>
          <w:r>
            <w:rPr>
              <w:rFonts w:hint="eastAsia" w:eastAsia="仿宋_GB2312"/>
              <w:color w:val="auto"/>
              <w:lang w:val="en-US" w:eastAsia="zh-CN"/>
            </w:rPr>
            <w:t>二、机构设置</w:t>
          </w:r>
          <w:r>
            <w:rPr>
              <w:rFonts w:hint="eastAsia" w:eastAsia="仿宋_GB2312"/>
              <w:color w:val="auto"/>
            </w:rPr>
            <w:tab/>
          </w:r>
          <w:r>
            <w:rPr>
              <w:rFonts w:hint="eastAsia" w:eastAsia="仿宋_GB2312"/>
              <w:color w:val="auto"/>
              <w:lang w:val="en-US" w:eastAsia="zh-CN"/>
            </w:rPr>
            <w:t>3</w:t>
          </w:r>
        </w:p>
        <w:p w14:paraId="4B1ADDB5">
          <w:pPr>
            <w:pStyle w:val="44"/>
            <w:tabs>
              <w:tab w:val="right" w:leader="dot" w:pos="8306"/>
            </w:tabs>
            <w:rPr>
              <w:rFonts w:hint="eastAsia" w:eastAsia="宋体"/>
              <w:lang w:eastAsia="zh-CN"/>
            </w:rPr>
          </w:pPr>
          <w:r>
            <w:fldChar w:fldCharType="begin"/>
          </w:r>
          <w:r>
            <w:instrText xml:space="preserve"> HYPERLINK \l _Toc22248_WPSOffice_Level1 </w:instrText>
          </w:r>
          <w:r>
            <w:fldChar w:fldCharType="separate"/>
          </w:r>
          <w:sdt>
            <w:sdtPr>
              <w:rPr>
                <w:rFonts w:ascii="Times New Roman" w:hAnsi="Times New Roman" w:eastAsia="宋体" w:cs="Times New Roman"/>
                <w:kern w:val="2"/>
                <w:sz w:val="21"/>
                <w:szCs w:val="24"/>
                <w:lang w:val="en-US" w:eastAsia="zh-CN" w:bidi="ar-SA"/>
              </w:rPr>
              <w:id w:val="147453663"/>
              <w:placeholder>
                <w:docPart w:val="{7e353649-6c95-454b-bf88-183b1137979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 xml:space="preserve">第二部分 </w:t>
              </w:r>
              <w:r>
                <w:rPr>
                  <w:rFonts w:hint="eastAsia" w:ascii="黑体" w:hAnsi="黑体" w:eastAsia="黑体" w:cs="Times New Roman"/>
                  <w:lang w:eastAsia="zh-CN"/>
                </w:rPr>
                <w:t>2024年</w:t>
              </w:r>
              <w:r>
                <w:rPr>
                  <w:rFonts w:hint="eastAsia" w:ascii="黑体" w:hAnsi="黑体" w:eastAsia="黑体" w:cs="Times New Roman"/>
                </w:rPr>
                <w:t>度部门决算情况说明</w:t>
              </w:r>
            </w:sdtContent>
          </w:sdt>
          <w:r>
            <w:tab/>
          </w:r>
          <w:r>
            <w:fldChar w:fldCharType="end"/>
          </w:r>
          <w:r>
            <w:rPr>
              <w:rFonts w:hint="eastAsia"/>
              <w:lang w:val="en-US" w:eastAsia="zh-CN"/>
            </w:rPr>
            <w:t>4</w:t>
          </w:r>
        </w:p>
        <w:p w14:paraId="07520620">
          <w:pPr>
            <w:pStyle w:val="45"/>
            <w:tabs>
              <w:tab w:val="right" w:leader="dot" w:pos="8306"/>
            </w:tabs>
            <w:rPr>
              <w:rFonts w:hint="eastAsia" w:eastAsia="仿宋_GB2312"/>
              <w:lang w:eastAsia="zh-CN"/>
            </w:rPr>
          </w:pPr>
          <w:r>
            <w:rPr>
              <w:rFonts w:hint="eastAsia" w:eastAsia="仿宋_GB2312"/>
            </w:rPr>
            <w:fldChar w:fldCharType="begin"/>
          </w:r>
          <w:r>
            <w:rPr>
              <w:rFonts w:hint="eastAsia" w:eastAsia="仿宋_GB2312"/>
            </w:rPr>
            <w:instrText xml:space="preserve"> HYPERLINK \l _Toc22248_WPSOffice_Level2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78478"/>
              <w:placeholder>
                <w:docPart w:val="{61486634-c4ad-44bb-bd14-e7238655c749}"/>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一、 收入支出决算总体情况说明</w:t>
              </w:r>
            </w:sdtContent>
          </w:sdt>
          <w:r>
            <w:rPr>
              <w:rFonts w:hint="eastAsia" w:eastAsia="仿宋_GB2312"/>
            </w:rPr>
            <w:tab/>
          </w:r>
          <w:r>
            <w:rPr>
              <w:rFonts w:hint="eastAsia" w:eastAsia="仿宋_GB2312"/>
            </w:rPr>
            <w:fldChar w:fldCharType="end"/>
          </w:r>
          <w:r>
            <w:rPr>
              <w:rFonts w:hint="eastAsia" w:eastAsia="仿宋_GB2312"/>
              <w:lang w:val="en-US" w:eastAsia="zh-CN"/>
            </w:rPr>
            <w:t>4</w:t>
          </w:r>
        </w:p>
        <w:p w14:paraId="65E03B92">
          <w:pPr>
            <w:pStyle w:val="45"/>
            <w:tabs>
              <w:tab w:val="right" w:leader="dot" w:pos="8306"/>
            </w:tabs>
            <w:rPr>
              <w:rFonts w:hint="eastAsia" w:eastAsia="仿宋_GB2312"/>
              <w:lang w:eastAsia="zh-CN"/>
            </w:rPr>
          </w:pPr>
          <w:r>
            <w:rPr>
              <w:rFonts w:hint="eastAsia" w:eastAsia="仿宋_GB2312"/>
            </w:rPr>
            <w:fldChar w:fldCharType="begin"/>
          </w:r>
          <w:r>
            <w:rPr>
              <w:rFonts w:hint="eastAsia" w:eastAsia="仿宋_GB2312"/>
            </w:rPr>
            <w:instrText xml:space="preserve"> HYPERLINK \l _Toc5903_WPSOffice_Level2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64013"/>
              <w:placeholder>
                <w:docPart w:val="{50b26c61-e8fd-4f1d-8fab-5b017522f070}"/>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二、 收入决算情况说明</w:t>
              </w:r>
            </w:sdtContent>
          </w:sdt>
          <w:r>
            <w:rPr>
              <w:rFonts w:hint="eastAsia" w:eastAsia="仿宋_GB2312"/>
            </w:rPr>
            <w:tab/>
          </w:r>
          <w:r>
            <w:rPr>
              <w:rFonts w:hint="eastAsia" w:eastAsia="仿宋_GB2312"/>
            </w:rPr>
            <w:fldChar w:fldCharType="end"/>
          </w:r>
          <w:r>
            <w:rPr>
              <w:rFonts w:hint="eastAsia" w:eastAsia="仿宋_GB2312"/>
              <w:lang w:val="en-US" w:eastAsia="zh-CN"/>
            </w:rPr>
            <w:t>5</w:t>
          </w:r>
        </w:p>
        <w:p w14:paraId="0F6BDBFD">
          <w:pPr>
            <w:pStyle w:val="45"/>
            <w:tabs>
              <w:tab w:val="right" w:leader="dot" w:pos="8306"/>
            </w:tabs>
            <w:rPr>
              <w:rFonts w:hint="eastAsia" w:eastAsia="仿宋_GB2312"/>
              <w:lang w:eastAsia="zh-CN"/>
            </w:rPr>
          </w:pPr>
          <w:r>
            <w:rPr>
              <w:rFonts w:hint="eastAsia" w:eastAsia="仿宋_GB2312"/>
            </w:rPr>
            <w:fldChar w:fldCharType="begin"/>
          </w:r>
          <w:r>
            <w:rPr>
              <w:rFonts w:hint="eastAsia" w:eastAsia="仿宋_GB2312"/>
            </w:rPr>
            <w:instrText xml:space="preserve"> HYPERLINK \l _Toc17109_WPSOffice_Level2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52792"/>
              <w:placeholder>
                <w:docPart w:val="{11196882-56ba-44de-b3ed-a06f2b8b0caf}"/>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三、 支出决算情况说明</w:t>
              </w:r>
            </w:sdtContent>
          </w:sdt>
          <w:r>
            <w:rPr>
              <w:rFonts w:hint="eastAsia" w:eastAsia="仿宋_GB2312"/>
            </w:rPr>
            <w:tab/>
          </w:r>
          <w:r>
            <w:rPr>
              <w:rFonts w:hint="eastAsia" w:eastAsia="仿宋_GB2312"/>
            </w:rPr>
            <w:fldChar w:fldCharType="end"/>
          </w:r>
          <w:r>
            <w:rPr>
              <w:rFonts w:hint="eastAsia" w:eastAsia="仿宋_GB2312"/>
              <w:lang w:val="en-US" w:eastAsia="zh-CN"/>
            </w:rPr>
            <w:t>6</w:t>
          </w:r>
        </w:p>
        <w:p w14:paraId="36B14D76">
          <w:pPr>
            <w:pStyle w:val="45"/>
            <w:tabs>
              <w:tab w:val="right" w:leader="dot" w:pos="8306"/>
            </w:tabs>
            <w:rPr>
              <w:rFonts w:hint="eastAsia" w:eastAsia="仿宋_GB2312"/>
              <w:lang w:eastAsia="zh-CN"/>
            </w:rPr>
          </w:pPr>
          <w:r>
            <w:rPr>
              <w:rFonts w:hint="eastAsia" w:eastAsia="仿宋_GB2312"/>
            </w:rPr>
            <w:fldChar w:fldCharType="begin"/>
          </w:r>
          <w:r>
            <w:rPr>
              <w:rFonts w:hint="eastAsia" w:eastAsia="仿宋_GB2312"/>
            </w:rPr>
            <w:instrText xml:space="preserve"> HYPERLINK \l _Toc13254_WPSOffice_Level2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54542"/>
              <w:placeholder>
                <w:docPart w:val="{a9d73a68-8f2b-481b-a02c-adfcf5875ad2}"/>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四、财政拨款收入支出决算总体情况说明</w:t>
              </w:r>
            </w:sdtContent>
          </w:sdt>
          <w:r>
            <w:rPr>
              <w:rFonts w:hint="eastAsia" w:eastAsia="仿宋_GB2312"/>
            </w:rPr>
            <w:tab/>
          </w:r>
          <w:r>
            <w:rPr>
              <w:rFonts w:hint="eastAsia" w:eastAsia="仿宋_GB2312"/>
            </w:rPr>
            <w:fldChar w:fldCharType="end"/>
          </w:r>
          <w:r>
            <w:rPr>
              <w:rFonts w:hint="eastAsia" w:eastAsia="仿宋_GB2312"/>
              <w:lang w:val="en-US" w:eastAsia="zh-CN"/>
            </w:rPr>
            <w:t>6</w:t>
          </w:r>
        </w:p>
        <w:p w14:paraId="7E7CD919">
          <w:pPr>
            <w:pStyle w:val="45"/>
            <w:tabs>
              <w:tab w:val="right" w:leader="dot" w:pos="8306"/>
            </w:tabs>
            <w:rPr>
              <w:rFonts w:hint="eastAsia" w:eastAsia="仿宋_GB2312"/>
            </w:rPr>
          </w:pPr>
          <w:r>
            <w:rPr>
              <w:rFonts w:hint="eastAsia" w:eastAsia="仿宋_GB2312"/>
            </w:rPr>
            <w:fldChar w:fldCharType="begin"/>
          </w:r>
          <w:r>
            <w:rPr>
              <w:rFonts w:hint="eastAsia" w:eastAsia="仿宋_GB2312"/>
            </w:rPr>
            <w:instrText xml:space="preserve"> HYPERLINK \l _Toc6489_WPSOffice_Level2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60569"/>
              <w:placeholder>
                <w:docPart w:val="{e3ce430b-7693-4b92-be07-4a19020aa853}"/>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五、一般公共预算财政拨款支出决算情况说明</w:t>
              </w:r>
            </w:sdtContent>
          </w:sdt>
          <w:r>
            <w:rPr>
              <w:rFonts w:hint="eastAsia" w:eastAsia="仿宋_GB2312"/>
            </w:rPr>
            <w:tab/>
          </w:r>
          <w:bookmarkStart w:id="15" w:name="_Toc6489_WPSOffice_Level2Page"/>
          <w:r>
            <w:rPr>
              <w:rFonts w:hint="eastAsia" w:eastAsia="仿宋_GB2312"/>
            </w:rPr>
            <w:t>6</w:t>
          </w:r>
          <w:bookmarkEnd w:id="15"/>
          <w:r>
            <w:rPr>
              <w:rFonts w:hint="eastAsia" w:eastAsia="仿宋_GB2312"/>
            </w:rPr>
            <w:fldChar w:fldCharType="end"/>
          </w:r>
        </w:p>
        <w:p w14:paraId="0D4EB281">
          <w:pPr>
            <w:pStyle w:val="45"/>
            <w:tabs>
              <w:tab w:val="right" w:leader="dot" w:pos="8306"/>
            </w:tabs>
            <w:rPr>
              <w:rFonts w:hint="eastAsia" w:eastAsia="仿宋_GB2312"/>
            </w:rPr>
          </w:pPr>
          <w:r>
            <w:rPr>
              <w:rFonts w:hint="eastAsia" w:eastAsia="仿宋_GB2312"/>
            </w:rPr>
            <w:fldChar w:fldCharType="begin"/>
          </w:r>
          <w:r>
            <w:rPr>
              <w:rFonts w:hint="eastAsia" w:eastAsia="仿宋_GB2312"/>
            </w:rPr>
            <w:instrText xml:space="preserve"> HYPERLINK \l _Toc16351_WPSOffice_Level2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65654"/>
              <w:placeholder>
                <w:docPart w:val="{9e500519-f6e4-4812-b762-6446b1af5123}"/>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六、一般公共预算财政拨款基本支出决算情况说明</w:t>
              </w:r>
            </w:sdtContent>
          </w:sdt>
          <w:r>
            <w:rPr>
              <w:rFonts w:hint="eastAsia" w:eastAsia="仿宋_GB2312"/>
            </w:rPr>
            <w:tab/>
          </w:r>
          <w:bookmarkStart w:id="16" w:name="_Toc16351_WPSOffice_Level2Page"/>
          <w:r>
            <w:rPr>
              <w:rFonts w:hint="eastAsia" w:eastAsia="仿宋_GB2312"/>
            </w:rPr>
            <w:t>11</w:t>
          </w:r>
          <w:bookmarkEnd w:id="16"/>
          <w:r>
            <w:rPr>
              <w:rFonts w:hint="eastAsia" w:eastAsia="仿宋_GB2312"/>
            </w:rPr>
            <w:fldChar w:fldCharType="end"/>
          </w:r>
        </w:p>
        <w:p w14:paraId="1371D863">
          <w:pPr>
            <w:pStyle w:val="45"/>
            <w:tabs>
              <w:tab w:val="right" w:leader="dot" w:pos="8306"/>
            </w:tabs>
            <w:rPr>
              <w:rFonts w:hint="eastAsia" w:eastAsia="仿宋_GB2312"/>
            </w:rPr>
          </w:pPr>
          <w:r>
            <w:rPr>
              <w:rFonts w:hint="eastAsia" w:eastAsia="仿宋_GB2312"/>
            </w:rPr>
            <w:fldChar w:fldCharType="begin"/>
          </w:r>
          <w:r>
            <w:rPr>
              <w:rFonts w:hint="eastAsia" w:eastAsia="仿宋_GB2312"/>
            </w:rPr>
            <w:instrText xml:space="preserve"> HYPERLINK \l _Toc1340_WPSOffice_Level2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70435"/>
              <w:placeholder>
                <w:docPart w:val="{8fde7cff-86fb-497a-bb86-7d1cda179f01}"/>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七、财政拨款“三公”经费支出决算情况说明</w:t>
              </w:r>
            </w:sdtContent>
          </w:sdt>
          <w:r>
            <w:rPr>
              <w:rFonts w:hint="eastAsia" w:eastAsia="仿宋_GB2312"/>
            </w:rPr>
            <w:tab/>
          </w:r>
          <w:bookmarkStart w:id="17" w:name="_Toc1340_WPSOffice_Level2Page"/>
          <w:r>
            <w:rPr>
              <w:rFonts w:hint="eastAsia" w:eastAsia="仿宋_GB2312"/>
            </w:rPr>
            <w:t>11</w:t>
          </w:r>
          <w:bookmarkEnd w:id="17"/>
          <w:r>
            <w:rPr>
              <w:rFonts w:hint="eastAsia" w:eastAsia="仿宋_GB2312"/>
            </w:rPr>
            <w:fldChar w:fldCharType="end"/>
          </w:r>
        </w:p>
        <w:p w14:paraId="23C4A807">
          <w:pPr>
            <w:pStyle w:val="45"/>
            <w:tabs>
              <w:tab w:val="right" w:leader="dot" w:pos="8306"/>
            </w:tabs>
            <w:rPr>
              <w:rFonts w:hint="eastAsia" w:eastAsia="仿宋_GB2312"/>
            </w:rPr>
          </w:pPr>
          <w:r>
            <w:rPr>
              <w:rFonts w:hint="eastAsia" w:eastAsia="仿宋_GB2312"/>
            </w:rPr>
            <w:fldChar w:fldCharType="begin"/>
          </w:r>
          <w:r>
            <w:rPr>
              <w:rFonts w:hint="eastAsia" w:eastAsia="仿宋_GB2312"/>
            </w:rPr>
            <w:instrText xml:space="preserve"> HYPERLINK \l _Toc3654_WPSOffice_Level2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63959"/>
              <w:placeholder>
                <w:docPart w:val="{73aac2b6-6990-4346-a771-29d169956820}"/>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八、政府性基金预算支出决算情况说明</w:t>
              </w:r>
            </w:sdtContent>
          </w:sdt>
          <w:r>
            <w:rPr>
              <w:rFonts w:hint="eastAsia" w:eastAsia="仿宋_GB2312"/>
            </w:rPr>
            <w:tab/>
          </w:r>
          <w:bookmarkStart w:id="18" w:name="_Toc3654_WPSOffice_Level2Page"/>
          <w:r>
            <w:rPr>
              <w:rFonts w:hint="eastAsia" w:eastAsia="仿宋_GB2312"/>
            </w:rPr>
            <w:t>13</w:t>
          </w:r>
          <w:bookmarkEnd w:id="18"/>
          <w:r>
            <w:rPr>
              <w:rFonts w:hint="eastAsia" w:eastAsia="仿宋_GB2312"/>
            </w:rPr>
            <w:fldChar w:fldCharType="end"/>
          </w:r>
        </w:p>
        <w:p w14:paraId="79BBED82">
          <w:pPr>
            <w:pStyle w:val="45"/>
            <w:tabs>
              <w:tab w:val="right" w:leader="dot" w:pos="8306"/>
            </w:tabs>
            <w:rPr>
              <w:rFonts w:hint="eastAsia" w:eastAsia="仿宋_GB2312"/>
            </w:rPr>
          </w:pPr>
          <w:r>
            <w:rPr>
              <w:rFonts w:hint="eastAsia" w:eastAsia="仿宋_GB2312"/>
            </w:rPr>
            <w:fldChar w:fldCharType="begin"/>
          </w:r>
          <w:r>
            <w:rPr>
              <w:rFonts w:hint="eastAsia" w:eastAsia="仿宋_GB2312"/>
            </w:rPr>
            <w:instrText xml:space="preserve"> HYPERLINK \l _Toc7161_WPSOffice_Level2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53354"/>
              <w:placeholder>
                <w:docPart w:val="{74a87767-6dcd-4adf-bb1a-03ca5eae1b03}"/>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九、 国有资本经营预算支出决算情况说明</w:t>
              </w:r>
            </w:sdtContent>
          </w:sdt>
          <w:r>
            <w:rPr>
              <w:rFonts w:hint="eastAsia" w:eastAsia="仿宋_GB2312"/>
            </w:rPr>
            <w:tab/>
          </w:r>
          <w:bookmarkStart w:id="19" w:name="_Toc7161_WPSOffice_Level2Page"/>
          <w:r>
            <w:rPr>
              <w:rFonts w:hint="eastAsia" w:eastAsia="仿宋_GB2312"/>
            </w:rPr>
            <w:t>13</w:t>
          </w:r>
          <w:bookmarkEnd w:id="19"/>
          <w:r>
            <w:rPr>
              <w:rFonts w:hint="eastAsia" w:eastAsia="仿宋_GB2312"/>
            </w:rPr>
            <w:fldChar w:fldCharType="end"/>
          </w:r>
        </w:p>
        <w:p w14:paraId="606A0ADD">
          <w:pPr>
            <w:pStyle w:val="45"/>
            <w:tabs>
              <w:tab w:val="right" w:leader="dot" w:pos="8306"/>
            </w:tabs>
          </w:pPr>
          <w:r>
            <w:rPr>
              <w:rFonts w:hint="eastAsia" w:eastAsia="仿宋_GB2312"/>
            </w:rPr>
            <w:fldChar w:fldCharType="begin"/>
          </w:r>
          <w:r>
            <w:rPr>
              <w:rFonts w:hint="eastAsia" w:eastAsia="仿宋_GB2312"/>
            </w:rPr>
            <w:instrText xml:space="preserve"> HYPERLINK \l _Toc7130_WPSOffice_Level2 </w:instrText>
          </w:r>
          <w:r>
            <w:rPr>
              <w:rFonts w:hint="eastAsia" w:eastAsia="仿宋_GB2312"/>
            </w:rPr>
            <w:fldChar w:fldCharType="separate"/>
          </w:r>
          <w:sdt>
            <w:sdtPr>
              <w:rPr>
                <w:rFonts w:hint="eastAsia" w:ascii="Times New Roman" w:hAnsi="Times New Roman" w:eastAsia="仿宋_GB2312" w:cs="Times New Roman"/>
                <w:kern w:val="0"/>
                <w:sz w:val="20"/>
                <w:szCs w:val="20"/>
                <w:lang w:val="en-US" w:eastAsia="zh-CN" w:bidi="ar-SA"/>
              </w:rPr>
              <w:id w:val="147474687"/>
              <w:placeholder>
                <w:docPart w:val="{6bad6aaf-a1e0-4e58-b6d5-ee554b788cc2}"/>
              </w:placeholder>
              <w15:color w:val="509DF3"/>
            </w:sdtPr>
            <w:sdtEndPr>
              <w:rPr>
                <w:rFonts w:hint="eastAsia" w:ascii="Times New Roman" w:hAnsi="Times New Roman" w:eastAsia="仿宋_GB2312" w:cs="Times New Roman"/>
                <w:kern w:val="0"/>
                <w:sz w:val="20"/>
                <w:szCs w:val="20"/>
                <w:lang w:val="en-US" w:eastAsia="zh-CN" w:bidi="ar-SA"/>
              </w:rPr>
            </w:sdtEndPr>
            <w:sdtContent>
              <w:r>
                <w:rPr>
                  <w:rFonts w:hint="eastAsia" w:ascii="Times New Roman" w:hAnsi="Times New Roman" w:eastAsia="仿宋_GB2312" w:cs="Times New Roman"/>
                </w:rPr>
                <w:t>十、 其他重要事项的情况说明</w:t>
              </w:r>
            </w:sdtContent>
          </w:sdt>
          <w:r>
            <w:rPr>
              <w:rFonts w:hint="eastAsia" w:eastAsia="仿宋_GB2312"/>
            </w:rPr>
            <w:tab/>
          </w:r>
          <w:bookmarkStart w:id="20" w:name="_Toc7130_WPSOffice_Level2Page"/>
          <w:r>
            <w:rPr>
              <w:rFonts w:hint="eastAsia" w:eastAsia="仿宋_GB2312"/>
            </w:rPr>
            <w:t>13</w:t>
          </w:r>
          <w:bookmarkEnd w:id="20"/>
          <w:r>
            <w:rPr>
              <w:rFonts w:hint="eastAsia" w:eastAsia="仿宋_GB2312"/>
            </w:rPr>
            <w:fldChar w:fldCharType="end"/>
          </w:r>
        </w:p>
        <w:p w14:paraId="14E33FFD">
          <w:pPr>
            <w:pStyle w:val="44"/>
            <w:tabs>
              <w:tab w:val="right" w:leader="dot" w:pos="8306"/>
            </w:tabs>
          </w:pPr>
          <w:r>
            <w:fldChar w:fldCharType="begin"/>
          </w:r>
          <w:r>
            <w:instrText xml:space="preserve"> HYPERLINK \l _Toc5903_WPSOffice_Level1 </w:instrText>
          </w:r>
          <w:r>
            <w:fldChar w:fldCharType="separate"/>
          </w:r>
          <w:sdt>
            <w:sdtPr>
              <w:rPr>
                <w:rFonts w:ascii="Times New Roman" w:hAnsi="Times New Roman" w:eastAsia="宋体" w:cs="Times New Roman"/>
                <w:kern w:val="2"/>
                <w:sz w:val="21"/>
                <w:szCs w:val="24"/>
                <w:lang w:val="en-US" w:eastAsia="zh-CN" w:bidi="ar-SA"/>
              </w:rPr>
              <w:id w:val="147483437"/>
              <w:placeholder>
                <w:docPart w:val="{482b77f0-a5f0-4aa0-bf61-72977709ac2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第三部分 名词解释</w:t>
              </w:r>
            </w:sdtContent>
          </w:sdt>
          <w:r>
            <w:tab/>
          </w:r>
          <w:bookmarkStart w:id="21" w:name="_Toc5903_WPSOffice_Level1Page"/>
          <w:r>
            <w:t>15</w:t>
          </w:r>
          <w:bookmarkEnd w:id="21"/>
          <w:r>
            <w:fldChar w:fldCharType="end"/>
          </w:r>
        </w:p>
        <w:p w14:paraId="51290D06">
          <w:pPr>
            <w:pStyle w:val="44"/>
            <w:tabs>
              <w:tab w:val="right" w:leader="dot" w:pos="8306"/>
            </w:tabs>
            <w:rPr>
              <w:rFonts w:hint="eastAsia" w:eastAsia="宋体"/>
              <w:lang w:eastAsia="zh-CN"/>
            </w:rPr>
          </w:pPr>
          <w:r>
            <w:fldChar w:fldCharType="begin"/>
          </w:r>
          <w:r>
            <w:instrText xml:space="preserve"> HYPERLINK \l _Toc17109_WPSOffice_Level1 </w:instrText>
          </w:r>
          <w:r>
            <w:fldChar w:fldCharType="separate"/>
          </w:r>
          <w:sdt>
            <w:sdtPr>
              <w:rPr>
                <w:rFonts w:ascii="Times New Roman" w:hAnsi="Times New Roman" w:eastAsia="宋体" w:cs="Times New Roman"/>
                <w:kern w:val="2"/>
                <w:sz w:val="21"/>
                <w:szCs w:val="24"/>
                <w:lang w:val="en-US" w:eastAsia="zh-CN" w:bidi="ar-SA"/>
              </w:rPr>
              <w:id w:val="147466552"/>
              <w:placeholder>
                <w:docPart w:val="{44688222-3d5b-44c7-a831-6469b64c37f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方正小标宋简体" w:cs="Times New Roman"/>
                </w:rPr>
                <w:t>第四部分 附件</w:t>
              </w:r>
            </w:sdtContent>
          </w:sdt>
          <w:r>
            <w:tab/>
          </w:r>
          <w:bookmarkStart w:id="22" w:name="_Toc17109_WPSOffice_Level1Page"/>
          <w:r>
            <w:t>1</w:t>
          </w:r>
          <w:bookmarkEnd w:id="22"/>
          <w:r>
            <w:fldChar w:fldCharType="end"/>
          </w:r>
          <w:r>
            <w:rPr>
              <w:rFonts w:hint="eastAsia"/>
              <w:lang w:val="en-US" w:eastAsia="zh-CN"/>
            </w:rPr>
            <w:t>8</w:t>
          </w:r>
        </w:p>
        <w:p w14:paraId="16D96F90">
          <w:pPr>
            <w:pStyle w:val="44"/>
            <w:tabs>
              <w:tab w:val="right" w:leader="dot" w:pos="8306"/>
            </w:tabs>
            <w:rPr>
              <w:rFonts w:hint="default" w:eastAsia="宋体"/>
              <w:lang w:val="en-US" w:eastAsia="zh-CN"/>
            </w:rPr>
          </w:pPr>
          <w:r>
            <w:fldChar w:fldCharType="begin"/>
          </w:r>
          <w:r>
            <w:instrText xml:space="preserve"> HYPERLINK \l _Toc13254_WPSOffice_Level1 </w:instrText>
          </w:r>
          <w:r>
            <w:fldChar w:fldCharType="separate"/>
          </w:r>
          <w:sdt>
            <w:sdtPr>
              <w:rPr>
                <w:rFonts w:ascii="Times New Roman" w:hAnsi="Times New Roman" w:eastAsia="宋体" w:cs="Times New Roman"/>
                <w:kern w:val="2"/>
                <w:sz w:val="21"/>
                <w:szCs w:val="24"/>
                <w:lang w:val="en-US" w:eastAsia="zh-CN" w:bidi="ar-SA"/>
              </w:rPr>
              <w:id w:val="147460264"/>
              <w:placeholder>
                <w:docPart w:val="{50822c20-c112-455f-b4cf-59e492dbc62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第五部分 附表</w:t>
              </w:r>
            </w:sdtContent>
          </w:sdt>
          <w:r>
            <w:tab/>
          </w:r>
          <w:r>
            <w:fldChar w:fldCharType="end"/>
          </w:r>
          <w:r>
            <w:rPr>
              <w:rFonts w:hint="eastAsia"/>
              <w:lang w:val="en-US" w:eastAsia="zh-CN"/>
            </w:rPr>
            <w:t>24</w:t>
          </w:r>
        </w:p>
        <w:p w14:paraId="421B64B1">
          <w:pPr>
            <w:pStyle w:val="45"/>
            <w:tabs>
              <w:tab w:val="right" w:leader="dot" w:pos="8306"/>
            </w:tabs>
            <w:rPr>
              <w:rFonts w:hint="default" w:eastAsia="宋体"/>
              <w:lang w:val="en-US" w:eastAsia="zh-CN"/>
            </w:rPr>
          </w:pPr>
          <w:r>
            <w:fldChar w:fldCharType="begin"/>
          </w:r>
          <w:r>
            <w:instrText xml:space="preserve"> HYPERLINK \l _Toc14595_WPSOffice_Level2 </w:instrText>
          </w:r>
          <w:r>
            <w:fldChar w:fldCharType="separate"/>
          </w:r>
          <w:sdt>
            <w:sdtPr>
              <w:rPr>
                <w:rFonts w:ascii="Times New Roman" w:hAnsi="Times New Roman" w:eastAsia="宋体" w:cs="Times New Roman"/>
                <w:kern w:val="2"/>
                <w:sz w:val="21"/>
                <w:szCs w:val="24"/>
                <w:lang w:val="en-US" w:eastAsia="zh-CN" w:bidi="ar-SA"/>
              </w:rPr>
              <w:id w:val="147464015"/>
              <w:placeholder>
                <w:docPart w:val="{d85cd010-8b64-4d28-9094-f21269420d1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一、收入支出决算总表</w:t>
              </w:r>
            </w:sdtContent>
          </w:sdt>
          <w:r>
            <w:tab/>
          </w:r>
          <w:r>
            <w:fldChar w:fldCharType="end"/>
          </w:r>
          <w:r>
            <w:rPr>
              <w:rFonts w:hint="eastAsia"/>
              <w:lang w:val="en-US" w:eastAsia="zh-CN"/>
            </w:rPr>
            <w:t>113</w:t>
          </w:r>
        </w:p>
        <w:p w14:paraId="4A71EA25">
          <w:pPr>
            <w:pStyle w:val="45"/>
            <w:tabs>
              <w:tab w:val="right" w:leader="dot" w:pos="8306"/>
            </w:tabs>
            <w:rPr>
              <w:rFonts w:hint="default" w:eastAsia="宋体"/>
              <w:lang w:val="en-US" w:eastAsia="zh-CN"/>
            </w:rPr>
          </w:pPr>
          <w:r>
            <w:fldChar w:fldCharType="begin"/>
          </w:r>
          <w:r>
            <w:instrText xml:space="preserve"> HYPERLINK \l _Toc2634_WPSOffice_Level2 </w:instrText>
          </w:r>
          <w:r>
            <w:fldChar w:fldCharType="separate"/>
          </w:r>
          <w:sdt>
            <w:sdtPr>
              <w:rPr>
                <w:rFonts w:ascii="Times New Roman" w:hAnsi="Times New Roman" w:eastAsia="宋体" w:cs="Times New Roman"/>
                <w:kern w:val="2"/>
                <w:sz w:val="21"/>
                <w:szCs w:val="24"/>
                <w:lang w:val="en-US" w:eastAsia="zh-CN" w:bidi="ar-SA"/>
              </w:rPr>
              <w:id w:val="147475939"/>
              <w:placeholder>
                <w:docPart w:val="{4aa9e0a8-0615-473b-b0f0-4327bc0ebe5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二、收入决算表</w:t>
              </w:r>
            </w:sdtContent>
          </w:sdt>
          <w:r>
            <w:tab/>
          </w:r>
          <w:r>
            <w:fldChar w:fldCharType="end"/>
          </w:r>
          <w:r>
            <w:rPr>
              <w:rFonts w:hint="eastAsia"/>
              <w:lang w:val="en-US" w:eastAsia="zh-CN"/>
            </w:rPr>
            <w:t>113</w:t>
          </w:r>
        </w:p>
        <w:p w14:paraId="2B0CF683">
          <w:pPr>
            <w:pStyle w:val="45"/>
            <w:tabs>
              <w:tab w:val="right" w:leader="dot" w:pos="8306"/>
            </w:tabs>
            <w:rPr>
              <w:rFonts w:hint="default" w:eastAsia="宋体"/>
              <w:lang w:val="en-US" w:eastAsia="zh-CN"/>
            </w:rPr>
          </w:pPr>
          <w:r>
            <w:fldChar w:fldCharType="begin"/>
          </w:r>
          <w:r>
            <w:instrText xml:space="preserve"> HYPERLINK \l _Toc11578_WPSOffice_Level2 </w:instrText>
          </w:r>
          <w:r>
            <w:fldChar w:fldCharType="separate"/>
          </w:r>
          <w:sdt>
            <w:sdtPr>
              <w:rPr>
                <w:rFonts w:ascii="Times New Roman" w:hAnsi="Times New Roman" w:eastAsia="宋体" w:cs="Times New Roman"/>
                <w:kern w:val="2"/>
                <w:sz w:val="21"/>
                <w:szCs w:val="24"/>
                <w:lang w:val="en-US" w:eastAsia="zh-CN" w:bidi="ar-SA"/>
              </w:rPr>
              <w:id w:val="147475807"/>
              <w:placeholder>
                <w:docPart w:val="{89937d9a-4763-46a6-8c62-8459c755fe1c}"/>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三、支出决算表</w:t>
              </w:r>
            </w:sdtContent>
          </w:sdt>
          <w:r>
            <w:tab/>
          </w:r>
          <w:r>
            <w:fldChar w:fldCharType="end"/>
          </w:r>
          <w:r>
            <w:rPr>
              <w:rFonts w:hint="eastAsia"/>
              <w:lang w:val="en-US" w:eastAsia="zh-CN"/>
            </w:rPr>
            <w:t>113</w:t>
          </w:r>
        </w:p>
        <w:p w14:paraId="73DDC721">
          <w:pPr>
            <w:pStyle w:val="45"/>
            <w:tabs>
              <w:tab w:val="right" w:leader="dot" w:pos="8306"/>
            </w:tabs>
            <w:rPr>
              <w:rFonts w:hint="default" w:eastAsia="宋体"/>
              <w:lang w:val="en-US" w:eastAsia="zh-CN"/>
            </w:rPr>
          </w:pPr>
          <w:r>
            <w:fldChar w:fldCharType="begin"/>
          </w:r>
          <w:r>
            <w:instrText xml:space="preserve"> HYPERLINK \l _Toc30221_WPSOffice_Level2 </w:instrText>
          </w:r>
          <w:r>
            <w:fldChar w:fldCharType="separate"/>
          </w:r>
          <w:sdt>
            <w:sdtPr>
              <w:rPr>
                <w:rFonts w:ascii="Times New Roman" w:hAnsi="Times New Roman" w:eastAsia="宋体" w:cs="Times New Roman"/>
                <w:kern w:val="2"/>
                <w:sz w:val="21"/>
                <w:szCs w:val="24"/>
                <w:lang w:val="en-US" w:eastAsia="zh-CN" w:bidi="ar-SA"/>
              </w:rPr>
              <w:id w:val="147463382"/>
              <w:placeholder>
                <w:docPart w:val="{b7772c7f-4b0d-4dba-aae2-722eb2989407}"/>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四、财政拨款收入支出决算总表</w:t>
              </w:r>
            </w:sdtContent>
          </w:sdt>
          <w:r>
            <w:tab/>
          </w:r>
          <w:r>
            <w:fldChar w:fldCharType="end"/>
          </w:r>
          <w:r>
            <w:rPr>
              <w:rFonts w:hint="eastAsia"/>
              <w:lang w:val="en-US" w:eastAsia="zh-CN"/>
            </w:rPr>
            <w:t>113</w:t>
          </w:r>
        </w:p>
        <w:p w14:paraId="08693A52">
          <w:pPr>
            <w:pStyle w:val="45"/>
            <w:tabs>
              <w:tab w:val="right" w:leader="dot" w:pos="8306"/>
            </w:tabs>
            <w:rPr>
              <w:rFonts w:hint="default" w:eastAsia="宋体"/>
              <w:lang w:val="en-US" w:eastAsia="zh-CN"/>
            </w:rPr>
          </w:pPr>
          <w:r>
            <w:fldChar w:fldCharType="begin"/>
          </w:r>
          <w:r>
            <w:instrText xml:space="preserve"> HYPERLINK \l _Toc25822_WPSOffice_Level2 </w:instrText>
          </w:r>
          <w:r>
            <w:fldChar w:fldCharType="separate"/>
          </w:r>
          <w:sdt>
            <w:sdtPr>
              <w:rPr>
                <w:rFonts w:ascii="Times New Roman" w:hAnsi="Times New Roman" w:eastAsia="宋体" w:cs="Times New Roman"/>
                <w:kern w:val="2"/>
                <w:sz w:val="21"/>
                <w:szCs w:val="24"/>
                <w:lang w:val="en-US" w:eastAsia="zh-CN" w:bidi="ar-SA"/>
              </w:rPr>
              <w:id w:val="147469820"/>
              <w:placeholder>
                <w:docPart w:val="{2a54899b-49cb-41e8-a22d-1f1f8d96758a}"/>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五、财政拨款支出决算明细表</w:t>
              </w:r>
            </w:sdtContent>
          </w:sdt>
          <w:r>
            <w:tab/>
          </w:r>
          <w:r>
            <w:fldChar w:fldCharType="end"/>
          </w:r>
          <w:r>
            <w:rPr>
              <w:rFonts w:hint="eastAsia"/>
              <w:lang w:val="en-US" w:eastAsia="zh-CN"/>
            </w:rPr>
            <w:t>113</w:t>
          </w:r>
        </w:p>
        <w:p w14:paraId="2A63D542">
          <w:pPr>
            <w:pStyle w:val="45"/>
            <w:tabs>
              <w:tab w:val="right" w:leader="dot" w:pos="8306"/>
            </w:tabs>
            <w:rPr>
              <w:rFonts w:hint="default" w:eastAsia="宋体"/>
              <w:lang w:val="en-US" w:eastAsia="zh-CN"/>
            </w:rPr>
          </w:pPr>
          <w:r>
            <w:fldChar w:fldCharType="begin"/>
          </w:r>
          <w:r>
            <w:instrText xml:space="preserve"> HYPERLINK \l _Toc25084_WPSOffice_Level2 </w:instrText>
          </w:r>
          <w:r>
            <w:fldChar w:fldCharType="separate"/>
          </w:r>
          <w:sdt>
            <w:sdtPr>
              <w:rPr>
                <w:rFonts w:ascii="Times New Roman" w:hAnsi="Times New Roman" w:eastAsia="宋体" w:cs="Times New Roman"/>
                <w:kern w:val="2"/>
                <w:sz w:val="21"/>
                <w:szCs w:val="24"/>
                <w:lang w:val="en-US" w:eastAsia="zh-CN" w:bidi="ar-SA"/>
              </w:rPr>
              <w:id w:val="147472375"/>
              <w:placeholder>
                <w:docPart w:val="{57473e07-57d3-462b-bafd-980783890ba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六、一般公共预算财政拨款支出决算表</w:t>
              </w:r>
            </w:sdtContent>
          </w:sdt>
          <w:r>
            <w:tab/>
          </w:r>
          <w:r>
            <w:fldChar w:fldCharType="end"/>
          </w:r>
          <w:r>
            <w:rPr>
              <w:rFonts w:hint="eastAsia"/>
              <w:lang w:val="en-US" w:eastAsia="zh-CN"/>
            </w:rPr>
            <w:t>113</w:t>
          </w:r>
        </w:p>
        <w:p w14:paraId="594044D0">
          <w:pPr>
            <w:pStyle w:val="45"/>
            <w:tabs>
              <w:tab w:val="right" w:leader="dot" w:pos="8306"/>
            </w:tabs>
            <w:rPr>
              <w:rFonts w:hint="default" w:eastAsia="宋体"/>
              <w:lang w:val="en-US" w:eastAsia="zh-CN"/>
            </w:rPr>
          </w:pPr>
          <w:r>
            <w:fldChar w:fldCharType="begin"/>
          </w:r>
          <w:r>
            <w:instrText xml:space="preserve"> HYPERLINK \l _Toc23971_WPSOffice_Level2 </w:instrText>
          </w:r>
          <w:r>
            <w:fldChar w:fldCharType="separate"/>
          </w:r>
          <w:sdt>
            <w:sdtPr>
              <w:rPr>
                <w:rFonts w:ascii="Times New Roman" w:hAnsi="Times New Roman" w:eastAsia="宋体" w:cs="Times New Roman"/>
                <w:kern w:val="2"/>
                <w:sz w:val="21"/>
                <w:szCs w:val="24"/>
                <w:lang w:val="en-US" w:eastAsia="zh-CN" w:bidi="ar-SA"/>
              </w:rPr>
              <w:id w:val="147463568"/>
              <w:placeholder>
                <w:docPart w:val="{45a7c4d9-bcf5-406b-b646-af7c11f2ff5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七、一般公共预算财政拨款支出决算明细表</w:t>
              </w:r>
            </w:sdtContent>
          </w:sdt>
          <w:r>
            <w:tab/>
          </w:r>
          <w:r>
            <w:fldChar w:fldCharType="end"/>
          </w:r>
          <w:r>
            <w:rPr>
              <w:rFonts w:hint="eastAsia"/>
              <w:lang w:val="en-US" w:eastAsia="zh-CN"/>
            </w:rPr>
            <w:t>113</w:t>
          </w:r>
        </w:p>
        <w:p w14:paraId="308B1CAF">
          <w:pPr>
            <w:pStyle w:val="45"/>
            <w:tabs>
              <w:tab w:val="right" w:leader="dot" w:pos="8306"/>
            </w:tabs>
            <w:rPr>
              <w:rFonts w:hint="default" w:eastAsia="宋体"/>
              <w:lang w:val="en-US" w:eastAsia="zh-CN"/>
            </w:rPr>
          </w:pPr>
          <w:r>
            <w:fldChar w:fldCharType="begin"/>
          </w:r>
          <w:r>
            <w:instrText xml:space="preserve"> HYPERLINK \l _Toc25246_WPSOffice_Level2 </w:instrText>
          </w:r>
          <w:r>
            <w:fldChar w:fldCharType="separate"/>
          </w:r>
          <w:sdt>
            <w:sdtPr>
              <w:rPr>
                <w:rFonts w:ascii="Times New Roman" w:hAnsi="Times New Roman" w:eastAsia="宋体" w:cs="Times New Roman"/>
                <w:kern w:val="2"/>
                <w:sz w:val="21"/>
                <w:szCs w:val="24"/>
                <w:lang w:val="en-US" w:eastAsia="zh-CN" w:bidi="ar-SA"/>
              </w:rPr>
              <w:id w:val="147480247"/>
              <w:placeholder>
                <w:docPart w:val="{5db1bcd9-ccf3-49b9-85d6-8a3aa606514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八、一般公共预算财政拨款基本支出决算表</w:t>
              </w:r>
            </w:sdtContent>
          </w:sdt>
          <w:r>
            <w:tab/>
          </w:r>
          <w:r>
            <w:fldChar w:fldCharType="end"/>
          </w:r>
          <w:r>
            <w:rPr>
              <w:rFonts w:hint="eastAsia"/>
              <w:lang w:val="en-US" w:eastAsia="zh-CN"/>
            </w:rPr>
            <w:t>113</w:t>
          </w:r>
        </w:p>
        <w:p w14:paraId="5560673A">
          <w:pPr>
            <w:pStyle w:val="45"/>
            <w:tabs>
              <w:tab w:val="right" w:leader="dot" w:pos="8306"/>
            </w:tabs>
            <w:rPr>
              <w:rFonts w:hint="default" w:eastAsia="宋体"/>
              <w:lang w:val="en-US" w:eastAsia="zh-CN"/>
            </w:rPr>
          </w:pPr>
          <w:r>
            <w:fldChar w:fldCharType="begin"/>
          </w:r>
          <w:r>
            <w:instrText xml:space="preserve"> HYPERLINK \l _Toc14599_WPSOffice_Level2 </w:instrText>
          </w:r>
          <w:r>
            <w:fldChar w:fldCharType="separate"/>
          </w:r>
          <w:sdt>
            <w:sdtPr>
              <w:rPr>
                <w:rFonts w:ascii="Times New Roman" w:hAnsi="Times New Roman" w:eastAsia="宋体" w:cs="Times New Roman"/>
                <w:kern w:val="2"/>
                <w:sz w:val="21"/>
                <w:szCs w:val="24"/>
                <w:lang w:val="en-US" w:eastAsia="zh-CN" w:bidi="ar-SA"/>
              </w:rPr>
              <w:id w:val="147482555"/>
              <w:placeholder>
                <w:docPart w:val="{e67db335-0bab-4537-b171-243ad9861559}"/>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九、一般公共预算财政拨款项目支出决算表</w:t>
              </w:r>
            </w:sdtContent>
          </w:sdt>
          <w:r>
            <w:tab/>
          </w:r>
          <w:r>
            <w:fldChar w:fldCharType="end"/>
          </w:r>
          <w:r>
            <w:rPr>
              <w:rFonts w:hint="eastAsia"/>
              <w:lang w:val="en-US" w:eastAsia="zh-CN"/>
            </w:rPr>
            <w:t>113</w:t>
          </w:r>
        </w:p>
        <w:p w14:paraId="7F0B02F8">
          <w:pPr>
            <w:pStyle w:val="45"/>
            <w:tabs>
              <w:tab w:val="right" w:leader="dot" w:pos="8306"/>
            </w:tabs>
            <w:rPr>
              <w:rFonts w:hint="default" w:eastAsia="宋体"/>
              <w:lang w:val="en-US" w:eastAsia="zh-CN"/>
            </w:rPr>
          </w:pPr>
          <w:r>
            <w:fldChar w:fldCharType="begin"/>
          </w:r>
          <w:r>
            <w:instrText xml:space="preserve"> HYPERLINK \l _Toc24107_WPSOffice_Level2 </w:instrText>
          </w:r>
          <w:r>
            <w:fldChar w:fldCharType="separate"/>
          </w:r>
          <w:sdt>
            <w:sdtPr>
              <w:rPr>
                <w:rFonts w:ascii="Times New Roman" w:hAnsi="Times New Roman" w:eastAsia="宋体" w:cs="Times New Roman"/>
                <w:kern w:val="2"/>
                <w:sz w:val="21"/>
                <w:szCs w:val="24"/>
                <w:lang w:val="en-US" w:eastAsia="zh-CN" w:bidi="ar-SA"/>
              </w:rPr>
              <w:id w:val="147476584"/>
              <w:placeholder>
                <w:docPart w:val="{1d662c63-fea3-41d4-ba34-3cf7359c957f}"/>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十、政府性基金预算财政拨款收入支出决算表</w:t>
              </w:r>
            </w:sdtContent>
          </w:sdt>
          <w:r>
            <w:tab/>
          </w:r>
          <w:r>
            <w:fldChar w:fldCharType="end"/>
          </w:r>
          <w:r>
            <w:rPr>
              <w:rFonts w:hint="eastAsia"/>
              <w:lang w:val="en-US" w:eastAsia="zh-CN"/>
            </w:rPr>
            <w:t>113</w:t>
          </w:r>
        </w:p>
        <w:p w14:paraId="0D19B9D3">
          <w:pPr>
            <w:pStyle w:val="45"/>
            <w:tabs>
              <w:tab w:val="right" w:leader="dot" w:pos="8306"/>
            </w:tabs>
            <w:rPr>
              <w:rFonts w:hint="default" w:eastAsia="宋体"/>
              <w:lang w:val="en-US" w:eastAsia="zh-CN"/>
            </w:rPr>
          </w:pPr>
          <w:r>
            <w:fldChar w:fldCharType="begin"/>
          </w:r>
          <w:r>
            <w:instrText xml:space="preserve"> HYPERLINK \l _Toc11350_WPSOffice_Level2 </w:instrText>
          </w:r>
          <w:r>
            <w:fldChar w:fldCharType="separate"/>
          </w:r>
          <w:sdt>
            <w:sdtPr>
              <w:rPr>
                <w:rFonts w:ascii="Times New Roman" w:hAnsi="Times New Roman" w:eastAsia="宋体" w:cs="Times New Roman"/>
                <w:kern w:val="2"/>
                <w:sz w:val="21"/>
                <w:szCs w:val="24"/>
                <w:lang w:val="en-US" w:eastAsia="zh-CN" w:bidi="ar-SA"/>
              </w:rPr>
              <w:id w:val="147457052"/>
              <w:placeholder>
                <w:docPart w:val="{71d4f7f4-0060-40a5-aa10-334bce78f104}"/>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十一、国有资本经营预算财政拨款收入支出决算表</w:t>
              </w:r>
            </w:sdtContent>
          </w:sdt>
          <w:r>
            <w:tab/>
          </w:r>
          <w:r>
            <w:fldChar w:fldCharType="end"/>
          </w:r>
          <w:r>
            <w:rPr>
              <w:rFonts w:hint="eastAsia"/>
              <w:lang w:val="en-US" w:eastAsia="zh-CN"/>
            </w:rPr>
            <w:t>113</w:t>
          </w:r>
        </w:p>
        <w:p w14:paraId="640F49A2">
          <w:pPr>
            <w:pStyle w:val="45"/>
            <w:tabs>
              <w:tab w:val="right" w:leader="dot" w:pos="8306"/>
            </w:tabs>
            <w:rPr>
              <w:rFonts w:hint="default" w:eastAsia="宋体"/>
              <w:lang w:val="en-US" w:eastAsia="zh-CN"/>
            </w:rPr>
          </w:pPr>
          <w:r>
            <w:fldChar w:fldCharType="begin"/>
          </w:r>
          <w:r>
            <w:instrText xml:space="preserve"> HYPERLINK \l _Toc9473_WPSOffice_Level2 </w:instrText>
          </w:r>
          <w:r>
            <w:fldChar w:fldCharType="separate"/>
          </w:r>
          <w:sdt>
            <w:sdtPr>
              <w:rPr>
                <w:rFonts w:ascii="Times New Roman" w:hAnsi="Times New Roman" w:eastAsia="宋体" w:cs="Times New Roman"/>
                <w:kern w:val="2"/>
                <w:sz w:val="21"/>
                <w:szCs w:val="24"/>
                <w:lang w:val="en-US" w:eastAsia="zh-CN" w:bidi="ar-SA"/>
              </w:rPr>
              <w:id w:val="147482762"/>
              <w:placeholder>
                <w:docPart w:val="{32a833e0-2265-4b1b-99d4-96994e232be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十二、国有资本经营预算财政拨款支出决算表</w:t>
              </w:r>
            </w:sdtContent>
          </w:sdt>
          <w:r>
            <w:tab/>
          </w:r>
          <w:r>
            <w:fldChar w:fldCharType="end"/>
          </w:r>
          <w:r>
            <w:rPr>
              <w:rFonts w:hint="eastAsia"/>
              <w:lang w:val="en-US" w:eastAsia="zh-CN"/>
            </w:rPr>
            <w:t>113</w:t>
          </w:r>
        </w:p>
        <w:p w14:paraId="552CECEB">
          <w:pPr>
            <w:pStyle w:val="45"/>
            <w:tabs>
              <w:tab w:val="right" w:leader="dot" w:pos="8306"/>
            </w:tabs>
          </w:pPr>
          <w:r>
            <w:fldChar w:fldCharType="begin"/>
          </w:r>
          <w:r>
            <w:instrText xml:space="preserve"> HYPERLINK \l _Toc32168_WPSOffice_Level2 </w:instrText>
          </w:r>
          <w:r>
            <w:fldChar w:fldCharType="separate"/>
          </w:r>
          <w:sdt>
            <w:sdtPr>
              <w:rPr>
                <w:rFonts w:ascii="Times New Roman" w:hAnsi="Times New Roman" w:eastAsia="宋体" w:cs="Times New Roman"/>
                <w:kern w:val="2"/>
                <w:sz w:val="21"/>
                <w:szCs w:val="24"/>
                <w:lang w:val="en-US" w:eastAsia="zh-CN" w:bidi="ar-SA"/>
              </w:rPr>
              <w:id w:val="147473074"/>
              <w:placeholder>
                <w:docPart w:val="{b65a98c0-0ee3-408f-8f58-ae19be37c21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Times New Roman" w:hAnsi="Times New Roman" w:eastAsia="仿宋_GB2312" w:cs="Times New Roman"/>
                </w:rPr>
                <w:t>十三、财政拨款“三公”经费支出决算表</w:t>
              </w:r>
            </w:sdtContent>
          </w:sdt>
          <w:r>
            <w:tab/>
          </w:r>
          <w:r>
            <w:fldChar w:fldCharType="end"/>
          </w:r>
          <w:bookmarkEnd w:id="13"/>
          <w:r>
            <w:rPr>
              <w:rFonts w:hint="eastAsia"/>
              <w:lang w:val="en-US" w:eastAsia="zh-CN"/>
            </w:rPr>
            <w:t>113</w:t>
          </w:r>
        </w:p>
      </w:sdtContent>
    </w:sdt>
    <w:p w14:paraId="379E81AA">
      <w:pPr>
        <w:rPr>
          <w:color w:val="auto"/>
          <w:highlight w:val="none"/>
        </w:rPr>
      </w:pPr>
    </w:p>
    <w:p w14:paraId="4F65075D">
      <w:pPr>
        <w:widowControl/>
        <w:adjustRightInd w:val="0"/>
        <w:snapToGrid w:val="0"/>
        <w:spacing w:line="440" w:lineRule="exact"/>
        <w:ind w:firstLine="1320" w:firstLineChars="550"/>
        <w:jc w:val="left"/>
        <w:rPr>
          <w:rFonts w:ascii="仿宋" w:hAnsi="仿宋" w:eastAsia="仿宋"/>
          <w:color w:val="auto"/>
          <w:sz w:val="24"/>
          <w:highlight w:val="none"/>
        </w:rPr>
      </w:pPr>
    </w:p>
    <w:p w14:paraId="27BE75EB">
      <w:pPr>
        <w:pStyle w:val="5"/>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23" w:name="_Toc15396599"/>
      <w:bookmarkStart w:id="24" w:name="_Toc15377196"/>
    </w:p>
    <w:p w14:paraId="2131C760">
      <w:pPr>
        <w:pStyle w:val="5"/>
        <w:jc w:val="center"/>
        <w:rPr>
          <w:rFonts w:ascii="黑体" w:eastAsia="黑体"/>
          <w:color w:val="auto"/>
          <w:sz w:val="32"/>
          <w:szCs w:val="32"/>
          <w:highlight w:val="none"/>
        </w:rPr>
      </w:pPr>
      <w:bookmarkStart w:id="25" w:name="_Toc27386_WPSOffice_Level1"/>
      <w:r>
        <w:rPr>
          <w:rFonts w:hint="eastAsia" w:ascii="黑体" w:hAnsi="黑体" w:eastAsia="黑体"/>
          <w:b w:val="0"/>
          <w:color w:val="auto"/>
          <w:highlight w:val="none"/>
        </w:rPr>
        <w:t xml:space="preserve">第一部分 </w:t>
      </w:r>
      <w:r>
        <w:rPr>
          <w:rStyle w:val="36"/>
          <w:rFonts w:hint="eastAsia" w:ascii="黑体" w:hAnsi="黑体" w:eastAsia="黑体"/>
          <w:b w:val="0"/>
          <w:bCs w:val="0"/>
          <w:color w:val="auto"/>
          <w:highlight w:val="none"/>
        </w:rPr>
        <w:t>部门概况</w:t>
      </w:r>
      <w:bookmarkEnd w:id="23"/>
      <w:bookmarkEnd w:id="24"/>
      <w:bookmarkEnd w:id="25"/>
    </w:p>
    <w:p w14:paraId="12032A94">
      <w:pPr>
        <w:widowControl/>
        <w:numPr>
          <w:ilvl w:val="0"/>
          <w:numId w:val="0"/>
        </w:numPr>
        <w:ind w:firstLine="640" w:firstLineChars="200"/>
        <w:jc w:val="left"/>
        <w:rPr>
          <w:rStyle w:val="37"/>
          <w:rFonts w:hint="eastAsia" w:ascii="黑体" w:hAnsi="黑体" w:eastAsia="黑体"/>
          <w:b w:val="0"/>
          <w:bCs w:val="0"/>
          <w:color w:val="auto"/>
          <w:highlight w:val="none"/>
          <w:lang w:val="en-US" w:eastAsia="zh-CN" w:bidi="ar-SA"/>
        </w:rPr>
      </w:pPr>
      <w:bookmarkStart w:id="26" w:name="OLE_LINK14"/>
      <w:r>
        <w:rPr>
          <w:rStyle w:val="37"/>
          <w:rFonts w:hint="eastAsia" w:ascii="黑体" w:hAnsi="黑体" w:eastAsia="黑体"/>
          <w:b w:val="0"/>
          <w:bCs w:val="0"/>
          <w:color w:val="auto"/>
          <w:highlight w:val="none"/>
          <w:lang w:val="en-US" w:eastAsia="zh-CN" w:bidi="ar-SA"/>
        </w:rPr>
        <w:t>一、部门职责</w:t>
      </w:r>
    </w:p>
    <w:p w14:paraId="087EA476">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（一）贯彻实施法律法规。</w:t>
      </w:r>
      <w:r>
        <w:rPr>
          <w:rFonts w:hint="eastAsia" w:ascii="Times New Roman" w:hAnsi="Times New Roman" w:eastAsia="仿宋_GB2312" w:cs="Times New Roman"/>
          <w:b w:val="0"/>
          <w:bCs w:val="0"/>
          <w:i w:val="0"/>
          <w:iCs w:val="0"/>
          <w:color w:val="auto"/>
          <w:sz w:val="32"/>
          <w:szCs w:val="32"/>
          <w:highlight w:val="none"/>
          <w:lang w:val="en-US" w:eastAsia="zh-CN"/>
        </w:rPr>
        <w:t>贯彻实施国家、省、市有关工业经济、科技、信息化和无线电管理的方针、政策和法律、法规, 研究拟订全区有关工业经济、科技促进经济与社会发展、信息化和无线电管理的政策措施并组织实施; 组织推动科技和信息化、工业化融合, 承担推进全区工业结构调整、 全区科技创新体系建设工作。</w:t>
      </w:r>
    </w:p>
    <w:p w14:paraId="3FE0EE6A">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 xml:space="preserve">（二）拟订工业行业发展规划。 </w:t>
      </w:r>
      <w:r>
        <w:rPr>
          <w:rFonts w:hint="eastAsia" w:ascii="Times New Roman" w:hAnsi="Times New Roman" w:eastAsia="仿宋_GB2312" w:cs="Times New Roman"/>
          <w:b w:val="0"/>
          <w:bCs w:val="0"/>
          <w:i w:val="0"/>
          <w:iCs w:val="0"/>
          <w:color w:val="auto"/>
          <w:sz w:val="32"/>
          <w:szCs w:val="32"/>
          <w:highlight w:val="none"/>
          <w:lang w:val="en-US" w:eastAsia="zh-CN"/>
        </w:rPr>
        <w:t>承担拟订新型工业化发展战略和重大政策, 协调解决新型工业化进程中的重大问题, 组织实施工业强区、科技兴区战略; 承担制定并组织实施工业行业的发展规划、年度计划和产业政策。</w:t>
      </w:r>
    </w:p>
    <w:p w14:paraId="37216A54">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（三）工业经济运行及要素保障。</w:t>
      </w:r>
      <w:r>
        <w:rPr>
          <w:rFonts w:hint="eastAsia" w:ascii="Times New Roman" w:hAnsi="Times New Roman" w:eastAsia="仿宋_GB2312" w:cs="Times New Roman"/>
          <w:b w:val="0"/>
          <w:bCs w:val="0"/>
          <w:i w:val="0"/>
          <w:iCs w:val="0"/>
          <w:color w:val="auto"/>
          <w:sz w:val="32"/>
          <w:szCs w:val="32"/>
          <w:highlight w:val="none"/>
          <w:lang w:val="en-US" w:eastAsia="zh-CN"/>
        </w:rPr>
        <w:t xml:space="preserve">建立全区工业经济运行预警机制, </w:t>
      </w:r>
      <w:r>
        <w:rPr>
          <w:rFonts w:hint="eastAsia" w:eastAsia="仿宋_GB2312" w:cs="Times New Roman"/>
          <w:b w:val="0"/>
          <w:bCs w:val="0"/>
          <w:i w:val="0"/>
          <w:iCs w:val="0"/>
          <w:color w:val="auto"/>
          <w:sz w:val="32"/>
          <w:szCs w:val="32"/>
          <w:highlight w:val="none"/>
          <w:lang w:val="en-US" w:eastAsia="zh-CN"/>
        </w:rPr>
        <w:t>拟定中</w:t>
      </w:r>
      <w:r>
        <w:rPr>
          <w:rFonts w:hint="eastAsia" w:ascii="Times New Roman" w:hAnsi="Times New Roman" w:eastAsia="仿宋_GB2312" w:cs="Times New Roman"/>
          <w:b w:val="0"/>
          <w:bCs w:val="0"/>
          <w:i w:val="0"/>
          <w:iCs w:val="0"/>
          <w:color w:val="auto"/>
          <w:sz w:val="32"/>
          <w:szCs w:val="32"/>
          <w:highlight w:val="none"/>
          <w:lang w:val="en-US" w:eastAsia="zh-CN"/>
        </w:rPr>
        <w:t>、近期经济运行目标、政策并组织实施, 协调解决经济运行中的重大问题; 承担电力、煤炭、成品油、</w:t>
      </w:r>
      <w:bookmarkEnd w:id="26"/>
      <w:r>
        <w:rPr>
          <w:rFonts w:hint="eastAsia" w:ascii="Times New Roman" w:hAnsi="Times New Roman" w:eastAsia="仿宋_GB2312" w:cs="Times New Roman"/>
          <w:b w:val="0"/>
          <w:bCs w:val="0"/>
          <w:i w:val="0"/>
          <w:iCs w:val="0"/>
          <w:color w:val="auto"/>
          <w:sz w:val="32"/>
          <w:szCs w:val="32"/>
          <w:highlight w:val="none"/>
          <w:lang w:val="en-US" w:eastAsia="zh-CN"/>
        </w:rPr>
        <w:t>天然气等重要物资综合调控、紧急调度和交通运输协调工作; 承担全区盐业行业管理和食盐专营管理。</w:t>
      </w:r>
    </w:p>
    <w:p w14:paraId="01889D30">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（四）推进企业技术改造和科技创新。</w:t>
      </w:r>
      <w:r>
        <w:rPr>
          <w:rFonts w:hint="eastAsia" w:ascii="Times New Roman" w:hAnsi="Times New Roman" w:eastAsia="仿宋_GB2312" w:cs="Times New Roman"/>
          <w:b w:val="0"/>
          <w:bCs w:val="0"/>
          <w:i w:val="0"/>
          <w:iCs w:val="0"/>
          <w:color w:val="auto"/>
          <w:sz w:val="32"/>
          <w:szCs w:val="32"/>
          <w:highlight w:val="none"/>
          <w:lang w:val="en-US" w:eastAsia="zh-CN"/>
        </w:rPr>
        <w:t>指导全区企业技术改造项目申报国家、省、市有关专项计划并组织实施; 承担科技研发平台的申报和管理; 负责科技成果鉴定; 负责科技示范区 (基地 ) 和产业项目工作。</w:t>
      </w:r>
    </w:p>
    <w:p w14:paraId="2CE45A25">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（五）协调园区建设服务。</w:t>
      </w:r>
      <w:r>
        <w:rPr>
          <w:rFonts w:hint="eastAsia" w:ascii="Times New Roman" w:hAnsi="Times New Roman" w:eastAsia="仿宋_GB2312" w:cs="Times New Roman"/>
          <w:b w:val="0"/>
          <w:bCs w:val="0"/>
          <w:i w:val="0"/>
          <w:iCs w:val="0"/>
          <w:color w:val="auto"/>
          <w:sz w:val="32"/>
          <w:szCs w:val="32"/>
          <w:highlight w:val="none"/>
          <w:lang w:val="en-US" w:eastAsia="zh-CN"/>
        </w:rPr>
        <w:t>承担全区工业园区建设发展的综合协调和服务工作, 指导工业园区合理布局, 组织申报工业园区公共服务平台项目。</w:t>
      </w:r>
    </w:p>
    <w:p w14:paraId="2B2AEFD4">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（六）管理工业节能降耗。</w:t>
      </w:r>
      <w:r>
        <w:rPr>
          <w:rFonts w:hint="eastAsia" w:ascii="Times New Roman" w:hAnsi="Times New Roman" w:eastAsia="仿宋_GB2312" w:cs="Times New Roman"/>
          <w:b w:val="0"/>
          <w:bCs w:val="0"/>
          <w:i w:val="0"/>
          <w:iCs w:val="0"/>
          <w:color w:val="auto"/>
          <w:sz w:val="32"/>
          <w:szCs w:val="32"/>
          <w:highlight w:val="none"/>
          <w:lang w:val="en-US" w:eastAsia="zh-CN"/>
        </w:rPr>
        <w:t>负责工业和信息化领域的环境和资源综合利用工作; 承担本行业节能节水降耗、循环经济发展、资源综合利用、清洁生产及低碳经济发展工作; 承担工业企业淘汰落后产能、 节能节水技术改造工作, 组织申报国家、省财政淘汰落后产能专项资金项目和节能技术改造奖励资金项 目; 承担监管考核重点工业用能企业节能节水工作。</w:t>
      </w:r>
    </w:p>
    <w:p w14:paraId="71A9DDE8">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（七）人才培训及其他管理。</w:t>
      </w:r>
      <w:r>
        <w:rPr>
          <w:rFonts w:hint="eastAsia" w:ascii="Times New Roman" w:hAnsi="Times New Roman" w:eastAsia="仿宋_GB2312" w:cs="Times New Roman"/>
          <w:b w:val="0"/>
          <w:bCs w:val="0"/>
          <w:i w:val="0"/>
          <w:iCs w:val="0"/>
          <w:color w:val="auto"/>
          <w:sz w:val="32"/>
          <w:szCs w:val="32"/>
          <w:highlight w:val="none"/>
          <w:lang w:val="en-US" w:eastAsia="zh-CN"/>
        </w:rPr>
        <w:t>指导企业建立现代企业制度、改组改造、 兼并重组; 承担全区企业治乱减负工作; 组织和指导园区开展企业经营管理人员、专业技术人员培训, 国 ( 境 ) 外人才、智力工作管理; 承担全区规模以上工业企业和龙头骨干企业的培育工作。</w:t>
      </w:r>
    </w:p>
    <w:p w14:paraId="37B2619A">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（八）制定科技发展规划。</w:t>
      </w:r>
      <w:r>
        <w:rPr>
          <w:rFonts w:hint="eastAsia" w:ascii="Times New Roman" w:hAnsi="Times New Roman" w:eastAsia="仿宋_GB2312" w:cs="Times New Roman"/>
          <w:b w:val="0"/>
          <w:bCs w:val="0"/>
          <w:i w:val="0"/>
          <w:iCs w:val="0"/>
          <w:color w:val="auto"/>
          <w:sz w:val="32"/>
          <w:szCs w:val="32"/>
          <w:highlight w:val="none"/>
          <w:lang w:val="en-US" w:eastAsia="zh-CN"/>
        </w:rPr>
        <w:t>组织编制全区科学技术发展的中长期规划和年度计划; 实施管理科技计划及企业技术创新项目; 深化科技体制改革; 研究科技投入措施, 优化科技资源配置。</w:t>
      </w:r>
    </w:p>
    <w:p w14:paraId="253F1D57">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（九）建设科技服务体系。</w:t>
      </w:r>
      <w:r>
        <w:rPr>
          <w:rFonts w:hint="eastAsia" w:ascii="Times New Roman" w:hAnsi="Times New Roman" w:eastAsia="仿宋_GB2312" w:cs="Times New Roman"/>
          <w:b w:val="0"/>
          <w:bCs w:val="0"/>
          <w:i w:val="0"/>
          <w:iCs w:val="0"/>
          <w:color w:val="auto"/>
          <w:sz w:val="32"/>
          <w:szCs w:val="32"/>
          <w:highlight w:val="none"/>
          <w:lang w:val="en-US" w:eastAsia="zh-CN"/>
        </w:rPr>
        <w:t>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5FFDD906">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（十）统筹推进信息化工作。</w:t>
      </w:r>
      <w:r>
        <w:rPr>
          <w:rFonts w:hint="eastAsia" w:ascii="Times New Roman" w:hAnsi="Times New Roman" w:eastAsia="仿宋_GB2312" w:cs="Times New Roman"/>
          <w:b w:val="0"/>
          <w:bCs w:val="0"/>
          <w:i w:val="0"/>
          <w:iCs w:val="0"/>
          <w:color w:val="auto"/>
          <w:sz w:val="32"/>
          <w:szCs w:val="32"/>
          <w:highlight w:val="none"/>
          <w:lang w:val="en-US" w:eastAsia="zh-CN"/>
        </w:rPr>
        <w:t>承担全区信息基础设施建设的规划、协调和管理, 协调电信市场涉及社会公共利益的重大事项; 指导企业信息化和物联网发展, 推动跨行业、跨部门面向社会服务网络的互联互通和信息资源共享; 负责数字经济产业、大数据管理相关职责。</w:t>
      </w:r>
    </w:p>
    <w:p w14:paraId="2217B3E1">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（十一）协助无线电管理。</w:t>
      </w:r>
      <w:r>
        <w:rPr>
          <w:rFonts w:hint="eastAsia" w:ascii="Times New Roman" w:hAnsi="Times New Roman" w:eastAsia="仿宋_GB2312" w:cs="Times New Roman"/>
          <w:b w:val="0"/>
          <w:bCs w:val="0"/>
          <w:i w:val="0"/>
          <w:iCs w:val="0"/>
          <w:color w:val="auto"/>
          <w:sz w:val="32"/>
          <w:szCs w:val="32"/>
          <w:highlight w:val="none"/>
          <w:lang w:val="en-US" w:eastAsia="zh-CN"/>
        </w:rPr>
        <w:t>协助上级无线电管理部门统一配置和管理全区无线电频率资源, 依法监督管理无线电台(站 ), 协助做好无线电电磁环境保护、无线电监测、检测和干扰查处工作, 依法组织实施无线电管制。</w:t>
      </w:r>
    </w:p>
    <w:p w14:paraId="6069F27F">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color w:val="auto"/>
          <w:kern w:val="2"/>
          <w:sz w:val="32"/>
          <w:szCs w:val="32"/>
          <w:lang w:val="en-US" w:eastAsia="zh-CN" w:bidi="ar-SA"/>
        </w:rPr>
        <w:t>（十二）对外经济合作。</w:t>
      </w:r>
      <w:r>
        <w:rPr>
          <w:rFonts w:hint="eastAsia" w:ascii="Times New Roman" w:hAnsi="Times New Roman" w:eastAsia="仿宋_GB2312" w:cs="Times New Roman"/>
          <w:b w:val="0"/>
          <w:bCs w:val="0"/>
          <w:i w:val="0"/>
          <w:iCs w:val="0"/>
          <w:color w:val="auto"/>
          <w:sz w:val="32"/>
          <w:szCs w:val="32"/>
          <w:highlight w:val="none"/>
          <w:lang w:val="en-US" w:eastAsia="zh-CN"/>
        </w:rPr>
        <w:t>会同有关部门提出工业和信息化领域对外开放和利用外资的政策建议, 参与区域经济合作和承接产业转移工作; 指导工业和信息化企业开展对外交流与合作、国际化经营、 境外投资及兼并重组。</w:t>
      </w:r>
    </w:p>
    <w:p w14:paraId="09B014DF">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楷体_GB2312" w:hAnsi="楷体_GB2312" w:eastAsia="楷体_GB2312" w:cs="楷体_GB2312"/>
          <w:b w:val="0"/>
          <w:bCs w:val="0"/>
          <w:i w:val="0"/>
          <w:iCs w:val="0"/>
          <w:color w:val="auto"/>
          <w:sz w:val="32"/>
          <w:szCs w:val="32"/>
          <w:highlight w:val="none"/>
          <w:lang w:val="en-US" w:eastAsia="zh-CN"/>
        </w:rPr>
        <w:t>（十三）</w:t>
      </w:r>
      <w:r>
        <w:rPr>
          <w:rFonts w:hint="eastAsia" w:ascii="Times New Roman" w:hAnsi="Times New Roman" w:eastAsia="仿宋_GB2312" w:cs="Times New Roman"/>
          <w:b w:val="0"/>
          <w:bCs w:val="0"/>
          <w:i w:val="0"/>
          <w:iCs w:val="0"/>
          <w:color w:val="auto"/>
          <w:sz w:val="32"/>
          <w:szCs w:val="32"/>
          <w:highlight w:val="none"/>
          <w:lang w:val="en-US" w:eastAsia="zh-CN"/>
        </w:rPr>
        <w:t>负责职责范围内的安全生产和职业健康、生态环境保护、审批服务便民化、市场监管、依法治理工作。</w:t>
      </w:r>
    </w:p>
    <w:p w14:paraId="77B3CF28">
      <w:pPr>
        <w:pStyle w:val="19"/>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楷体_GB2312" w:eastAsia="楷体_GB2312" w:cs="楷体_GB2312"/>
          <w:b w:val="0"/>
          <w:bCs w:val="0"/>
          <w:i w:val="0"/>
          <w:iCs w:val="0"/>
          <w:color w:val="auto"/>
          <w:sz w:val="32"/>
          <w:szCs w:val="32"/>
          <w:highlight w:val="none"/>
          <w:lang w:val="en-US" w:eastAsia="zh-CN"/>
        </w:rPr>
        <w:t>（十四）</w:t>
      </w:r>
      <w:r>
        <w:rPr>
          <w:rFonts w:hint="eastAsia" w:ascii="楷体_GB2312" w:hAnsi="楷体_GB2312" w:eastAsia="楷体_GB2312" w:cs="楷体_GB2312"/>
          <w:color w:val="auto"/>
          <w:kern w:val="2"/>
          <w:sz w:val="32"/>
          <w:szCs w:val="32"/>
          <w:lang w:val="en-US" w:eastAsia="zh-CN" w:bidi="ar-SA"/>
        </w:rPr>
        <w:t>职能转变。</w:t>
      </w:r>
      <w:r>
        <w:rPr>
          <w:rFonts w:hint="eastAsia" w:ascii="Times New Roman" w:hAnsi="Times New Roman" w:eastAsia="仿宋_GB2312" w:cs="Times New Roman"/>
          <w:b w:val="0"/>
          <w:bCs w:val="0"/>
          <w:i w:val="0"/>
          <w:iCs w:val="0"/>
          <w:color w:val="auto"/>
          <w:sz w:val="32"/>
          <w:szCs w:val="32"/>
          <w:highlight w:val="none"/>
          <w:lang w:val="en-US" w:eastAsia="zh-CN"/>
        </w:rPr>
        <w:t>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 进一步改进科技人才评价机制, 建立健全以创新能力、质量、贡献、绩效为导向的科技人才评价体系和激励政策, 统筹全区科技人才队伍建设和引进国外智力工作。不再承担知识产权管理和科普相关工作。</w:t>
      </w:r>
      <w:bookmarkStart w:id="27" w:name="_Toc15377200"/>
      <w:bookmarkStart w:id="28" w:name="_Toc15396601"/>
    </w:p>
    <w:p w14:paraId="29838AB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Style w:val="37"/>
          <w:rFonts w:hint="eastAsia" w:ascii="黑体" w:hAnsi="黑体" w:eastAsia="黑体"/>
          <w:b w:val="0"/>
          <w:bCs w:val="0"/>
          <w:color w:val="auto"/>
          <w:highlight w:val="none"/>
        </w:rPr>
        <w:t>二、机构设置</w:t>
      </w:r>
      <w:bookmarkEnd w:id="27"/>
      <w:bookmarkEnd w:id="28"/>
      <w:bookmarkStart w:id="29" w:name="_Toc15396602"/>
      <w:bookmarkStart w:id="30" w:name="_Toc15377204"/>
      <w:r>
        <w:rPr>
          <w:rStyle w:val="37"/>
          <w:rFonts w:hint="eastAsia" w:ascii="黑体" w:hAnsi="黑体" w:eastAsia="黑体"/>
          <w:b w:val="0"/>
          <w:bCs w:val="0"/>
          <w:color w:val="auto"/>
          <w:highlight w:val="none"/>
          <w:lang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安居区经信科技局下属二级单位0个，其中：行政单位0个，参照公务员法管理的事业单位0个。其他事业单位3个。未纳入安居区经</w:t>
      </w:r>
      <w:r>
        <w:rPr>
          <w:rFonts w:hint="eastAsia" w:eastAsia="仿宋_GB2312" w:cs="Times New Roman"/>
          <w:b w:val="0"/>
          <w:bCs w:val="0"/>
          <w:i w:val="0"/>
          <w:iCs w:val="0"/>
          <w:color w:val="auto"/>
          <w:kern w:val="2"/>
          <w:sz w:val="32"/>
          <w:szCs w:val="32"/>
          <w:highlight w:val="none"/>
          <w:lang w:val="en-US" w:eastAsia="zh-CN" w:bidi="ar-SA"/>
        </w:rPr>
        <w:t>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科</w:t>
      </w:r>
      <w:r>
        <w:rPr>
          <w:rFonts w:hint="eastAsia" w:eastAsia="仿宋_GB2312" w:cs="Times New Roman"/>
          <w:b w:val="0"/>
          <w:bCs w:val="0"/>
          <w:i w:val="0"/>
          <w:iCs w:val="0"/>
          <w:color w:val="auto"/>
          <w:kern w:val="2"/>
          <w:sz w:val="32"/>
          <w:szCs w:val="32"/>
          <w:highlight w:val="none"/>
          <w:lang w:val="en-US" w:eastAsia="zh-CN" w:bidi="ar-SA"/>
        </w:rPr>
        <w:t>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局2024年度部门决算编制范围的二级预算单位。</w:t>
      </w:r>
    </w:p>
    <w:p w14:paraId="66D9F1AE">
      <w:pPr>
        <w:pStyle w:val="5"/>
        <w:ind w:right="440"/>
        <w:jc w:val="center"/>
        <w:rPr>
          <w:rStyle w:val="36"/>
          <w:rFonts w:ascii="黑体" w:hAnsi="黑体" w:eastAsia="黑体"/>
          <w:b w:val="0"/>
          <w:bCs/>
          <w:color w:val="auto"/>
          <w:highlight w:val="none"/>
        </w:rPr>
      </w:pPr>
      <w:bookmarkStart w:id="31" w:name="_Toc22248_WPSOffice_Level1"/>
      <w:r>
        <w:rPr>
          <w:rFonts w:hint="eastAsia" w:ascii="黑体" w:hAnsi="黑体" w:eastAsia="黑体" w:cs="Times New Roman"/>
          <w:b w:val="0"/>
          <w:bCs/>
          <w:color w:val="auto"/>
          <w:highlight w:val="none"/>
          <w:lang w:val="en-US" w:eastAsia="zh-CN"/>
        </w:rPr>
        <w:t>第二</w:t>
      </w:r>
      <w:r>
        <w:rPr>
          <w:rFonts w:hint="eastAsia" w:ascii="黑体" w:hAnsi="黑体" w:eastAsia="黑体"/>
          <w:b w:val="0"/>
          <w:bCs/>
          <w:color w:val="auto"/>
          <w:highlight w:val="none"/>
        </w:rPr>
        <w:t xml:space="preserve">部分 </w:t>
      </w:r>
      <w:r>
        <w:rPr>
          <w:rFonts w:hint="eastAsia" w:ascii="黑体" w:hAnsi="黑体" w:eastAsia="黑体"/>
          <w:b w:val="0"/>
          <w:bCs/>
          <w:color w:val="auto"/>
          <w:highlight w:val="none"/>
          <w:lang w:val="en-US" w:eastAsia="zh-CN"/>
        </w:rPr>
        <w:t>2024年度</w:t>
      </w:r>
      <w:r>
        <w:rPr>
          <w:rStyle w:val="36"/>
          <w:rFonts w:hint="eastAsia" w:ascii="黑体" w:hAnsi="黑体" w:eastAsia="黑体"/>
          <w:b w:val="0"/>
          <w:bCs/>
          <w:color w:val="auto"/>
          <w:highlight w:val="none"/>
        </w:rPr>
        <w:t>部门决算情况说明</w:t>
      </w:r>
      <w:bookmarkEnd w:id="29"/>
      <w:bookmarkEnd w:id="30"/>
      <w:bookmarkEnd w:id="31"/>
    </w:p>
    <w:p w14:paraId="4C3460CC">
      <w:pPr>
        <w:pStyle w:val="35"/>
        <w:numPr>
          <w:ilvl w:val="0"/>
          <w:numId w:val="2"/>
        </w:numPr>
        <w:spacing w:line="600" w:lineRule="exact"/>
        <w:ind w:firstLineChars="0"/>
        <w:outlineLvl w:val="1"/>
        <w:rPr>
          <w:rStyle w:val="37"/>
          <w:rFonts w:ascii="黑体" w:hAnsi="黑体" w:eastAsia="黑体"/>
          <w:b w:val="0"/>
          <w:color w:val="auto"/>
          <w:highlight w:val="none"/>
        </w:rPr>
      </w:pPr>
      <w:bookmarkStart w:id="32" w:name="_Toc15396603"/>
      <w:bookmarkStart w:id="33" w:name="_Toc15377205"/>
      <w:bookmarkStart w:id="34" w:name="_Toc22248_WPSOffice_Level2"/>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入支出决算总体情况说明</w:t>
      </w:r>
      <w:bookmarkEnd w:id="32"/>
      <w:bookmarkEnd w:id="33"/>
      <w:bookmarkEnd w:id="34"/>
    </w:p>
    <w:p w14:paraId="77A7D33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2024年度收、支总计均为5180.59万元。与2023年相比，收、支总计各增加1607.03万元，增长52.65%。主要变动原因是</w:t>
      </w:r>
      <w:r>
        <w:rPr>
          <w:rFonts w:hint="eastAsia" w:eastAsia="仿宋_GB2312" w:cs="Times New Roman"/>
          <w:b w:val="0"/>
          <w:bCs w:val="0"/>
          <w:i w:val="0"/>
          <w:iCs w:val="0"/>
          <w:color w:val="auto"/>
          <w:kern w:val="2"/>
          <w:sz w:val="32"/>
          <w:szCs w:val="32"/>
          <w:highlight w:val="none"/>
          <w:lang w:val="en-US" w:eastAsia="zh-CN" w:bidi="ar-SA"/>
        </w:rPr>
        <w:t>2024年省级工业专项资金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项目支出增加。</w:t>
      </w:r>
    </w:p>
    <w:p w14:paraId="4D3BAF78">
      <w:pPr>
        <w:pStyle w:val="26"/>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63500</wp:posOffset>
            </wp:positionH>
            <wp:positionV relativeFrom="paragraph">
              <wp:posOffset>116205</wp:posOffset>
            </wp:positionV>
            <wp:extent cx="5157470" cy="2905125"/>
            <wp:effectExtent l="4445" t="4445" r="1968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DF58E21">
      <w:pPr>
        <w:pStyle w:val="27"/>
        <w:rPr>
          <w:rFonts w:hint="eastAsia" w:ascii="仿宋" w:hAnsi="仿宋" w:eastAsia="仿宋"/>
          <w:color w:val="auto"/>
          <w:sz w:val="32"/>
          <w:szCs w:val="32"/>
          <w:highlight w:val="none"/>
          <w:lang w:eastAsia="zh-CN"/>
        </w:rPr>
      </w:pPr>
    </w:p>
    <w:p w14:paraId="3A620297">
      <w:pPr>
        <w:rPr>
          <w:rFonts w:hint="eastAsia" w:ascii="仿宋" w:hAnsi="仿宋" w:eastAsia="仿宋"/>
          <w:color w:val="auto"/>
          <w:sz w:val="32"/>
          <w:szCs w:val="32"/>
          <w:highlight w:val="none"/>
          <w:lang w:eastAsia="zh-CN"/>
        </w:rPr>
      </w:pPr>
    </w:p>
    <w:p w14:paraId="4376D297">
      <w:pPr>
        <w:pStyle w:val="26"/>
        <w:rPr>
          <w:rFonts w:hint="eastAsia" w:ascii="仿宋" w:hAnsi="仿宋" w:eastAsia="仿宋"/>
          <w:color w:val="auto"/>
          <w:sz w:val="32"/>
          <w:szCs w:val="32"/>
          <w:highlight w:val="none"/>
          <w:lang w:eastAsia="zh-CN"/>
        </w:rPr>
      </w:pPr>
    </w:p>
    <w:p w14:paraId="4B5373E4">
      <w:pPr>
        <w:pStyle w:val="27"/>
        <w:rPr>
          <w:rFonts w:hint="eastAsia" w:ascii="仿宋" w:hAnsi="仿宋" w:eastAsia="仿宋"/>
          <w:color w:val="auto"/>
          <w:sz w:val="32"/>
          <w:szCs w:val="32"/>
          <w:highlight w:val="none"/>
          <w:lang w:eastAsia="zh-CN"/>
        </w:rPr>
      </w:pPr>
    </w:p>
    <w:p w14:paraId="5FDD1B95">
      <w:pPr>
        <w:rPr>
          <w:rFonts w:hint="eastAsia" w:ascii="仿宋" w:hAnsi="仿宋" w:eastAsia="仿宋"/>
          <w:color w:val="auto"/>
          <w:sz w:val="32"/>
          <w:szCs w:val="32"/>
          <w:highlight w:val="none"/>
          <w:lang w:eastAsia="zh-CN"/>
        </w:rPr>
      </w:pPr>
    </w:p>
    <w:p w14:paraId="14AFF86D">
      <w:pPr>
        <w:pStyle w:val="26"/>
        <w:rPr>
          <w:rFonts w:hint="eastAsia"/>
          <w:lang w:eastAsia="zh-CN"/>
        </w:rPr>
      </w:pPr>
    </w:p>
    <w:p w14:paraId="6080BB4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仿宋_GB2312"/>
          <w:b w:val="0"/>
          <w:bCs w:val="0"/>
          <w:i w:val="0"/>
          <w:iCs w:val="0"/>
          <w:color w:val="0000FF"/>
          <w:kern w:val="2"/>
          <w:sz w:val="32"/>
          <w:szCs w:val="32"/>
          <w:highlight w:val="none"/>
          <w:lang w:val="en-US" w:eastAsia="zh-CN" w:bidi="ar-SA"/>
        </w:rPr>
        <w:t>（图1：收、支决算总计变动情况图）（柱状图）</w:t>
      </w:r>
    </w:p>
    <w:p w14:paraId="7D64B0D4">
      <w:pPr>
        <w:pStyle w:val="35"/>
        <w:numPr>
          <w:ilvl w:val="0"/>
          <w:numId w:val="2"/>
        </w:numPr>
        <w:spacing w:line="600" w:lineRule="exact"/>
        <w:ind w:firstLineChars="0"/>
        <w:outlineLvl w:val="1"/>
        <w:rPr>
          <w:rStyle w:val="37"/>
          <w:rFonts w:ascii="黑体" w:hAnsi="黑体" w:eastAsia="黑体"/>
          <w:b w:val="0"/>
          <w:color w:val="auto"/>
          <w:highlight w:val="none"/>
        </w:rPr>
      </w:pPr>
      <w:bookmarkStart w:id="35" w:name="_Toc5903_WPSOffice_Level2"/>
      <w:bookmarkStart w:id="36" w:name="_Toc15377206"/>
      <w:bookmarkStart w:id="37" w:name="_Toc15396604"/>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入决算情况说明</w:t>
      </w:r>
      <w:bookmarkEnd w:id="35"/>
      <w:bookmarkEnd w:id="36"/>
      <w:bookmarkEnd w:id="37"/>
    </w:p>
    <w:p w14:paraId="2C3D8B7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本年收入合计5180.59万元，其中：一般公共预算财政拨款收入4657.38万元，占99.18%；政府性基金预算财政拨款收入27.99万元，占0.82%；国有资本经营预算财政拨款收入0万元，占0%；上级补助收入0万元，占0%；事业收入0万元，占0%；经营收入0万元，占0%；附属单位上缴收入0万元，占0%；其他收入0万元，占0%。</w:t>
      </w:r>
    </w:p>
    <w:p w14:paraId="3DF2D87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726EEDF">
      <w:pPr>
        <w:spacing w:line="600" w:lineRule="exact"/>
        <w:rPr>
          <w:rFonts w:ascii="仿宋_GB2312" w:eastAsia="仿宋_GB2312"/>
          <w:color w:val="auto"/>
          <w:sz w:val="32"/>
          <w:szCs w:val="32"/>
          <w:highlight w:val="none"/>
        </w:rPr>
      </w:pPr>
    </w:p>
    <w:p w14:paraId="7789FE52">
      <w:pPr>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405130</wp:posOffset>
            </wp:positionH>
            <wp:positionV relativeFrom="paragraph">
              <wp:posOffset>544195</wp:posOffset>
            </wp:positionV>
            <wp:extent cx="4798695" cy="2401570"/>
            <wp:effectExtent l="5080" t="4445" r="15875" b="1333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CAF7F6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eastAsia="zh-CN"/>
        </w:rPr>
      </w:pPr>
    </w:p>
    <w:p w14:paraId="7AFEF83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b w:val="0"/>
          <w:bCs w:val="0"/>
          <w:i w:val="0"/>
          <w:iCs w:val="0"/>
          <w:color w:val="auto"/>
          <w:sz w:val="32"/>
          <w:szCs w:val="32"/>
          <w:highlight w:val="none"/>
          <w:lang w:eastAsia="zh-CN"/>
        </w:rPr>
      </w:pPr>
    </w:p>
    <w:p w14:paraId="4B980419">
      <w:pPr>
        <w:pStyle w:val="2"/>
        <w:rPr>
          <w:rFonts w:hint="eastAsia" w:ascii="Times New Roman" w:hAnsi="Times New Roman" w:eastAsia="仿宋_GB2312" w:cs="Times New Roman"/>
          <w:b w:val="0"/>
          <w:bCs w:val="0"/>
          <w:i w:val="0"/>
          <w:iCs w:val="0"/>
          <w:color w:val="auto"/>
          <w:sz w:val="32"/>
          <w:szCs w:val="32"/>
          <w:highlight w:val="none"/>
          <w:lang w:eastAsia="zh-CN"/>
        </w:rPr>
      </w:pPr>
    </w:p>
    <w:p w14:paraId="7660D98C">
      <w:pPr>
        <w:pStyle w:val="3"/>
        <w:rPr>
          <w:rFonts w:hint="eastAsia" w:ascii="Times New Roman" w:hAnsi="Times New Roman" w:eastAsia="仿宋_GB2312" w:cs="Times New Roman"/>
          <w:b w:val="0"/>
          <w:bCs w:val="0"/>
          <w:i w:val="0"/>
          <w:iCs w:val="0"/>
          <w:color w:val="auto"/>
          <w:sz w:val="32"/>
          <w:szCs w:val="32"/>
          <w:highlight w:val="none"/>
          <w:lang w:eastAsia="zh-CN"/>
        </w:rPr>
      </w:pPr>
    </w:p>
    <w:p w14:paraId="1AE537EE">
      <w:pPr>
        <w:pStyle w:val="3"/>
        <w:rPr>
          <w:rFonts w:hint="eastAsia" w:ascii="Times New Roman" w:hAnsi="Times New Roman" w:eastAsia="仿宋_GB2312" w:cs="Times New Roman"/>
          <w:b w:val="0"/>
          <w:bCs w:val="0"/>
          <w:i w:val="0"/>
          <w:iCs w:val="0"/>
          <w:color w:val="auto"/>
          <w:sz w:val="32"/>
          <w:szCs w:val="32"/>
          <w:highlight w:val="none"/>
          <w:lang w:eastAsia="zh-CN"/>
        </w:rPr>
      </w:pPr>
    </w:p>
    <w:p w14:paraId="7A598D73">
      <w:pPr>
        <w:pStyle w:val="3"/>
        <w:rPr>
          <w:rFonts w:hint="eastAsia" w:ascii="Times New Roman" w:hAnsi="Times New Roman" w:eastAsia="仿宋_GB2312" w:cs="Times New Roman"/>
          <w:b w:val="0"/>
          <w:bCs w:val="0"/>
          <w:i w:val="0"/>
          <w:iCs w:val="0"/>
          <w:color w:val="auto"/>
          <w:sz w:val="32"/>
          <w:szCs w:val="32"/>
          <w:highlight w:val="none"/>
          <w:lang w:eastAsia="zh-CN"/>
        </w:rPr>
      </w:pPr>
    </w:p>
    <w:p w14:paraId="2DB92BC3">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Times New Roman" w:hAnsi="Times New Roman" w:eastAsia="仿宋_GB2312" w:cs="仿宋_GB2312"/>
          <w:b w:val="0"/>
          <w:bCs w:val="0"/>
          <w:i w:val="0"/>
          <w:iCs w:val="0"/>
          <w:color w:val="0000FF"/>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b w:val="0"/>
          <w:bCs w:val="0"/>
          <w:i w:val="0"/>
          <w:iCs w:val="0"/>
          <w:color w:val="0000FF"/>
          <w:kern w:val="2"/>
          <w:sz w:val="32"/>
          <w:szCs w:val="32"/>
          <w:highlight w:val="none"/>
          <w:lang w:val="en-US" w:eastAsia="zh-CN" w:bidi="ar-SA"/>
        </w:rPr>
        <w:t>（图2：收入决算结构图）（饼状图）</w:t>
      </w:r>
    </w:p>
    <w:p w14:paraId="75C8976E">
      <w:pPr>
        <w:pStyle w:val="35"/>
        <w:numPr>
          <w:ilvl w:val="0"/>
          <w:numId w:val="2"/>
        </w:numPr>
        <w:spacing w:line="600" w:lineRule="exact"/>
        <w:ind w:firstLineChars="0"/>
        <w:outlineLvl w:val="1"/>
        <w:rPr>
          <w:rStyle w:val="37"/>
          <w:rFonts w:ascii="黑体" w:hAnsi="黑体" w:eastAsia="黑体"/>
          <w:b w:val="0"/>
          <w:color w:val="auto"/>
          <w:highlight w:val="none"/>
        </w:rPr>
      </w:pPr>
      <w:bookmarkStart w:id="38" w:name="_Toc15396605"/>
      <w:bookmarkStart w:id="39" w:name="_Toc15377207"/>
      <w:bookmarkStart w:id="40" w:name="_Toc17109_WPSOffice_Level2"/>
      <w:r>
        <w:rPr>
          <w:rFonts w:hint="eastAsia" w:ascii="黑体" w:hAnsi="黑体" w:eastAsia="黑体"/>
          <w:color w:val="auto"/>
          <w:sz w:val="32"/>
          <w:szCs w:val="32"/>
          <w:highlight w:val="none"/>
        </w:rPr>
        <w:t>支</w:t>
      </w:r>
      <w:r>
        <w:rPr>
          <w:rStyle w:val="37"/>
          <w:rFonts w:hint="eastAsia" w:ascii="黑体" w:hAnsi="黑体" w:eastAsia="黑体"/>
          <w:b w:val="0"/>
          <w:color w:val="auto"/>
          <w:highlight w:val="none"/>
        </w:rPr>
        <w:t>出决算情况说明</w:t>
      </w:r>
      <w:bookmarkEnd w:id="38"/>
      <w:bookmarkEnd w:id="39"/>
      <w:bookmarkEnd w:id="40"/>
    </w:p>
    <w:p w14:paraId="6E7EE1C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2024年本年支出合计5180.59万元，其中：基本支出457.86万元，占13.49%；项目支出2935.95万元，占86.51%；上缴上级支出0万元，占0%；经营支出0万元，占0%；对附属单位补助支出0万元，占0%。</w:t>
      </w:r>
    </w:p>
    <w:p w14:paraId="3A4AFEF0">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233045</wp:posOffset>
            </wp:positionH>
            <wp:positionV relativeFrom="paragraph">
              <wp:posOffset>66675</wp:posOffset>
            </wp:positionV>
            <wp:extent cx="4798060" cy="2561590"/>
            <wp:effectExtent l="4445" t="5080" r="1714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5A055A">
      <w:pPr>
        <w:spacing w:line="600" w:lineRule="exact"/>
        <w:ind w:firstLine="640" w:firstLineChars="200"/>
        <w:rPr>
          <w:rFonts w:hint="eastAsia" w:ascii="仿宋" w:hAnsi="仿宋" w:eastAsia="仿宋"/>
          <w:color w:val="auto"/>
          <w:sz w:val="32"/>
          <w:szCs w:val="32"/>
          <w:highlight w:val="none"/>
        </w:rPr>
      </w:pPr>
    </w:p>
    <w:p w14:paraId="48E0C71A">
      <w:pPr>
        <w:spacing w:line="600" w:lineRule="exact"/>
        <w:ind w:firstLine="640" w:firstLineChars="200"/>
        <w:rPr>
          <w:rFonts w:hint="eastAsia" w:ascii="仿宋" w:hAnsi="仿宋" w:eastAsia="仿宋"/>
          <w:color w:val="auto"/>
          <w:sz w:val="32"/>
          <w:szCs w:val="32"/>
          <w:highlight w:val="none"/>
        </w:rPr>
      </w:pPr>
    </w:p>
    <w:p w14:paraId="7E7330D4">
      <w:pPr>
        <w:spacing w:line="600" w:lineRule="exact"/>
        <w:ind w:firstLine="640" w:firstLineChars="200"/>
        <w:rPr>
          <w:rFonts w:hint="eastAsia" w:ascii="仿宋" w:hAnsi="仿宋" w:eastAsia="仿宋"/>
          <w:color w:val="auto"/>
          <w:sz w:val="32"/>
          <w:szCs w:val="32"/>
          <w:highlight w:val="none"/>
        </w:rPr>
      </w:pPr>
    </w:p>
    <w:p w14:paraId="7FEC5B21">
      <w:pPr>
        <w:spacing w:line="600" w:lineRule="exact"/>
        <w:ind w:firstLine="640" w:firstLineChars="200"/>
        <w:rPr>
          <w:rFonts w:hint="eastAsia" w:ascii="仿宋" w:hAnsi="仿宋" w:eastAsia="仿宋"/>
          <w:color w:val="auto"/>
          <w:sz w:val="32"/>
          <w:szCs w:val="32"/>
          <w:highlight w:val="none"/>
        </w:rPr>
      </w:pPr>
    </w:p>
    <w:p w14:paraId="62824E76">
      <w:pPr>
        <w:spacing w:line="600" w:lineRule="exact"/>
        <w:ind w:firstLine="640" w:firstLineChars="200"/>
        <w:rPr>
          <w:rFonts w:hint="eastAsia" w:ascii="仿宋" w:hAnsi="仿宋" w:eastAsia="仿宋"/>
          <w:color w:val="auto"/>
          <w:sz w:val="32"/>
          <w:szCs w:val="32"/>
          <w:highlight w:val="none"/>
        </w:rPr>
      </w:pPr>
    </w:p>
    <w:p w14:paraId="3BA364B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　　</w:t>
      </w:r>
      <w:r>
        <w:rPr>
          <w:rFonts w:hint="eastAsia" w:ascii="仿宋" w:hAnsi="仿宋" w:eastAsia="仿宋"/>
          <w:color w:val="auto"/>
          <w:sz w:val="32"/>
          <w:szCs w:val="32"/>
          <w:highlight w:val="none"/>
        </w:rPr>
        <w:t>（图3：支出决算结构图）（饼状图）</w:t>
      </w:r>
    </w:p>
    <w:p w14:paraId="7EB19F3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b w:val="0"/>
          <w:bCs w:val="0"/>
          <w:i w:val="0"/>
          <w:iCs w:val="0"/>
          <w:color w:val="0000FF"/>
          <w:kern w:val="2"/>
          <w:sz w:val="32"/>
          <w:szCs w:val="32"/>
          <w:highlight w:val="none"/>
          <w:lang w:val="en-US" w:eastAsia="zh-CN" w:bidi="ar-SA"/>
        </w:rPr>
      </w:pPr>
      <w:bookmarkStart w:id="41" w:name="_Toc15396606"/>
      <w:bookmarkStart w:id="42" w:name="_Toc15377208"/>
      <w:r>
        <w:rPr>
          <w:rFonts w:hint="eastAsia" w:ascii="Times New Roman" w:hAnsi="Times New Roman" w:eastAsia="仿宋_GB2312" w:cs="Times New Roman"/>
          <w:b w:val="0"/>
          <w:bCs w:val="0"/>
          <w:i w:val="0"/>
          <w:iCs w:val="0"/>
          <w:color w:val="auto"/>
          <w:sz w:val="32"/>
          <w:szCs w:val="32"/>
          <w:highlight w:val="none"/>
          <w:lang w:eastAsia="zh-CN"/>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仿宋_GB2312"/>
          <w:b w:val="0"/>
          <w:bCs w:val="0"/>
          <w:i w:val="0"/>
          <w:iCs w:val="0"/>
          <w:color w:val="0000FF"/>
          <w:kern w:val="2"/>
          <w:sz w:val="32"/>
          <w:szCs w:val="32"/>
          <w:highlight w:val="none"/>
          <w:lang w:val="en-US" w:eastAsia="zh-CN" w:bidi="ar-SA"/>
        </w:rPr>
        <w:t>（图3：支出决算结构图）（饼状图）</w:t>
      </w:r>
    </w:p>
    <w:p w14:paraId="4C051AB8">
      <w:pPr>
        <w:spacing w:line="600" w:lineRule="exact"/>
        <w:ind w:firstLine="640" w:firstLineChars="200"/>
        <w:outlineLvl w:val="1"/>
        <w:rPr>
          <w:rStyle w:val="37"/>
          <w:rFonts w:ascii="黑体" w:hAnsi="黑体" w:eastAsia="黑体"/>
          <w:b w:val="0"/>
          <w:color w:val="auto"/>
          <w:highlight w:val="none"/>
        </w:rPr>
      </w:pPr>
      <w:bookmarkStart w:id="43" w:name="_Toc13254_WPSOffice_Level2"/>
      <w:r>
        <w:rPr>
          <w:rFonts w:hint="eastAsia" w:ascii="黑体" w:hAnsi="黑体" w:eastAsia="黑体"/>
          <w:color w:val="auto"/>
          <w:sz w:val="32"/>
          <w:szCs w:val="32"/>
          <w:highlight w:val="none"/>
        </w:rPr>
        <w:t>四、财</w:t>
      </w:r>
      <w:r>
        <w:rPr>
          <w:rStyle w:val="37"/>
          <w:rFonts w:hint="eastAsia" w:ascii="黑体" w:hAnsi="黑体" w:eastAsia="黑体"/>
          <w:b w:val="0"/>
          <w:color w:val="auto"/>
          <w:highlight w:val="none"/>
        </w:rPr>
        <w:t>政拨款收入支出决算总体情况说明</w:t>
      </w:r>
      <w:bookmarkEnd w:id="41"/>
      <w:bookmarkEnd w:id="42"/>
      <w:bookmarkEnd w:id="43"/>
    </w:p>
    <w:p w14:paraId="29271123">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2024年财政拨款收、支总计均为5180.59万元。与2023年相比，财政拨款收、支总计各增加1607.03万元，增长3.02%。主要变动原因是人员保险、公积金及项目支出增加。</w:t>
      </w:r>
    </w:p>
    <w:p w14:paraId="7F592D2C">
      <w:pPr>
        <w:spacing w:line="600" w:lineRule="exact"/>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20955</wp:posOffset>
            </wp:positionH>
            <wp:positionV relativeFrom="paragraph">
              <wp:posOffset>17145</wp:posOffset>
            </wp:positionV>
            <wp:extent cx="5210175" cy="2895600"/>
            <wp:effectExtent l="4445" t="4445" r="5080"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443E285">
      <w:pPr>
        <w:pStyle w:val="26"/>
        <w:rPr>
          <w:rFonts w:ascii="仿宋" w:hAnsi="仿宋" w:eastAsia="仿宋"/>
          <w:color w:val="auto"/>
          <w:sz w:val="32"/>
          <w:szCs w:val="32"/>
          <w:highlight w:val="none"/>
        </w:rPr>
      </w:pPr>
    </w:p>
    <w:p w14:paraId="1910F0B7">
      <w:pPr>
        <w:pStyle w:val="27"/>
        <w:rPr>
          <w:rFonts w:ascii="仿宋" w:hAnsi="仿宋" w:eastAsia="仿宋"/>
          <w:color w:val="auto"/>
          <w:sz w:val="32"/>
          <w:szCs w:val="32"/>
          <w:highlight w:val="none"/>
        </w:rPr>
      </w:pPr>
    </w:p>
    <w:p w14:paraId="4684F748">
      <w:pPr>
        <w:rPr>
          <w:rFonts w:ascii="仿宋" w:hAnsi="仿宋" w:eastAsia="仿宋"/>
          <w:color w:val="auto"/>
          <w:sz w:val="32"/>
          <w:szCs w:val="32"/>
          <w:highlight w:val="none"/>
        </w:rPr>
      </w:pPr>
    </w:p>
    <w:p w14:paraId="711FF7D7">
      <w:pPr>
        <w:pStyle w:val="26"/>
        <w:rPr>
          <w:rFonts w:ascii="仿宋" w:hAnsi="仿宋" w:eastAsia="仿宋"/>
          <w:color w:val="auto"/>
          <w:sz w:val="32"/>
          <w:szCs w:val="32"/>
          <w:highlight w:val="none"/>
        </w:rPr>
      </w:pPr>
    </w:p>
    <w:p w14:paraId="08DAE298">
      <w:pPr>
        <w:pStyle w:val="27"/>
        <w:rPr>
          <w:rFonts w:ascii="仿宋" w:hAnsi="仿宋" w:eastAsia="仿宋"/>
          <w:color w:val="auto"/>
          <w:sz w:val="32"/>
          <w:szCs w:val="32"/>
          <w:highlight w:val="none"/>
        </w:rPr>
      </w:pPr>
    </w:p>
    <w:p w14:paraId="6D5798E5"/>
    <w:p w14:paraId="03516B68">
      <w:pPr>
        <w:keepNext w:val="0"/>
        <w:keepLines w:val="0"/>
        <w:pageBreakBefore w:val="0"/>
        <w:kinsoku/>
        <w:wordWrap/>
        <w:overflowPunct/>
        <w:topLinePunct w:val="0"/>
        <w:autoSpaceDE/>
        <w:autoSpaceDN/>
        <w:bidi w:val="0"/>
        <w:spacing w:line="500" w:lineRule="exact"/>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仿宋_GB2312"/>
          <w:b w:val="0"/>
          <w:bCs w:val="0"/>
          <w:i w:val="0"/>
          <w:iCs w:val="0"/>
          <w:color w:val="0000FF"/>
          <w:kern w:val="2"/>
          <w:sz w:val="32"/>
          <w:szCs w:val="32"/>
          <w:highlight w:val="none"/>
          <w:lang w:val="en-US" w:eastAsia="zh-CN" w:bidi="ar-SA"/>
        </w:rPr>
        <w:t>（图4：财政拨款收、支决算总计变动情况）（柱状图）</w:t>
      </w:r>
    </w:p>
    <w:p w14:paraId="4EF1103D">
      <w:pPr>
        <w:spacing w:line="600" w:lineRule="exact"/>
        <w:ind w:firstLine="640" w:firstLineChars="200"/>
        <w:outlineLvl w:val="1"/>
        <w:rPr>
          <w:rStyle w:val="37"/>
          <w:rFonts w:ascii="黑体" w:hAnsi="黑体" w:eastAsia="黑体"/>
          <w:b w:val="0"/>
          <w:color w:val="auto"/>
          <w:highlight w:val="none"/>
        </w:rPr>
      </w:pPr>
      <w:bookmarkStart w:id="44" w:name="_Toc15377209"/>
      <w:bookmarkStart w:id="45" w:name="_Toc6489_WPSOffice_Level2"/>
      <w:bookmarkStart w:id="4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般公共预算财政拨款支出决算情况说明</w:t>
      </w:r>
      <w:bookmarkEnd w:id="44"/>
      <w:bookmarkEnd w:id="45"/>
      <w:bookmarkEnd w:id="46"/>
    </w:p>
    <w:p w14:paraId="5DD5CAD6">
      <w:pPr>
        <w:spacing w:line="600" w:lineRule="exact"/>
        <w:ind w:firstLine="640" w:firstLineChars="200"/>
        <w:outlineLvl w:val="2"/>
        <w:rPr>
          <w:rFonts w:hint="eastAsia" w:ascii="楷体_GB2312" w:hAnsi="楷体_GB2312" w:eastAsia="楷体_GB2312" w:cs="楷体_GB2312"/>
          <w:color w:val="auto"/>
          <w:kern w:val="2"/>
          <w:sz w:val="32"/>
          <w:szCs w:val="32"/>
          <w:lang w:val="en-US" w:eastAsia="zh-CN" w:bidi="ar-SA"/>
        </w:rPr>
      </w:pPr>
      <w:bookmarkStart w:id="47" w:name="_Toc8948_WPSOffice_Level3"/>
      <w:bookmarkStart w:id="48" w:name="_Toc22248_WPSOffice_Level3"/>
      <w:bookmarkStart w:id="49" w:name="_Toc15377210"/>
      <w:r>
        <w:rPr>
          <w:rFonts w:hint="eastAsia" w:ascii="楷体_GB2312" w:hAnsi="楷体_GB2312" w:eastAsia="楷体_GB2312" w:cs="楷体_GB2312"/>
          <w:color w:val="auto"/>
          <w:kern w:val="2"/>
          <w:sz w:val="32"/>
          <w:szCs w:val="32"/>
          <w:lang w:val="en-US" w:eastAsia="zh-CN" w:bidi="ar-SA"/>
        </w:rPr>
        <w:t>（一）一般公共预算财政拨款支出决算总体情况</w:t>
      </w:r>
      <w:bookmarkEnd w:id="47"/>
      <w:bookmarkEnd w:id="48"/>
      <w:bookmarkEnd w:id="49"/>
    </w:p>
    <w:p w14:paraId="07C69EC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2024年一般公共预算财政拨款支出4657.38万元，占本年支出合计的89.9%。与2023年相比，一般公共预算财政拨款支出增加1291.56万元，增长38.37%。主要变动原因是2024年一般公共预算财政拨款项目支出增加较多。</w:t>
      </w:r>
    </w:p>
    <w:p w14:paraId="7F870A3F">
      <w:pPr>
        <w:pStyle w:val="26"/>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21590</wp:posOffset>
            </wp:positionH>
            <wp:positionV relativeFrom="paragraph">
              <wp:posOffset>38100</wp:posOffset>
            </wp:positionV>
            <wp:extent cx="5235575" cy="2855595"/>
            <wp:effectExtent l="4445" t="4445" r="17780" b="1651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AC9314E">
      <w:pPr>
        <w:spacing w:line="600" w:lineRule="exact"/>
        <w:rPr>
          <w:rFonts w:hint="eastAsia" w:ascii="仿宋" w:hAnsi="仿宋" w:eastAsia="仿宋"/>
          <w:color w:val="auto"/>
          <w:sz w:val="32"/>
          <w:szCs w:val="32"/>
          <w:highlight w:val="none"/>
        </w:rPr>
      </w:pPr>
    </w:p>
    <w:p w14:paraId="02AECA2E">
      <w:pPr>
        <w:spacing w:line="600" w:lineRule="exact"/>
        <w:rPr>
          <w:rFonts w:ascii="仿宋" w:hAnsi="仿宋" w:eastAsia="仿宋"/>
          <w:color w:val="auto"/>
          <w:sz w:val="32"/>
          <w:szCs w:val="32"/>
          <w:highlight w:val="none"/>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（图5：一般公共预算财政拨款支出决算变动情况）（柱状图）</w:t>
      </w:r>
    </w:p>
    <w:p w14:paraId="11F10740">
      <w:pPr>
        <w:spacing w:line="600" w:lineRule="exact"/>
        <w:ind w:firstLine="643" w:firstLineChars="200"/>
        <w:outlineLvl w:val="2"/>
        <w:rPr>
          <w:rFonts w:ascii="仿宋" w:hAnsi="仿宋" w:eastAsia="仿宋"/>
          <w:b/>
          <w:color w:val="auto"/>
          <w:sz w:val="32"/>
          <w:szCs w:val="32"/>
          <w:highlight w:val="none"/>
        </w:rPr>
      </w:pPr>
      <w:bookmarkStart w:id="50" w:name="_Toc15377211"/>
      <w:bookmarkStart w:id="51" w:name="_Toc10301_WPSOffice_Level3"/>
      <w:bookmarkStart w:id="52" w:name="_Toc5903_WPSOffice_Level3"/>
      <w:r>
        <w:rPr>
          <w:rFonts w:hint="eastAsia" w:ascii="仿宋" w:hAnsi="仿宋" w:eastAsia="仿宋"/>
          <w:b/>
          <w:color w:val="auto"/>
          <w:sz w:val="32"/>
          <w:szCs w:val="32"/>
          <w:highlight w:val="none"/>
        </w:rPr>
        <w:t>（二）一般公共预算财政拨款支出决算结构情况</w:t>
      </w:r>
      <w:bookmarkEnd w:id="50"/>
      <w:bookmarkEnd w:id="51"/>
      <w:bookmarkEnd w:id="52"/>
    </w:p>
    <w:p w14:paraId="7400B019">
      <w:pPr>
        <w:spacing w:line="600" w:lineRule="exact"/>
        <w:ind w:firstLine="640" w:firstLineChars="200"/>
        <w:rPr>
          <w:rFonts w:hint="eastAsia" w:ascii="Times New Roman" w:hAnsi="Times New Roman" w:eastAsia="仿宋_GB2312" w:cs="仿宋_GB2312"/>
          <w:color w:val="0000FF"/>
          <w:kern w:val="2"/>
          <w:sz w:val="32"/>
          <w:szCs w:val="32"/>
          <w:highlight w:val="none"/>
          <w:lang w:val="en-US" w:eastAsia="zh-CN" w:bidi="ar-SA"/>
        </w:rPr>
      </w:pPr>
      <w:r>
        <w:rPr>
          <w:rFonts w:hint="eastAsia" w:ascii="Times New Roman" w:hAnsi="Times New Roman" w:eastAsia="仿宋_GB2312" w:cs="仿宋_GB2312"/>
          <w:color w:val="0000FF"/>
          <w:kern w:val="2"/>
          <w:sz w:val="32"/>
          <w:szCs w:val="32"/>
          <w:highlight w:val="none"/>
          <w:lang w:val="en-US" w:eastAsia="zh-CN" w:bidi="ar-SA"/>
        </w:rPr>
        <w:t>（图5：一般公共预算财政拨款支出决算变动情况）（柱状图）</w:t>
      </w:r>
    </w:p>
    <w:p w14:paraId="257C994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2024年一般公共预算财政拨款支出4657.38万元，主要</w:t>
      </w:r>
    </w:p>
    <w:p w14:paraId="012CC93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用于以下方面:一般公共服务支出387.29万元，占8.32%；科学技术支出254.1万元，占5.46%；社会保障和就业支出66.2万元，占1.42%；卫生健康支出24.96元，占0.54%；资源勘探工业信息等支出2996.1万元，占64.33%；商业服务等支出895.32万元，占19.22%；住房保障支出33.42万元，占0.72%。</w:t>
      </w:r>
    </w:p>
    <w:p w14:paraId="3AD5CA7C">
      <w:pPr>
        <w:pStyle w:val="2"/>
        <w:rPr>
          <w:rFonts w:hint="eastAsia"/>
          <w:lang w:val="en-US" w:eastAsia="zh-CN"/>
        </w:rPr>
      </w:pPr>
    </w:p>
    <w:p w14:paraId="5D5C6CDD">
      <w:pPr>
        <w:pStyle w:val="2"/>
        <w:rPr>
          <w:rFonts w:hint="eastAsia"/>
        </w:rPr>
      </w:pPr>
      <w:r>
        <w:rPr>
          <w:rFonts w:hint="eastAsia"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一般公共预算财政拨款支出决算</w:t>
      </w:r>
      <w:r>
        <w:rPr>
          <w:rFonts w:hint="eastAsia" w:eastAsia="仿宋_GB2312" w:cs="Times New Roman"/>
          <w:b w:val="0"/>
          <w:bCs w:val="0"/>
          <w:i w:val="0"/>
          <w:iCs w:val="0"/>
          <w:color w:val="auto"/>
          <w:kern w:val="2"/>
          <w:sz w:val="32"/>
          <w:szCs w:val="32"/>
          <w:highlight w:val="none"/>
          <w:lang w:val="en-US" w:eastAsia="zh-CN" w:bidi="ar-SA"/>
        </w:rPr>
        <w:t>结构情况</w:t>
      </w:r>
    </w:p>
    <w:p w14:paraId="46FB423D">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31115</wp:posOffset>
            </wp:positionH>
            <wp:positionV relativeFrom="paragraph">
              <wp:posOffset>15240</wp:posOffset>
            </wp:positionV>
            <wp:extent cx="5210175" cy="3190240"/>
            <wp:effectExtent l="5080" t="4445" r="4445" b="571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CF25718">
      <w:pPr>
        <w:pStyle w:val="26"/>
        <w:rPr>
          <w:rFonts w:ascii="仿宋" w:hAnsi="仿宋" w:eastAsia="仿宋"/>
          <w:b/>
          <w:color w:val="auto"/>
          <w:sz w:val="32"/>
          <w:szCs w:val="32"/>
          <w:highlight w:val="none"/>
        </w:rPr>
      </w:pPr>
    </w:p>
    <w:p w14:paraId="51001F25">
      <w:pPr>
        <w:pStyle w:val="27"/>
        <w:rPr>
          <w:rFonts w:ascii="仿宋" w:hAnsi="仿宋" w:eastAsia="仿宋"/>
          <w:b/>
          <w:color w:val="auto"/>
          <w:sz w:val="32"/>
          <w:szCs w:val="32"/>
          <w:highlight w:val="none"/>
        </w:rPr>
      </w:pPr>
    </w:p>
    <w:p w14:paraId="4AC77449">
      <w:pPr>
        <w:rPr>
          <w:rFonts w:ascii="仿宋" w:hAnsi="仿宋" w:eastAsia="仿宋"/>
          <w:b/>
          <w:color w:val="auto"/>
          <w:sz w:val="32"/>
          <w:szCs w:val="32"/>
          <w:highlight w:val="none"/>
        </w:rPr>
      </w:pPr>
    </w:p>
    <w:p w14:paraId="74DBF557">
      <w:pPr>
        <w:pStyle w:val="26"/>
        <w:rPr>
          <w:rFonts w:ascii="仿宋" w:hAnsi="仿宋" w:eastAsia="仿宋"/>
          <w:b/>
          <w:color w:val="auto"/>
          <w:sz w:val="32"/>
          <w:szCs w:val="32"/>
          <w:highlight w:val="none"/>
        </w:rPr>
      </w:pPr>
    </w:p>
    <w:p w14:paraId="0258A92F">
      <w:pPr>
        <w:keepNext w:val="0"/>
        <w:keepLines w:val="0"/>
        <w:pageBreakBefore w:val="0"/>
        <w:kinsoku/>
        <w:wordWrap/>
        <w:overflowPunct/>
        <w:topLinePunct w:val="0"/>
        <w:autoSpaceDE/>
        <w:autoSpaceDN/>
        <w:bidi w:val="0"/>
        <w:spacing w:line="500" w:lineRule="exact"/>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4BE84FA5">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（图6：一般公共预算财政拨款支出决算结构）（饼状图）</w:t>
      </w:r>
    </w:p>
    <w:p w14:paraId="3DE72DA4">
      <w:pPr>
        <w:numPr>
          <w:ilvl w:val="0"/>
          <w:numId w:val="3"/>
        </w:numPr>
        <w:spacing w:line="600" w:lineRule="exact"/>
        <w:ind w:firstLine="643" w:firstLineChars="200"/>
        <w:outlineLvl w:val="2"/>
        <w:rPr>
          <w:rFonts w:hint="eastAsia" w:ascii="仿宋" w:hAnsi="仿宋" w:eastAsia="仿宋"/>
          <w:b/>
          <w:color w:val="auto"/>
          <w:sz w:val="32"/>
          <w:szCs w:val="32"/>
          <w:highlight w:val="none"/>
        </w:rPr>
      </w:pPr>
      <w:bookmarkStart w:id="53" w:name="_Toc15377212"/>
      <w:bookmarkStart w:id="54" w:name="_Toc17109_WPSOffice_Level3"/>
      <w:bookmarkStart w:id="55" w:name="_Toc24532_WPSOffice_Level3"/>
    </w:p>
    <w:p w14:paraId="63281F67">
      <w:pPr>
        <w:spacing w:line="600" w:lineRule="exact"/>
        <w:ind w:firstLine="640"/>
        <w:rPr>
          <w:rFonts w:hint="eastAsia" w:ascii="仿宋" w:hAnsi="仿宋" w:eastAsia="仿宋"/>
          <w:b/>
          <w:color w:val="auto"/>
          <w:sz w:val="32"/>
          <w:szCs w:val="32"/>
          <w:highlight w:val="none"/>
        </w:rPr>
      </w:pPr>
      <w:r>
        <w:rPr>
          <w:rFonts w:hint="eastAsia" w:ascii="Times New Roman" w:hAnsi="Times New Roman" w:eastAsia="仿宋_GB2312" w:cs="仿宋_GB2312"/>
          <w:color w:val="0000FF"/>
          <w:kern w:val="2"/>
          <w:sz w:val="32"/>
          <w:szCs w:val="32"/>
          <w:highlight w:val="none"/>
          <w:lang w:val="en-US" w:eastAsia="zh-CN" w:bidi="ar-SA"/>
        </w:rPr>
        <w:t>（图6：一般公共预算财政拨款支出决算结构）（饼状图）</w:t>
      </w:r>
    </w:p>
    <w:p w14:paraId="7DCB49EA">
      <w:pPr>
        <w:numPr>
          <w:ilvl w:val="0"/>
          <w:numId w:val="0"/>
        </w:numPr>
        <w:spacing w:line="600" w:lineRule="exact"/>
        <w:ind w:firstLine="640" w:firstLineChars="200"/>
        <w:outlineLvl w:val="2"/>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（二）一般公共预算财政拨款支出决算具体情况</w:t>
      </w:r>
      <w:bookmarkEnd w:id="53"/>
      <w:bookmarkEnd w:id="54"/>
      <w:bookmarkEnd w:id="55"/>
    </w:p>
    <w:p w14:paraId="09A8471B">
      <w:pPr>
        <w:pStyle w:val="2"/>
        <w:numPr>
          <w:ilvl w:val="0"/>
          <w:numId w:val="0"/>
        </w:numPr>
      </w:pPr>
    </w:p>
    <w:p w14:paraId="712346DB">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56" w:name="_Toc15378460"/>
      <w:bookmarkStart w:id="57" w:name="_Toc15377444"/>
      <w:bookmarkStart w:id="58" w:name="_Toc15377213"/>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2024年一般公共预算支出决算数为4657.38万元，完成预算100%。其中：</w:t>
      </w:r>
      <w:bookmarkEnd w:id="56"/>
      <w:bookmarkEnd w:id="57"/>
      <w:bookmarkEnd w:id="58"/>
    </w:p>
    <w:p w14:paraId="2CB55AE8">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1.一般公共服务201（类）商贸事务13（款）行政运行01（项）: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支出决算为198.16万元，完成预算100%，决算数等于预算数。</w:t>
      </w:r>
    </w:p>
    <w:p w14:paraId="3CDFA5AE">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2.一般公共服务201（类）商贸事务13（款）事业运行</w:t>
      </w:r>
      <w:r>
        <w:rPr>
          <w:rFonts w:hint="eastAsia" w:eastAsia="仿宋_GB2312" w:cs="Times New Roman"/>
          <w:b/>
          <w:bCs/>
          <w:i w:val="0"/>
          <w:iCs w:val="0"/>
          <w:color w:val="auto"/>
          <w:kern w:val="2"/>
          <w:sz w:val="32"/>
          <w:szCs w:val="32"/>
          <w:highlight w:val="none"/>
          <w:lang w:val="en-US" w:eastAsia="zh-CN" w:bidi="ar-SA"/>
        </w:rPr>
        <w:t>50</w:t>
      </w: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支出决算为152.13万元，完成预算100%，决算数等于预算数。</w:t>
      </w:r>
    </w:p>
    <w:p w14:paraId="7D49E3C2">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3.一般公共服务201（类）商贸事务</w:t>
      </w:r>
      <w:r>
        <w:rPr>
          <w:rFonts w:hint="eastAsia" w:eastAsia="仿宋_GB2312" w:cs="Times New Roman"/>
          <w:b/>
          <w:bCs/>
          <w:i w:val="0"/>
          <w:iCs w:val="0"/>
          <w:color w:val="auto"/>
          <w:kern w:val="2"/>
          <w:sz w:val="32"/>
          <w:szCs w:val="32"/>
          <w:highlight w:val="none"/>
          <w:lang w:val="en-US" w:eastAsia="zh-CN" w:bidi="ar-SA"/>
        </w:rPr>
        <w:t>13</w:t>
      </w:r>
      <w:r>
        <w:rPr>
          <w:rFonts w:hint="eastAsia" w:ascii="Times New Roman" w:hAnsi="Times New Roman" w:eastAsia="仿宋_GB2312" w:cs="Times New Roman"/>
          <w:b/>
          <w:bCs/>
          <w:i w:val="0"/>
          <w:iCs w:val="0"/>
          <w:color w:val="auto"/>
          <w:kern w:val="2"/>
          <w:sz w:val="32"/>
          <w:szCs w:val="32"/>
          <w:highlight w:val="none"/>
          <w:lang w:val="en-US" w:eastAsia="zh-CN" w:bidi="ar-SA"/>
        </w:rPr>
        <w:t xml:space="preserve">（款）其他商贸事务支出99（项）: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支出决算为37万元，完成预算100%，决算数等于预算数。</w:t>
      </w:r>
    </w:p>
    <w:p w14:paraId="7CCEFB06">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4</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.科学技术支出206（类）科学技术管理事务01（款）其他科学技术管理事务支出99（项）: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支出决算为6万元，完成预算100%，决算数等于预算数。</w:t>
      </w:r>
    </w:p>
    <w:p w14:paraId="0E031CDA">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bCs/>
          <w:i w:val="0"/>
          <w:iCs w:val="0"/>
          <w:color w:val="auto"/>
          <w:kern w:val="2"/>
          <w:sz w:val="32"/>
          <w:szCs w:val="32"/>
          <w:highlight w:val="none"/>
          <w:lang w:val="en-US" w:eastAsia="zh-CN" w:bidi="ar-SA"/>
        </w:rPr>
        <w:t>　</w:t>
      </w:r>
      <w:r>
        <w:rPr>
          <w:rFonts w:hint="eastAsia" w:eastAsia="仿宋_GB2312" w:cs="Times New Roman"/>
          <w:b/>
          <w:bCs/>
          <w:i w:val="0"/>
          <w:iCs w:val="0"/>
          <w:color w:val="auto"/>
          <w:kern w:val="2"/>
          <w:sz w:val="32"/>
          <w:szCs w:val="32"/>
          <w:highlight w:val="none"/>
          <w:lang w:val="en-US" w:eastAsia="zh-CN" w:bidi="ar-SA"/>
        </w:rPr>
        <w:t>5</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.科学技术支出206（类）技术研究与开发04（款）科技成果转化与扩散04（项）: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支出决算为32.93万元，完成预算100%，决算数等于预算数。</w:t>
      </w:r>
    </w:p>
    <w:p w14:paraId="1E03FAF2">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6</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.科学技术支出206（类）技术研究与开发04（款）其他技术研究与开发支出99（项）: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支出决算为29.99万元，完成预算100%，决算数等于预算数。</w:t>
      </w:r>
    </w:p>
    <w:p w14:paraId="78696804">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7</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.科学技术支出206（类）科技条件与服务05（款）科技条件专项</w:t>
      </w:r>
      <w:r>
        <w:rPr>
          <w:rFonts w:hint="eastAsia" w:eastAsia="仿宋_GB2312" w:cs="Times New Roman"/>
          <w:b/>
          <w:bCs/>
          <w:i w:val="0"/>
          <w:iCs w:val="0"/>
          <w:color w:val="auto"/>
          <w:kern w:val="2"/>
          <w:sz w:val="32"/>
          <w:szCs w:val="32"/>
          <w:highlight w:val="none"/>
          <w:lang w:val="en-US" w:eastAsia="zh-CN" w:bidi="ar-SA"/>
        </w:rPr>
        <w:t>03</w:t>
      </w:r>
      <w:r>
        <w:rPr>
          <w:rFonts w:hint="eastAsia" w:ascii="Times New Roman" w:hAnsi="Times New Roman" w:eastAsia="仿宋_GB2312" w:cs="Times New Roman"/>
          <w:b/>
          <w:bCs/>
          <w:i w:val="0"/>
          <w:iCs w:val="0"/>
          <w:color w:val="auto"/>
          <w:kern w:val="2"/>
          <w:sz w:val="32"/>
          <w:szCs w:val="32"/>
          <w:highlight w:val="none"/>
          <w:lang w:val="en-US" w:eastAsia="zh-CN" w:bidi="ar-SA"/>
        </w:rPr>
        <w:t>（项）: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支出决算为5万元，完成预算100%，决算数等于预算数。</w:t>
      </w:r>
    </w:p>
    <w:p w14:paraId="68797BE0">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eastAsia="仿宋_GB2312" w:cs="Times New Roman"/>
          <w:b/>
          <w:bCs/>
          <w:i w:val="0"/>
          <w:iCs w:val="0"/>
          <w:color w:val="auto"/>
          <w:kern w:val="2"/>
          <w:sz w:val="32"/>
          <w:szCs w:val="32"/>
          <w:highlight w:val="none"/>
          <w:lang w:val="en-US" w:eastAsia="zh-CN" w:bidi="ar-SA"/>
        </w:rPr>
        <w:t>8</w:t>
      </w:r>
      <w:r>
        <w:rPr>
          <w:rFonts w:hint="eastAsia" w:ascii="Times New Roman" w:hAnsi="Times New Roman" w:eastAsia="仿宋_GB2312" w:cs="Times New Roman"/>
          <w:b/>
          <w:bCs/>
          <w:i w:val="0"/>
          <w:iCs w:val="0"/>
          <w:color w:val="auto"/>
          <w:kern w:val="2"/>
          <w:sz w:val="32"/>
          <w:szCs w:val="32"/>
          <w:highlight w:val="none"/>
          <w:lang w:val="en-US" w:eastAsia="zh-CN" w:bidi="ar-SA"/>
        </w:rPr>
        <w:t>.科学技术支出206（类）科技条件与服务05（款）其他科技条件与服务支出</w:t>
      </w:r>
      <w:r>
        <w:rPr>
          <w:rFonts w:hint="eastAsia" w:eastAsia="仿宋_GB2312" w:cs="Times New Roman"/>
          <w:b/>
          <w:bCs/>
          <w:i w:val="0"/>
          <w:iCs w:val="0"/>
          <w:color w:val="auto"/>
          <w:kern w:val="2"/>
          <w:sz w:val="32"/>
          <w:szCs w:val="32"/>
          <w:highlight w:val="none"/>
          <w:lang w:val="en-US" w:eastAsia="zh-CN" w:bidi="ar-SA"/>
        </w:rPr>
        <w:t>99</w:t>
      </w:r>
      <w:r>
        <w:rPr>
          <w:rFonts w:hint="eastAsia" w:ascii="Times New Roman" w:hAnsi="Times New Roman" w:eastAsia="仿宋_GB2312" w:cs="Times New Roman"/>
          <w:b/>
          <w:bCs/>
          <w:i w:val="0"/>
          <w:iCs w:val="0"/>
          <w:color w:val="auto"/>
          <w:kern w:val="2"/>
          <w:sz w:val="32"/>
          <w:szCs w:val="32"/>
          <w:highlight w:val="none"/>
          <w:lang w:val="en-US" w:eastAsia="zh-CN" w:bidi="ar-SA"/>
        </w:rPr>
        <w:t>（项）: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支出决算为35万元，完成预算100%，决算数等于预算数。</w:t>
      </w:r>
    </w:p>
    <w:p w14:paraId="001E2177">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9.科学技术支出206（类）科技重大项目09（款）其重点研发计划02（项）: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支出决算为30.18万元，完成预算100%，决算数等于预算数。</w:t>
      </w:r>
    </w:p>
    <w:p w14:paraId="2B60016F">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10.科学技术支出206（类）科技重大项目09（款）其他科学技术支出99（项）: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支出决算为115万元，完成预算100%，决算数等于预算数。</w:t>
      </w:r>
    </w:p>
    <w:p w14:paraId="65383225">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1</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.社会保障和就业支出208（类）行政事业单位养老支出05（款）行政单位离退休01（项）: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支出决算为12.52万元，完成预算100%，决算数等于预算数。</w:t>
      </w:r>
    </w:p>
    <w:p w14:paraId="1A06BFAC">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2</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.社会保障和就业支出208（类）行政事业单位养老支出05（款）机关事业单位基本养老保险缴费支出05（项）: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支出决算为46.15万元，完成预算100%，决算数等于预算数。</w:t>
      </w:r>
    </w:p>
    <w:p w14:paraId="5472FC52">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3</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.社会保障和就业支出208（类）就业补助07（款）其其他就业补助支出99（项）: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支出决算为10万元，完成预算100%，决算数等于预算数。</w:t>
      </w:r>
    </w:p>
    <w:p w14:paraId="207F6797">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4</w:t>
      </w:r>
      <w:r>
        <w:rPr>
          <w:rFonts w:hint="eastAsia" w:ascii="Times New Roman" w:hAnsi="Times New Roman" w:eastAsia="仿宋_GB2312" w:cs="Times New Roman"/>
          <w:b/>
          <w:bCs/>
          <w:i w:val="0"/>
          <w:iCs w:val="0"/>
          <w:color w:val="auto"/>
          <w:kern w:val="2"/>
          <w:sz w:val="32"/>
          <w:szCs w:val="32"/>
          <w:highlight w:val="none"/>
          <w:lang w:val="en-US" w:eastAsia="zh-CN" w:bidi="ar-SA"/>
        </w:rPr>
        <w:t>.社会保障和就业支出208（类）其他社会保障和就业支出99（款）其他社会保障和就业支出99（项）: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支出决算为4.77万元，完成预算100%，决算数等于预算数。</w:t>
      </w:r>
    </w:p>
    <w:p w14:paraId="3394AF94">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5</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.卫生健康支出210（类）行政事业单位医疗11（款）行政单位医疗01（项）: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支出决算为10.3万元，完成预算100%，决算数等于预算数。</w:t>
      </w:r>
    </w:p>
    <w:p w14:paraId="04E775A1">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6</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.卫生健康支出210（类）行政事业单位医疗11（款）事业单位医疗02（项）: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支出决算为9.03万元，完成预算100%，决算数等于预算数。</w:t>
      </w:r>
    </w:p>
    <w:p w14:paraId="30519394">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7</w:t>
      </w:r>
      <w:r>
        <w:rPr>
          <w:rFonts w:hint="eastAsia" w:ascii="Times New Roman" w:hAnsi="Times New Roman" w:eastAsia="仿宋_GB2312" w:cs="Times New Roman"/>
          <w:b/>
          <w:bCs/>
          <w:i w:val="0"/>
          <w:iCs w:val="0"/>
          <w:color w:val="auto"/>
          <w:kern w:val="2"/>
          <w:sz w:val="32"/>
          <w:szCs w:val="32"/>
          <w:highlight w:val="none"/>
          <w:lang w:val="en-US" w:eastAsia="zh-CN" w:bidi="ar-SA"/>
        </w:rPr>
        <w:t>.卫生健康支出210（类）行政事业单位医疗11（款）公务员医疗补助03（项）: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支出决算为5.63万元，完成预算100%，决算数等于预算数。</w:t>
      </w:r>
    </w:p>
    <w:p w14:paraId="3E68779A">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1</w:t>
      </w:r>
      <w:r>
        <w:rPr>
          <w:rFonts w:hint="eastAsia" w:eastAsia="仿宋_GB2312" w:cs="Times New Roman"/>
          <w:b/>
          <w:bCs/>
          <w:i w:val="0"/>
          <w:iCs w:val="0"/>
          <w:color w:val="auto"/>
          <w:kern w:val="2"/>
          <w:sz w:val="32"/>
          <w:szCs w:val="32"/>
          <w:highlight w:val="none"/>
          <w:lang w:val="en-US" w:eastAsia="zh-CN" w:bidi="ar-SA"/>
        </w:rPr>
        <w:t>8</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w:t>
      </w:r>
      <w:r>
        <w:rPr>
          <w:rFonts w:hint="eastAsia" w:eastAsia="仿宋_GB2312" w:cs="Times New Roman"/>
          <w:b/>
          <w:bCs/>
          <w:i w:val="0"/>
          <w:iCs w:val="0"/>
          <w:color w:val="auto"/>
          <w:kern w:val="2"/>
          <w:sz w:val="32"/>
          <w:szCs w:val="32"/>
          <w:highlight w:val="none"/>
          <w:lang w:val="en-US" w:eastAsia="zh-CN" w:bidi="ar-SA"/>
        </w:rPr>
        <w:t>5</w:t>
      </w:r>
      <w:r>
        <w:rPr>
          <w:rFonts w:hint="eastAsia" w:ascii="Times New Roman" w:hAnsi="Times New Roman" w:eastAsia="仿宋_GB2312" w:cs="Times New Roman"/>
          <w:b/>
          <w:bCs/>
          <w:i w:val="0"/>
          <w:iCs w:val="0"/>
          <w:color w:val="auto"/>
          <w:kern w:val="2"/>
          <w:sz w:val="32"/>
          <w:szCs w:val="32"/>
          <w:highlight w:val="none"/>
          <w:lang w:val="en-US" w:eastAsia="zh-CN" w:bidi="ar-SA"/>
        </w:rPr>
        <w:t>（类）制造业</w:t>
      </w:r>
      <w:r>
        <w:rPr>
          <w:rFonts w:hint="eastAsia" w:eastAsia="仿宋_GB2312" w:cs="Times New Roman"/>
          <w:b/>
          <w:bCs/>
          <w:i w:val="0"/>
          <w:iCs w:val="0"/>
          <w:color w:val="auto"/>
          <w:kern w:val="2"/>
          <w:sz w:val="32"/>
          <w:szCs w:val="32"/>
          <w:highlight w:val="none"/>
          <w:lang w:val="en-US" w:eastAsia="zh-CN" w:bidi="ar-SA"/>
        </w:rPr>
        <w:t>02</w:t>
      </w:r>
      <w:r>
        <w:rPr>
          <w:rFonts w:hint="eastAsia" w:ascii="Times New Roman" w:hAnsi="Times New Roman" w:eastAsia="仿宋_GB2312" w:cs="Times New Roman"/>
          <w:b/>
          <w:bCs/>
          <w:i w:val="0"/>
          <w:iCs w:val="0"/>
          <w:color w:val="auto"/>
          <w:kern w:val="2"/>
          <w:sz w:val="32"/>
          <w:szCs w:val="32"/>
          <w:highlight w:val="none"/>
          <w:lang w:val="en-US" w:eastAsia="zh-CN" w:bidi="ar-SA"/>
        </w:rPr>
        <w:t>（款）其他制造业支出</w:t>
      </w:r>
      <w:r>
        <w:rPr>
          <w:rFonts w:hint="eastAsia" w:eastAsia="仿宋_GB2312" w:cs="Times New Roman"/>
          <w:b/>
          <w:bCs/>
          <w:i w:val="0"/>
          <w:iCs w:val="0"/>
          <w:color w:val="auto"/>
          <w:kern w:val="2"/>
          <w:sz w:val="32"/>
          <w:szCs w:val="32"/>
          <w:highlight w:val="none"/>
          <w:lang w:val="en-US" w:eastAsia="zh-CN" w:bidi="ar-SA"/>
        </w:rPr>
        <w:t>99</w:t>
      </w:r>
      <w:r>
        <w:rPr>
          <w:rFonts w:hint="eastAsia" w:ascii="Times New Roman" w:hAnsi="Times New Roman" w:eastAsia="仿宋_GB2312" w:cs="Times New Roman"/>
          <w:b/>
          <w:bCs/>
          <w:i w:val="0"/>
          <w:iCs w:val="0"/>
          <w:color w:val="auto"/>
          <w:kern w:val="2"/>
          <w:sz w:val="32"/>
          <w:szCs w:val="32"/>
          <w:highlight w:val="none"/>
          <w:lang w:val="en-US" w:eastAsia="zh-CN" w:bidi="ar-SA"/>
        </w:rPr>
        <w:t>（项）: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支出决算为2642万元，完成预算100%，决算数等于预算数。</w:t>
      </w:r>
    </w:p>
    <w:p w14:paraId="72DB3A48">
      <w:pPr>
        <w:spacing w:line="600" w:lineRule="exact"/>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w:t>
      </w:r>
      <w:r>
        <w:rPr>
          <w:rFonts w:hint="eastAsia" w:ascii="Times New Roman" w:hAnsi="Times New Roman" w:eastAsia="仿宋_GB2312" w:cs="Times New Roman"/>
          <w:b/>
          <w:bCs/>
          <w:i w:val="0"/>
          <w:iCs w:val="0"/>
          <w:color w:val="auto"/>
          <w:kern w:val="2"/>
          <w:sz w:val="32"/>
          <w:szCs w:val="32"/>
          <w:highlight w:val="none"/>
          <w:lang w:val="en-US" w:eastAsia="zh-CN" w:bidi="ar-SA"/>
        </w:rPr>
        <w:t>　</w:t>
      </w:r>
      <w:r>
        <w:rPr>
          <w:rFonts w:hint="eastAsia" w:eastAsia="仿宋_GB2312" w:cs="Times New Roman"/>
          <w:b/>
          <w:bCs/>
          <w:i w:val="0"/>
          <w:iCs w:val="0"/>
          <w:color w:val="auto"/>
          <w:kern w:val="2"/>
          <w:sz w:val="32"/>
          <w:szCs w:val="32"/>
          <w:highlight w:val="none"/>
          <w:lang w:val="en-US" w:eastAsia="zh-CN" w:bidi="ar-SA"/>
        </w:rPr>
        <w:t>19</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.资源勘探工业信息等支出215（类）工业和信息产业监管</w:t>
      </w:r>
      <w:r>
        <w:rPr>
          <w:rFonts w:hint="eastAsia" w:eastAsia="仿宋_GB2312" w:cs="Times New Roman"/>
          <w:b/>
          <w:bCs/>
          <w:i w:val="0"/>
          <w:iCs w:val="0"/>
          <w:color w:val="auto"/>
          <w:kern w:val="2"/>
          <w:sz w:val="32"/>
          <w:szCs w:val="32"/>
          <w:highlight w:val="none"/>
          <w:lang w:val="en-US" w:eastAsia="zh-CN" w:bidi="ar-SA"/>
        </w:rPr>
        <w:t>05</w:t>
      </w:r>
      <w:r>
        <w:rPr>
          <w:rFonts w:hint="eastAsia" w:ascii="Times New Roman" w:hAnsi="Times New Roman" w:eastAsia="仿宋_GB2312" w:cs="Times New Roman"/>
          <w:b/>
          <w:bCs/>
          <w:i w:val="0"/>
          <w:iCs w:val="0"/>
          <w:color w:val="auto"/>
          <w:kern w:val="2"/>
          <w:sz w:val="32"/>
          <w:szCs w:val="32"/>
          <w:highlight w:val="none"/>
          <w:lang w:val="en-US" w:eastAsia="zh-CN" w:bidi="ar-SA"/>
        </w:rPr>
        <w:t>（款）产业发展</w:t>
      </w:r>
      <w:r>
        <w:rPr>
          <w:rFonts w:hint="eastAsia" w:eastAsia="仿宋_GB2312" w:cs="Times New Roman"/>
          <w:b/>
          <w:bCs/>
          <w:i w:val="0"/>
          <w:iCs w:val="0"/>
          <w:color w:val="auto"/>
          <w:kern w:val="2"/>
          <w:sz w:val="32"/>
          <w:szCs w:val="32"/>
          <w:highlight w:val="none"/>
          <w:lang w:val="en-US" w:eastAsia="zh-CN" w:bidi="ar-SA"/>
        </w:rPr>
        <w:t>17</w:t>
      </w:r>
      <w:r>
        <w:rPr>
          <w:rFonts w:hint="eastAsia" w:ascii="Times New Roman" w:hAnsi="Times New Roman" w:eastAsia="仿宋_GB2312" w:cs="Times New Roman"/>
          <w:b/>
          <w:bCs/>
          <w:i w:val="0"/>
          <w:iCs w:val="0"/>
          <w:color w:val="auto"/>
          <w:kern w:val="2"/>
          <w:sz w:val="32"/>
          <w:szCs w:val="32"/>
          <w:highlight w:val="none"/>
          <w:lang w:val="en-US" w:eastAsia="zh-CN" w:bidi="ar-SA"/>
        </w:rPr>
        <w:t>（项）: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支出决算为50万元，完成预算100%，决算数等于预算数。</w:t>
      </w:r>
    </w:p>
    <w:p w14:paraId="2C79A6E9">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0</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.资源勘探工业信息等支出215（类）支持中小企业发展和管理支出08（款）中小企业发展专项05（项）: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支出决算为14万元，完成预算100%，决算数等于预算数。</w:t>
      </w:r>
    </w:p>
    <w:p w14:paraId="49DD7AA9">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1</w:t>
      </w:r>
      <w:r>
        <w:rPr>
          <w:rFonts w:hint="eastAsia" w:ascii="Times New Roman" w:hAnsi="Times New Roman" w:eastAsia="仿宋_GB2312" w:cs="Times New Roman"/>
          <w:b/>
          <w:bCs/>
          <w:i w:val="0"/>
          <w:iCs w:val="0"/>
          <w:color w:val="auto"/>
          <w:kern w:val="2"/>
          <w:sz w:val="32"/>
          <w:szCs w:val="32"/>
          <w:highlight w:val="none"/>
          <w:lang w:val="en-US" w:eastAsia="zh-CN" w:bidi="ar-SA"/>
        </w:rPr>
        <w:t>.资源勘探工业信息等支出215（类）其他资源勘探工业信息等支出99（款）其他资源勘探工业信息等支出99（项）: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支出决算为290.1万元，完成预算100%，决算数等于预算数。</w:t>
      </w:r>
    </w:p>
    <w:p w14:paraId="717F3CD7">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2</w:t>
      </w:r>
      <w:r>
        <w:rPr>
          <w:rFonts w:hint="eastAsia" w:ascii="Times New Roman" w:hAnsi="Times New Roman" w:eastAsia="仿宋_GB2312" w:cs="Times New Roman"/>
          <w:b/>
          <w:bCs/>
          <w:i w:val="0"/>
          <w:iCs w:val="0"/>
          <w:color w:val="auto"/>
          <w:kern w:val="2"/>
          <w:sz w:val="32"/>
          <w:szCs w:val="32"/>
          <w:highlight w:val="none"/>
          <w:lang w:val="en-US" w:eastAsia="zh-CN" w:bidi="ar-SA"/>
        </w:rPr>
        <w:t>.商业服务业等支出216（类）商业流通事务02（款）其他商业流通事务支出99（项）: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支出决算为895.32万元，完成预算100%，决算数等于预算数。</w:t>
      </w:r>
    </w:p>
    <w:p w14:paraId="7A7B8879">
      <w:pPr>
        <w:spacing w:line="600" w:lineRule="exact"/>
        <w:ind w:firstLine="643"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bCs/>
          <w:i w:val="0"/>
          <w:iCs w:val="0"/>
          <w:color w:val="auto"/>
          <w:kern w:val="2"/>
          <w:sz w:val="32"/>
          <w:szCs w:val="32"/>
          <w:highlight w:val="none"/>
          <w:lang w:val="en-US" w:eastAsia="zh-CN" w:bidi="ar-SA"/>
        </w:rPr>
        <w:t>2</w:t>
      </w:r>
      <w:r>
        <w:rPr>
          <w:rFonts w:hint="eastAsia" w:eastAsia="仿宋_GB2312" w:cs="Times New Roman"/>
          <w:b/>
          <w:bCs/>
          <w:i w:val="0"/>
          <w:iCs w:val="0"/>
          <w:color w:val="auto"/>
          <w:kern w:val="2"/>
          <w:sz w:val="32"/>
          <w:szCs w:val="32"/>
          <w:highlight w:val="none"/>
          <w:lang w:val="en-US" w:eastAsia="zh-CN" w:bidi="ar-SA"/>
        </w:rPr>
        <w:t>3</w:t>
      </w:r>
      <w:r>
        <w:rPr>
          <w:rFonts w:hint="eastAsia" w:ascii="Times New Roman" w:hAnsi="Times New Roman" w:eastAsia="仿宋_GB2312" w:cs="Times New Roman"/>
          <w:b/>
          <w:bCs/>
          <w:i w:val="0"/>
          <w:iCs w:val="0"/>
          <w:color w:val="auto"/>
          <w:kern w:val="2"/>
          <w:sz w:val="32"/>
          <w:szCs w:val="32"/>
          <w:highlight w:val="none"/>
          <w:lang w:val="en-US" w:eastAsia="zh-CN" w:bidi="ar-SA"/>
        </w:rPr>
        <w:t>.住房保障支出221（类）住房改革支出02（款）住房公积金01（项）: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支出决算为33.42万元，完成预算100%，决算数等于预算数。</w:t>
      </w:r>
    </w:p>
    <w:p w14:paraId="36BE1464">
      <w:pPr>
        <w:tabs>
          <w:tab w:val="right" w:pos="8306"/>
        </w:tabs>
        <w:spacing w:line="600" w:lineRule="exact"/>
        <w:ind w:firstLine="640"/>
        <w:outlineLvl w:val="1"/>
        <w:rPr>
          <w:rStyle w:val="37"/>
          <w:color w:val="auto"/>
          <w:highlight w:val="none"/>
        </w:rPr>
      </w:pPr>
      <w:bookmarkStart w:id="59" w:name="_Toc15396608"/>
      <w:bookmarkStart w:id="60" w:name="_Toc15377214"/>
      <w:bookmarkStart w:id="61" w:name="_Toc16351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般公共预算财政拨款基本支出决算情况说明</w:t>
      </w:r>
      <w:bookmarkEnd w:id="59"/>
      <w:bookmarkEnd w:id="60"/>
      <w:bookmarkEnd w:id="61"/>
      <w:r>
        <w:rPr>
          <w:rStyle w:val="37"/>
          <w:rFonts w:ascii="黑体" w:hAnsi="黑体" w:eastAsia="黑体"/>
          <w:b w:val="0"/>
          <w:color w:val="auto"/>
          <w:highlight w:val="none"/>
        </w:rPr>
        <w:tab/>
      </w:r>
    </w:p>
    <w:p w14:paraId="6B231445">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2024年一般公共预算财政拨款基本支出474.87万元，其中：</w:t>
      </w:r>
    </w:p>
    <w:p w14:paraId="4E3D2A26">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人员经费424.87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br w:type="textWrapping"/>
      </w:r>
      <w:r>
        <w:rPr>
          <w:rFonts w:hint="eastAsia" w:ascii="Times New Roman" w:hAnsi="Times New Roman" w:eastAsia="仿宋_GB2312" w:cs="Times New Roman"/>
          <w:b w:val="0"/>
          <w:bCs w:val="0"/>
          <w:i w:val="0"/>
          <w:iCs w:val="0"/>
          <w:color w:val="auto"/>
          <w:kern w:val="2"/>
          <w:sz w:val="32"/>
          <w:szCs w:val="32"/>
          <w:highlight w:val="none"/>
          <w:lang w:val="en-US" w:eastAsia="zh-CN" w:bidi="ar-SA"/>
        </w:rPr>
        <w:t>　　公用经费49.99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信息网络及软件购置更新、其他资本性支出等。</w:t>
      </w:r>
    </w:p>
    <w:p w14:paraId="3A191B60">
      <w:pPr>
        <w:spacing w:line="600" w:lineRule="exact"/>
        <w:ind w:firstLine="640"/>
        <w:outlineLvl w:val="1"/>
        <w:rPr>
          <w:rStyle w:val="37"/>
          <w:rFonts w:ascii="黑体" w:hAnsi="黑体" w:eastAsia="黑体"/>
          <w:b w:val="0"/>
          <w:color w:val="auto"/>
          <w:highlight w:val="none"/>
        </w:rPr>
      </w:pPr>
      <w:bookmarkStart w:id="62" w:name="_Toc15396609"/>
      <w:bookmarkStart w:id="63" w:name="_Toc15377215"/>
      <w:bookmarkStart w:id="64" w:name="_Toc1340_WPSOffice_Level2"/>
      <w:r>
        <w:rPr>
          <w:rFonts w:hint="eastAsia" w:ascii="黑体" w:eastAsia="黑体"/>
          <w:color w:val="auto"/>
          <w:sz w:val="32"/>
          <w:szCs w:val="32"/>
          <w:highlight w:val="none"/>
        </w:rPr>
        <w:t>七、</w:t>
      </w:r>
      <w:r>
        <w:rPr>
          <w:rStyle w:val="37"/>
          <w:rFonts w:hint="eastAsia" w:ascii="黑体" w:hAnsi="黑体" w:eastAsia="黑体"/>
          <w:b w:val="0"/>
          <w:color w:val="auto"/>
          <w:highlight w:val="none"/>
        </w:rPr>
        <w:t>财政拨款</w:t>
      </w:r>
      <w:r>
        <w:rPr>
          <w:rStyle w:val="37"/>
          <w:rFonts w:hint="eastAsia" w:ascii="黑体" w:hAnsi="黑体" w:eastAsia="黑体"/>
          <w:color w:val="auto"/>
          <w:highlight w:val="none"/>
        </w:rPr>
        <w:t>“</w:t>
      </w:r>
      <w:r>
        <w:rPr>
          <w:rStyle w:val="37"/>
          <w:rFonts w:hint="eastAsia" w:ascii="黑体" w:hAnsi="黑体" w:eastAsia="黑体"/>
          <w:b w:val="0"/>
          <w:color w:val="auto"/>
          <w:highlight w:val="none"/>
        </w:rPr>
        <w:t>三公”经费支出决算情况说明</w:t>
      </w:r>
      <w:bookmarkEnd w:id="62"/>
      <w:bookmarkEnd w:id="63"/>
      <w:bookmarkEnd w:id="64"/>
    </w:p>
    <w:p w14:paraId="0FCE2CA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eastAsia" w:ascii="Times New Roman" w:hAnsi="Times New Roman" w:eastAsia="楷体_GB2312" w:cs="Times New Roman"/>
          <w:b w:val="0"/>
          <w:bCs w:val="0"/>
          <w:i w:val="0"/>
          <w:iCs w:val="0"/>
          <w:color w:val="auto"/>
          <w:sz w:val="32"/>
          <w:szCs w:val="32"/>
          <w:highlight w:val="none"/>
        </w:rPr>
      </w:pPr>
      <w:bookmarkStart w:id="65" w:name="_Toc15377216"/>
      <w:bookmarkStart w:id="66" w:name="_Toc13254_WPSOffice_Level3"/>
      <w:bookmarkStart w:id="67" w:name="_Toc22957_WPSOffice_Level3"/>
      <w:r>
        <w:rPr>
          <w:rFonts w:hint="eastAsia" w:ascii="Times New Roman" w:hAnsi="Times New Roman" w:eastAsia="楷体_GB2312" w:cs="Times New Roman"/>
          <w:b w:val="0"/>
          <w:bCs w:val="0"/>
          <w:i w:val="0"/>
          <w:iCs w:val="0"/>
          <w:color w:val="auto"/>
          <w:sz w:val="32"/>
          <w:szCs w:val="32"/>
          <w:highlight w:val="none"/>
        </w:rPr>
        <w:t>（一）“三公”经费财政拨款支出决算总体情况说明</w:t>
      </w:r>
      <w:bookmarkEnd w:id="65"/>
      <w:bookmarkEnd w:id="66"/>
      <w:bookmarkEnd w:id="67"/>
    </w:p>
    <w:p w14:paraId="147BFF97">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2024年“三公”经费财政拨款支出决算为4.69万元，完成预算100%，较上年减少0.21万元，下降4.29%。决算数等于预算数。</w:t>
      </w:r>
    </w:p>
    <w:p w14:paraId="54821D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eastAsia" w:ascii="Times New Roman" w:hAnsi="Times New Roman" w:eastAsia="楷体_GB2312" w:cs="Times New Roman"/>
          <w:b w:val="0"/>
          <w:bCs w:val="0"/>
          <w:i w:val="0"/>
          <w:iCs w:val="0"/>
          <w:color w:val="auto"/>
          <w:sz w:val="32"/>
          <w:szCs w:val="32"/>
          <w:highlight w:val="none"/>
        </w:rPr>
      </w:pPr>
      <w:bookmarkStart w:id="68" w:name="_Toc15377217"/>
      <w:bookmarkStart w:id="69" w:name="_Toc6489_WPSOffice_Level3"/>
      <w:bookmarkStart w:id="70" w:name="_Toc25978_WPSOffice_Level3"/>
      <w:r>
        <w:rPr>
          <w:rFonts w:hint="eastAsia" w:ascii="Times New Roman" w:hAnsi="Times New Roman" w:eastAsia="楷体_GB2312" w:cs="Times New Roman"/>
          <w:b w:val="0"/>
          <w:bCs w:val="0"/>
          <w:i w:val="0"/>
          <w:iCs w:val="0"/>
          <w:color w:val="auto"/>
          <w:sz w:val="32"/>
          <w:szCs w:val="32"/>
          <w:highlight w:val="none"/>
        </w:rPr>
        <w:t>（二）“三公”经费财政拨款支出决算具体情况说明</w:t>
      </w:r>
      <w:bookmarkEnd w:id="68"/>
      <w:bookmarkEnd w:id="69"/>
      <w:bookmarkEnd w:id="70"/>
    </w:p>
    <w:p w14:paraId="3E17E9D1">
      <w:pPr>
        <w:spacing w:line="600" w:lineRule="exact"/>
        <w:ind w:firstLine="640" w:firstLineChars="200"/>
        <w:rPr>
          <w:rFonts w:hint="eastAsia"/>
          <w:lang w:val="en-US"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2024年“三公”经费财政拨款支出决算中，因公出国（境）费支出决算0万元，占0%；公务用车购置及运行维护费支出决算0万元，占0%；公务接待费支出决算4.69万元，占100%。具体情况如下：</w:t>
      </w:r>
    </w:p>
    <w:p w14:paraId="7A84BE3D">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64770</wp:posOffset>
            </wp:positionH>
            <wp:positionV relativeFrom="paragraph">
              <wp:posOffset>146050</wp:posOffset>
            </wp:positionV>
            <wp:extent cx="5071110" cy="2693670"/>
            <wp:effectExtent l="4445" t="4445" r="10795" b="698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996B0F1">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33BCFA5C">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25EB64F7">
      <w:pPr>
        <w:pStyle w:val="2"/>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7DB7A85A">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518F5F3C">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F4B9C23">
      <w:pPr>
        <w:pStyle w:val="3"/>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41799E24">
      <w:pPr>
        <w:spacing w:line="600" w:lineRule="exact"/>
        <w:rPr>
          <w:rFonts w:hint="eastAsia" w:ascii="Times New Roman" w:hAnsi="Times New Roman" w:eastAsia="仿宋_GB2312" w:cs="仿宋_GB2312"/>
          <w:color w:val="0000FF"/>
          <w:sz w:val="32"/>
          <w:szCs w:val="32"/>
          <w:highlight w:val="none"/>
        </w:rPr>
      </w:pPr>
      <w:r>
        <w:rPr>
          <w:rFonts w:hint="eastAsia" w:ascii="仿宋" w:hAnsi="仿宋" w:eastAsia="仿宋"/>
          <w:color w:val="auto"/>
          <w:sz w:val="32"/>
          <w:szCs w:val="32"/>
          <w:highlight w:val="none"/>
          <w:lang w:eastAsia="zh-CN"/>
        </w:rPr>
        <w:t>　</w:t>
      </w:r>
      <w:r>
        <w:rPr>
          <w:rFonts w:hint="eastAsia" w:ascii="Times New Roman" w:hAnsi="Times New Roman" w:eastAsia="仿宋_GB2312" w:cs="仿宋_GB2312"/>
          <w:b w:val="0"/>
          <w:bCs w:val="0"/>
          <w:i w:val="0"/>
          <w:iCs w:val="0"/>
          <w:color w:val="0000FF"/>
          <w:kern w:val="2"/>
          <w:sz w:val="32"/>
          <w:szCs w:val="32"/>
          <w:highlight w:val="none"/>
          <w:lang w:val="en-US" w:eastAsia="zh-CN" w:bidi="ar-SA"/>
        </w:rPr>
        <w:t>（图7：“三公”经费财政拨款支出结构）（饼状图）</w:t>
      </w:r>
    </w:p>
    <w:p w14:paraId="013C4BC5">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1.因公出国（境）经费支出0万元，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完成预算</w:t>
      </w:r>
      <w:r>
        <w:rPr>
          <w:rFonts w:hint="eastAsia" w:eastAsia="仿宋_GB2312" w:cs="Times New Roman"/>
          <w:b w:val="0"/>
          <w:bCs w:val="0"/>
          <w:i w:val="0"/>
          <w:iCs w:val="0"/>
          <w:color w:val="auto"/>
          <w:kern w:val="2"/>
          <w:sz w:val="32"/>
          <w:szCs w:val="32"/>
          <w:highlight w:val="none"/>
          <w:lang w:val="en-US" w:eastAsia="zh-CN" w:bidi="ar-SA"/>
        </w:rPr>
        <w:t>10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。全年安排因公出国（境）团组0次，出国（境）0人。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因公出国（境）支出决算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与2023年持平。</w:t>
      </w:r>
    </w:p>
    <w:p w14:paraId="03F51F50">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2.公务用车购置及运行维护费支出0万元，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完成预算</w:t>
      </w:r>
      <w:r>
        <w:rPr>
          <w:rFonts w:hint="eastAsia" w:eastAsia="仿宋_GB2312" w:cs="Times New Roman"/>
          <w:b w:val="0"/>
          <w:bCs w:val="0"/>
          <w:i w:val="0"/>
          <w:iCs w:val="0"/>
          <w:color w:val="auto"/>
          <w:kern w:val="2"/>
          <w:sz w:val="32"/>
          <w:szCs w:val="32"/>
          <w:highlight w:val="none"/>
          <w:lang w:val="en-US" w:eastAsia="zh-CN" w:bidi="ar-SA"/>
        </w:rPr>
        <w:t>10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%。公务用车购置及运行维护费支出决算</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与2023年</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持平。</w:t>
      </w:r>
    </w:p>
    <w:p w14:paraId="667CA2A4">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其中：公务用车购置支出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万元。全年按规定更新购置公务用车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辆，其中：轿车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万元，越野车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万元，载客汽车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万元。截至</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12月31日，单位共有公务用车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辆，其中：轿车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辆、越野车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辆、载客汽车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辆。</w:t>
      </w:r>
    </w:p>
    <w:p w14:paraId="1E2ABB76">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公务用车运行维护费支出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万元。主要用于</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公务用车燃料费、维修费、过路过桥费、保险费等支出。</w:t>
      </w:r>
    </w:p>
    <w:p w14:paraId="0611CE20">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BF91691">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3.公务接待费支出4.69万元，完成预算100%。公务接待费支出决算比2023年减少0.21万元，下降4.29%。主要原因是节约接待支出。其中：</w:t>
      </w:r>
    </w:p>
    <w:p w14:paraId="1D3D5B48">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国内公务接待支出4.69万元，主要用于执行公务、开展业务活动开支的交通费、住宿费、用餐费等。国内公务接待27批次，458人次（不包括陪同人员），共计支出4.69万元。</w:t>
      </w:r>
    </w:p>
    <w:p w14:paraId="3A53781D">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外事接待支出0万元。外事接待0批次，0人次（不包括陪同人员），共计支出0万元。</w:t>
      </w:r>
    </w:p>
    <w:p w14:paraId="1A61541B">
      <w:pPr>
        <w:spacing w:line="600" w:lineRule="exact"/>
        <w:ind w:firstLine="640"/>
        <w:outlineLvl w:val="1"/>
        <w:rPr>
          <w:rStyle w:val="37"/>
          <w:rFonts w:ascii="黑体" w:hAnsi="黑体" w:eastAsia="黑体"/>
          <w:color w:val="auto"/>
          <w:highlight w:val="none"/>
        </w:rPr>
      </w:pPr>
      <w:bookmarkStart w:id="71" w:name="_Toc3654_WPSOffice_Level2"/>
      <w:bookmarkStart w:id="72" w:name="_Toc15396610"/>
      <w:bookmarkStart w:id="73" w:name="_Toc15377218"/>
      <w:r>
        <w:rPr>
          <w:rFonts w:hint="eastAsia" w:ascii="黑体" w:eastAsia="黑体"/>
          <w:color w:val="auto"/>
          <w:sz w:val="32"/>
          <w:szCs w:val="32"/>
          <w:highlight w:val="none"/>
        </w:rPr>
        <w:t>八、</w:t>
      </w:r>
      <w:r>
        <w:rPr>
          <w:rStyle w:val="37"/>
          <w:rFonts w:hint="eastAsia" w:ascii="黑体" w:hAnsi="黑体" w:eastAsia="黑体"/>
          <w:b w:val="0"/>
          <w:color w:val="auto"/>
          <w:highlight w:val="none"/>
        </w:rPr>
        <w:t>政府性基金预算支出决算情况说明</w:t>
      </w:r>
      <w:bookmarkEnd w:id="71"/>
      <w:bookmarkEnd w:id="72"/>
      <w:bookmarkEnd w:id="73"/>
    </w:p>
    <w:p w14:paraId="17404D44">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2024年政府性基金预算财政拨款支出523.21万元。</w:t>
      </w:r>
    </w:p>
    <w:p w14:paraId="52D23494">
      <w:pPr>
        <w:numPr>
          <w:ilvl w:val="0"/>
          <w:numId w:val="4"/>
        </w:numPr>
        <w:spacing w:line="600" w:lineRule="exact"/>
        <w:ind w:firstLine="640"/>
        <w:outlineLvl w:val="1"/>
        <w:rPr>
          <w:rStyle w:val="37"/>
          <w:rFonts w:ascii="黑体" w:hAnsi="黑体" w:eastAsia="黑体"/>
          <w:b w:val="0"/>
          <w:color w:val="auto"/>
          <w:highlight w:val="none"/>
        </w:rPr>
      </w:pPr>
      <w:bookmarkStart w:id="74" w:name="_Toc15396611"/>
      <w:bookmarkStart w:id="75" w:name="_Toc15377219"/>
      <w:bookmarkStart w:id="76" w:name="_Toc7161_WPSOffice_Level2"/>
      <w:r>
        <w:rPr>
          <w:rStyle w:val="37"/>
          <w:rFonts w:hint="eastAsia" w:ascii="黑体" w:hAnsi="黑体" w:eastAsia="黑体"/>
          <w:b w:val="0"/>
          <w:color w:val="auto"/>
          <w:highlight w:val="none"/>
        </w:rPr>
        <w:t>国有资本经营预算支出决算情况说明</w:t>
      </w:r>
      <w:bookmarkEnd w:id="74"/>
      <w:bookmarkEnd w:id="75"/>
      <w:bookmarkEnd w:id="76"/>
    </w:p>
    <w:p w14:paraId="04FEBB18">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2024年国有资本经营预算财政拨款支出0万元。</w:t>
      </w:r>
    </w:p>
    <w:p w14:paraId="45206C3D">
      <w:pPr>
        <w:numPr>
          <w:ilvl w:val="0"/>
          <w:numId w:val="4"/>
        </w:numPr>
        <w:spacing w:line="600" w:lineRule="exact"/>
        <w:ind w:firstLine="640"/>
        <w:outlineLvl w:val="1"/>
        <w:rPr>
          <w:rStyle w:val="37"/>
          <w:rFonts w:hint="eastAsia" w:ascii="黑体" w:hAnsi="黑体" w:eastAsia="黑体"/>
          <w:b w:val="0"/>
          <w:color w:val="auto"/>
          <w:highlight w:val="none"/>
        </w:rPr>
      </w:pPr>
      <w:bookmarkStart w:id="77" w:name="_Toc7130_WPSOffice_Level2"/>
      <w:bookmarkStart w:id="78" w:name="_Toc15377221"/>
      <w:bookmarkStart w:id="79" w:name="_Toc15396612"/>
      <w:r>
        <w:rPr>
          <w:rStyle w:val="37"/>
          <w:rFonts w:hint="eastAsia" w:ascii="黑体" w:hAnsi="黑体" w:eastAsia="黑体"/>
          <w:b w:val="0"/>
          <w:color w:val="auto"/>
          <w:highlight w:val="none"/>
        </w:rPr>
        <w:t>其他重要事项的情况说明</w:t>
      </w:r>
      <w:bookmarkEnd w:id="77"/>
      <w:bookmarkEnd w:id="78"/>
      <w:bookmarkEnd w:id="79"/>
    </w:p>
    <w:p w14:paraId="652A6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80" w:name="_Toc15377222"/>
      <w:bookmarkStart w:id="81" w:name="_Toc1145_WPSOffice_Level3"/>
      <w:bookmarkStart w:id="82" w:name="_Toc16351_WPSOffice_Level3"/>
      <w:r>
        <w:rPr>
          <w:rFonts w:hint="eastAsia" w:ascii="Times New Roman" w:hAnsi="Times New Roman" w:eastAsia="楷体_GB2312" w:cs="Times New Roman"/>
          <w:b w:val="0"/>
          <w:bCs w:val="0"/>
          <w:i w:val="0"/>
          <w:iCs w:val="0"/>
          <w:color w:val="auto"/>
          <w:sz w:val="32"/>
          <w:szCs w:val="32"/>
          <w:highlight w:val="none"/>
        </w:rPr>
        <w:t>（一）机关运行经费支出情况</w:t>
      </w:r>
      <w:bookmarkEnd w:id="80"/>
      <w:bookmarkEnd w:id="81"/>
      <w:bookmarkEnd w:id="82"/>
    </w:p>
    <w:p w14:paraId="662D730F">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2024年，安居区经信科技局机关运行经费支出49.99万元，比2023年减少5.48万元，下降9.88%，主要原因是办公费和办公设备购置减少。</w:t>
      </w:r>
    </w:p>
    <w:p w14:paraId="3800D3B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83" w:name="_Toc1340_WPSOffice_Level3"/>
      <w:bookmarkStart w:id="84" w:name="_Toc5370_WPSOffice_Level3"/>
      <w:bookmarkStart w:id="85" w:name="_Toc15377223"/>
      <w:r>
        <w:rPr>
          <w:rFonts w:hint="eastAsia" w:ascii="Times New Roman" w:hAnsi="Times New Roman" w:eastAsia="楷体_GB2312" w:cs="Times New Roman"/>
          <w:b w:val="0"/>
          <w:bCs w:val="0"/>
          <w:i w:val="0"/>
          <w:iCs w:val="0"/>
          <w:color w:val="auto"/>
          <w:sz w:val="32"/>
          <w:szCs w:val="32"/>
          <w:highlight w:val="none"/>
        </w:rPr>
        <w:t>（二）政府采购支出情况</w:t>
      </w:r>
      <w:bookmarkEnd w:id="83"/>
      <w:bookmarkEnd w:id="84"/>
      <w:bookmarkEnd w:id="85"/>
    </w:p>
    <w:p w14:paraId="206BEEDB">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2024年，安居区经</w:t>
      </w:r>
      <w:r>
        <w:rPr>
          <w:rFonts w:hint="eastAsia" w:eastAsia="仿宋_GB2312" w:cs="Times New Roman"/>
          <w:b w:val="0"/>
          <w:bCs w:val="0"/>
          <w:i w:val="0"/>
          <w:iCs w:val="0"/>
          <w:color w:val="auto"/>
          <w:kern w:val="2"/>
          <w:sz w:val="32"/>
          <w:szCs w:val="32"/>
          <w:highlight w:val="none"/>
          <w:lang w:val="en-US" w:eastAsia="zh-CN" w:bidi="ar-SA"/>
        </w:rPr>
        <w:t>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科</w:t>
      </w:r>
      <w:r>
        <w:rPr>
          <w:rFonts w:hint="eastAsia" w:eastAsia="仿宋_GB2312" w:cs="Times New Roman"/>
          <w:b w:val="0"/>
          <w:bCs w:val="0"/>
          <w:i w:val="0"/>
          <w:iCs w:val="0"/>
          <w:color w:val="auto"/>
          <w:kern w:val="2"/>
          <w:sz w:val="32"/>
          <w:szCs w:val="32"/>
          <w:highlight w:val="none"/>
          <w:lang w:val="en-US" w:eastAsia="zh-CN" w:bidi="ar-SA"/>
        </w:rPr>
        <w:t>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局政府采购支出总额0万元，其中：政府采购货物支出0万元、政府采购工程支出0万元、政府采购服务支出0万元。</w:t>
      </w:r>
    </w:p>
    <w:p w14:paraId="5B6302E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86" w:name="_Toc3654_WPSOffice_Level3"/>
      <w:bookmarkStart w:id="87" w:name="_Toc15592_WPSOffice_Level3"/>
      <w:bookmarkStart w:id="88" w:name="_Toc15377224"/>
      <w:r>
        <w:rPr>
          <w:rFonts w:hint="eastAsia" w:ascii="Times New Roman" w:hAnsi="Times New Roman" w:eastAsia="楷体_GB2312" w:cs="Times New Roman"/>
          <w:b w:val="0"/>
          <w:bCs w:val="0"/>
          <w:i w:val="0"/>
          <w:iCs w:val="0"/>
          <w:color w:val="auto"/>
          <w:sz w:val="32"/>
          <w:szCs w:val="32"/>
          <w:highlight w:val="none"/>
        </w:rPr>
        <w:t>（三）国有资产占有使用情况</w:t>
      </w:r>
      <w:bookmarkEnd w:id="86"/>
      <w:bookmarkEnd w:id="87"/>
      <w:bookmarkEnd w:id="88"/>
    </w:p>
    <w:p w14:paraId="27727529">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截至2024年12月31日，安居区经信科技局共有车辆0辆，其中：主要领导干部用车0辆、机要通信用车0辆、应急保障用车0辆、其他用车0辆。单价100万元以上专用设备0台（套）。</w:t>
      </w:r>
    </w:p>
    <w:p w14:paraId="4CD480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89" w:name="_Toc4861_WPSOffice_Level3"/>
      <w:bookmarkStart w:id="90" w:name="_Toc7161_WPSOffice_Level3"/>
      <w:r>
        <w:rPr>
          <w:rFonts w:hint="default" w:ascii="Times New Roman" w:hAnsi="Times New Roman" w:eastAsia="楷体_GB2312" w:cs="Times New Roman"/>
          <w:b w:val="0"/>
          <w:bCs w:val="0"/>
          <w:i w:val="0"/>
          <w:iCs w:val="0"/>
          <w:color w:val="auto"/>
          <w:sz w:val="32"/>
          <w:szCs w:val="32"/>
          <w:highlight w:val="none"/>
        </w:rPr>
        <w:t>（四）预算绩效管理情况</w:t>
      </w:r>
      <w:bookmarkEnd w:id="89"/>
      <w:bookmarkEnd w:id="90"/>
    </w:p>
    <w:p w14:paraId="59BFF2B6">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根据预算绩效管理要求，本部门在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度预算编制阶段，组织对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科技创新经费、科技应用研究与开发费、科技成果转化专项经费、规上工业企业统计基层基础建设费用等4个项目</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开展了预算事前绩效评估，对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个项目编制了绩效目标，预算执行过程中，选取</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个项目开展绩效监控。</w:t>
      </w:r>
    </w:p>
    <w:p w14:paraId="0F4B1440">
      <w:pPr>
        <w:autoSpaceDE w:val="0"/>
        <w:spacing w:line="578"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组织对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度一般公共预算、政府性基金预算、国有资本经营预算、社会保险基金预算以及资本资产、债券资金等全面开展绩效自评，形成</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部门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预算</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绩效自评报告，</w:t>
      </w:r>
      <w:bookmarkStart w:id="91" w:name="OLE_LINK1"/>
      <w:r>
        <w:rPr>
          <w:rFonts w:hint="default" w:ascii="Times New Roman" w:hAnsi="Times New Roman" w:eastAsia="仿宋_GB2312" w:cs="Times New Roman"/>
          <w:b w:val="0"/>
          <w:bCs w:val="0"/>
          <w:i w:val="0"/>
          <w:iCs w:val="0"/>
          <w:color w:val="auto"/>
          <w:kern w:val="2"/>
          <w:sz w:val="32"/>
          <w:szCs w:val="32"/>
          <w:highlight w:val="none"/>
          <w:lang w:val="en-US" w:eastAsia="zh-CN" w:bidi="ar-SA"/>
        </w:rPr>
        <w:t>其中，</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安居区经信科技局</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部门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预算</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项目整体执行情况良好，符合党中央、国务院和省委、省政府决策部署，资金分配及使用合规合法，取得较好的社会效益</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bookmarkEnd w:id="91"/>
      <w:bookmarkStart w:id="92" w:name="OLE_LINK7"/>
      <w:r>
        <w:rPr>
          <w:rFonts w:hint="eastAsia" w:ascii="Times New Roman" w:hAnsi="Times New Roman" w:eastAsia="仿宋_GB2312" w:cs="Times New Roman"/>
          <w:b w:val="0"/>
          <w:bCs w:val="0"/>
          <w:i w:val="0"/>
          <w:iCs w:val="0"/>
          <w:color w:val="auto"/>
          <w:kern w:val="2"/>
          <w:sz w:val="32"/>
          <w:szCs w:val="32"/>
          <w:highlight w:val="none"/>
          <w:lang w:val="en-US" w:eastAsia="zh-CN" w:bidi="ar-SA"/>
        </w:rPr>
        <w:t>规上工业企业统计基层基础建设费用</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分，绩效自评综述：经过对企业统计基础资料、财务资料分析结合平时统计数据报送情况，逐项进行自我评价，</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最终评价结论为项目达到预期目标，资金使用符合要求；科技创新经费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分，绩效自评综述：通过项目的实施，全区国家高新技术企业、科技型中小企业大幅增加，企业研发费用日益增长，科技实力有了显著提升，促进了经济科技社会稳定发展，深受企业家好评和认可</w:t>
      </w:r>
      <w:bookmarkEnd w:id="92"/>
      <w:r>
        <w:rPr>
          <w:rFonts w:hint="eastAsia" w:ascii="Times New Roman" w:hAnsi="Times New Roman" w:eastAsia="仿宋_GB2312" w:cs="Times New Roman"/>
          <w:b w:val="0"/>
          <w:bCs w:val="0"/>
          <w:i w:val="0"/>
          <w:iCs w:val="0"/>
          <w:color w:val="auto"/>
          <w:kern w:val="2"/>
          <w:sz w:val="32"/>
          <w:szCs w:val="32"/>
          <w:highlight w:val="none"/>
          <w:lang w:val="en-US" w:eastAsia="zh-CN" w:bidi="ar-SA"/>
        </w:rPr>
        <w:t>；科技应用研究与开发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分，绩效自评综述：通过项目的实施，营造了浓厚科技创新氛围，激发了全社会创新创业活力，深受群众好评和认可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；科技成果转化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专项预算项目绩效自评得分为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分，绩效自评综述：通过项目的实施，营造了浓厚科技创新氛围，激发了全社会创新创业活力，深受群众好评和认可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；省级科技计划专项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通过</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深入研究谋划，召开工业企业研发投入统计培训会，营造良好的创新生态氛围，充分调动激发全社会创新创业活力，全区科技创新发展取得新进展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；市级科技发展专项资金专项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分，绩效自评综述：项目社会效益显著，服务对象满意度较高，有效推进了部门绩效目标的实施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国家高新技术企业达25家，江淮市级工程技术研究中心评估为优秀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；“四川乡村振兴科技在线”运营与管理经费专项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工作任务取得明显成效，为农村建设提供技术支撑，努力促进农村经济快速发展，助力我区乡村振兴；2023年市级科技发展专项资金（第一批）专项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充分发挥科技领航作用，提升全区科技创新能力，为全区科技发展提供强有力的支撑；2023年“小升规“财政激励资金专项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：新增</w:t>
      </w:r>
      <w:r>
        <w:rPr>
          <w:rFonts w:hint="default" w:ascii="Times New Roman" w:hAnsi="Times New Roman" w:eastAsia="仿宋_GB2312" w:cs="Times New Roman"/>
          <w:b w:val="0"/>
          <w:bCs w:val="0"/>
          <w:i w:val="0"/>
          <w:iCs w:val="0"/>
          <w:color w:val="auto"/>
          <w:kern w:val="2"/>
          <w:sz w:val="32"/>
          <w:szCs w:val="32"/>
          <w:highlight w:val="none"/>
          <w:lang w:val="en-US" w:eastAsia="zh-CN" w:bidi="ar-SA"/>
        </w:rPr>
        <w:t>7户规上企业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生产经营运行正常，地方经济社会稳步发展</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；2023年第一批省级工业发展专项资金专项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：通过建设农产品深加工车间，延伸产业链，使农产品附加值提升 30%，带动周边 100 余户农户种植特色作物，户均增收 1.2 万元；其二搭建乡村电商平台，整合本地农产品资源，线上销售额突破 800 万元，吸引 10 余名返乡青年就业创业，有效激活乡村经济活力，促进产业融合发展；科技创新发展引导资金专项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项目完成及时；项目社会效益显著，服务对象满意度较高，有效推进了部门绩效目标的实施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；制造业高质量发展奖励资金专项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：2022年区级制造业高质量发展奖励资金</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设立依据充分、规划合理、资金投向明确，项目目标清晰，实施结果与规划基本一致，受益</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满意度高。通过项目实施，有效</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的推动了产业发展；全省低碳地热资源开发利用现场会经费专项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项目实施在推动全省低碳地热资源开发利用产业交流方面取得了一定成效，成功举办了现场会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；化工园区扩区调整工作经费专项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：项目于2024年1月前完成化工园区扩区调整工作，增加遂宁安居化工园区扩区调整面积36公顷，新签约项目2个以上，为安居区经济发展奠定了坚实的基础；工业良好开局奖补资金专项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：2024年一季度实现开门红，全区规上工业增加值增速高于全市平均水平，位居全市首位；食品及特色消费品产业高质量发展专项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：26家规上食品及特色消费品产业企业实现产值24.9亿元，同比增长19.2％；培训费专项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项目实施过程中，资金使用规范，培训课程顺利开展，完成目标</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既定目标</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，对地区新型工业化发展起到了积极推动作用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；《四川经济日报》相关经费专项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项目属于行政运转类，读者满意度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一般，现在读者一般选择电子期刊，纸质类的市场占有率较低；新型工业化政策相关资金专项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：积极推动了全市工业高质量发展</w:t>
      </w:r>
      <w:bookmarkStart w:id="93" w:name="OLE_LINK12"/>
      <w:r>
        <w:rPr>
          <w:rFonts w:hint="eastAsia" w:ascii="Times New Roman" w:hAnsi="Times New Roman" w:eastAsia="仿宋_GB2312" w:cs="Times New Roman"/>
          <w:b w:val="0"/>
          <w:bCs w:val="0"/>
          <w:i w:val="0"/>
          <w:iCs w:val="0"/>
          <w:color w:val="auto"/>
          <w:kern w:val="2"/>
          <w:sz w:val="32"/>
          <w:szCs w:val="32"/>
          <w:highlight w:val="none"/>
          <w:lang w:val="en-US" w:eastAsia="zh-CN" w:bidi="ar-SA"/>
        </w:rPr>
        <w:t>2023年市级推进新型工业化促进制造业高质量发展奖励资金</w:t>
      </w:r>
      <w:bookmarkEnd w:id="93"/>
      <w:r>
        <w:rPr>
          <w:rFonts w:hint="eastAsia" w:ascii="Times New Roman" w:hAnsi="Times New Roman" w:eastAsia="仿宋_GB2312" w:cs="Times New Roman"/>
          <w:b w:val="0"/>
          <w:bCs w:val="0"/>
          <w:i w:val="0"/>
          <w:iCs w:val="0"/>
          <w:color w:val="auto"/>
          <w:kern w:val="2"/>
          <w:sz w:val="32"/>
          <w:szCs w:val="32"/>
          <w:highlight w:val="none"/>
          <w:lang w:val="en-US" w:eastAsia="zh-CN" w:bidi="ar-SA"/>
        </w:rPr>
        <w:t>共涉及企业13家，企业满意度</w:t>
      </w:r>
      <w:bookmarkStart w:id="94" w:name="OLE_LINK13"/>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bookmarkEnd w:id="94"/>
      <w:r>
        <w:rPr>
          <w:rFonts w:hint="eastAsia" w:ascii="Times New Roman" w:hAnsi="Times New Roman" w:eastAsia="仿宋_GB2312" w:cs="Times New Roman"/>
          <w:b w:val="0"/>
          <w:bCs w:val="0"/>
          <w:i w:val="0"/>
          <w:iCs w:val="0"/>
          <w:color w:val="auto"/>
          <w:kern w:val="2"/>
          <w:sz w:val="32"/>
          <w:szCs w:val="32"/>
          <w:highlight w:val="none"/>
          <w:lang w:val="en-US" w:eastAsia="zh-CN" w:bidi="ar-SA"/>
        </w:rPr>
        <w:t>；人才发展专项资金专项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：评选出的人才，在我区经济建设、社会发展等领域均发挥了先锋作用、作出了突出贡献；项目争取前期工作经费专项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项目前期工作经费专项资金使用规范，绩效目标全面达成，前期工作成果质量较高，为项目后续实施奠定了坚实基础</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；白马110千伏变电站新建工程养老保险补偿费差口资金专项</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预算项目绩效自评得分为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95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分，绩效自评综述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通过资金预算，有效解决15人养老保险差口资金问题，99.2万差口资金已完成拨付，群众社保差口资金问题已得到有效解决，群众满意率达100%</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自评报告详见附件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p>
    <w:p w14:paraId="17A9B1C3">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br w:type="page"/>
      </w:r>
    </w:p>
    <w:p w14:paraId="115BC352">
      <w:pPr>
        <w:numPr>
          <w:ilvl w:val="0"/>
          <w:numId w:val="5"/>
        </w:numPr>
        <w:spacing w:line="600" w:lineRule="exact"/>
        <w:ind w:firstLine="660" w:firstLineChars="150"/>
        <w:jc w:val="center"/>
        <w:outlineLvl w:val="0"/>
        <w:rPr>
          <w:rStyle w:val="36"/>
          <w:rFonts w:ascii="黑体" w:hAnsi="黑体" w:eastAsia="黑体"/>
          <w:b w:val="0"/>
          <w:color w:val="auto"/>
          <w:highlight w:val="none"/>
        </w:rPr>
      </w:pPr>
      <w:bookmarkStart w:id="95" w:name="_Toc5903_WPSOffice_Level1"/>
      <w:bookmarkStart w:id="96" w:name="_Toc15396613"/>
      <w:bookmarkStart w:id="97" w:name="_Toc15377225"/>
      <w:r>
        <w:rPr>
          <w:rFonts w:hint="eastAsia" w:ascii="黑体" w:hAnsi="黑体" w:eastAsia="黑体"/>
          <w:color w:val="auto"/>
          <w:sz w:val="44"/>
          <w:szCs w:val="44"/>
          <w:highlight w:val="none"/>
        </w:rPr>
        <w:t>名</w:t>
      </w:r>
      <w:r>
        <w:rPr>
          <w:rStyle w:val="36"/>
          <w:rFonts w:hint="eastAsia" w:ascii="黑体" w:hAnsi="黑体" w:eastAsia="黑体"/>
          <w:b w:val="0"/>
          <w:color w:val="auto"/>
          <w:highlight w:val="none"/>
        </w:rPr>
        <w:t>词解释</w:t>
      </w:r>
      <w:bookmarkEnd w:id="95"/>
      <w:bookmarkEnd w:id="96"/>
      <w:bookmarkEnd w:id="97"/>
    </w:p>
    <w:p w14:paraId="05E86D6B">
      <w:pPr>
        <w:spacing w:line="600" w:lineRule="exact"/>
        <w:jc w:val="left"/>
        <w:rPr>
          <w:rFonts w:ascii="宋体"/>
          <w:b/>
          <w:color w:val="auto"/>
          <w:sz w:val="44"/>
          <w:szCs w:val="44"/>
          <w:highlight w:val="none"/>
        </w:rPr>
      </w:pPr>
    </w:p>
    <w:p w14:paraId="2B855F4E">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1.财政拨款收入：指单位从同级财政部门取得的财政预算资金。</w:t>
      </w:r>
    </w:p>
    <w:p w14:paraId="05EAE8F3">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2.事业收入：指事业单位开展专业业务活动及辅助活动取得的收入。</w:t>
      </w:r>
    </w:p>
    <w:p w14:paraId="658507CD">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3.经营收入：指事业单位在专业业务活动及其辅助活动之外开展非独立核算经营活动取得的收入。</w:t>
      </w:r>
    </w:p>
    <w:p w14:paraId="2931F1EA">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4.其他收入：指单位取得的除上述收入以外的各项收入。 </w:t>
      </w:r>
    </w:p>
    <w:p w14:paraId="40E90B6E">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5.年初结转和结余：指以前年度尚未完成、结转到本年按有关规定继续使用的资金。 </w:t>
      </w:r>
    </w:p>
    <w:p w14:paraId="34E0F1B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6.结余分配：指事业单位按照事业单位会计制度的规定从非财政补助结余中分配的事业基金和职工福利基金等。</w:t>
      </w:r>
    </w:p>
    <w:p w14:paraId="4D92E712">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7.年末结转和结余：指单位按有关规定结转到下年或以后年度继续使用的资金。</w:t>
      </w:r>
    </w:p>
    <w:p w14:paraId="14E4F409">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8.一般公共服务支出（类）政府办公厅（室）及相关机构事务（款）行政运行（项），主要用于：行政单位的基本支出。</w:t>
      </w:r>
    </w:p>
    <w:p w14:paraId="17D19B6D">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9.一般公共服务支出（类）商贸事务（款）行政运行（项），主要用于：行政单位的基本支出。</w:t>
      </w:r>
    </w:p>
    <w:p w14:paraId="4E42C1B9">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10.一般公共服务支出（类）商贸事务（款） 招商引资（项），主要用于：招商引资、优化经济环境等方面的支出。</w:t>
      </w:r>
    </w:p>
    <w:p w14:paraId="11A8D175">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11.一般公共服务支出（类）商贸事务（款）事业运行（项），主要用于：事业单位的基本支出，不包括行政单位后勤服务中心、医务室等附属事业单位。</w:t>
      </w:r>
    </w:p>
    <w:p w14:paraId="2B300796">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12.科学技术支出（类）科学技术管理事务（款）其他科学技术管理事务支出（项），主要用于：其他用于科学技术方面的支出。</w:t>
      </w:r>
    </w:p>
    <w:p w14:paraId="748C336D">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13.科学技术支出（类）应用研究（款）其他应用研究支出（项），主要用于：其他用于应用研究方面的支出。</w:t>
      </w:r>
    </w:p>
    <w:p w14:paraId="05804C14">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14.科学技术支出（类）技术研究与开发（款）科技成果转化与扩散（项），主要用于：促进科技成果转化为现实生产力的应用、推广和引导性支出以及基本建设支出中用于支持企业科技自主创新的支出。</w:t>
      </w:r>
    </w:p>
    <w:p w14:paraId="39F1B69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15.科学技术支出（类）科技条件与服务（款）技术创新服务体系（项），主要用于：国家为公益性行业、企业等提供信息、技术、中介等全方位服务和支持，建立健全技术服务体系等方面的支出。</w:t>
      </w:r>
    </w:p>
    <w:p w14:paraId="21DD78EE">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16.科学技术支出（类）科技重大项目（款）科技重大专项（项），主要用于：科技重大专项的经费支出。</w:t>
      </w:r>
    </w:p>
    <w:p w14:paraId="69ECC0E3">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17.社会保障和就业（类）行政事业单位离退休（款）机关事业单位基本养老保险缴费支（项），主要用于：机关事业单位基本养老保险缴费。</w:t>
      </w:r>
    </w:p>
    <w:p w14:paraId="57615228">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18.社会保障和就业（类）其他社会保障和就业支出（款） 其他社会保障和就业支出（项）,主要用于:其他社会保障和就来支出。</w:t>
      </w:r>
    </w:p>
    <w:p w14:paraId="5EC5BE23">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19.卫生健康支出（类）行政事业单位医疗（款）行政单位医疗（项）,主要用于:基本医疗保险缴费和其他社会保障缴费。</w:t>
      </w:r>
    </w:p>
    <w:p w14:paraId="7AA4F46A">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20.卫生健康支出（类）行政事业单位医疗（款）事业单位医疗（项）,主要用于:基本医疗保险缴费和其他社会保障缴费。</w:t>
      </w:r>
    </w:p>
    <w:p w14:paraId="18EC86B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21.卫生健康支出（类）行政事业单位医疗（款）公务员医疗补助（项）,主要用于:公务员医疗补助缴费。</w:t>
      </w:r>
    </w:p>
    <w:p w14:paraId="196B6C2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22.城乡社区支出（类）城乡社区管理事务（款）行政运行（项）,主要用于:行政单位基本支出。</w:t>
      </w:r>
    </w:p>
    <w:p w14:paraId="60D71818">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23.资源勘探工业信息等支出（类）制造业（款）其他制造业支出（项）,主要用于:其他制造业方面的支出。</w:t>
      </w:r>
    </w:p>
    <w:p w14:paraId="50387867">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24.资源勘探工业信息等支出（类）国有资产监管（款）行政运行（项）,主要用于:行政单位（包括实行公务员管理的事业单位）的基本支出。</w:t>
      </w:r>
    </w:p>
    <w:p w14:paraId="24EEA043">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25.资源勘探工业信息等支出（类）支持中小企业发展和管理支出（款） 中小企业发展专项（项）,主要用于:支持中小企业公共服务体系和融资服务体系建设等方面的支出。</w:t>
      </w:r>
    </w:p>
    <w:p w14:paraId="5CC11D2A">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26.资源勘探工业信息等支出（类）其他资源勘探工业信息等支出（款）其他资源勘探工业信息等支出（项）,主要用于:其他用于资源勘探工业信息等方面的支出。</w:t>
      </w:r>
    </w:p>
    <w:p w14:paraId="4B845C3D">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27.商业服务业等支出（类）其他商业服务业等支出（款）  其他商业服务业等支出（项）,主要用于:其他商业服务等方面的支出。</w:t>
      </w:r>
    </w:p>
    <w:p w14:paraId="288DC9BA">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28.住房保障支出（类）住房改革支出（款）住房公积金（项）,主要用于:缴纳住房公积金。</w:t>
      </w:r>
    </w:p>
    <w:p w14:paraId="22F6E3C7">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29.基本支出：指为保障机构正常运转、完成日常工作任务而发生的人员支出和公用支出。</w:t>
      </w:r>
    </w:p>
    <w:p w14:paraId="7E8425E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30.项目支出：指在基本支出之外为完成特定行政任务和事业发展目标所发生的支出。 </w:t>
      </w:r>
    </w:p>
    <w:p w14:paraId="685BC160">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AE6A1A">
      <w:pPr>
        <w:pStyle w:val="34"/>
        <w:spacing w:line="56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F2DBAC">
      <w:pPr>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p>
    <w:p w14:paraId="165E9B18">
      <w:pPr>
        <w:spacing w:line="600" w:lineRule="exact"/>
        <w:jc w:val="center"/>
        <w:outlineLvl w:val="0"/>
        <w:rPr>
          <w:rFonts w:hint="default" w:ascii="Times New Roman" w:hAnsi="Times New Roman" w:eastAsia="黑体" w:cs="Times New Roman"/>
          <w:b w:val="0"/>
          <w:bCs w:val="0"/>
          <w:i w:val="0"/>
          <w:iCs w:val="0"/>
          <w:color w:val="FF0000"/>
          <w:sz w:val="32"/>
          <w:szCs w:val="32"/>
          <w:highlight w:val="none"/>
        </w:rPr>
      </w:pPr>
      <w:bookmarkStart w:id="98" w:name="_Toc15377226"/>
      <w:r>
        <w:rPr>
          <w:rFonts w:ascii="宋体"/>
          <w:b/>
          <w:color w:val="auto"/>
          <w:sz w:val="44"/>
          <w:szCs w:val="44"/>
          <w:highlight w:val="none"/>
        </w:rPr>
        <w:br w:type="page"/>
      </w:r>
      <w:bookmarkStart w:id="99" w:name="_Toc15396614"/>
      <w:bookmarkStart w:id="100" w:name="_Toc17109_WPSOffice_Level1"/>
      <w:r>
        <w:rPr>
          <w:rFonts w:hint="default" w:ascii="Times New Roman" w:hAnsi="Times New Roman" w:eastAsia="方正小标宋简体" w:cs="Times New Roman"/>
          <w:b w:val="0"/>
          <w:bCs w:val="0"/>
          <w:i w:val="0"/>
          <w:iCs w:val="0"/>
          <w:color w:val="auto"/>
          <w:sz w:val="44"/>
          <w:szCs w:val="44"/>
          <w:highlight w:val="none"/>
        </w:rPr>
        <w:t>第</w:t>
      </w:r>
      <w:r>
        <w:rPr>
          <w:rStyle w:val="36"/>
          <w:rFonts w:hint="default" w:ascii="Times New Roman" w:hAnsi="Times New Roman" w:eastAsia="方正小标宋简体" w:cs="Times New Roman"/>
          <w:b w:val="0"/>
          <w:bCs w:val="0"/>
          <w:i w:val="0"/>
          <w:iCs w:val="0"/>
          <w:color w:val="auto"/>
          <w:highlight w:val="none"/>
        </w:rPr>
        <w:t>四部分 附件</w:t>
      </w:r>
      <w:bookmarkEnd w:id="99"/>
      <w:bookmarkEnd w:id="100"/>
    </w:p>
    <w:p w14:paraId="4F17E3B1">
      <w:pPr>
        <w:keepNext w:val="0"/>
        <w:keepLines w:val="0"/>
        <w:pageBreakBefore w:val="0"/>
        <w:kinsoku/>
        <w:wordWrap/>
        <w:overflowPunct/>
        <w:topLinePunct w:val="0"/>
        <w:autoSpaceDE/>
        <w:autoSpaceDN/>
        <w:bidi w:val="0"/>
        <w:spacing w:line="572" w:lineRule="exact"/>
        <w:jc w:val="left"/>
        <w:textAlignment w:val="auto"/>
        <w:outlineLvl w:val="0"/>
        <w:rPr>
          <w:rFonts w:hint="default" w:eastAsia="黑体" w:cs="Times New Roman"/>
          <w:b w:val="0"/>
          <w:bCs w:val="0"/>
          <w:i w:val="0"/>
          <w:iCs w:val="0"/>
          <w:color w:val="auto"/>
          <w:sz w:val="32"/>
          <w:szCs w:val="32"/>
          <w:highlight w:val="none"/>
          <w:lang w:val="en-US" w:eastAsia="zh-CN"/>
        </w:rPr>
      </w:pPr>
      <w:bookmarkStart w:id="101" w:name="_Toc30457_WPSOffice_Level2"/>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r>
        <w:rPr>
          <w:rFonts w:hint="eastAsia" w:eastAsia="黑体" w:cs="Times New Roman"/>
          <w:b w:val="0"/>
          <w:bCs w:val="0"/>
          <w:i w:val="0"/>
          <w:iCs w:val="0"/>
          <w:color w:val="auto"/>
          <w:sz w:val="32"/>
          <w:szCs w:val="32"/>
          <w:highlight w:val="none"/>
          <w:lang w:val="en-US" w:eastAsia="zh-CN"/>
        </w:rPr>
        <w:t>：</w:t>
      </w:r>
      <w:bookmarkEnd w:id="101"/>
    </w:p>
    <w:p w14:paraId="0D7963D1">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4"/>
          <w:szCs w:val="44"/>
          <w:highlight w:val="none"/>
          <w:lang w:eastAsia="zh-CN"/>
        </w:rPr>
      </w:pPr>
      <w:bookmarkStart w:id="102" w:name="_Toc21872_WPSOffice_Level2"/>
      <w:r>
        <w:rPr>
          <w:rFonts w:hint="eastAsia" w:ascii="方正小标宋简体" w:hAnsi="宋体" w:eastAsia="方正小标宋简体"/>
          <w:color w:val="auto"/>
          <w:kern w:val="0"/>
          <w:sz w:val="44"/>
          <w:szCs w:val="44"/>
          <w:highlight w:val="none"/>
        </w:rPr>
        <w:t>202</w:t>
      </w:r>
      <w:r>
        <w:rPr>
          <w:rFonts w:hint="eastAsia" w:ascii="方正小标宋简体" w:hAnsi="宋体" w:eastAsia="方正小标宋简体"/>
          <w:color w:val="auto"/>
          <w:kern w:val="0"/>
          <w:sz w:val="44"/>
          <w:szCs w:val="44"/>
          <w:highlight w:val="none"/>
          <w:lang w:val="en-US" w:eastAsia="zh-CN"/>
        </w:rPr>
        <w:t>4</w:t>
      </w:r>
      <w:r>
        <w:rPr>
          <w:rFonts w:hint="eastAsia" w:ascii="方正小标宋简体" w:hAnsi="宋体" w:eastAsia="方正小标宋简体"/>
          <w:color w:val="auto"/>
          <w:kern w:val="0"/>
          <w:sz w:val="44"/>
          <w:szCs w:val="44"/>
          <w:highlight w:val="none"/>
        </w:rPr>
        <w:t>年</w:t>
      </w:r>
      <w:r>
        <w:rPr>
          <w:rFonts w:hint="eastAsia" w:ascii="方正小标宋简体" w:hAnsi="宋体" w:eastAsia="方正小标宋简体"/>
          <w:color w:val="auto"/>
          <w:kern w:val="0"/>
          <w:sz w:val="44"/>
          <w:szCs w:val="44"/>
          <w:highlight w:val="none"/>
          <w:lang w:eastAsia="zh-CN"/>
        </w:rPr>
        <w:t>安居区经</w:t>
      </w:r>
      <w:r>
        <w:rPr>
          <w:rFonts w:hint="eastAsia" w:ascii="方正小标宋简体" w:hAnsi="宋体" w:eastAsia="方正小标宋简体"/>
          <w:color w:val="auto"/>
          <w:kern w:val="0"/>
          <w:sz w:val="44"/>
          <w:szCs w:val="44"/>
          <w:highlight w:val="none"/>
          <w:lang w:val="en-US" w:eastAsia="zh-CN"/>
        </w:rPr>
        <w:t>济信息化和</w:t>
      </w:r>
      <w:r>
        <w:rPr>
          <w:rFonts w:hint="eastAsia" w:ascii="方正小标宋简体" w:hAnsi="宋体" w:eastAsia="方正小标宋简体"/>
          <w:color w:val="auto"/>
          <w:kern w:val="0"/>
          <w:sz w:val="44"/>
          <w:szCs w:val="44"/>
          <w:highlight w:val="none"/>
          <w:lang w:eastAsia="zh-CN"/>
        </w:rPr>
        <w:t>科</w:t>
      </w:r>
      <w:r>
        <w:rPr>
          <w:rFonts w:hint="eastAsia" w:ascii="方正小标宋简体" w:hAnsi="宋体" w:eastAsia="方正小标宋简体"/>
          <w:color w:val="auto"/>
          <w:kern w:val="0"/>
          <w:sz w:val="44"/>
          <w:szCs w:val="44"/>
          <w:highlight w:val="none"/>
          <w:lang w:val="en-US" w:eastAsia="zh-CN"/>
        </w:rPr>
        <w:t>学技术</w:t>
      </w:r>
      <w:r>
        <w:rPr>
          <w:rFonts w:hint="eastAsia" w:ascii="方正小标宋简体" w:hAnsi="宋体" w:eastAsia="方正小标宋简体"/>
          <w:color w:val="auto"/>
          <w:kern w:val="0"/>
          <w:sz w:val="44"/>
          <w:szCs w:val="44"/>
          <w:highlight w:val="none"/>
          <w:lang w:eastAsia="zh-CN"/>
        </w:rPr>
        <w:t>局</w:t>
      </w:r>
    </w:p>
    <w:p w14:paraId="4303F1DE">
      <w:pPr>
        <w:keepNext w:val="0"/>
        <w:keepLines w:val="0"/>
        <w:pageBreakBefore w:val="0"/>
        <w:kinsoku/>
        <w:wordWrap/>
        <w:overflowPunct/>
        <w:topLinePunct w:val="0"/>
        <w:autoSpaceDE/>
        <w:autoSpaceDN/>
        <w:bidi w:val="0"/>
        <w:spacing w:line="572" w:lineRule="exact"/>
        <w:jc w:val="center"/>
        <w:textAlignment w:val="auto"/>
        <w:rPr>
          <w:rFonts w:ascii="黑体" w:hAnsi="宋体" w:eastAsia="黑体" w:cs="宋体"/>
          <w:color w:val="auto"/>
          <w:kern w:val="0"/>
          <w:sz w:val="24"/>
          <w:szCs w:val="32"/>
          <w:highlight w:val="none"/>
          <w:shd w:val="clear" w:color="auto" w:fill="FFFFFF"/>
        </w:rPr>
      </w:pPr>
      <w:r>
        <w:rPr>
          <w:rFonts w:hint="eastAsia" w:ascii="方正小标宋简体" w:hAnsi="宋体" w:eastAsia="方正小标宋简体"/>
          <w:color w:val="auto"/>
          <w:kern w:val="0"/>
          <w:sz w:val="44"/>
          <w:szCs w:val="44"/>
          <w:highlight w:val="none"/>
        </w:rPr>
        <w:t>部门整体绩效评价报告</w:t>
      </w:r>
      <w:bookmarkEnd w:id="102"/>
    </w:p>
    <w:p w14:paraId="25A2DC7A">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黑体" w:hAnsi="宋体" w:eastAsia="黑体" w:cs="宋体"/>
          <w:color w:val="auto"/>
          <w:kern w:val="0"/>
          <w:sz w:val="32"/>
          <w:szCs w:val="32"/>
          <w:highlight w:val="none"/>
          <w:shd w:val="clear" w:color="auto" w:fill="FFFFFF"/>
          <w:lang w:val="en-US" w:eastAsia="zh-CN"/>
        </w:rPr>
      </w:pPr>
      <w:bookmarkStart w:id="103" w:name="_Toc15436_WPSOffice_Level2"/>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w:t>
      </w:r>
      <w:bookmarkEnd w:id="103"/>
      <w:r>
        <w:rPr>
          <w:rFonts w:hint="eastAsia" w:ascii="黑体" w:hAnsi="宋体" w:eastAsia="黑体" w:cs="宋体"/>
          <w:color w:val="auto"/>
          <w:kern w:val="0"/>
          <w:sz w:val="32"/>
          <w:szCs w:val="32"/>
          <w:highlight w:val="none"/>
          <w:shd w:val="clear" w:color="auto" w:fill="FFFFFF"/>
          <w:lang w:val="en-US" w:eastAsia="zh-CN"/>
        </w:rPr>
        <w:t>基本情况</w:t>
      </w:r>
    </w:p>
    <w:p w14:paraId="3625C7D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rPr>
      </w:pPr>
      <w:r>
        <w:rPr>
          <w:rFonts w:hint="eastAsia" w:ascii="方正楷体简体" w:hAnsi="方正楷体简体" w:eastAsia="方正楷体简体" w:cs="方正楷体简体"/>
          <w:color w:val="auto"/>
          <w:kern w:val="0"/>
          <w:sz w:val="32"/>
          <w:szCs w:val="32"/>
          <w:highlight w:val="none"/>
          <w:shd w:val="clear" w:color="auto" w:fill="FFFFFF"/>
          <w:lang w:val="zh-CN"/>
        </w:rPr>
        <w:t>（一）机构组成</w:t>
      </w:r>
    </w:p>
    <w:p w14:paraId="1A019AA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区经信科技局5个内设机构：</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 xml:space="preserve"> 办公室（</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应急管理股）</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、综合股（环境和资源综合利用股）、民营经济发展促进股（食品与盐业股）、科技股（锂电及新材料股）、信息化股（产业园区股），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3个</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下属事业单位区经济信息监测中心、区生产力促进中心、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区民营经济发展中心</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459F6F3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方正楷体简体" w:hAnsi="方正楷体简体" w:eastAsia="方正楷体简体" w:cs="方正楷体简体"/>
          <w:color w:val="auto"/>
          <w:kern w:val="0"/>
          <w:sz w:val="32"/>
          <w:szCs w:val="32"/>
          <w:highlight w:val="none"/>
          <w:shd w:val="clear" w:color="auto" w:fill="FFFFFF"/>
          <w:lang w:val="zh-CN"/>
        </w:rPr>
        <w:t>（二）机构职能</w:t>
      </w:r>
    </w:p>
    <w:p w14:paraId="4A01102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1.贯彻实施法律法规。贯彻实施国家、省、市有关工业经济、科技、信息化和无线电管理的方针、政策和法律、 法规, 研究拟订全区有关工业经济、 科技促进经济与社会发展、信息化和无线电管理的政策措施并组织实施; 组织推动科技和信息化、 工业化融合, 承担推进全区工业结构调整、 全区科技创新体系建设工作。</w:t>
      </w:r>
    </w:p>
    <w:p w14:paraId="5089828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2.拟订工业行业发展规划。承担拟订新型工业化发展战略和重大政策, 协调解决新型工业化进程中的重大问题, 组织实施工业强区、科技兴区战略; 承担制定并组织实施工业行业的发展规划、年度计划和产业政策。</w:t>
      </w:r>
    </w:p>
    <w:p w14:paraId="5461B41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3.工业经济运行及要素保障。建立全区工业经济运行预警机制, </w:t>
      </w:r>
      <w:r>
        <w:rPr>
          <w:rFonts w:hint="eastAsia" w:eastAsia="仿宋_GB2312" w:cs="Times New Roman"/>
          <w:b w:val="0"/>
          <w:bCs w:val="0"/>
          <w:i w:val="0"/>
          <w:iCs w:val="0"/>
          <w:color w:val="auto"/>
          <w:kern w:val="2"/>
          <w:sz w:val="32"/>
          <w:szCs w:val="32"/>
          <w:highlight w:val="none"/>
          <w:lang w:val="en-US" w:eastAsia="zh-CN" w:bidi="ar-SA"/>
        </w:rPr>
        <w:t>拟定中</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近期经济运行目标、 政策并组织实施, 协调解决经济运行中的重大问题; 承担电力、煤炭、成品油、天然气等重要物资综合调控、紧急调度和交通运输协调工作; 承担全区盐业行业管理和食盐专营管理。</w:t>
      </w:r>
    </w:p>
    <w:p w14:paraId="2887800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4.推进企业技术改造和科技创新。指导全区企业技术改造项目申报国家、 省、 市有关专项计划并组织实施; 承担科技研发平台的申报和管理; 负责科技成果鉴定; 负责科技示范区 (基地 ) 和产业项目工作。</w:t>
      </w:r>
    </w:p>
    <w:p w14:paraId="0CFF031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5.协调园区建设服务。承担全区工业园区建设发展的综合协调和服务工作, 指导工业园区合理布局, 组织申报工业园区公共服务平台项目。</w:t>
      </w:r>
    </w:p>
    <w:p w14:paraId="1D50EE3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6.管理工业节能降耗。负责工业和信息化领域的环境和资源综合利用工作; 承担本行业节能节水降耗、 循环经济发展、资源综合利用、清洁生产及低碳经济发展工作; 承担工业企业淘汰落后产能、节能节水技术改造工作, 组织申报国家、省财政淘汰落后产能专项资金项目和节能技术改造奖励资金项目; 承担监管考核重点工业用能企业节能节水工作。</w:t>
      </w:r>
    </w:p>
    <w:p w14:paraId="1020DE46">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7.人才培训及其他管理。指导企业建立现代企业制度、改组改造、 兼并重组; 承担全区企业治乱减负工作; 组织和指导园区开展企业经营管理人员、专业技术人员培训, 国 ( 境 ) 外人才、 智力工作管理; 承担全区规模以上工业企业和龙头骨干企业的培育工作。</w:t>
      </w:r>
    </w:p>
    <w:p w14:paraId="7E1A4095">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8.制定科技发展规划。组织编制全区科学技术发展的中长期规划和年度计划; 实施管理科技计划及企业技术创新项目; 深化科技体制改革; 研究科技投入措施, 优化科技资源配置。</w:t>
      </w:r>
    </w:p>
    <w:p w14:paraId="5D1A249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9.建设科技服务体系。审核区级科研机构和科技服务机构的组建和调整, 优化科研机构和科技服务机构布局; 拟订促进技术市场、 科技中介组织发展的政策措施, 承担相关技术合同审核、科技评估管理、科技统计管理工作; 承担全区科技合作交流, 抓好区校合作、企校合作、产学研技术创新联盟建设。</w:t>
      </w:r>
    </w:p>
    <w:p w14:paraId="1ADA326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10.统筹推进信息化工作。承担全区信息基础设施建设的规划、 协调和管理, 协调电信市场涉及社会公共利益的重大事项; 指导企业信息化和物联网发展, 推动跨行业、跨部门面向社会服务网络的互联互通和信息资源共享; 负责数字经济产业、大数据管理相关职责。</w:t>
      </w:r>
    </w:p>
    <w:p w14:paraId="0C9C32B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11.协助无线电管理。协助上级无线电管理部门统一配置和管理全区无线电频率资源, 依法监督管理无线电台(站 ), 协助做好无线电电磁环境保护、无线电监测、检测和干扰查处工作, 依法组织实施无线电管制。</w:t>
      </w:r>
    </w:p>
    <w:p w14:paraId="0616FB8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12.对外经济合作。会同有关部门提出工业和信息化领域对外开放和利用外资的政策建议, 参与区域经济合作和承接产业转移工作; 指导工业和信息化企业开展对外交流与合作、国际化经营、 境外投资及兼并重组。</w:t>
      </w:r>
    </w:p>
    <w:p w14:paraId="30045482">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13.负责职责范围内的安全生产和职业健康、 生态环境保护、审批服务便民化、市场监管、依法治理工作。</w:t>
      </w:r>
    </w:p>
    <w:p w14:paraId="1347C42D">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仿宋简体" w:hAnsi="方正仿宋简体" w:eastAsia="方正仿宋简体" w:cs="方正仿宋简体"/>
          <w:color w:val="000000"/>
          <w:sz w:val="32"/>
          <w:szCs w:val="32"/>
          <w:lang w:val="zh-CN"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14.职能转变。围绕贯彻实施科教兴国战略、人才强国战略、创新驱动发展战略, 加强、优化、转变政府科技管理和服务职能, 完善科技创新制度和组织体系, 加强宏观管理和统筹协调, 减少微观管理和具体审批事项, 加强事中事后监管和科研诚信建设。进一步改进科技人才评价机制, 建立健全以创新能力、质量、贡献、绩效为导向的科技人才评价体系和激励政策, 统筹全区科技人才队伍建设和引进国外智力工作。不再承担知识产权管理和科普相关工作。</w:t>
      </w:r>
    </w:p>
    <w:p w14:paraId="07B5A73C">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zh-CN" w:eastAsia="zh-CN"/>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（三）人员概况</w:t>
      </w:r>
    </w:p>
    <w:p w14:paraId="4C00D3D4">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现</w:t>
      </w:r>
      <w:r>
        <w:rPr>
          <w:rFonts w:hint="eastAsia" w:eastAsia="仿宋_GB2312" w:cs="Times New Roman"/>
          <w:b w:val="0"/>
          <w:bCs w:val="0"/>
          <w:i w:val="0"/>
          <w:iCs w:val="0"/>
          <w:color w:val="auto"/>
          <w:kern w:val="2"/>
          <w:sz w:val="32"/>
          <w:szCs w:val="32"/>
          <w:highlight w:val="none"/>
          <w:lang w:val="en-US" w:eastAsia="zh-CN" w:bidi="ar-SA"/>
        </w:rPr>
        <w:t>安居</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区经信科技局实有人员35人，其中在编人员21人（行政8人，机关工勤1人，事业人员12人），临聘人员8人，退休6人</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p>
    <w:p w14:paraId="42592E04">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bookmarkStart w:id="104" w:name="_Toc30606_WPSOffice_Level2"/>
      <w:r>
        <w:rPr>
          <w:rFonts w:hint="eastAsia" w:ascii="黑体" w:hAnsi="宋体" w:eastAsia="黑体" w:cs="宋体"/>
          <w:color w:val="auto"/>
          <w:kern w:val="0"/>
          <w:sz w:val="32"/>
          <w:szCs w:val="32"/>
          <w:highlight w:val="none"/>
          <w:shd w:val="clear" w:color="auto" w:fill="FFFFFF"/>
        </w:rPr>
        <w:t>二、部门资金收支情况</w:t>
      </w:r>
      <w:bookmarkEnd w:id="104"/>
    </w:p>
    <w:p w14:paraId="58D951C0">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（一）收入情况。</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2024年年初预算收入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1048.24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 万元，其中</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一般公共预算财政拨款收入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1031.77</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万元，政府性基金预算财政拨款收入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16.47</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 2024 年决算报表实际收入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5180.59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其中：</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一般公共预算财政拨款收入 </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4657.38</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万元，政府性基金预算财政拨款收入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523.21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 万元。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  </w:t>
      </w:r>
    </w:p>
    <w:p w14:paraId="6F961D1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（二）支出情况。</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2024 年年初预算支出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1048.24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 万元，其中</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一般公共预算财政拨款</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支出1031.77</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万元，政府性基金预算财政拨款</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支出16.47</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 2024 年决算报表实际</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支出5180.59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其中：</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一般公共预算财政拨款</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支出4657.38</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万元，政府性基金预算财政拨款</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支出523.21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 万元。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 xml:space="preserve">  </w:t>
      </w:r>
    </w:p>
    <w:p w14:paraId="545C8AF9">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05" w:name="_Toc21368_WPSOffice_Level2"/>
      <w:r>
        <w:rPr>
          <w:rFonts w:hint="eastAsia" w:ascii="方正楷体简体" w:hAnsi="方正楷体简体" w:eastAsia="方正楷体简体" w:cs="方正楷体简体"/>
          <w:color w:val="auto"/>
          <w:kern w:val="0"/>
          <w:sz w:val="32"/>
          <w:szCs w:val="32"/>
          <w:highlight w:val="none"/>
          <w:shd w:val="clear" w:color="auto" w:fill="FFFFFF"/>
          <w:lang w:val="zh-CN" w:eastAsia="zh-CN"/>
        </w:rPr>
        <w:t>（三）</w:t>
      </w:r>
      <w:r>
        <w:rPr>
          <w:rFonts w:hint="default" w:ascii="方正楷体简体" w:hAnsi="方正楷体简体" w:eastAsia="方正楷体简体" w:cs="方正楷体简体"/>
          <w:color w:val="auto"/>
          <w:kern w:val="0"/>
          <w:sz w:val="32"/>
          <w:szCs w:val="32"/>
          <w:highlight w:val="none"/>
          <w:shd w:val="clear" w:color="auto" w:fill="FFFFFF"/>
          <w:lang w:val="zh-CN" w:eastAsia="zh-CN"/>
        </w:rPr>
        <w:t>结余分配和结转结余情况</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截至 2024 年末，区经信科技局2024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年决算报表</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无结转结余资金。</w:t>
      </w:r>
    </w:p>
    <w:p w14:paraId="0A0E68D6">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default" w:ascii="黑体" w:hAnsi="宋体" w:eastAsia="黑体" w:cs="宋体"/>
          <w:color w:val="auto"/>
          <w:kern w:val="0"/>
          <w:sz w:val="32"/>
          <w:szCs w:val="32"/>
          <w:highlight w:val="none"/>
          <w:shd w:val="clear" w:color="auto" w:fill="FFFFFF"/>
          <w:lang w:val="en-US" w:eastAsia="zh-CN"/>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部门预算绩效</w:t>
      </w:r>
      <w:bookmarkEnd w:id="105"/>
      <w:r>
        <w:rPr>
          <w:rFonts w:hint="eastAsia" w:ascii="黑体" w:hAnsi="宋体" w:eastAsia="黑体" w:cs="宋体"/>
          <w:color w:val="auto"/>
          <w:kern w:val="0"/>
          <w:sz w:val="32"/>
          <w:szCs w:val="32"/>
          <w:highlight w:val="none"/>
          <w:u w:val="none"/>
          <w:shd w:val="clear" w:color="auto" w:fill="FFFFFF"/>
          <w:lang w:val="en-US" w:eastAsia="zh-CN"/>
        </w:rPr>
        <w:t>分析</w:t>
      </w:r>
    </w:p>
    <w:p w14:paraId="1463F29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en-US" w:eastAsia="zh-CN"/>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（一）部门预算</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总体绩效分析</w:t>
      </w:r>
    </w:p>
    <w:p w14:paraId="33227DB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rPr>
        <w:t>1.履职效能。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一是项目建成达效提增量。</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完成“智改数转”规上企业线上评估诊断全覆盖，线下评估诊断31家，完成目标任务124%。组织遂宁拓普等6个成功进入省级项目库，拟分配资金4000余万元，项目个数及拟分配金额排位全市第一。入库储备2025年23家企业26个项目，总投资10余亿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二是做好龙头企业服务扩存量。</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加快推动中遂净化、燃气发电、四川清洁能源、四川新遂等41个重点产业项目建设，佳威化学一期、宣和二期、七里川、四川江淮等18个项目竣工投产，有序推进阿宁食品、遂宁拓普等8个企业技改扩能。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三是狠抓科技创新工作。</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建立“科技型中小企业-高新技术企业-科技型领军企业”递进式培育机制，高盛包装等75家企业成功备案国家科技型中小企业，驿兴传飞等7家企业分批次有序申报国家高新技术企业，力扬工业认定为省级企业技术中心，四川裕宁认定为市级企业技术中心。骏瑞等3家企业认定省级创新型企业，盛弘辉等4家企业认定省级“专精特新”企业，高盛包装认定省级军民融合企业。</w:t>
      </w:r>
    </w:p>
    <w:p w14:paraId="5ADD4762">
      <w:pPr>
        <w:spacing w:line="600" w:lineRule="exact"/>
        <w:ind w:firstLine="640" w:firstLineChars="200"/>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rPr>
        <w:t>2.预算管理。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区经信科技局严格按照文件规定，依照“统筹兼顾、厉行节约、保障重点、注重绩效”的原则，结合当年重点工作需要，规范编制部门预算，切实提高预算编制质量。一是夯实预算编制基础。加强与干部人事、行政后勤等部门的沟通配合，认真核实人员编制，准确掌握实有在职、离退休人员人数及各职级情况等，据此测算出2024度人员经费、公用经费、</w:t>
      </w:r>
      <w:r>
        <w:rPr>
          <w:rFonts w:hint="eastAsia" w:eastAsia="仿宋_GB2312" w:cs="Times New Roman"/>
          <w:b w:val="0"/>
          <w:bCs w:val="0"/>
          <w:i w:val="0"/>
          <w:iCs w:val="0"/>
          <w:color w:val="auto"/>
          <w:kern w:val="2"/>
          <w:sz w:val="32"/>
          <w:szCs w:val="32"/>
          <w:highlight w:val="none"/>
          <w:lang w:val="en-US" w:eastAsia="zh-CN" w:bidi="ar-SA"/>
        </w:rPr>
        <w:t>“三公”经费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等需求量。同时，根据我部门的职能职责和上级部门交办的重点工作，要求及时申报2024年度项目经费及新增项目经费，完善资金申报资料及手续。二是切实做好预算编制工作。一方面做好基本支出预算编制，确保人员经费和日常公用经费编制科学准确。另一方面认真梳理、筛选、汇总2024年重点工作及项目经费需求，同时对预算责任、指标、费用、金额等进行细化分解，明确绩效目标，保障预算执行进度。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四是完善预算编制后续工作。预算编制完成后，按照财政主管部门规定的时间节点逐级送审，确保预算编制质量，杜绝工作疏漏，并将预算编制结果及时反馈。</w:t>
      </w:r>
    </w:p>
    <w:p w14:paraId="4B40012F">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3.</w:t>
      </w:r>
      <w:r>
        <w:rPr>
          <w:rFonts w:hint="default" w:ascii="方正楷体简体" w:hAnsi="方正楷体简体" w:eastAsia="方正楷体简体" w:cs="方正楷体简体"/>
          <w:color w:val="auto"/>
          <w:kern w:val="0"/>
          <w:sz w:val="32"/>
          <w:szCs w:val="32"/>
          <w:highlight w:val="none"/>
          <w:shd w:val="clear" w:color="auto" w:fill="FFFFFF"/>
          <w:lang w:val="zh-CN" w:eastAsia="zh-CN" w:bidi="ar-SA"/>
        </w:rPr>
        <w:t>资产管理</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单位资产管理由办公室总负责，使用人具体负责管理，对不能继续使用的资产由使用人交回办公室并提出申请，由办公室按照相关程序统一购置。办公室每年对单位资产进行一次集中清理，对不能使用的资产按程序进行处置。</w:t>
      </w:r>
    </w:p>
    <w:p w14:paraId="58EEBFCD">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4.</w:t>
      </w:r>
      <w:r>
        <w:rPr>
          <w:rFonts w:hint="default" w:ascii="方正楷体简体" w:hAnsi="方正楷体简体" w:eastAsia="方正楷体简体" w:cs="方正楷体简体"/>
          <w:color w:val="auto"/>
          <w:kern w:val="0"/>
          <w:sz w:val="32"/>
          <w:szCs w:val="32"/>
          <w:highlight w:val="none"/>
          <w:shd w:val="clear" w:color="auto" w:fill="FFFFFF"/>
          <w:lang w:val="zh-CN" w:eastAsia="zh-CN" w:bidi="ar-SA"/>
        </w:rPr>
        <w:t>采购管理</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严格执行政府采购制度，因工作需要购置办公设备时，按照采购程序，编制采购计划，报经区财政局备案并批准后进行采购办公设备。</w:t>
      </w:r>
    </w:p>
    <w:p w14:paraId="73F0E9C8">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5.</w:t>
      </w:r>
      <w:r>
        <w:rPr>
          <w:rFonts w:hint="default" w:ascii="方正楷体简体" w:hAnsi="方正楷体简体" w:eastAsia="方正楷体简体" w:cs="方正楷体简体"/>
          <w:color w:val="auto"/>
          <w:kern w:val="0"/>
          <w:sz w:val="32"/>
          <w:szCs w:val="32"/>
          <w:highlight w:val="none"/>
          <w:shd w:val="clear" w:color="auto" w:fill="FFFFFF"/>
          <w:lang w:val="zh-CN" w:eastAsia="zh-CN" w:bidi="ar-SA"/>
        </w:rPr>
        <w:t>财务管理</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按照岗位职责，严格执行机关财务管理制度，及时进行会计核算，加强了项目资金的管理和监督，本着勤俭节约原则，管理好用好每笔资金。</w:t>
      </w:r>
    </w:p>
    <w:p w14:paraId="63E10EFA">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方正楷体简体" w:hAnsi="方正楷体简体" w:eastAsia="方正楷体简体" w:cs="方正楷体简体"/>
          <w:color w:val="auto"/>
          <w:kern w:val="0"/>
          <w:sz w:val="32"/>
          <w:szCs w:val="32"/>
          <w:highlight w:val="none"/>
          <w:shd w:val="clear" w:color="auto" w:fill="FFFFFF"/>
          <w:lang w:val="en-US" w:eastAsia="zh-CN"/>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)部门预算项目绩效分析</w:t>
      </w:r>
    </w:p>
    <w:p w14:paraId="0451E046">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常年项目绩效分析。</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该类项目总数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18</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个，涉及预算总金额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4107.13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万元，1</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月预算执行总体进度为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%，其中：预算结余率大于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的项目共计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w:t>
      </w:r>
    </w:p>
    <w:p w14:paraId="0ED771CA">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en-US" w:eastAsia="zh-CN" w:bidi="ar-SA"/>
        </w:rPr>
        <w:t>阶段</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一次性</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项目绩效分析。</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该类项目总数</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8</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个，涉及预算总金额</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598.6</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万元，1</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default" w:ascii="Times New Roman" w:hAnsi="Times New Roman" w:eastAsia="仿宋_GB2312" w:cs="Times New Roman"/>
          <w:b w:val="0"/>
          <w:bCs w:val="0"/>
          <w:i w:val="0"/>
          <w:iCs w:val="0"/>
          <w:color w:val="auto"/>
          <w:kern w:val="2"/>
          <w:sz w:val="32"/>
          <w:szCs w:val="32"/>
          <w:highlight w:val="none"/>
          <w:lang w:val="zh-CN" w:eastAsia="zh-CN" w:bidi="ar-SA"/>
        </w:rPr>
        <w:t>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月预算执行总体进度为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%，其中：预算结余率大于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的项目共计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个。</w:t>
      </w:r>
    </w:p>
    <w:p w14:paraId="6591485A">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1.</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项目决策</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。不断强化预算意识，实行部门综合预算管理，形成以单位领导</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总揽</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分管业务领导</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牵头、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密切配合的工作格局，保证预算编制质量。</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按年度目标任务</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合理设置目标数量、质量、成本、完成时限、经济效益等绩效参数，</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目标明确且符合实际需求。</w:t>
      </w:r>
    </w:p>
    <w:p w14:paraId="54E94FEA">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项目执行</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部门预算经批复后，跟踪预算执行进度，及时确认收入，科学合理安排支出，尽量降低预算支出的波动幅度，结合</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部门实际</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业务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开展</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情况，进行科学合理分配，严格执行项目支出预算，积极组织项目实施，对于达到政府采购标准的项目支出，明确规定采购期限，督促尽快实施采购计划。</w:t>
      </w:r>
    </w:p>
    <w:p w14:paraId="2E94ECC0">
      <w:pPr>
        <w:spacing w:line="600" w:lineRule="exact"/>
        <w:ind w:firstLine="640" w:firstLineChars="200"/>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目标实现</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。对预算执行过程的控制和结果的反馈，对预算执行差异及时分析成因和影响，并及时向领导和相关股室进行反馈，以采取措施纠正执行偏差，促进预算目标的全面完成。</w:t>
      </w:r>
    </w:p>
    <w:p w14:paraId="3BBD3FE1">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（三）绩效</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结果应用情况。</w:t>
      </w:r>
      <w:r>
        <w:rPr>
          <w:rFonts w:hint="eastAsia" w:ascii="Times New Roman" w:hAnsi="Times New Roman" w:eastAsia="仿宋_GB2312" w:cs="Times New Roman"/>
          <w:color w:val="auto"/>
          <w:kern w:val="2"/>
          <w:sz w:val="32"/>
          <w:szCs w:val="32"/>
          <w:highlight w:val="none"/>
          <w:shd w:val="clear" w:color="auto" w:fill="auto"/>
          <w:lang w:val="zh-CN" w:eastAsia="zh-CN"/>
        </w:rPr>
        <w:t>安居</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区经信科技局对2024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1A7C94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bookmarkStart w:id="106" w:name="_Toc16154_WPSOffice_Level2"/>
      <w:r>
        <w:rPr>
          <w:rFonts w:hint="eastAsia" w:ascii="黑体" w:hAnsi="黑体" w:eastAsia="黑体" w:cs="黑体"/>
          <w:sz w:val="32"/>
          <w:szCs w:val="32"/>
          <w:lang w:eastAsia="zh-CN"/>
        </w:rPr>
        <w:t>四、</w:t>
      </w:r>
      <w:r>
        <w:rPr>
          <w:rFonts w:ascii="黑体" w:hAnsi="黑体" w:eastAsia="黑体" w:cs="黑体"/>
          <w:sz w:val="32"/>
          <w:szCs w:val="32"/>
        </w:rPr>
        <w:t>评价结论及建议</w:t>
      </w:r>
      <w:bookmarkEnd w:id="106"/>
    </w:p>
    <w:p w14:paraId="4BDE4C6F">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（一）评价结论。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总体来说，通过绩效评价，2024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综合评价得分92分。</w:t>
      </w:r>
    </w:p>
    <w:p w14:paraId="2A0B7CDB">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存在问题。</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一是由于财政资金申请、拨付周期长，不能及时到位，导致该拨付的资金未能及时拨付；二是重资金执行、轻绩效评价，</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部分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业务股室</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对预算绩效自评的重要性认识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不足</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，将自评工作等同于财务报账，仅关注资金是否按预算支出，忽视对项目实施效果、政策目标达成度的深入分析</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；三是</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业务能力参差不齐，</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因</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缺乏系统的绩效管理培训，对绩效目标设定、评价指标选取、效益分析方法等专业知识掌握不足。</w:t>
      </w:r>
    </w:p>
    <w:p w14:paraId="7CA529F7">
      <w:pPr>
        <w:keepNext w:val="0"/>
        <w:keepLines w:val="0"/>
        <w:pageBreakBefore w:val="0"/>
        <w:kinsoku/>
        <w:wordWrap/>
        <w:overflowPunct/>
        <w:topLinePunct w:val="0"/>
        <w:autoSpaceDE/>
        <w:autoSpaceDN/>
        <w:bidi w:val="0"/>
        <w:spacing w:line="500" w:lineRule="exact"/>
        <w:ind w:firstLine="640" w:firstLineChars="200"/>
        <w:textAlignment w:val="auto"/>
        <w:outlineLvl w:val="1"/>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改进建议。</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一是加快进度，及时、高效使用专项资金；二是建立、健全相关管理制度、规范管理过程；三是加强财政资金支出绩效评价的培训学习，提高业务素质，提升资金支出绩效评价水平。</w:t>
      </w:r>
    </w:p>
    <w:p w14:paraId="35046ED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1F228CC5">
      <w:pPr>
        <w:pStyle w:val="3"/>
        <w:keepNext w:val="0"/>
        <w:keepLines w:val="0"/>
        <w:pageBreakBefore w:val="0"/>
        <w:numPr>
          <w:ilvl w:val="-1"/>
          <w:numId w:val="0"/>
        </w:numPr>
        <w:kinsoku/>
        <w:wordWrap/>
        <w:overflowPunct/>
        <w:topLinePunct w:val="0"/>
        <w:autoSpaceDE/>
        <w:autoSpaceDN/>
        <w:bidi w:val="0"/>
        <w:spacing w:line="560" w:lineRule="exact"/>
        <w:ind w:leftChars="0"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202DB6D8">
      <w:pPr>
        <w:pStyle w:val="42"/>
        <w:keepNext w:val="0"/>
        <w:keepLines w:val="0"/>
        <w:pageBreakBefore w:val="0"/>
        <w:widowControl w:val="0"/>
        <w:kinsoku/>
        <w:wordWrap/>
        <w:overflowPunct/>
        <w:topLinePunct w:val="0"/>
        <w:autoSpaceDE/>
        <w:autoSpaceDN/>
        <w:bidi w:val="0"/>
        <w:spacing w:line="578" w:lineRule="exact"/>
        <w:ind w:left="0" w:leftChars="0" w:firstLine="1600" w:firstLineChars="50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Times New Roman" w:eastAsia="仿宋_GB2312" w:cs="Times New Roman"/>
          <w:kern w:val="2"/>
          <w:sz w:val="32"/>
          <w:szCs w:val="32"/>
          <w:u w:val="none"/>
          <w:lang w:val="en-US" w:eastAsia="zh-CN" w:bidi="ar"/>
        </w:rPr>
        <w:t>3.</w:t>
      </w:r>
      <w:r>
        <w:rPr>
          <w:rFonts w:hint="eastAsia" w:ascii="Times New Roman" w:hAnsi="Times New Roman" w:eastAsia="仿宋_GB2312" w:cs="Times New Roman"/>
          <w:color w:val="auto"/>
          <w:kern w:val="2"/>
          <w:sz w:val="32"/>
          <w:szCs w:val="32"/>
          <w:highlight w:val="none"/>
          <w:u w:val="none"/>
          <w:lang w:val="en-US" w:eastAsia="zh-CN" w:bidi="ar"/>
        </w:rPr>
        <w:t>专项资金绩效自评报告</w:t>
      </w:r>
    </w:p>
    <w:p w14:paraId="783FBCE8">
      <w:pPr>
        <w:pStyle w:val="3"/>
        <w:keepNext w:val="0"/>
        <w:keepLines w:val="0"/>
        <w:pageBreakBefore w:val="0"/>
        <w:numPr>
          <w:ilvl w:val="-1"/>
          <w:numId w:val="0"/>
        </w:numPr>
        <w:kinsoku/>
        <w:wordWrap/>
        <w:overflowPunct/>
        <w:topLinePunct w:val="0"/>
        <w:autoSpaceDE/>
        <w:autoSpaceDN/>
        <w:bidi w:val="0"/>
        <w:spacing w:line="560" w:lineRule="exact"/>
        <w:ind w:leftChars="0" w:firstLine="1600" w:firstLineChars="500"/>
        <w:textAlignment w:val="auto"/>
        <w:rPr>
          <w:rFonts w:hint="default" w:ascii="Times New Roman" w:hAnsi="Times New Roman" w:eastAsia="仿宋_GB2312" w:cs="Times New Roman"/>
          <w:kern w:val="2"/>
          <w:sz w:val="32"/>
          <w:szCs w:val="32"/>
          <w:u w:val="none"/>
          <w:lang w:val="en-US" w:eastAsia="zh-CN" w:bidi="ar"/>
        </w:rPr>
      </w:pPr>
    </w:p>
    <w:p w14:paraId="6DD8140C">
      <w:pPr>
        <w:pStyle w:val="3"/>
        <w:keepNext w:val="0"/>
        <w:keepLines w:val="0"/>
        <w:pageBreakBefore w:val="0"/>
        <w:numPr>
          <w:ilvl w:val="-1"/>
          <w:numId w:val="0"/>
        </w:numPr>
        <w:kinsoku/>
        <w:wordWrap/>
        <w:overflowPunct/>
        <w:topLinePunct w:val="0"/>
        <w:autoSpaceDE/>
        <w:autoSpaceDN/>
        <w:bidi w:val="0"/>
        <w:spacing w:line="560" w:lineRule="exact"/>
        <w:ind w:leftChars="0" w:firstLine="0" w:firstLineChars="0"/>
        <w:textAlignment w:val="auto"/>
        <w:rPr>
          <w:rFonts w:hint="default" w:ascii="Times New Roman" w:hAnsi="Times New Roman" w:eastAsia="仿宋_GB2312" w:cs="Times New Roman"/>
          <w:kern w:val="2"/>
          <w:sz w:val="32"/>
          <w:szCs w:val="32"/>
          <w:u w:val="none"/>
          <w:lang w:val="zh-CN" w:eastAsia="zh-CN" w:bidi="ar"/>
        </w:rPr>
      </w:pPr>
    </w:p>
    <w:p w14:paraId="62B99D86">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43DB786">
      <w:pPr>
        <w:pStyle w:val="25"/>
        <w:rPr>
          <w:rFonts w:hint="default"/>
          <w:lang w:val="zh-CN"/>
        </w:rPr>
      </w:pPr>
    </w:p>
    <w:p w14:paraId="4D9D5B77">
      <w:pPr>
        <w:pStyle w:val="2"/>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tbl>
      <w:tblPr>
        <w:tblStyle w:val="21"/>
        <w:tblW w:w="9228" w:type="dxa"/>
        <w:jc w:val="center"/>
        <w:tblLayout w:type="fixed"/>
        <w:tblCellMar>
          <w:top w:w="0" w:type="dxa"/>
          <w:left w:w="108" w:type="dxa"/>
          <w:bottom w:w="0" w:type="dxa"/>
          <w:right w:w="108" w:type="dxa"/>
        </w:tblCellMar>
      </w:tblPr>
      <w:tblGrid>
        <w:gridCol w:w="699"/>
        <w:gridCol w:w="919"/>
        <w:gridCol w:w="1225"/>
        <w:gridCol w:w="659"/>
        <w:gridCol w:w="1523"/>
        <w:gridCol w:w="3008"/>
        <w:gridCol w:w="636"/>
        <w:gridCol w:w="559"/>
      </w:tblGrid>
      <w:tr w14:paraId="5C840624">
        <w:tblPrEx>
          <w:tblCellMar>
            <w:top w:w="0" w:type="dxa"/>
            <w:left w:w="108" w:type="dxa"/>
            <w:bottom w:w="0" w:type="dxa"/>
            <w:right w:w="108" w:type="dxa"/>
          </w:tblCellMar>
        </w:tblPrEx>
        <w:trPr>
          <w:trHeight w:val="645" w:hRule="atLeast"/>
          <w:jc w:val="center"/>
        </w:trPr>
        <w:tc>
          <w:tcPr>
            <w:tcW w:w="9228" w:type="dxa"/>
            <w:gridSpan w:val="8"/>
            <w:tcBorders>
              <w:top w:val="nil"/>
              <w:left w:val="nil"/>
              <w:bottom w:val="nil"/>
              <w:right w:val="nil"/>
            </w:tcBorders>
            <w:shd w:val="clear" w:color="auto" w:fill="auto"/>
            <w:vAlign w:val="center"/>
          </w:tcPr>
          <w:p w14:paraId="6E629459">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en-US" w:eastAsia="zh-CN"/>
              </w:rPr>
              <w:t>附件1：</w:t>
            </w:r>
            <w:r>
              <w:rPr>
                <w:rFonts w:hint="eastAsia" w:eastAsia="黑体" w:cs="黑体"/>
                <w:kern w:val="0"/>
                <w:sz w:val="32"/>
                <w:szCs w:val="32"/>
                <w:shd w:val="clear" w:color="auto" w:fill="FFFFFF"/>
                <w:lang w:val="zh-CN"/>
              </w:rPr>
              <w:br w:type="page"/>
            </w:r>
          </w:p>
          <w:p w14:paraId="67983198">
            <w:pPr>
              <w:widowControl/>
              <w:jc w:val="center"/>
              <w:rPr>
                <w:rFonts w:ascii="方正小标宋简体" w:hAnsi="方正小标宋简体" w:eastAsia="方正小标宋简体" w:cs="宋体"/>
                <w:kern w:val="0"/>
                <w:sz w:val="48"/>
                <w:szCs w:val="48"/>
              </w:rPr>
            </w:pPr>
            <w:r>
              <w:rPr>
                <w:rFonts w:hint="eastAsia" w:eastAsia="黑体" w:cs="黑体"/>
                <w:kern w:val="0"/>
                <w:sz w:val="40"/>
                <w:szCs w:val="40"/>
                <w:shd w:val="clear" w:color="auto" w:fill="FFFFFF"/>
                <w:lang w:val="zh-CN"/>
              </w:rPr>
              <w:br w:type="page"/>
            </w:r>
            <w:r>
              <w:rPr>
                <w:rFonts w:eastAsia="黑体" w:cs="黑体"/>
                <w:kern w:val="0"/>
                <w:sz w:val="40"/>
                <w:szCs w:val="40"/>
                <w:shd w:val="clear" w:color="auto" w:fill="FFFFFF"/>
                <w:lang w:val="zh-CN"/>
              </w:rPr>
              <w:br w:type="page"/>
            </w:r>
            <w:r>
              <w:rPr>
                <w:rFonts w:hint="eastAsia" w:ascii="方正小标宋简体" w:hAnsi="方正小标宋简体" w:eastAsia="方正小标宋简体" w:cs="宋体"/>
                <w:kern w:val="0"/>
                <w:sz w:val="40"/>
                <w:szCs w:val="40"/>
              </w:rPr>
              <w:t>部门整体支出绩效自评表</w:t>
            </w:r>
          </w:p>
        </w:tc>
      </w:tr>
      <w:tr w14:paraId="70CFFB71">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12B856">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8D57F6">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C65AB4">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6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0F1852">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C815B4">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6DAFAED5">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6DEBC9B6">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180995EB">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225" w:type="dxa"/>
            <w:tcBorders>
              <w:top w:val="nil"/>
              <w:left w:val="nil"/>
              <w:bottom w:val="single" w:color="auto" w:sz="4" w:space="0"/>
              <w:right w:val="single" w:color="auto" w:sz="4" w:space="0"/>
            </w:tcBorders>
            <w:shd w:val="clear" w:color="auto" w:fill="auto"/>
            <w:vAlign w:val="center"/>
          </w:tcPr>
          <w:p w14:paraId="503965AF">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659" w:type="dxa"/>
            <w:tcBorders>
              <w:top w:val="nil"/>
              <w:left w:val="nil"/>
              <w:bottom w:val="single" w:color="auto" w:sz="4" w:space="0"/>
              <w:right w:val="single" w:color="auto" w:sz="4" w:space="0"/>
            </w:tcBorders>
            <w:shd w:val="clear" w:color="auto" w:fill="auto"/>
            <w:vAlign w:val="center"/>
          </w:tcPr>
          <w:p w14:paraId="42DD9791">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5552317B">
            <w:pPr>
              <w:widowControl/>
              <w:jc w:val="left"/>
              <w:rPr>
                <w:rFonts w:ascii="黑体" w:hAnsi="黑体" w:eastAsia="黑体" w:cs="宋体"/>
                <w:kern w:val="0"/>
                <w:sz w:val="24"/>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14:paraId="1B3DEBE2">
            <w:pPr>
              <w:widowControl/>
              <w:jc w:val="left"/>
              <w:rPr>
                <w:rFonts w:ascii="黑体" w:hAnsi="黑体" w:eastAsia="黑体" w:cs="宋体"/>
                <w:kern w:val="0"/>
                <w:sz w:val="24"/>
              </w:rPr>
            </w:pPr>
          </w:p>
        </w:tc>
        <w:tc>
          <w:tcPr>
            <w:tcW w:w="636" w:type="dxa"/>
            <w:vMerge w:val="continue"/>
            <w:tcBorders>
              <w:top w:val="single" w:color="auto" w:sz="4" w:space="0"/>
              <w:left w:val="single" w:color="auto" w:sz="4" w:space="0"/>
              <w:bottom w:val="single" w:color="000000" w:sz="4" w:space="0"/>
              <w:right w:val="single" w:color="auto" w:sz="4" w:space="0"/>
            </w:tcBorders>
            <w:vAlign w:val="center"/>
          </w:tcPr>
          <w:p w14:paraId="6B4864C5">
            <w:pPr>
              <w:widowControl/>
              <w:jc w:val="left"/>
              <w:rPr>
                <w:rFonts w:ascii="黑体" w:hAnsi="黑体" w:eastAsia="黑体" w:cs="宋体"/>
                <w:kern w:val="0"/>
                <w:sz w:val="24"/>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14:paraId="7BBD8E5A">
            <w:pPr>
              <w:widowControl/>
              <w:jc w:val="left"/>
              <w:rPr>
                <w:rFonts w:ascii="黑体" w:hAnsi="黑体" w:eastAsia="黑体" w:cs="宋体"/>
                <w:kern w:val="0"/>
                <w:sz w:val="24"/>
              </w:rPr>
            </w:pPr>
          </w:p>
        </w:tc>
      </w:tr>
      <w:tr w14:paraId="2A8382CA">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B83D5B0">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vMerge w:val="restart"/>
            <w:tcBorders>
              <w:top w:val="nil"/>
              <w:left w:val="single" w:color="auto" w:sz="4" w:space="0"/>
              <w:bottom w:val="nil"/>
              <w:right w:val="single" w:color="auto" w:sz="4" w:space="0"/>
            </w:tcBorders>
            <w:shd w:val="clear" w:color="auto" w:fill="auto"/>
            <w:vAlign w:val="center"/>
          </w:tcPr>
          <w:p w14:paraId="54C83A66">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1225" w:type="dxa"/>
            <w:tcBorders>
              <w:top w:val="nil"/>
              <w:left w:val="nil"/>
              <w:bottom w:val="single" w:color="auto" w:sz="4" w:space="0"/>
              <w:right w:val="single" w:color="auto" w:sz="4" w:space="0"/>
            </w:tcBorders>
            <w:shd w:val="clear" w:color="auto" w:fill="auto"/>
            <w:vAlign w:val="center"/>
          </w:tcPr>
          <w:p w14:paraId="1087FB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人员经费</w:t>
            </w:r>
          </w:p>
        </w:tc>
        <w:tc>
          <w:tcPr>
            <w:tcW w:w="659" w:type="dxa"/>
            <w:vMerge w:val="restart"/>
            <w:tcBorders>
              <w:top w:val="nil"/>
              <w:left w:val="single" w:color="auto" w:sz="4" w:space="0"/>
              <w:bottom w:val="nil"/>
              <w:right w:val="single" w:color="auto" w:sz="4" w:space="0"/>
            </w:tcBorders>
            <w:shd w:val="clear" w:color="auto" w:fill="auto"/>
            <w:vAlign w:val="center"/>
          </w:tcPr>
          <w:p w14:paraId="0CE23A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523" w:type="dxa"/>
            <w:vMerge w:val="restart"/>
            <w:tcBorders>
              <w:top w:val="nil"/>
              <w:left w:val="single" w:color="auto" w:sz="4" w:space="0"/>
              <w:bottom w:val="nil"/>
              <w:right w:val="single" w:color="auto" w:sz="4" w:space="0"/>
            </w:tcBorders>
            <w:shd w:val="clear" w:color="auto" w:fill="auto"/>
            <w:vAlign w:val="center"/>
          </w:tcPr>
          <w:p w14:paraId="3FA496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部门整体绩效目标中选定4-6个核心职能目标，反映该项职能目标完成效果情况</w:t>
            </w:r>
          </w:p>
        </w:tc>
        <w:tc>
          <w:tcPr>
            <w:tcW w:w="3008" w:type="dxa"/>
            <w:vMerge w:val="restart"/>
            <w:tcBorders>
              <w:top w:val="nil"/>
              <w:left w:val="single" w:color="auto" w:sz="4" w:space="0"/>
              <w:bottom w:val="nil"/>
              <w:right w:val="single" w:color="auto" w:sz="4" w:space="0"/>
            </w:tcBorders>
            <w:shd w:val="clear" w:color="auto" w:fill="auto"/>
            <w:vAlign w:val="center"/>
          </w:tcPr>
          <w:p w14:paraId="5F4C39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36" w:type="dxa"/>
            <w:vMerge w:val="restart"/>
            <w:tcBorders>
              <w:top w:val="nil"/>
              <w:left w:val="single" w:color="auto" w:sz="4" w:space="0"/>
              <w:bottom w:val="nil"/>
              <w:right w:val="single" w:color="auto" w:sz="4" w:space="0"/>
            </w:tcBorders>
            <w:shd w:val="clear" w:color="auto" w:fill="auto"/>
            <w:vAlign w:val="center"/>
          </w:tcPr>
          <w:p w14:paraId="3885DCFB">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559" w:type="dxa"/>
            <w:vMerge w:val="restart"/>
            <w:tcBorders>
              <w:top w:val="nil"/>
              <w:left w:val="single" w:color="auto" w:sz="4" w:space="0"/>
              <w:bottom w:val="nil"/>
              <w:right w:val="single" w:color="auto" w:sz="4" w:space="0"/>
            </w:tcBorders>
            <w:shd w:val="clear" w:color="auto" w:fill="auto"/>
            <w:vAlign w:val="center"/>
          </w:tcPr>
          <w:p w14:paraId="45ECAA08">
            <w:pPr>
              <w:widowControl/>
              <w:jc w:val="center"/>
              <w:rPr>
                <w:rFonts w:hint="eastAsia" w:ascii="宋体" w:hAnsi="宋体" w:cs="宋体"/>
                <w:kern w:val="0"/>
                <w:sz w:val="24"/>
              </w:rPr>
            </w:pPr>
            <w:r>
              <w:rPr>
                <w:rFonts w:hint="eastAsia" w:ascii="宋体" w:hAnsi="宋体" w:cs="宋体"/>
                <w:kern w:val="0"/>
                <w:sz w:val="24"/>
              </w:rPr>
              <w:t>　</w:t>
            </w:r>
          </w:p>
        </w:tc>
      </w:tr>
      <w:tr w14:paraId="6DE1AAAB">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B63E819">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1BC2ECE4">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5FEB2C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公用经费</w:t>
            </w:r>
          </w:p>
        </w:tc>
        <w:tc>
          <w:tcPr>
            <w:tcW w:w="659" w:type="dxa"/>
            <w:vMerge w:val="continue"/>
            <w:tcBorders>
              <w:top w:val="nil"/>
              <w:left w:val="single" w:color="auto" w:sz="4" w:space="0"/>
              <w:bottom w:val="nil"/>
              <w:right w:val="single" w:color="auto" w:sz="4" w:space="0"/>
            </w:tcBorders>
            <w:vAlign w:val="center"/>
          </w:tcPr>
          <w:p w14:paraId="39AC7ADE">
            <w:pPr>
              <w:widowControl/>
              <w:jc w:val="left"/>
              <w:rPr>
                <w:rFonts w:ascii="宋体" w:hAnsi="宋体" w:cs="宋体"/>
                <w:kern w:val="0"/>
                <w:sz w:val="24"/>
              </w:rPr>
            </w:pPr>
          </w:p>
        </w:tc>
        <w:tc>
          <w:tcPr>
            <w:tcW w:w="1523" w:type="dxa"/>
            <w:vMerge w:val="continue"/>
            <w:tcBorders>
              <w:top w:val="nil"/>
              <w:left w:val="single" w:color="auto" w:sz="4" w:space="0"/>
              <w:bottom w:val="nil"/>
              <w:right w:val="single" w:color="auto" w:sz="4" w:space="0"/>
            </w:tcBorders>
            <w:vAlign w:val="center"/>
          </w:tcPr>
          <w:p w14:paraId="6CD017CE">
            <w:pPr>
              <w:widowControl/>
              <w:jc w:val="left"/>
              <w:rPr>
                <w:rFonts w:ascii="宋体" w:hAnsi="宋体" w:cs="宋体"/>
                <w:kern w:val="0"/>
                <w:sz w:val="24"/>
              </w:rPr>
            </w:pPr>
          </w:p>
        </w:tc>
        <w:tc>
          <w:tcPr>
            <w:tcW w:w="3008" w:type="dxa"/>
            <w:vMerge w:val="continue"/>
            <w:tcBorders>
              <w:top w:val="nil"/>
              <w:left w:val="single" w:color="auto" w:sz="4" w:space="0"/>
              <w:bottom w:val="nil"/>
              <w:right w:val="single" w:color="auto" w:sz="4" w:space="0"/>
            </w:tcBorders>
            <w:vAlign w:val="center"/>
          </w:tcPr>
          <w:p w14:paraId="0E93840E">
            <w:pPr>
              <w:widowControl/>
              <w:jc w:val="left"/>
              <w:rPr>
                <w:rFonts w:ascii="宋体" w:hAnsi="宋体" w:cs="宋体"/>
                <w:kern w:val="0"/>
                <w:sz w:val="18"/>
                <w:szCs w:val="18"/>
              </w:rPr>
            </w:pPr>
          </w:p>
        </w:tc>
        <w:tc>
          <w:tcPr>
            <w:tcW w:w="636" w:type="dxa"/>
            <w:vMerge w:val="continue"/>
            <w:tcBorders>
              <w:top w:val="nil"/>
              <w:left w:val="single" w:color="auto" w:sz="4" w:space="0"/>
              <w:bottom w:val="nil"/>
              <w:right w:val="single" w:color="auto" w:sz="4" w:space="0"/>
            </w:tcBorders>
            <w:vAlign w:val="center"/>
          </w:tcPr>
          <w:p w14:paraId="0D88D965">
            <w:pPr>
              <w:widowControl/>
              <w:jc w:val="left"/>
              <w:rPr>
                <w:rFonts w:hint="eastAsia" w:ascii="宋体" w:hAnsi="宋体" w:cs="宋体"/>
                <w:color w:val="000000"/>
                <w:kern w:val="0"/>
                <w:sz w:val="18"/>
                <w:szCs w:val="18"/>
              </w:rPr>
            </w:pPr>
          </w:p>
        </w:tc>
        <w:tc>
          <w:tcPr>
            <w:tcW w:w="559" w:type="dxa"/>
            <w:vMerge w:val="continue"/>
            <w:tcBorders>
              <w:top w:val="nil"/>
              <w:left w:val="single" w:color="auto" w:sz="4" w:space="0"/>
              <w:bottom w:val="nil"/>
              <w:right w:val="single" w:color="auto" w:sz="4" w:space="0"/>
            </w:tcBorders>
            <w:vAlign w:val="center"/>
          </w:tcPr>
          <w:p w14:paraId="188A7B3C">
            <w:pPr>
              <w:widowControl/>
              <w:jc w:val="left"/>
              <w:rPr>
                <w:rFonts w:ascii="宋体" w:hAnsi="宋体" w:cs="宋体"/>
                <w:kern w:val="0"/>
                <w:sz w:val="24"/>
              </w:rPr>
            </w:pPr>
          </w:p>
        </w:tc>
      </w:tr>
      <w:tr w14:paraId="1BB74FD8">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781FA5A">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585C57CF">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0A7A14F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一般公共服务支出</w:t>
            </w:r>
          </w:p>
        </w:tc>
        <w:tc>
          <w:tcPr>
            <w:tcW w:w="659" w:type="dxa"/>
            <w:vMerge w:val="continue"/>
            <w:tcBorders>
              <w:top w:val="nil"/>
              <w:left w:val="single" w:color="auto" w:sz="4" w:space="0"/>
              <w:bottom w:val="nil"/>
              <w:right w:val="single" w:color="auto" w:sz="4" w:space="0"/>
            </w:tcBorders>
            <w:vAlign w:val="center"/>
          </w:tcPr>
          <w:p w14:paraId="73DCAAD3">
            <w:pPr>
              <w:widowControl/>
              <w:jc w:val="left"/>
              <w:rPr>
                <w:rFonts w:ascii="宋体" w:hAnsi="宋体" w:cs="宋体"/>
                <w:kern w:val="0"/>
                <w:sz w:val="24"/>
              </w:rPr>
            </w:pPr>
          </w:p>
        </w:tc>
        <w:tc>
          <w:tcPr>
            <w:tcW w:w="1523" w:type="dxa"/>
            <w:vMerge w:val="continue"/>
            <w:tcBorders>
              <w:top w:val="nil"/>
              <w:left w:val="single" w:color="auto" w:sz="4" w:space="0"/>
              <w:bottom w:val="nil"/>
              <w:right w:val="single" w:color="auto" w:sz="4" w:space="0"/>
            </w:tcBorders>
            <w:vAlign w:val="center"/>
          </w:tcPr>
          <w:p w14:paraId="4E081F66">
            <w:pPr>
              <w:widowControl/>
              <w:jc w:val="left"/>
              <w:rPr>
                <w:rFonts w:ascii="宋体" w:hAnsi="宋体" w:cs="宋体"/>
                <w:kern w:val="0"/>
                <w:sz w:val="24"/>
              </w:rPr>
            </w:pPr>
          </w:p>
        </w:tc>
        <w:tc>
          <w:tcPr>
            <w:tcW w:w="3008" w:type="dxa"/>
            <w:vMerge w:val="continue"/>
            <w:tcBorders>
              <w:top w:val="nil"/>
              <w:left w:val="single" w:color="auto" w:sz="4" w:space="0"/>
              <w:bottom w:val="nil"/>
              <w:right w:val="single" w:color="auto" w:sz="4" w:space="0"/>
            </w:tcBorders>
            <w:vAlign w:val="center"/>
          </w:tcPr>
          <w:p w14:paraId="5E6D2ED0">
            <w:pPr>
              <w:widowControl/>
              <w:jc w:val="left"/>
              <w:rPr>
                <w:rFonts w:ascii="宋体" w:hAnsi="宋体" w:cs="宋体"/>
                <w:kern w:val="0"/>
                <w:sz w:val="18"/>
                <w:szCs w:val="18"/>
              </w:rPr>
            </w:pPr>
          </w:p>
        </w:tc>
        <w:tc>
          <w:tcPr>
            <w:tcW w:w="636" w:type="dxa"/>
            <w:vMerge w:val="continue"/>
            <w:tcBorders>
              <w:top w:val="nil"/>
              <w:left w:val="single" w:color="auto" w:sz="4" w:space="0"/>
              <w:bottom w:val="nil"/>
              <w:right w:val="single" w:color="auto" w:sz="4" w:space="0"/>
            </w:tcBorders>
            <w:vAlign w:val="center"/>
          </w:tcPr>
          <w:p w14:paraId="70D012AB">
            <w:pPr>
              <w:widowControl/>
              <w:jc w:val="left"/>
              <w:rPr>
                <w:rFonts w:hint="eastAsia" w:ascii="宋体" w:hAnsi="宋体" w:cs="宋体"/>
                <w:color w:val="000000"/>
                <w:kern w:val="0"/>
                <w:sz w:val="18"/>
                <w:szCs w:val="18"/>
              </w:rPr>
            </w:pPr>
          </w:p>
        </w:tc>
        <w:tc>
          <w:tcPr>
            <w:tcW w:w="559" w:type="dxa"/>
            <w:vMerge w:val="continue"/>
            <w:tcBorders>
              <w:top w:val="nil"/>
              <w:left w:val="single" w:color="auto" w:sz="4" w:space="0"/>
              <w:bottom w:val="nil"/>
              <w:right w:val="single" w:color="auto" w:sz="4" w:space="0"/>
            </w:tcBorders>
            <w:vAlign w:val="center"/>
          </w:tcPr>
          <w:p w14:paraId="73D75306">
            <w:pPr>
              <w:widowControl/>
              <w:jc w:val="left"/>
              <w:rPr>
                <w:rFonts w:ascii="宋体" w:hAnsi="宋体" w:cs="宋体"/>
                <w:kern w:val="0"/>
                <w:sz w:val="24"/>
              </w:rPr>
            </w:pPr>
          </w:p>
        </w:tc>
      </w:tr>
      <w:tr w14:paraId="5F9E6CC5">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4CE6309">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1481B68">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04621DE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科学技术支出</w:t>
            </w:r>
          </w:p>
        </w:tc>
        <w:tc>
          <w:tcPr>
            <w:tcW w:w="659" w:type="dxa"/>
            <w:vMerge w:val="continue"/>
            <w:tcBorders>
              <w:top w:val="nil"/>
              <w:left w:val="single" w:color="auto" w:sz="4" w:space="0"/>
              <w:bottom w:val="nil"/>
              <w:right w:val="single" w:color="auto" w:sz="4" w:space="0"/>
            </w:tcBorders>
            <w:vAlign w:val="center"/>
          </w:tcPr>
          <w:p w14:paraId="48791E64">
            <w:pPr>
              <w:widowControl/>
              <w:jc w:val="left"/>
              <w:rPr>
                <w:rFonts w:ascii="宋体" w:hAnsi="宋体" w:cs="宋体"/>
                <w:kern w:val="0"/>
                <w:sz w:val="24"/>
              </w:rPr>
            </w:pPr>
          </w:p>
        </w:tc>
        <w:tc>
          <w:tcPr>
            <w:tcW w:w="1523" w:type="dxa"/>
            <w:vMerge w:val="continue"/>
            <w:tcBorders>
              <w:top w:val="nil"/>
              <w:left w:val="single" w:color="auto" w:sz="4" w:space="0"/>
              <w:bottom w:val="nil"/>
              <w:right w:val="single" w:color="auto" w:sz="4" w:space="0"/>
            </w:tcBorders>
            <w:vAlign w:val="center"/>
          </w:tcPr>
          <w:p w14:paraId="17C43FE8">
            <w:pPr>
              <w:widowControl/>
              <w:jc w:val="left"/>
              <w:rPr>
                <w:rFonts w:ascii="宋体" w:hAnsi="宋体" w:cs="宋体"/>
                <w:kern w:val="0"/>
                <w:sz w:val="24"/>
              </w:rPr>
            </w:pPr>
          </w:p>
        </w:tc>
        <w:tc>
          <w:tcPr>
            <w:tcW w:w="3008" w:type="dxa"/>
            <w:vMerge w:val="continue"/>
            <w:tcBorders>
              <w:top w:val="nil"/>
              <w:left w:val="single" w:color="auto" w:sz="4" w:space="0"/>
              <w:bottom w:val="nil"/>
              <w:right w:val="single" w:color="auto" w:sz="4" w:space="0"/>
            </w:tcBorders>
            <w:vAlign w:val="center"/>
          </w:tcPr>
          <w:p w14:paraId="7B4C3932">
            <w:pPr>
              <w:widowControl/>
              <w:jc w:val="left"/>
              <w:rPr>
                <w:rFonts w:ascii="宋体" w:hAnsi="宋体" w:cs="宋体"/>
                <w:kern w:val="0"/>
                <w:sz w:val="18"/>
                <w:szCs w:val="18"/>
              </w:rPr>
            </w:pPr>
          </w:p>
        </w:tc>
        <w:tc>
          <w:tcPr>
            <w:tcW w:w="636" w:type="dxa"/>
            <w:vMerge w:val="continue"/>
            <w:tcBorders>
              <w:top w:val="nil"/>
              <w:left w:val="single" w:color="auto" w:sz="4" w:space="0"/>
              <w:bottom w:val="nil"/>
              <w:right w:val="single" w:color="auto" w:sz="4" w:space="0"/>
            </w:tcBorders>
            <w:vAlign w:val="center"/>
          </w:tcPr>
          <w:p w14:paraId="716F9B29">
            <w:pPr>
              <w:widowControl/>
              <w:jc w:val="left"/>
              <w:rPr>
                <w:rFonts w:hint="eastAsia" w:ascii="宋体" w:hAnsi="宋体" w:cs="宋体"/>
                <w:color w:val="000000"/>
                <w:kern w:val="0"/>
                <w:sz w:val="18"/>
                <w:szCs w:val="18"/>
              </w:rPr>
            </w:pPr>
          </w:p>
        </w:tc>
        <w:tc>
          <w:tcPr>
            <w:tcW w:w="559" w:type="dxa"/>
            <w:vMerge w:val="continue"/>
            <w:tcBorders>
              <w:top w:val="nil"/>
              <w:left w:val="single" w:color="auto" w:sz="4" w:space="0"/>
              <w:bottom w:val="nil"/>
              <w:right w:val="single" w:color="auto" w:sz="4" w:space="0"/>
            </w:tcBorders>
            <w:vAlign w:val="center"/>
          </w:tcPr>
          <w:p w14:paraId="50FB36C1">
            <w:pPr>
              <w:widowControl/>
              <w:jc w:val="left"/>
              <w:rPr>
                <w:rFonts w:ascii="宋体" w:hAnsi="宋体" w:cs="宋体"/>
                <w:kern w:val="0"/>
                <w:sz w:val="24"/>
              </w:rPr>
            </w:pPr>
          </w:p>
        </w:tc>
      </w:tr>
      <w:tr w14:paraId="372F3FAD">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D4D750E">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68714720">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14E0164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资源勘探工业信息等支出</w:t>
            </w:r>
          </w:p>
        </w:tc>
        <w:tc>
          <w:tcPr>
            <w:tcW w:w="659" w:type="dxa"/>
            <w:vMerge w:val="continue"/>
            <w:tcBorders>
              <w:top w:val="nil"/>
              <w:left w:val="single" w:color="auto" w:sz="4" w:space="0"/>
              <w:bottom w:val="nil"/>
              <w:right w:val="single" w:color="auto" w:sz="4" w:space="0"/>
            </w:tcBorders>
            <w:vAlign w:val="center"/>
          </w:tcPr>
          <w:p w14:paraId="53FC86DF">
            <w:pPr>
              <w:widowControl/>
              <w:jc w:val="left"/>
              <w:rPr>
                <w:rFonts w:ascii="宋体" w:hAnsi="宋体" w:cs="宋体"/>
                <w:kern w:val="0"/>
                <w:sz w:val="24"/>
              </w:rPr>
            </w:pPr>
          </w:p>
        </w:tc>
        <w:tc>
          <w:tcPr>
            <w:tcW w:w="1523" w:type="dxa"/>
            <w:vMerge w:val="continue"/>
            <w:tcBorders>
              <w:top w:val="nil"/>
              <w:left w:val="single" w:color="auto" w:sz="4" w:space="0"/>
              <w:bottom w:val="nil"/>
              <w:right w:val="single" w:color="auto" w:sz="4" w:space="0"/>
            </w:tcBorders>
            <w:vAlign w:val="center"/>
          </w:tcPr>
          <w:p w14:paraId="4C2D6EDB">
            <w:pPr>
              <w:widowControl/>
              <w:jc w:val="left"/>
              <w:rPr>
                <w:rFonts w:ascii="宋体" w:hAnsi="宋体" w:cs="宋体"/>
                <w:kern w:val="0"/>
                <w:sz w:val="24"/>
              </w:rPr>
            </w:pPr>
          </w:p>
        </w:tc>
        <w:tc>
          <w:tcPr>
            <w:tcW w:w="3008" w:type="dxa"/>
            <w:vMerge w:val="continue"/>
            <w:tcBorders>
              <w:top w:val="nil"/>
              <w:left w:val="single" w:color="auto" w:sz="4" w:space="0"/>
              <w:bottom w:val="nil"/>
              <w:right w:val="single" w:color="auto" w:sz="4" w:space="0"/>
            </w:tcBorders>
            <w:vAlign w:val="center"/>
          </w:tcPr>
          <w:p w14:paraId="5073DE0D">
            <w:pPr>
              <w:widowControl/>
              <w:jc w:val="left"/>
              <w:rPr>
                <w:rFonts w:ascii="宋体" w:hAnsi="宋体" w:cs="宋体"/>
                <w:kern w:val="0"/>
                <w:sz w:val="18"/>
                <w:szCs w:val="18"/>
              </w:rPr>
            </w:pPr>
          </w:p>
        </w:tc>
        <w:tc>
          <w:tcPr>
            <w:tcW w:w="636" w:type="dxa"/>
            <w:vMerge w:val="continue"/>
            <w:tcBorders>
              <w:top w:val="nil"/>
              <w:left w:val="single" w:color="auto" w:sz="4" w:space="0"/>
              <w:bottom w:val="nil"/>
              <w:right w:val="single" w:color="auto" w:sz="4" w:space="0"/>
            </w:tcBorders>
            <w:vAlign w:val="center"/>
          </w:tcPr>
          <w:p w14:paraId="04186E97">
            <w:pPr>
              <w:widowControl/>
              <w:jc w:val="left"/>
              <w:rPr>
                <w:rFonts w:hint="eastAsia" w:ascii="宋体" w:hAnsi="宋体" w:cs="宋体"/>
                <w:color w:val="000000"/>
                <w:kern w:val="0"/>
                <w:sz w:val="18"/>
                <w:szCs w:val="18"/>
              </w:rPr>
            </w:pPr>
          </w:p>
        </w:tc>
        <w:tc>
          <w:tcPr>
            <w:tcW w:w="559" w:type="dxa"/>
            <w:vMerge w:val="continue"/>
            <w:tcBorders>
              <w:top w:val="nil"/>
              <w:left w:val="single" w:color="auto" w:sz="4" w:space="0"/>
              <w:bottom w:val="nil"/>
              <w:right w:val="single" w:color="auto" w:sz="4" w:space="0"/>
            </w:tcBorders>
            <w:vAlign w:val="center"/>
          </w:tcPr>
          <w:p w14:paraId="3A6B1EB3">
            <w:pPr>
              <w:widowControl/>
              <w:jc w:val="left"/>
              <w:rPr>
                <w:rFonts w:ascii="宋体" w:hAnsi="宋体" w:cs="宋体"/>
                <w:kern w:val="0"/>
                <w:sz w:val="24"/>
              </w:rPr>
            </w:pPr>
          </w:p>
        </w:tc>
      </w:tr>
      <w:tr w14:paraId="473C47DC">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35616E9">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4BCDF0">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1225" w:type="dxa"/>
            <w:tcBorders>
              <w:top w:val="nil"/>
              <w:left w:val="nil"/>
              <w:bottom w:val="single" w:color="auto" w:sz="4" w:space="0"/>
              <w:right w:val="single" w:color="auto" w:sz="4" w:space="0"/>
            </w:tcBorders>
            <w:shd w:val="clear" w:color="auto" w:fill="auto"/>
            <w:vAlign w:val="center"/>
          </w:tcPr>
          <w:p w14:paraId="67721E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659" w:type="dxa"/>
            <w:tcBorders>
              <w:top w:val="single" w:color="auto" w:sz="4" w:space="0"/>
              <w:left w:val="nil"/>
              <w:bottom w:val="single" w:color="auto" w:sz="4" w:space="0"/>
              <w:right w:val="single" w:color="auto" w:sz="4" w:space="0"/>
            </w:tcBorders>
            <w:shd w:val="clear" w:color="auto" w:fill="auto"/>
            <w:vAlign w:val="center"/>
          </w:tcPr>
          <w:p w14:paraId="3E3EFB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523" w:type="dxa"/>
            <w:tcBorders>
              <w:top w:val="single" w:color="auto" w:sz="4" w:space="0"/>
              <w:left w:val="nil"/>
              <w:bottom w:val="single" w:color="auto" w:sz="4" w:space="0"/>
              <w:right w:val="single" w:color="auto" w:sz="4" w:space="0"/>
            </w:tcBorders>
            <w:shd w:val="clear" w:color="auto" w:fill="auto"/>
            <w:vAlign w:val="center"/>
          </w:tcPr>
          <w:p w14:paraId="739BE7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部门是否严格按要求编制年初部门预算，年初预算编制的科学性和准确性</w:t>
            </w:r>
          </w:p>
        </w:tc>
        <w:tc>
          <w:tcPr>
            <w:tcW w:w="3008" w:type="dxa"/>
            <w:tcBorders>
              <w:top w:val="single" w:color="auto" w:sz="4" w:space="0"/>
              <w:left w:val="nil"/>
              <w:bottom w:val="single" w:color="auto" w:sz="4" w:space="0"/>
              <w:right w:val="single" w:color="auto" w:sz="4" w:space="0"/>
            </w:tcBorders>
            <w:shd w:val="clear" w:color="auto" w:fill="auto"/>
            <w:vAlign w:val="center"/>
          </w:tcPr>
          <w:p w14:paraId="7EBCA4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该项指标得分=（1-财政拨款预算偏离度）×100%×8。偏离度=|预算执行数-调整预算数|÷调整预算数。</w:t>
            </w:r>
          </w:p>
        </w:tc>
        <w:tc>
          <w:tcPr>
            <w:tcW w:w="636" w:type="dxa"/>
            <w:tcBorders>
              <w:top w:val="single" w:color="auto" w:sz="4" w:space="0"/>
              <w:left w:val="nil"/>
              <w:bottom w:val="single" w:color="auto" w:sz="4" w:space="0"/>
              <w:right w:val="single" w:color="auto" w:sz="4" w:space="0"/>
            </w:tcBorders>
            <w:shd w:val="clear" w:color="auto" w:fill="auto"/>
            <w:vAlign w:val="center"/>
          </w:tcPr>
          <w:p w14:paraId="4974C740">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71EF04">
            <w:pPr>
              <w:widowControl/>
              <w:jc w:val="center"/>
              <w:rPr>
                <w:rFonts w:hint="eastAsia" w:ascii="宋体" w:hAnsi="宋体" w:cs="宋体"/>
                <w:kern w:val="0"/>
                <w:sz w:val="24"/>
              </w:rPr>
            </w:pPr>
            <w:r>
              <w:rPr>
                <w:rFonts w:hint="eastAsia" w:ascii="宋体" w:hAnsi="宋体" w:cs="宋体"/>
                <w:kern w:val="0"/>
                <w:sz w:val="24"/>
              </w:rPr>
              <w:t>　</w:t>
            </w:r>
          </w:p>
        </w:tc>
      </w:tr>
      <w:tr w14:paraId="0FF6942A">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772900C">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EB9DB34">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52AAE0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659" w:type="dxa"/>
            <w:tcBorders>
              <w:top w:val="nil"/>
              <w:left w:val="nil"/>
              <w:bottom w:val="single" w:color="auto" w:sz="4" w:space="0"/>
              <w:right w:val="single" w:color="auto" w:sz="4" w:space="0"/>
            </w:tcBorders>
            <w:shd w:val="clear" w:color="auto" w:fill="auto"/>
            <w:vAlign w:val="center"/>
          </w:tcPr>
          <w:p w14:paraId="5EAF8E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523" w:type="dxa"/>
            <w:tcBorders>
              <w:top w:val="nil"/>
              <w:left w:val="nil"/>
              <w:bottom w:val="single" w:color="auto" w:sz="4" w:space="0"/>
              <w:right w:val="single" w:color="auto" w:sz="4" w:space="0"/>
            </w:tcBorders>
            <w:shd w:val="clear" w:color="auto" w:fill="auto"/>
            <w:vAlign w:val="center"/>
          </w:tcPr>
          <w:p w14:paraId="257247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部门1至12月预算执行情况</w:t>
            </w:r>
          </w:p>
        </w:tc>
        <w:tc>
          <w:tcPr>
            <w:tcW w:w="3008" w:type="dxa"/>
            <w:tcBorders>
              <w:top w:val="nil"/>
              <w:left w:val="nil"/>
              <w:bottom w:val="single" w:color="auto" w:sz="4" w:space="0"/>
              <w:right w:val="single" w:color="auto" w:sz="4" w:space="0"/>
            </w:tcBorders>
            <w:shd w:val="clear" w:color="auto" w:fill="auto"/>
            <w:vAlign w:val="center"/>
          </w:tcPr>
          <w:p w14:paraId="204666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该项指标得分=中省转移支付资金1至12月实际支出数÷1-12月预算数*3+专项债券资金实际支出数÷1-12月部门预算数*3+专项预算项目1至12月实际支出数÷1-12月预算数*3。</w:t>
            </w:r>
          </w:p>
        </w:tc>
        <w:tc>
          <w:tcPr>
            <w:tcW w:w="636" w:type="dxa"/>
            <w:tcBorders>
              <w:top w:val="nil"/>
              <w:left w:val="nil"/>
              <w:bottom w:val="single" w:color="auto" w:sz="4" w:space="0"/>
              <w:right w:val="single" w:color="auto" w:sz="4" w:space="0"/>
            </w:tcBorders>
            <w:shd w:val="clear" w:color="auto" w:fill="auto"/>
            <w:vAlign w:val="center"/>
          </w:tcPr>
          <w:p w14:paraId="09FAA9DB">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03D89412">
            <w:pPr>
              <w:widowControl/>
              <w:jc w:val="left"/>
              <w:rPr>
                <w:rFonts w:ascii="宋体" w:hAnsi="宋体" w:cs="宋体"/>
                <w:kern w:val="0"/>
                <w:sz w:val="24"/>
              </w:rPr>
            </w:pPr>
          </w:p>
        </w:tc>
      </w:tr>
      <w:tr w14:paraId="2E06971A">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6CF593F">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6C5F4F4">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29D78B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659" w:type="dxa"/>
            <w:tcBorders>
              <w:top w:val="nil"/>
              <w:left w:val="nil"/>
              <w:bottom w:val="single" w:color="auto" w:sz="4" w:space="0"/>
              <w:right w:val="single" w:color="auto" w:sz="4" w:space="0"/>
            </w:tcBorders>
            <w:shd w:val="clear" w:color="auto" w:fill="auto"/>
            <w:vAlign w:val="center"/>
          </w:tcPr>
          <w:p w14:paraId="584957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523" w:type="dxa"/>
            <w:tcBorders>
              <w:top w:val="nil"/>
              <w:left w:val="nil"/>
              <w:bottom w:val="single" w:color="auto" w:sz="4" w:space="0"/>
              <w:right w:val="single" w:color="auto" w:sz="4" w:space="0"/>
            </w:tcBorders>
            <w:shd w:val="clear" w:color="auto" w:fill="auto"/>
            <w:vAlign w:val="center"/>
          </w:tcPr>
          <w:p w14:paraId="73287E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部门整体年终预算结余情况</w:t>
            </w:r>
          </w:p>
        </w:tc>
        <w:tc>
          <w:tcPr>
            <w:tcW w:w="3008" w:type="dxa"/>
            <w:tcBorders>
              <w:top w:val="nil"/>
              <w:left w:val="nil"/>
              <w:bottom w:val="single" w:color="auto" w:sz="4" w:space="0"/>
              <w:right w:val="single" w:color="auto" w:sz="4" w:space="0"/>
            </w:tcBorders>
            <w:shd w:val="clear" w:color="auto" w:fill="auto"/>
            <w:vAlign w:val="center"/>
          </w:tcPr>
          <w:p w14:paraId="10305E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该项指标得分=（1-部门整体预算结余率）×100%×8部门整体预算结余率为当年年终部门预算注销金额和结转金额占部门预算总金额的比率。</w:t>
            </w:r>
          </w:p>
        </w:tc>
        <w:tc>
          <w:tcPr>
            <w:tcW w:w="636" w:type="dxa"/>
            <w:tcBorders>
              <w:top w:val="nil"/>
              <w:left w:val="nil"/>
              <w:bottom w:val="single" w:color="auto" w:sz="4" w:space="0"/>
              <w:right w:val="single" w:color="auto" w:sz="4" w:space="0"/>
            </w:tcBorders>
            <w:shd w:val="clear" w:color="auto" w:fill="auto"/>
            <w:vAlign w:val="center"/>
          </w:tcPr>
          <w:p w14:paraId="5125C0BF">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566B48EE">
            <w:pPr>
              <w:widowControl/>
              <w:jc w:val="left"/>
              <w:rPr>
                <w:rFonts w:ascii="宋体" w:hAnsi="宋体" w:cs="宋体"/>
                <w:kern w:val="0"/>
                <w:sz w:val="24"/>
              </w:rPr>
            </w:pPr>
          </w:p>
        </w:tc>
      </w:tr>
      <w:tr w14:paraId="66129657">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B6475FC">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96C3A8D">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7E51E2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659" w:type="dxa"/>
            <w:tcBorders>
              <w:top w:val="nil"/>
              <w:left w:val="nil"/>
              <w:bottom w:val="single" w:color="auto" w:sz="4" w:space="0"/>
              <w:right w:val="single" w:color="auto" w:sz="4" w:space="0"/>
            </w:tcBorders>
            <w:shd w:val="clear" w:color="auto" w:fill="auto"/>
            <w:vAlign w:val="center"/>
          </w:tcPr>
          <w:p w14:paraId="20503B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523" w:type="dxa"/>
            <w:tcBorders>
              <w:top w:val="nil"/>
              <w:left w:val="nil"/>
              <w:bottom w:val="single" w:color="auto" w:sz="4" w:space="0"/>
              <w:right w:val="single" w:color="auto" w:sz="4" w:space="0"/>
            </w:tcBorders>
            <w:shd w:val="clear" w:color="auto" w:fill="auto"/>
            <w:vAlign w:val="center"/>
          </w:tcPr>
          <w:p w14:paraId="417C7D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部门严控“三公”经费、会议、培训、差旅、办节办展、办公设备购置、信息网络及软件购置更新、课题经费等8项一般性支出情况</w:t>
            </w:r>
          </w:p>
        </w:tc>
        <w:tc>
          <w:tcPr>
            <w:tcW w:w="3008" w:type="dxa"/>
            <w:tcBorders>
              <w:top w:val="nil"/>
              <w:left w:val="nil"/>
              <w:bottom w:val="single" w:color="auto" w:sz="4" w:space="0"/>
              <w:right w:val="single" w:color="auto" w:sz="4" w:space="0"/>
            </w:tcBorders>
            <w:shd w:val="clear" w:color="auto" w:fill="auto"/>
            <w:vAlign w:val="center"/>
          </w:tcPr>
          <w:p w14:paraId="68582D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该项指标得分=基础分值+加分值。</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1.基础分值。一般性支出财政拨款年初预算较上年实现压减得1.5分；一般性支出财政拨款预算执行较上年实现压减得1.5分。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2.加分值。一般性支出财政拨款年初预算较上年每压减1%得0.2分，累计不超过1分；一般性支出财政拨款预算执行较上年每压减1%得0.4分，累计不超过2分。</w:t>
            </w:r>
          </w:p>
        </w:tc>
        <w:tc>
          <w:tcPr>
            <w:tcW w:w="636" w:type="dxa"/>
            <w:tcBorders>
              <w:top w:val="nil"/>
              <w:left w:val="nil"/>
              <w:bottom w:val="single" w:color="auto" w:sz="4" w:space="0"/>
              <w:right w:val="single" w:color="auto" w:sz="4" w:space="0"/>
            </w:tcBorders>
            <w:shd w:val="clear" w:color="auto" w:fill="auto"/>
            <w:vAlign w:val="center"/>
          </w:tcPr>
          <w:p w14:paraId="57E6043E">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16D29F2B">
            <w:pPr>
              <w:widowControl/>
              <w:jc w:val="left"/>
              <w:rPr>
                <w:rFonts w:ascii="宋体" w:hAnsi="宋体" w:cs="宋体"/>
                <w:kern w:val="0"/>
                <w:sz w:val="24"/>
              </w:rPr>
            </w:pPr>
          </w:p>
        </w:tc>
      </w:tr>
      <w:tr w14:paraId="2C83095D">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33E0946">
            <w:pPr>
              <w:widowControl/>
              <w:jc w:val="left"/>
              <w:rPr>
                <w:rFonts w:ascii="宋体" w:hAnsi="宋体" w:cs="宋体"/>
                <w:b/>
                <w:bCs/>
                <w:kern w:val="0"/>
                <w:sz w:val="24"/>
              </w:rPr>
            </w:pPr>
          </w:p>
        </w:tc>
        <w:tc>
          <w:tcPr>
            <w:tcW w:w="919" w:type="dxa"/>
            <w:vMerge w:val="restart"/>
            <w:tcBorders>
              <w:top w:val="nil"/>
              <w:left w:val="single" w:color="auto" w:sz="4" w:space="0"/>
              <w:bottom w:val="single" w:color="000000" w:sz="4" w:space="0"/>
              <w:right w:val="single" w:color="auto" w:sz="4" w:space="0"/>
            </w:tcBorders>
            <w:shd w:val="clear" w:color="auto" w:fill="auto"/>
            <w:vAlign w:val="center"/>
          </w:tcPr>
          <w:p w14:paraId="274AACC2">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E4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659" w:type="dxa"/>
            <w:tcBorders>
              <w:top w:val="single" w:color="000000" w:sz="4" w:space="0"/>
              <w:left w:val="nil"/>
              <w:bottom w:val="single" w:color="000000" w:sz="4" w:space="0"/>
              <w:right w:val="single" w:color="000000" w:sz="4" w:space="0"/>
            </w:tcBorders>
            <w:shd w:val="clear" w:color="auto" w:fill="auto"/>
            <w:vAlign w:val="center"/>
          </w:tcPr>
          <w:p w14:paraId="01E3C4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23" w:type="dxa"/>
            <w:tcBorders>
              <w:top w:val="single" w:color="000000" w:sz="4" w:space="0"/>
              <w:left w:val="nil"/>
              <w:bottom w:val="single" w:color="000000" w:sz="4" w:space="0"/>
              <w:right w:val="single" w:color="000000" w:sz="4" w:space="0"/>
            </w:tcBorders>
            <w:shd w:val="clear" w:color="auto" w:fill="auto"/>
            <w:vAlign w:val="center"/>
          </w:tcPr>
          <w:p w14:paraId="2294C7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部门人均资产变化情况</w:t>
            </w:r>
          </w:p>
        </w:tc>
        <w:tc>
          <w:tcPr>
            <w:tcW w:w="3008" w:type="dxa"/>
            <w:tcBorders>
              <w:top w:val="single" w:color="000000" w:sz="4" w:space="0"/>
              <w:left w:val="nil"/>
              <w:bottom w:val="single" w:color="000000" w:sz="4" w:space="0"/>
              <w:right w:val="single" w:color="000000" w:sz="4" w:space="0"/>
            </w:tcBorders>
            <w:shd w:val="clear" w:color="auto" w:fill="auto"/>
            <w:vAlign w:val="center"/>
          </w:tcPr>
          <w:p w14:paraId="2F8C96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36" w:type="dxa"/>
            <w:tcBorders>
              <w:top w:val="nil"/>
              <w:left w:val="single" w:color="auto" w:sz="4" w:space="0"/>
              <w:bottom w:val="single" w:color="auto" w:sz="4" w:space="0"/>
              <w:right w:val="single" w:color="auto" w:sz="4" w:space="0"/>
            </w:tcBorders>
            <w:shd w:val="clear" w:color="auto" w:fill="auto"/>
            <w:vAlign w:val="center"/>
          </w:tcPr>
          <w:p w14:paraId="00AD119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vMerge w:val="restart"/>
            <w:tcBorders>
              <w:top w:val="nil"/>
              <w:left w:val="single" w:color="auto" w:sz="4" w:space="0"/>
              <w:bottom w:val="single" w:color="auto" w:sz="4" w:space="0"/>
              <w:right w:val="single" w:color="auto" w:sz="4" w:space="0"/>
            </w:tcBorders>
            <w:shd w:val="clear" w:color="auto" w:fill="auto"/>
            <w:vAlign w:val="center"/>
          </w:tcPr>
          <w:p w14:paraId="18ADFFE0">
            <w:pPr>
              <w:widowControl/>
              <w:jc w:val="center"/>
              <w:rPr>
                <w:rFonts w:hint="eastAsia" w:ascii="宋体" w:hAnsi="宋体" w:cs="宋体"/>
                <w:kern w:val="0"/>
                <w:sz w:val="24"/>
              </w:rPr>
            </w:pPr>
            <w:r>
              <w:rPr>
                <w:rFonts w:hint="eastAsia" w:ascii="宋体" w:hAnsi="宋体" w:cs="宋体"/>
                <w:kern w:val="0"/>
                <w:sz w:val="24"/>
              </w:rPr>
              <w:t>　</w:t>
            </w:r>
          </w:p>
        </w:tc>
      </w:tr>
      <w:tr w14:paraId="1D2AE80E">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935EA51">
            <w:pPr>
              <w:widowControl/>
              <w:jc w:val="left"/>
              <w:rPr>
                <w:rFonts w:ascii="宋体" w:hAnsi="宋体" w:cs="宋体"/>
                <w:b/>
                <w:bCs/>
                <w:kern w:val="0"/>
                <w:sz w:val="24"/>
              </w:rPr>
            </w:pPr>
          </w:p>
        </w:tc>
        <w:tc>
          <w:tcPr>
            <w:tcW w:w="919" w:type="dxa"/>
            <w:vMerge w:val="continue"/>
            <w:tcBorders>
              <w:top w:val="nil"/>
              <w:left w:val="single" w:color="auto" w:sz="4" w:space="0"/>
              <w:bottom w:val="single" w:color="000000" w:sz="4" w:space="0"/>
              <w:right w:val="single" w:color="auto" w:sz="4" w:space="0"/>
            </w:tcBorders>
            <w:vAlign w:val="center"/>
          </w:tcPr>
          <w:p w14:paraId="22CE4875">
            <w:pPr>
              <w:widowControl/>
              <w:jc w:val="left"/>
              <w:rPr>
                <w:rFonts w:ascii="宋体" w:hAnsi="宋体" w:cs="宋体"/>
                <w:b/>
                <w:bCs/>
                <w:kern w:val="0"/>
                <w:sz w:val="24"/>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7E0AFE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659" w:type="dxa"/>
            <w:tcBorders>
              <w:top w:val="nil"/>
              <w:left w:val="nil"/>
              <w:bottom w:val="single" w:color="000000" w:sz="4" w:space="0"/>
              <w:right w:val="single" w:color="000000" w:sz="4" w:space="0"/>
            </w:tcBorders>
            <w:shd w:val="clear" w:color="auto" w:fill="auto"/>
            <w:vAlign w:val="center"/>
          </w:tcPr>
          <w:p w14:paraId="030296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23" w:type="dxa"/>
            <w:tcBorders>
              <w:top w:val="nil"/>
              <w:left w:val="nil"/>
              <w:bottom w:val="single" w:color="000000" w:sz="4" w:space="0"/>
              <w:right w:val="single" w:color="000000" w:sz="4" w:space="0"/>
            </w:tcBorders>
            <w:shd w:val="clear" w:color="auto" w:fill="auto"/>
            <w:vAlign w:val="center"/>
          </w:tcPr>
          <w:p w14:paraId="3F86E6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部门资产超最低使用年限情况</w:t>
            </w:r>
          </w:p>
        </w:tc>
        <w:tc>
          <w:tcPr>
            <w:tcW w:w="3008" w:type="dxa"/>
            <w:tcBorders>
              <w:top w:val="nil"/>
              <w:left w:val="nil"/>
              <w:bottom w:val="single" w:color="000000" w:sz="4" w:space="0"/>
              <w:right w:val="single" w:color="000000" w:sz="4" w:space="0"/>
            </w:tcBorders>
            <w:shd w:val="clear" w:color="auto" w:fill="auto"/>
            <w:vAlign w:val="center"/>
          </w:tcPr>
          <w:p w14:paraId="0232A2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该项指标得分=（超最低使用年限的办公家具账面原值÷办公家具账面原值×100%×1.5）+（超最低使用年限的办公设备账面原值÷办公设备账面原值×100%×1.5）。</w:t>
            </w:r>
          </w:p>
        </w:tc>
        <w:tc>
          <w:tcPr>
            <w:tcW w:w="636" w:type="dxa"/>
            <w:tcBorders>
              <w:top w:val="nil"/>
              <w:left w:val="single" w:color="auto" w:sz="4" w:space="0"/>
              <w:bottom w:val="single" w:color="auto" w:sz="4" w:space="0"/>
              <w:right w:val="single" w:color="auto" w:sz="4" w:space="0"/>
            </w:tcBorders>
            <w:shd w:val="clear" w:color="auto" w:fill="auto"/>
            <w:vAlign w:val="center"/>
          </w:tcPr>
          <w:p w14:paraId="429FE2B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vMerge w:val="continue"/>
            <w:tcBorders>
              <w:top w:val="nil"/>
              <w:left w:val="single" w:color="auto" w:sz="4" w:space="0"/>
              <w:bottom w:val="single" w:color="auto" w:sz="4" w:space="0"/>
              <w:right w:val="single" w:color="auto" w:sz="4" w:space="0"/>
            </w:tcBorders>
            <w:vAlign w:val="center"/>
          </w:tcPr>
          <w:p w14:paraId="1AA573AF">
            <w:pPr>
              <w:widowControl/>
              <w:jc w:val="left"/>
              <w:rPr>
                <w:rFonts w:ascii="宋体" w:hAnsi="宋体" w:cs="宋体"/>
                <w:kern w:val="0"/>
                <w:sz w:val="24"/>
              </w:rPr>
            </w:pPr>
          </w:p>
        </w:tc>
      </w:tr>
      <w:tr w14:paraId="332E15D3">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1EE81DB5">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tcBorders>
              <w:top w:val="nil"/>
              <w:left w:val="nil"/>
              <w:bottom w:val="single" w:color="auto" w:sz="4" w:space="0"/>
              <w:right w:val="single" w:color="auto" w:sz="4" w:space="0"/>
            </w:tcBorders>
            <w:shd w:val="clear" w:color="auto" w:fill="auto"/>
            <w:vAlign w:val="center"/>
          </w:tcPr>
          <w:p w14:paraId="454C2A40">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225" w:type="dxa"/>
            <w:tcBorders>
              <w:top w:val="single" w:color="auto" w:sz="4" w:space="0"/>
              <w:left w:val="nil"/>
              <w:bottom w:val="single" w:color="auto" w:sz="4" w:space="0"/>
              <w:right w:val="single" w:color="auto" w:sz="4" w:space="0"/>
            </w:tcBorders>
            <w:shd w:val="clear" w:color="auto" w:fill="auto"/>
            <w:vAlign w:val="center"/>
          </w:tcPr>
          <w:p w14:paraId="67CC5E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659" w:type="dxa"/>
            <w:tcBorders>
              <w:top w:val="single" w:color="auto" w:sz="4" w:space="0"/>
              <w:left w:val="nil"/>
              <w:bottom w:val="single" w:color="auto" w:sz="4" w:space="0"/>
              <w:right w:val="single" w:color="auto" w:sz="4" w:space="0"/>
            </w:tcBorders>
            <w:shd w:val="clear" w:color="auto" w:fill="auto"/>
            <w:vAlign w:val="center"/>
          </w:tcPr>
          <w:p w14:paraId="7885AA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23" w:type="dxa"/>
            <w:tcBorders>
              <w:top w:val="single" w:color="auto" w:sz="4" w:space="0"/>
              <w:left w:val="nil"/>
              <w:bottom w:val="single" w:color="auto" w:sz="4" w:space="0"/>
              <w:right w:val="single" w:color="auto" w:sz="4" w:space="0"/>
            </w:tcBorders>
            <w:shd w:val="clear" w:color="auto" w:fill="auto"/>
            <w:vAlign w:val="center"/>
          </w:tcPr>
          <w:p w14:paraId="25F199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部门闲置一年以上的资产盘活情况</w:t>
            </w:r>
          </w:p>
        </w:tc>
        <w:tc>
          <w:tcPr>
            <w:tcW w:w="3008" w:type="dxa"/>
            <w:tcBorders>
              <w:top w:val="single" w:color="auto" w:sz="4" w:space="0"/>
              <w:left w:val="nil"/>
              <w:bottom w:val="single" w:color="auto" w:sz="4" w:space="0"/>
              <w:right w:val="single" w:color="auto" w:sz="4" w:space="0"/>
            </w:tcBorders>
            <w:shd w:val="clear" w:color="auto" w:fill="auto"/>
            <w:vAlign w:val="center"/>
          </w:tcPr>
          <w:p w14:paraId="400A51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36" w:type="dxa"/>
            <w:tcBorders>
              <w:top w:val="nil"/>
              <w:left w:val="nil"/>
              <w:bottom w:val="single" w:color="auto" w:sz="4" w:space="0"/>
              <w:right w:val="single" w:color="auto" w:sz="4" w:space="0"/>
            </w:tcBorders>
            <w:shd w:val="clear" w:color="auto" w:fill="auto"/>
            <w:vAlign w:val="center"/>
          </w:tcPr>
          <w:p w14:paraId="0C79559D">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tcBorders>
              <w:top w:val="nil"/>
              <w:left w:val="nil"/>
              <w:bottom w:val="single" w:color="auto" w:sz="4" w:space="0"/>
              <w:right w:val="single" w:color="auto" w:sz="4" w:space="0"/>
            </w:tcBorders>
            <w:shd w:val="clear" w:color="auto" w:fill="auto"/>
            <w:vAlign w:val="center"/>
          </w:tcPr>
          <w:p w14:paraId="0EC30E81">
            <w:pPr>
              <w:widowControl/>
              <w:jc w:val="center"/>
              <w:rPr>
                <w:rFonts w:hint="eastAsia" w:ascii="宋体" w:hAnsi="宋体" w:cs="宋体"/>
                <w:kern w:val="0"/>
                <w:sz w:val="24"/>
              </w:rPr>
            </w:pPr>
            <w:r>
              <w:rPr>
                <w:rFonts w:hint="eastAsia" w:ascii="宋体" w:hAnsi="宋体" w:cs="宋体"/>
                <w:kern w:val="0"/>
                <w:sz w:val="24"/>
              </w:rPr>
              <w:t>　</w:t>
            </w:r>
          </w:p>
        </w:tc>
      </w:tr>
      <w:tr w14:paraId="7C7C57F1">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664C1F1">
            <w:pPr>
              <w:widowControl/>
              <w:jc w:val="left"/>
              <w:rPr>
                <w:rFonts w:ascii="宋体" w:hAnsi="宋体" w:cs="宋体"/>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5218211E">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225" w:type="dxa"/>
            <w:tcBorders>
              <w:top w:val="nil"/>
              <w:left w:val="nil"/>
              <w:bottom w:val="single" w:color="auto" w:sz="4" w:space="0"/>
              <w:right w:val="single" w:color="auto" w:sz="4" w:space="0"/>
            </w:tcBorders>
            <w:shd w:val="clear" w:color="auto" w:fill="auto"/>
            <w:vAlign w:val="center"/>
          </w:tcPr>
          <w:p w14:paraId="483FF6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659" w:type="dxa"/>
            <w:tcBorders>
              <w:top w:val="nil"/>
              <w:left w:val="nil"/>
              <w:bottom w:val="single" w:color="auto" w:sz="4" w:space="0"/>
              <w:right w:val="single" w:color="auto" w:sz="4" w:space="0"/>
            </w:tcBorders>
            <w:shd w:val="clear" w:color="auto" w:fill="auto"/>
            <w:vAlign w:val="center"/>
          </w:tcPr>
          <w:p w14:paraId="65957A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23" w:type="dxa"/>
            <w:tcBorders>
              <w:top w:val="nil"/>
              <w:left w:val="nil"/>
              <w:bottom w:val="single" w:color="auto" w:sz="4" w:space="0"/>
              <w:right w:val="single" w:color="auto" w:sz="4" w:space="0"/>
            </w:tcBorders>
            <w:shd w:val="clear" w:color="auto" w:fill="auto"/>
            <w:vAlign w:val="center"/>
          </w:tcPr>
          <w:p w14:paraId="57679F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部门是否严格执行政府采购促进中小企业发展相关管理办法</w:t>
            </w:r>
          </w:p>
        </w:tc>
        <w:tc>
          <w:tcPr>
            <w:tcW w:w="3008" w:type="dxa"/>
            <w:tcBorders>
              <w:top w:val="nil"/>
              <w:left w:val="nil"/>
              <w:bottom w:val="single" w:color="auto" w:sz="4" w:space="0"/>
              <w:right w:val="single" w:color="auto" w:sz="4" w:space="0"/>
            </w:tcBorders>
            <w:shd w:val="clear" w:color="auto" w:fill="auto"/>
            <w:vAlign w:val="center"/>
          </w:tcPr>
          <w:p w14:paraId="7F2C89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对适宜由中小企业提供的采购项目和采购包，预留采购份额专门面向中小企业采购，并在采购预算中单独列示，不符合要求的扣3分。</w:t>
            </w:r>
          </w:p>
        </w:tc>
        <w:tc>
          <w:tcPr>
            <w:tcW w:w="636" w:type="dxa"/>
            <w:tcBorders>
              <w:top w:val="nil"/>
              <w:left w:val="nil"/>
              <w:bottom w:val="single" w:color="auto" w:sz="4" w:space="0"/>
              <w:right w:val="single" w:color="auto" w:sz="4" w:space="0"/>
            </w:tcBorders>
            <w:shd w:val="clear" w:color="auto" w:fill="auto"/>
            <w:vAlign w:val="center"/>
          </w:tcPr>
          <w:p w14:paraId="6BF725F9">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vMerge w:val="restart"/>
            <w:tcBorders>
              <w:top w:val="nil"/>
              <w:left w:val="single" w:color="auto" w:sz="4" w:space="0"/>
              <w:bottom w:val="single" w:color="auto" w:sz="4" w:space="0"/>
              <w:right w:val="single" w:color="auto" w:sz="4" w:space="0"/>
            </w:tcBorders>
            <w:shd w:val="clear" w:color="auto" w:fill="auto"/>
            <w:vAlign w:val="center"/>
          </w:tcPr>
          <w:p w14:paraId="00E439B0">
            <w:pPr>
              <w:widowControl/>
              <w:jc w:val="center"/>
              <w:rPr>
                <w:rFonts w:hint="eastAsia" w:ascii="宋体" w:hAnsi="宋体" w:cs="宋体"/>
                <w:kern w:val="0"/>
                <w:sz w:val="24"/>
              </w:rPr>
            </w:pPr>
            <w:r>
              <w:rPr>
                <w:rFonts w:hint="eastAsia" w:ascii="宋体" w:hAnsi="宋体" w:cs="宋体"/>
                <w:kern w:val="0"/>
                <w:sz w:val="24"/>
              </w:rPr>
              <w:t>　</w:t>
            </w:r>
          </w:p>
        </w:tc>
      </w:tr>
      <w:tr w14:paraId="337ADD6A">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A7B7189">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5DDE2F21">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6E71F8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659" w:type="dxa"/>
            <w:tcBorders>
              <w:top w:val="nil"/>
              <w:left w:val="nil"/>
              <w:bottom w:val="single" w:color="auto" w:sz="4" w:space="0"/>
              <w:right w:val="single" w:color="auto" w:sz="4" w:space="0"/>
            </w:tcBorders>
            <w:shd w:val="clear" w:color="auto" w:fill="auto"/>
            <w:vAlign w:val="center"/>
          </w:tcPr>
          <w:p w14:paraId="73A3A7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23" w:type="dxa"/>
            <w:tcBorders>
              <w:top w:val="nil"/>
              <w:left w:val="nil"/>
              <w:bottom w:val="single" w:color="auto" w:sz="4" w:space="0"/>
              <w:right w:val="single" w:color="auto" w:sz="4" w:space="0"/>
            </w:tcBorders>
            <w:shd w:val="clear" w:color="auto" w:fill="auto"/>
            <w:vAlign w:val="center"/>
          </w:tcPr>
          <w:p w14:paraId="30AD8D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部门政府采购项目资金支付比例情况</w:t>
            </w:r>
          </w:p>
        </w:tc>
        <w:tc>
          <w:tcPr>
            <w:tcW w:w="3008" w:type="dxa"/>
            <w:tcBorders>
              <w:top w:val="nil"/>
              <w:left w:val="nil"/>
              <w:bottom w:val="single" w:color="auto" w:sz="4" w:space="0"/>
              <w:right w:val="single" w:color="auto" w:sz="4" w:space="0"/>
            </w:tcBorders>
            <w:shd w:val="clear" w:color="auto" w:fill="auto"/>
            <w:vAlign w:val="center"/>
          </w:tcPr>
          <w:p w14:paraId="041F24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该项指标得分=当年政府采购实际支付总金额÷（当年政府采购总预算数-当年已完成采购项目节约金额）×100%×3。</w:t>
            </w:r>
          </w:p>
        </w:tc>
        <w:tc>
          <w:tcPr>
            <w:tcW w:w="636" w:type="dxa"/>
            <w:tcBorders>
              <w:top w:val="nil"/>
              <w:left w:val="nil"/>
              <w:bottom w:val="single" w:color="auto" w:sz="4" w:space="0"/>
              <w:right w:val="single" w:color="auto" w:sz="4" w:space="0"/>
            </w:tcBorders>
            <w:shd w:val="clear" w:color="auto" w:fill="auto"/>
            <w:vAlign w:val="center"/>
          </w:tcPr>
          <w:p w14:paraId="15678EC3">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vMerge w:val="continue"/>
            <w:tcBorders>
              <w:top w:val="nil"/>
              <w:left w:val="single" w:color="auto" w:sz="4" w:space="0"/>
              <w:bottom w:val="single" w:color="auto" w:sz="4" w:space="0"/>
              <w:right w:val="single" w:color="auto" w:sz="4" w:space="0"/>
            </w:tcBorders>
            <w:vAlign w:val="center"/>
          </w:tcPr>
          <w:p w14:paraId="07FC44CC">
            <w:pPr>
              <w:widowControl/>
              <w:jc w:val="left"/>
              <w:rPr>
                <w:rFonts w:ascii="宋体" w:hAnsi="宋体" w:cs="宋体"/>
                <w:kern w:val="0"/>
                <w:sz w:val="24"/>
              </w:rPr>
            </w:pPr>
          </w:p>
        </w:tc>
      </w:tr>
      <w:tr w14:paraId="1CEB04C2">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56B66206">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919" w:type="dxa"/>
            <w:vMerge w:val="restart"/>
            <w:tcBorders>
              <w:top w:val="nil"/>
              <w:left w:val="single" w:color="auto" w:sz="4" w:space="0"/>
              <w:bottom w:val="nil"/>
              <w:right w:val="single" w:color="auto" w:sz="4" w:space="0"/>
            </w:tcBorders>
            <w:shd w:val="clear" w:color="auto" w:fill="auto"/>
            <w:vAlign w:val="center"/>
          </w:tcPr>
          <w:p w14:paraId="0D8E86A2">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225" w:type="dxa"/>
            <w:tcBorders>
              <w:top w:val="nil"/>
              <w:left w:val="nil"/>
              <w:bottom w:val="single" w:color="auto" w:sz="4" w:space="0"/>
              <w:right w:val="single" w:color="auto" w:sz="4" w:space="0"/>
            </w:tcBorders>
            <w:shd w:val="clear" w:color="auto" w:fill="auto"/>
            <w:vAlign w:val="center"/>
          </w:tcPr>
          <w:p w14:paraId="7B875B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659" w:type="dxa"/>
            <w:tcBorders>
              <w:top w:val="nil"/>
              <w:left w:val="nil"/>
              <w:bottom w:val="single" w:color="auto" w:sz="4" w:space="0"/>
              <w:right w:val="single" w:color="auto" w:sz="4" w:space="0"/>
            </w:tcBorders>
            <w:shd w:val="clear" w:color="auto" w:fill="auto"/>
            <w:vAlign w:val="center"/>
          </w:tcPr>
          <w:p w14:paraId="302FC9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523" w:type="dxa"/>
            <w:tcBorders>
              <w:top w:val="nil"/>
              <w:left w:val="nil"/>
              <w:bottom w:val="single" w:color="auto" w:sz="4" w:space="0"/>
              <w:right w:val="single" w:color="auto" w:sz="4" w:space="0"/>
            </w:tcBorders>
            <w:shd w:val="clear" w:color="auto" w:fill="auto"/>
            <w:vAlign w:val="center"/>
          </w:tcPr>
          <w:p w14:paraId="263592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部门预算项目设立是否按规定履行评估论证、申报程序</w:t>
            </w:r>
          </w:p>
        </w:tc>
        <w:tc>
          <w:tcPr>
            <w:tcW w:w="3008" w:type="dxa"/>
            <w:tcBorders>
              <w:top w:val="nil"/>
              <w:left w:val="nil"/>
              <w:bottom w:val="single" w:color="auto" w:sz="4" w:space="0"/>
              <w:right w:val="single" w:color="auto" w:sz="4" w:space="0"/>
            </w:tcBorders>
            <w:shd w:val="clear" w:color="auto" w:fill="auto"/>
            <w:vAlign w:val="center"/>
          </w:tcPr>
          <w:p w14:paraId="78A2AC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36" w:type="dxa"/>
            <w:tcBorders>
              <w:top w:val="nil"/>
              <w:left w:val="nil"/>
              <w:bottom w:val="single" w:color="auto" w:sz="4" w:space="0"/>
              <w:right w:val="single" w:color="auto" w:sz="4" w:space="0"/>
            </w:tcBorders>
            <w:shd w:val="clear" w:color="auto" w:fill="auto"/>
            <w:vAlign w:val="center"/>
          </w:tcPr>
          <w:p w14:paraId="76D0FB6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9" w:type="dxa"/>
            <w:tcBorders>
              <w:top w:val="nil"/>
              <w:left w:val="nil"/>
              <w:bottom w:val="single" w:color="auto" w:sz="4" w:space="0"/>
              <w:right w:val="single" w:color="auto" w:sz="4" w:space="0"/>
            </w:tcBorders>
            <w:shd w:val="clear" w:color="auto" w:fill="auto"/>
            <w:vAlign w:val="center"/>
          </w:tcPr>
          <w:p w14:paraId="7BEA6174">
            <w:pPr>
              <w:widowControl/>
              <w:jc w:val="center"/>
              <w:rPr>
                <w:rFonts w:hint="eastAsia" w:ascii="宋体" w:hAnsi="宋体" w:cs="宋体"/>
                <w:kern w:val="0"/>
                <w:sz w:val="24"/>
              </w:rPr>
            </w:pPr>
            <w:r>
              <w:rPr>
                <w:rFonts w:hint="eastAsia" w:ascii="宋体" w:hAnsi="宋体" w:cs="宋体"/>
                <w:kern w:val="0"/>
                <w:sz w:val="24"/>
              </w:rPr>
              <w:t>　</w:t>
            </w:r>
          </w:p>
        </w:tc>
      </w:tr>
      <w:tr w14:paraId="26AE5E8F">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1BA6E47">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31C9FE1">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4A1611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659" w:type="dxa"/>
            <w:tcBorders>
              <w:top w:val="nil"/>
              <w:left w:val="nil"/>
              <w:bottom w:val="single" w:color="auto" w:sz="4" w:space="0"/>
              <w:right w:val="single" w:color="auto" w:sz="4" w:space="0"/>
            </w:tcBorders>
            <w:shd w:val="clear" w:color="auto" w:fill="auto"/>
            <w:vAlign w:val="center"/>
          </w:tcPr>
          <w:p w14:paraId="5246BC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523" w:type="dxa"/>
            <w:tcBorders>
              <w:top w:val="nil"/>
              <w:left w:val="nil"/>
              <w:bottom w:val="single" w:color="auto" w:sz="4" w:space="0"/>
              <w:right w:val="single" w:color="auto" w:sz="4" w:space="0"/>
            </w:tcBorders>
            <w:shd w:val="clear" w:color="auto" w:fill="auto"/>
            <w:vAlign w:val="center"/>
          </w:tcPr>
          <w:p w14:paraId="535C65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部门预算项目绩效目标与计划期内的任务量、预算安排的资金量匹配情况，绩效目标设置是否科学合理、规范完整、量化细化、预算匹配</w:t>
            </w:r>
          </w:p>
        </w:tc>
        <w:tc>
          <w:tcPr>
            <w:tcW w:w="3008" w:type="dxa"/>
            <w:tcBorders>
              <w:top w:val="nil"/>
              <w:left w:val="nil"/>
              <w:bottom w:val="single" w:color="auto" w:sz="4" w:space="0"/>
              <w:right w:val="single" w:color="auto" w:sz="4" w:space="0"/>
            </w:tcBorders>
            <w:shd w:val="clear" w:color="auto" w:fill="auto"/>
            <w:vAlign w:val="center"/>
          </w:tcPr>
          <w:p w14:paraId="12FA39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36" w:type="dxa"/>
            <w:tcBorders>
              <w:top w:val="nil"/>
              <w:left w:val="nil"/>
              <w:bottom w:val="single" w:color="auto" w:sz="4" w:space="0"/>
              <w:right w:val="single" w:color="auto" w:sz="4" w:space="0"/>
            </w:tcBorders>
            <w:shd w:val="clear" w:color="auto" w:fill="auto"/>
            <w:vAlign w:val="center"/>
          </w:tcPr>
          <w:p w14:paraId="24EEB5AF">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9" w:type="dxa"/>
            <w:tcBorders>
              <w:top w:val="nil"/>
              <w:left w:val="nil"/>
              <w:bottom w:val="single" w:color="auto" w:sz="4" w:space="0"/>
              <w:right w:val="single" w:color="auto" w:sz="4" w:space="0"/>
            </w:tcBorders>
            <w:shd w:val="clear" w:color="auto" w:fill="auto"/>
            <w:vAlign w:val="center"/>
          </w:tcPr>
          <w:p w14:paraId="1482CAC4">
            <w:pPr>
              <w:widowControl/>
              <w:jc w:val="center"/>
              <w:rPr>
                <w:rFonts w:hint="eastAsia" w:ascii="宋体" w:hAnsi="宋体" w:cs="宋体"/>
                <w:kern w:val="0"/>
                <w:sz w:val="24"/>
              </w:rPr>
            </w:pPr>
            <w:r>
              <w:rPr>
                <w:rFonts w:hint="eastAsia" w:ascii="宋体" w:hAnsi="宋体" w:cs="宋体"/>
                <w:kern w:val="0"/>
                <w:sz w:val="24"/>
              </w:rPr>
              <w:t>　</w:t>
            </w:r>
          </w:p>
        </w:tc>
      </w:tr>
      <w:tr w14:paraId="170F7D6A">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4C21B04">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0634716E">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70BFD2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659" w:type="dxa"/>
            <w:tcBorders>
              <w:top w:val="nil"/>
              <w:left w:val="nil"/>
              <w:bottom w:val="single" w:color="auto" w:sz="4" w:space="0"/>
              <w:right w:val="single" w:color="auto" w:sz="4" w:space="0"/>
            </w:tcBorders>
            <w:shd w:val="clear" w:color="auto" w:fill="auto"/>
            <w:vAlign w:val="center"/>
          </w:tcPr>
          <w:p w14:paraId="0CEF9B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523" w:type="dxa"/>
            <w:tcBorders>
              <w:top w:val="nil"/>
              <w:left w:val="nil"/>
              <w:bottom w:val="single" w:color="auto" w:sz="4" w:space="0"/>
              <w:right w:val="single" w:color="auto" w:sz="4" w:space="0"/>
            </w:tcBorders>
            <w:shd w:val="clear" w:color="auto" w:fill="auto"/>
            <w:vAlign w:val="center"/>
          </w:tcPr>
          <w:p w14:paraId="4DCD56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部门预算项目是否在规定时间完成项目入库</w:t>
            </w:r>
          </w:p>
        </w:tc>
        <w:tc>
          <w:tcPr>
            <w:tcW w:w="3008" w:type="dxa"/>
            <w:tcBorders>
              <w:top w:val="nil"/>
              <w:left w:val="nil"/>
              <w:bottom w:val="single" w:color="auto" w:sz="4" w:space="0"/>
              <w:right w:val="single" w:color="auto" w:sz="4" w:space="0"/>
            </w:tcBorders>
            <w:shd w:val="clear" w:color="auto" w:fill="auto"/>
            <w:vAlign w:val="center"/>
          </w:tcPr>
          <w:p w14:paraId="60F131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该项指标得分=4-规定时间未入财政库部门预算阶段项目（含一次性项目）数量÷最终安排部门预算阶段项目（含一次性项目）总数×100%×4。（默认满分）</w:t>
            </w:r>
          </w:p>
        </w:tc>
        <w:tc>
          <w:tcPr>
            <w:tcW w:w="636" w:type="dxa"/>
            <w:tcBorders>
              <w:top w:val="nil"/>
              <w:left w:val="nil"/>
              <w:bottom w:val="single" w:color="auto" w:sz="4" w:space="0"/>
              <w:right w:val="single" w:color="auto" w:sz="4" w:space="0"/>
            </w:tcBorders>
            <w:shd w:val="clear" w:color="auto" w:fill="auto"/>
            <w:vAlign w:val="center"/>
          </w:tcPr>
          <w:p w14:paraId="3C43FA7F">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9" w:type="dxa"/>
            <w:tcBorders>
              <w:top w:val="nil"/>
              <w:left w:val="nil"/>
              <w:bottom w:val="single" w:color="auto" w:sz="4" w:space="0"/>
              <w:right w:val="single" w:color="auto" w:sz="4" w:space="0"/>
            </w:tcBorders>
            <w:shd w:val="clear" w:color="auto" w:fill="auto"/>
            <w:vAlign w:val="center"/>
          </w:tcPr>
          <w:p w14:paraId="3312ACCE">
            <w:pPr>
              <w:widowControl/>
              <w:jc w:val="center"/>
              <w:rPr>
                <w:rFonts w:hint="eastAsia" w:ascii="宋体" w:hAnsi="宋体" w:cs="宋体"/>
                <w:kern w:val="0"/>
                <w:sz w:val="24"/>
              </w:rPr>
            </w:pPr>
            <w:r>
              <w:rPr>
                <w:rFonts w:hint="eastAsia" w:ascii="宋体" w:hAnsi="宋体" w:cs="宋体"/>
                <w:kern w:val="0"/>
                <w:sz w:val="24"/>
              </w:rPr>
              <w:t>　</w:t>
            </w:r>
          </w:p>
        </w:tc>
      </w:tr>
      <w:tr w14:paraId="0B190759">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5C9DA1C">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7B0D59F0">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1225" w:type="dxa"/>
            <w:tcBorders>
              <w:top w:val="nil"/>
              <w:left w:val="nil"/>
              <w:bottom w:val="single" w:color="auto" w:sz="4" w:space="0"/>
              <w:right w:val="single" w:color="auto" w:sz="4" w:space="0"/>
            </w:tcBorders>
            <w:shd w:val="clear" w:color="auto" w:fill="auto"/>
            <w:vAlign w:val="center"/>
          </w:tcPr>
          <w:p w14:paraId="265AE6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659" w:type="dxa"/>
            <w:tcBorders>
              <w:top w:val="nil"/>
              <w:left w:val="nil"/>
              <w:bottom w:val="single" w:color="auto" w:sz="4" w:space="0"/>
              <w:right w:val="single" w:color="auto" w:sz="4" w:space="0"/>
            </w:tcBorders>
            <w:shd w:val="clear" w:color="auto" w:fill="auto"/>
            <w:vAlign w:val="center"/>
          </w:tcPr>
          <w:p w14:paraId="74E4D8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23" w:type="dxa"/>
            <w:tcBorders>
              <w:top w:val="nil"/>
              <w:left w:val="nil"/>
              <w:bottom w:val="single" w:color="auto" w:sz="4" w:space="0"/>
              <w:right w:val="single" w:color="auto" w:sz="4" w:space="0"/>
            </w:tcBorders>
            <w:shd w:val="clear" w:color="auto" w:fill="auto"/>
            <w:vAlign w:val="center"/>
          </w:tcPr>
          <w:p w14:paraId="48DFA3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部门预算项目实际列支内容是否与绩效目标设置方向相符</w:t>
            </w:r>
          </w:p>
        </w:tc>
        <w:tc>
          <w:tcPr>
            <w:tcW w:w="3008" w:type="dxa"/>
            <w:tcBorders>
              <w:top w:val="nil"/>
              <w:left w:val="nil"/>
              <w:bottom w:val="single" w:color="auto" w:sz="4" w:space="0"/>
              <w:right w:val="single" w:color="auto" w:sz="4" w:space="0"/>
            </w:tcBorders>
            <w:shd w:val="clear" w:color="auto" w:fill="auto"/>
            <w:vAlign w:val="center"/>
          </w:tcPr>
          <w:p w14:paraId="0DF701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该项指标得分=4-实际列支内容与绩效目标设置方向不相符的部门预算阶段项目（含一次性项目）数量÷部门预算阶段项目（含一次性项目）总数×100%×5。</w:t>
            </w:r>
          </w:p>
        </w:tc>
        <w:tc>
          <w:tcPr>
            <w:tcW w:w="636" w:type="dxa"/>
            <w:tcBorders>
              <w:top w:val="nil"/>
              <w:left w:val="nil"/>
              <w:bottom w:val="single" w:color="auto" w:sz="4" w:space="0"/>
              <w:right w:val="single" w:color="auto" w:sz="4" w:space="0"/>
            </w:tcBorders>
            <w:shd w:val="clear" w:color="auto" w:fill="auto"/>
            <w:vAlign w:val="center"/>
          </w:tcPr>
          <w:p w14:paraId="37ECA618">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559" w:type="dxa"/>
            <w:tcBorders>
              <w:top w:val="nil"/>
              <w:left w:val="nil"/>
              <w:bottom w:val="single" w:color="auto" w:sz="4" w:space="0"/>
              <w:right w:val="single" w:color="auto" w:sz="4" w:space="0"/>
            </w:tcBorders>
            <w:shd w:val="clear" w:color="auto" w:fill="auto"/>
            <w:vAlign w:val="center"/>
          </w:tcPr>
          <w:p w14:paraId="32C8F136">
            <w:pPr>
              <w:widowControl/>
              <w:jc w:val="center"/>
              <w:rPr>
                <w:rFonts w:hint="eastAsia" w:ascii="宋体" w:hAnsi="宋体" w:cs="宋体"/>
                <w:kern w:val="0"/>
                <w:sz w:val="24"/>
              </w:rPr>
            </w:pPr>
            <w:r>
              <w:rPr>
                <w:rFonts w:hint="eastAsia" w:ascii="宋体" w:hAnsi="宋体" w:cs="宋体"/>
                <w:kern w:val="0"/>
                <w:sz w:val="24"/>
              </w:rPr>
              <w:t>　</w:t>
            </w:r>
          </w:p>
        </w:tc>
      </w:tr>
      <w:tr w14:paraId="426936BA">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E78430A">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157B0049">
            <w:pPr>
              <w:widowControl/>
              <w:jc w:val="left"/>
              <w:rPr>
                <w:rFonts w:ascii="宋体" w:hAnsi="宋体" w:cs="宋体"/>
                <w:b/>
                <w:bCs/>
                <w:kern w:val="0"/>
                <w:sz w:val="24"/>
              </w:rPr>
            </w:pPr>
          </w:p>
        </w:tc>
        <w:tc>
          <w:tcPr>
            <w:tcW w:w="1225" w:type="dxa"/>
            <w:tcBorders>
              <w:top w:val="nil"/>
              <w:left w:val="nil"/>
              <w:bottom w:val="nil"/>
              <w:right w:val="single" w:color="auto" w:sz="4" w:space="0"/>
            </w:tcBorders>
            <w:shd w:val="clear" w:color="auto" w:fill="auto"/>
            <w:vAlign w:val="center"/>
          </w:tcPr>
          <w:p w14:paraId="245B3F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659" w:type="dxa"/>
            <w:tcBorders>
              <w:top w:val="nil"/>
              <w:left w:val="nil"/>
              <w:bottom w:val="single" w:color="auto" w:sz="4" w:space="0"/>
              <w:right w:val="single" w:color="auto" w:sz="4" w:space="0"/>
            </w:tcBorders>
            <w:shd w:val="clear" w:color="auto" w:fill="auto"/>
            <w:vAlign w:val="center"/>
          </w:tcPr>
          <w:p w14:paraId="2F12E0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523" w:type="dxa"/>
            <w:tcBorders>
              <w:top w:val="nil"/>
              <w:left w:val="nil"/>
              <w:bottom w:val="single" w:color="auto" w:sz="4" w:space="0"/>
              <w:right w:val="single" w:color="auto" w:sz="4" w:space="0"/>
            </w:tcBorders>
            <w:shd w:val="clear" w:color="auto" w:fill="auto"/>
            <w:vAlign w:val="center"/>
          </w:tcPr>
          <w:p w14:paraId="30CAC5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部门预算项目是否采取对应调整措施</w:t>
            </w:r>
          </w:p>
        </w:tc>
        <w:tc>
          <w:tcPr>
            <w:tcW w:w="3008" w:type="dxa"/>
            <w:tcBorders>
              <w:top w:val="nil"/>
              <w:left w:val="nil"/>
              <w:bottom w:val="single" w:color="auto" w:sz="4" w:space="0"/>
              <w:right w:val="single" w:color="auto" w:sz="4" w:space="0"/>
            </w:tcBorders>
            <w:shd w:val="clear" w:color="auto" w:fill="auto"/>
            <w:vAlign w:val="center"/>
          </w:tcPr>
          <w:p w14:paraId="27967E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该项指标得分=4-应采取未采取收回预算、调整目标等处置措施的部门预算阶段项目（含一次性项目）数量÷应采取收回预算、调整目标等处置措施的部门预算阶段项目（含一次性项目）总数×100%×6。</w:t>
            </w:r>
          </w:p>
        </w:tc>
        <w:tc>
          <w:tcPr>
            <w:tcW w:w="636" w:type="dxa"/>
            <w:tcBorders>
              <w:top w:val="nil"/>
              <w:left w:val="nil"/>
              <w:bottom w:val="single" w:color="auto" w:sz="4" w:space="0"/>
              <w:right w:val="single" w:color="auto" w:sz="4" w:space="0"/>
            </w:tcBorders>
            <w:shd w:val="clear" w:color="auto" w:fill="auto"/>
            <w:vAlign w:val="center"/>
          </w:tcPr>
          <w:p w14:paraId="13428C42">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9" w:type="dxa"/>
            <w:tcBorders>
              <w:top w:val="nil"/>
              <w:left w:val="nil"/>
              <w:bottom w:val="single" w:color="auto" w:sz="4" w:space="0"/>
              <w:right w:val="single" w:color="auto" w:sz="4" w:space="0"/>
            </w:tcBorders>
            <w:shd w:val="clear" w:color="auto" w:fill="auto"/>
            <w:vAlign w:val="center"/>
          </w:tcPr>
          <w:p w14:paraId="304AB77B">
            <w:pPr>
              <w:widowControl/>
              <w:jc w:val="center"/>
              <w:rPr>
                <w:rFonts w:hint="eastAsia" w:ascii="宋体" w:hAnsi="宋体" w:cs="宋体"/>
                <w:kern w:val="0"/>
                <w:sz w:val="24"/>
              </w:rPr>
            </w:pPr>
            <w:r>
              <w:rPr>
                <w:rFonts w:hint="eastAsia" w:ascii="宋体" w:hAnsi="宋体" w:cs="宋体"/>
                <w:kern w:val="0"/>
                <w:sz w:val="24"/>
              </w:rPr>
              <w:t>　</w:t>
            </w:r>
          </w:p>
        </w:tc>
      </w:tr>
      <w:tr w14:paraId="6E79F077">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6FB849F">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6ADD03F1">
            <w:pPr>
              <w:widowControl/>
              <w:jc w:val="left"/>
              <w:rPr>
                <w:rFonts w:ascii="宋体" w:hAnsi="宋体" w:cs="宋体"/>
                <w:b/>
                <w:bCs/>
                <w:kern w:val="0"/>
                <w:sz w:val="24"/>
              </w:rPr>
            </w:pPr>
          </w:p>
        </w:tc>
        <w:tc>
          <w:tcPr>
            <w:tcW w:w="1225" w:type="dxa"/>
            <w:tcBorders>
              <w:top w:val="single" w:color="auto" w:sz="4" w:space="0"/>
              <w:left w:val="nil"/>
              <w:bottom w:val="single" w:color="auto" w:sz="4" w:space="0"/>
              <w:right w:val="single" w:color="auto" w:sz="4" w:space="0"/>
            </w:tcBorders>
            <w:shd w:val="clear" w:color="auto" w:fill="auto"/>
            <w:vAlign w:val="center"/>
          </w:tcPr>
          <w:p w14:paraId="2C982F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659" w:type="dxa"/>
            <w:tcBorders>
              <w:top w:val="nil"/>
              <w:left w:val="nil"/>
              <w:bottom w:val="single" w:color="auto" w:sz="4" w:space="0"/>
              <w:right w:val="single" w:color="auto" w:sz="4" w:space="0"/>
            </w:tcBorders>
            <w:shd w:val="clear" w:color="auto" w:fill="auto"/>
            <w:vAlign w:val="center"/>
          </w:tcPr>
          <w:p w14:paraId="279A54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523" w:type="dxa"/>
            <w:tcBorders>
              <w:top w:val="nil"/>
              <w:left w:val="nil"/>
              <w:bottom w:val="single" w:color="auto" w:sz="4" w:space="0"/>
              <w:right w:val="single" w:color="auto" w:sz="4" w:space="0"/>
            </w:tcBorders>
            <w:shd w:val="clear" w:color="auto" w:fill="auto"/>
            <w:vAlign w:val="center"/>
          </w:tcPr>
          <w:p w14:paraId="7159F5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部门预算项目预算执行情况</w:t>
            </w:r>
          </w:p>
        </w:tc>
        <w:tc>
          <w:tcPr>
            <w:tcW w:w="3008" w:type="dxa"/>
            <w:tcBorders>
              <w:top w:val="nil"/>
              <w:left w:val="nil"/>
              <w:bottom w:val="single" w:color="auto" w:sz="4" w:space="0"/>
              <w:right w:val="single" w:color="auto" w:sz="4" w:space="0"/>
            </w:tcBorders>
            <w:shd w:val="clear" w:color="auto" w:fill="auto"/>
            <w:vAlign w:val="center"/>
          </w:tcPr>
          <w:p w14:paraId="327F8D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该项指标得分=预算结余率小于10%的常年项目数量÷部门预算常年项目总数×100%×2+预算结余率小于10%的一次性项目和阶段项目数量÷部门预算一次性项目和阶段项目总数×100%×2。</w:t>
            </w:r>
          </w:p>
        </w:tc>
        <w:tc>
          <w:tcPr>
            <w:tcW w:w="636" w:type="dxa"/>
            <w:tcBorders>
              <w:top w:val="nil"/>
              <w:left w:val="nil"/>
              <w:bottom w:val="single" w:color="auto" w:sz="4" w:space="0"/>
              <w:right w:val="single" w:color="auto" w:sz="4" w:space="0"/>
            </w:tcBorders>
            <w:shd w:val="clear" w:color="auto" w:fill="auto"/>
            <w:vAlign w:val="center"/>
          </w:tcPr>
          <w:p w14:paraId="18EA2189">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9" w:type="dxa"/>
            <w:tcBorders>
              <w:top w:val="nil"/>
              <w:left w:val="nil"/>
              <w:bottom w:val="single" w:color="auto" w:sz="4" w:space="0"/>
              <w:right w:val="single" w:color="auto" w:sz="4" w:space="0"/>
            </w:tcBorders>
            <w:shd w:val="clear" w:color="auto" w:fill="auto"/>
            <w:vAlign w:val="center"/>
          </w:tcPr>
          <w:p w14:paraId="6F910988">
            <w:pPr>
              <w:widowControl/>
              <w:jc w:val="center"/>
              <w:rPr>
                <w:rFonts w:hint="eastAsia" w:ascii="宋体" w:hAnsi="宋体" w:cs="宋体"/>
                <w:kern w:val="0"/>
                <w:sz w:val="24"/>
              </w:rPr>
            </w:pPr>
            <w:r>
              <w:rPr>
                <w:rFonts w:hint="eastAsia" w:ascii="宋体" w:hAnsi="宋体" w:cs="宋体"/>
                <w:kern w:val="0"/>
                <w:sz w:val="24"/>
              </w:rPr>
              <w:t>　</w:t>
            </w:r>
          </w:p>
        </w:tc>
      </w:tr>
      <w:tr w14:paraId="28E8301D">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9300D4B">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88CC1F">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1225" w:type="dxa"/>
            <w:tcBorders>
              <w:top w:val="nil"/>
              <w:left w:val="nil"/>
              <w:bottom w:val="single" w:color="auto" w:sz="4" w:space="0"/>
              <w:right w:val="single" w:color="auto" w:sz="4" w:space="0"/>
            </w:tcBorders>
            <w:shd w:val="clear" w:color="auto" w:fill="auto"/>
            <w:vAlign w:val="center"/>
          </w:tcPr>
          <w:p w14:paraId="76A06B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659" w:type="dxa"/>
            <w:tcBorders>
              <w:top w:val="nil"/>
              <w:left w:val="nil"/>
              <w:bottom w:val="single" w:color="auto" w:sz="4" w:space="0"/>
              <w:right w:val="single" w:color="auto" w:sz="4" w:space="0"/>
            </w:tcBorders>
            <w:shd w:val="clear" w:color="auto" w:fill="auto"/>
            <w:vAlign w:val="center"/>
          </w:tcPr>
          <w:p w14:paraId="5EFDEB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523" w:type="dxa"/>
            <w:tcBorders>
              <w:top w:val="nil"/>
              <w:left w:val="nil"/>
              <w:bottom w:val="single" w:color="auto" w:sz="4" w:space="0"/>
              <w:right w:val="single" w:color="auto" w:sz="4" w:space="0"/>
            </w:tcBorders>
            <w:shd w:val="clear" w:color="auto" w:fill="auto"/>
            <w:vAlign w:val="center"/>
          </w:tcPr>
          <w:p w14:paraId="7035AB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部门预算项目绩效目标数量指标完成情况</w:t>
            </w:r>
          </w:p>
        </w:tc>
        <w:tc>
          <w:tcPr>
            <w:tcW w:w="3008" w:type="dxa"/>
            <w:tcBorders>
              <w:top w:val="nil"/>
              <w:left w:val="nil"/>
              <w:bottom w:val="single" w:color="auto" w:sz="4" w:space="0"/>
              <w:right w:val="single" w:color="auto" w:sz="4" w:space="0"/>
            </w:tcBorders>
            <w:shd w:val="clear" w:color="auto" w:fill="auto"/>
            <w:vAlign w:val="center"/>
          </w:tcPr>
          <w:p w14:paraId="6C96FF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该项指标得分=完成绩效目标数量指标的部门预算阶段项目（含一次性项目）数量÷部门预算阶段项目（含一次性项目）总数×100%×6。</w:t>
            </w:r>
          </w:p>
        </w:tc>
        <w:tc>
          <w:tcPr>
            <w:tcW w:w="636" w:type="dxa"/>
            <w:tcBorders>
              <w:top w:val="nil"/>
              <w:left w:val="nil"/>
              <w:bottom w:val="single" w:color="auto" w:sz="4" w:space="0"/>
              <w:right w:val="single" w:color="auto" w:sz="4" w:space="0"/>
            </w:tcBorders>
            <w:shd w:val="clear" w:color="auto" w:fill="auto"/>
            <w:vAlign w:val="center"/>
          </w:tcPr>
          <w:p w14:paraId="5C105637">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9" w:type="dxa"/>
            <w:tcBorders>
              <w:top w:val="nil"/>
              <w:left w:val="nil"/>
              <w:bottom w:val="single" w:color="auto" w:sz="4" w:space="0"/>
              <w:right w:val="single" w:color="auto" w:sz="4" w:space="0"/>
            </w:tcBorders>
            <w:shd w:val="clear" w:color="auto" w:fill="auto"/>
            <w:vAlign w:val="center"/>
          </w:tcPr>
          <w:p w14:paraId="3DCF0C18">
            <w:pPr>
              <w:widowControl/>
              <w:jc w:val="center"/>
              <w:rPr>
                <w:rFonts w:hint="eastAsia" w:ascii="宋体" w:hAnsi="宋体" w:cs="宋体"/>
                <w:kern w:val="0"/>
                <w:sz w:val="24"/>
              </w:rPr>
            </w:pPr>
            <w:r>
              <w:rPr>
                <w:rFonts w:hint="eastAsia" w:ascii="宋体" w:hAnsi="宋体" w:cs="宋体"/>
                <w:kern w:val="0"/>
                <w:sz w:val="24"/>
              </w:rPr>
              <w:t>　</w:t>
            </w:r>
          </w:p>
        </w:tc>
      </w:tr>
      <w:tr w14:paraId="62DAB2DB">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5D5078D">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6D19525A">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511023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659" w:type="dxa"/>
            <w:tcBorders>
              <w:top w:val="nil"/>
              <w:left w:val="nil"/>
              <w:bottom w:val="single" w:color="auto" w:sz="4" w:space="0"/>
              <w:right w:val="single" w:color="auto" w:sz="4" w:space="0"/>
            </w:tcBorders>
            <w:shd w:val="clear" w:color="auto" w:fill="auto"/>
            <w:vAlign w:val="center"/>
          </w:tcPr>
          <w:p w14:paraId="1C1794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523" w:type="dxa"/>
            <w:tcBorders>
              <w:top w:val="nil"/>
              <w:left w:val="nil"/>
              <w:bottom w:val="single" w:color="auto" w:sz="4" w:space="0"/>
              <w:right w:val="single" w:color="auto" w:sz="4" w:space="0"/>
            </w:tcBorders>
            <w:shd w:val="clear" w:color="auto" w:fill="auto"/>
            <w:vAlign w:val="center"/>
          </w:tcPr>
          <w:p w14:paraId="22B40B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部门预算项目绩效目标数量指标实现程度与预期目标的偏离情况</w:t>
            </w:r>
          </w:p>
        </w:tc>
        <w:tc>
          <w:tcPr>
            <w:tcW w:w="3008" w:type="dxa"/>
            <w:tcBorders>
              <w:top w:val="nil"/>
              <w:left w:val="nil"/>
              <w:bottom w:val="single" w:color="auto" w:sz="4" w:space="0"/>
              <w:right w:val="single" w:color="auto" w:sz="4" w:space="0"/>
            </w:tcBorders>
            <w:shd w:val="clear" w:color="auto" w:fill="auto"/>
            <w:vAlign w:val="center"/>
          </w:tcPr>
          <w:p w14:paraId="1DAF57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36" w:type="dxa"/>
            <w:tcBorders>
              <w:top w:val="nil"/>
              <w:left w:val="nil"/>
              <w:bottom w:val="single" w:color="auto" w:sz="4" w:space="0"/>
              <w:right w:val="single" w:color="auto" w:sz="4" w:space="0"/>
            </w:tcBorders>
            <w:shd w:val="clear" w:color="auto" w:fill="auto"/>
            <w:vAlign w:val="center"/>
          </w:tcPr>
          <w:p w14:paraId="4A038A9B">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9" w:type="dxa"/>
            <w:tcBorders>
              <w:top w:val="nil"/>
              <w:left w:val="nil"/>
              <w:bottom w:val="single" w:color="auto" w:sz="4" w:space="0"/>
              <w:right w:val="single" w:color="auto" w:sz="4" w:space="0"/>
            </w:tcBorders>
            <w:shd w:val="clear" w:color="auto" w:fill="auto"/>
            <w:vAlign w:val="center"/>
          </w:tcPr>
          <w:p w14:paraId="1313CF80">
            <w:pPr>
              <w:widowControl/>
              <w:jc w:val="center"/>
              <w:rPr>
                <w:rFonts w:hint="eastAsia" w:ascii="宋体" w:hAnsi="宋体" w:cs="宋体"/>
                <w:kern w:val="0"/>
                <w:sz w:val="24"/>
              </w:rPr>
            </w:pPr>
            <w:r>
              <w:rPr>
                <w:rFonts w:hint="eastAsia" w:ascii="宋体" w:hAnsi="宋体" w:cs="宋体"/>
                <w:kern w:val="0"/>
                <w:sz w:val="24"/>
              </w:rPr>
              <w:t>　</w:t>
            </w:r>
          </w:p>
        </w:tc>
      </w:tr>
      <w:tr w14:paraId="311BAEC1">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7D43418">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4236CBD0">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703FDA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659" w:type="dxa"/>
            <w:tcBorders>
              <w:top w:val="nil"/>
              <w:left w:val="nil"/>
              <w:bottom w:val="single" w:color="auto" w:sz="4" w:space="0"/>
              <w:right w:val="single" w:color="auto" w:sz="4" w:space="0"/>
            </w:tcBorders>
            <w:shd w:val="clear" w:color="auto" w:fill="auto"/>
            <w:vAlign w:val="center"/>
          </w:tcPr>
          <w:p w14:paraId="687019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23" w:type="dxa"/>
            <w:tcBorders>
              <w:top w:val="nil"/>
              <w:left w:val="nil"/>
              <w:bottom w:val="single" w:color="auto" w:sz="4" w:space="0"/>
              <w:right w:val="single" w:color="auto" w:sz="4" w:space="0"/>
            </w:tcBorders>
            <w:shd w:val="clear" w:color="auto" w:fill="auto"/>
            <w:vAlign w:val="center"/>
          </w:tcPr>
          <w:p w14:paraId="128F9A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部门预算项目绩效目标效益指标实施效果</w:t>
            </w:r>
          </w:p>
        </w:tc>
        <w:tc>
          <w:tcPr>
            <w:tcW w:w="3008" w:type="dxa"/>
            <w:tcBorders>
              <w:top w:val="nil"/>
              <w:left w:val="nil"/>
              <w:bottom w:val="single" w:color="auto" w:sz="4" w:space="0"/>
              <w:right w:val="single" w:color="auto" w:sz="4" w:space="0"/>
            </w:tcBorders>
            <w:shd w:val="clear" w:color="auto" w:fill="auto"/>
            <w:vAlign w:val="center"/>
          </w:tcPr>
          <w:p w14:paraId="615BF7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该项指标得分=完成绩效目标效益指标的部门预算阶段项目（含一次性项目）数量÷部门预算阶段项目（含一次性项目）总数×100%×5。</w:t>
            </w:r>
          </w:p>
        </w:tc>
        <w:tc>
          <w:tcPr>
            <w:tcW w:w="636" w:type="dxa"/>
            <w:tcBorders>
              <w:top w:val="nil"/>
              <w:left w:val="nil"/>
              <w:bottom w:val="single" w:color="auto" w:sz="4" w:space="0"/>
              <w:right w:val="single" w:color="auto" w:sz="4" w:space="0"/>
            </w:tcBorders>
            <w:shd w:val="clear" w:color="auto" w:fill="auto"/>
            <w:vAlign w:val="center"/>
          </w:tcPr>
          <w:p w14:paraId="4E2C8645">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9" w:type="dxa"/>
            <w:tcBorders>
              <w:top w:val="nil"/>
              <w:left w:val="nil"/>
              <w:bottom w:val="single" w:color="auto" w:sz="4" w:space="0"/>
              <w:right w:val="single" w:color="auto" w:sz="4" w:space="0"/>
            </w:tcBorders>
            <w:shd w:val="clear" w:color="auto" w:fill="auto"/>
            <w:vAlign w:val="center"/>
          </w:tcPr>
          <w:p w14:paraId="60DBEA8F">
            <w:pPr>
              <w:widowControl/>
              <w:jc w:val="center"/>
              <w:rPr>
                <w:rFonts w:hint="eastAsia" w:ascii="宋体" w:hAnsi="宋体" w:cs="宋体"/>
                <w:kern w:val="0"/>
                <w:sz w:val="24"/>
              </w:rPr>
            </w:pPr>
            <w:r>
              <w:rPr>
                <w:rFonts w:hint="eastAsia" w:ascii="宋体" w:hAnsi="宋体" w:cs="宋体"/>
                <w:kern w:val="0"/>
                <w:sz w:val="24"/>
              </w:rPr>
              <w:t>　</w:t>
            </w:r>
          </w:p>
        </w:tc>
      </w:tr>
      <w:tr w14:paraId="2A22451D">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CBF6359">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0AEBED33">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225" w:type="dxa"/>
            <w:tcBorders>
              <w:top w:val="nil"/>
              <w:left w:val="nil"/>
              <w:bottom w:val="single" w:color="auto" w:sz="4" w:space="0"/>
              <w:right w:val="single" w:color="auto" w:sz="4" w:space="0"/>
            </w:tcBorders>
            <w:shd w:val="clear" w:color="auto" w:fill="auto"/>
            <w:vAlign w:val="center"/>
          </w:tcPr>
          <w:p w14:paraId="4ECF23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659" w:type="dxa"/>
            <w:tcBorders>
              <w:top w:val="nil"/>
              <w:left w:val="nil"/>
              <w:bottom w:val="single" w:color="auto" w:sz="4" w:space="0"/>
              <w:right w:val="single" w:color="auto" w:sz="4" w:space="0"/>
            </w:tcBorders>
            <w:shd w:val="clear" w:color="auto" w:fill="auto"/>
            <w:vAlign w:val="center"/>
          </w:tcPr>
          <w:p w14:paraId="052C55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3" w:type="dxa"/>
            <w:tcBorders>
              <w:top w:val="nil"/>
              <w:left w:val="nil"/>
              <w:bottom w:val="single" w:color="auto" w:sz="4" w:space="0"/>
              <w:right w:val="single" w:color="auto" w:sz="4" w:space="0"/>
            </w:tcBorders>
            <w:shd w:val="clear" w:color="auto" w:fill="auto"/>
            <w:vAlign w:val="center"/>
          </w:tcPr>
          <w:p w14:paraId="5D054E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部门财务管理制度建立情况</w:t>
            </w:r>
          </w:p>
        </w:tc>
        <w:tc>
          <w:tcPr>
            <w:tcW w:w="3008" w:type="dxa"/>
            <w:tcBorders>
              <w:top w:val="nil"/>
              <w:left w:val="nil"/>
              <w:bottom w:val="single" w:color="auto" w:sz="4" w:space="0"/>
              <w:right w:val="single" w:color="auto" w:sz="4" w:space="0"/>
            </w:tcBorders>
            <w:shd w:val="clear" w:color="auto" w:fill="auto"/>
            <w:vAlign w:val="center"/>
          </w:tcPr>
          <w:p w14:paraId="11EB32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部门未制定内部财务管理制度等制度机制的,财务管理制度未得到落实，发现一处扣1分，扣完为止。</w:t>
            </w:r>
          </w:p>
        </w:tc>
        <w:tc>
          <w:tcPr>
            <w:tcW w:w="636" w:type="dxa"/>
            <w:tcBorders>
              <w:top w:val="nil"/>
              <w:left w:val="nil"/>
              <w:bottom w:val="single" w:color="auto" w:sz="4" w:space="0"/>
              <w:right w:val="single" w:color="auto" w:sz="4" w:space="0"/>
            </w:tcBorders>
            <w:shd w:val="clear" w:color="auto" w:fill="auto"/>
            <w:vAlign w:val="center"/>
          </w:tcPr>
          <w:p w14:paraId="6B8E215C">
            <w:pPr>
              <w:jc w:val="center"/>
              <w:rPr>
                <w:rFonts w:hint="eastAsia" w:ascii="宋体" w:hAnsi="宋体" w:cs="宋体"/>
                <w:color w:val="000000"/>
                <w:kern w:val="0"/>
                <w:sz w:val="18"/>
                <w:szCs w:val="18"/>
              </w:rPr>
            </w:pPr>
          </w:p>
        </w:tc>
        <w:tc>
          <w:tcPr>
            <w:tcW w:w="559" w:type="dxa"/>
            <w:tcBorders>
              <w:top w:val="nil"/>
              <w:left w:val="nil"/>
              <w:bottom w:val="single" w:color="auto" w:sz="4" w:space="0"/>
              <w:right w:val="single" w:color="auto" w:sz="4" w:space="0"/>
            </w:tcBorders>
            <w:shd w:val="clear" w:color="auto" w:fill="auto"/>
            <w:vAlign w:val="center"/>
          </w:tcPr>
          <w:p w14:paraId="449A3936">
            <w:pPr>
              <w:widowControl/>
              <w:jc w:val="center"/>
              <w:rPr>
                <w:rFonts w:hint="eastAsia" w:ascii="宋体" w:hAnsi="宋体" w:cs="宋体"/>
                <w:kern w:val="0"/>
                <w:sz w:val="24"/>
              </w:rPr>
            </w:pPr>
            <w:r>
              <w:rPr>
                <w:rFonts w:hint="eastAsia" w:ascii="宋体" w:hAnsi="宋体" w:cs="宋体"/>
                <w:kern w:val="0"/>
                <w:sz w:val="24"/>
              </w:rPr>
              <w:t>　</w:t>
            </w:r>
          </w:p>
        </w:tc>
      </w:tr>
      <w:tr w14:paraId="3F873DA1">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DF7CB36">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24A23FE3">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6B4FFB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659" w:type="dxa"/>
            <w:tcBorders>
              <w:top w:val="nil"/>
              <w:left w:val="nil"/>
              <w:bottom w:val="single" w:color="auto" w:sz="4" w:space="0"/>
              <w:right w:val="single" w:color="auto" w:sz="4" w:space="0"/>
            </w:tcBorders>
            <w:shd w:val="clear" w:color="auto" w:fill="auto"/>
            <w:vAlign w:val="center"/>
          </w:tcPr>
          <w:p w14:paraId="7F990B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3" w:type="dxa"/>
            <w:tcBorders>
              <w:top w:val="nil"/>
              <w:left w:val="nil"/>
              <w:bottom w:val="single" w:color="auto" w:sz="4" w:space="0"/>
              <w:right w:val="single" w:color="auto" w:sz="4" w:space="0"/>
            </w:tcBorders>
            <w:shd w:val="clear" w:color="auto" w:fill="auto"/>
            <w:vAlign w:val="center"/>
          </w:tcPr>
          <w:p w14:paraId="204081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部门财务岗位设置是否符合相关财务管理制度要求</w:t>
            </w:r>
          </w:p>
        </w:tc>
        <w:tc>
          <w:tcPr>
            <w:tcW w:w="3008" w:type="dxa"/>
            <w:tcBorders>
              <w:top w:val="nil"/>
              <w:left w:val="nil"/>
              <w:bottom w:val="single" w:color="auto" w:sz="4" w:space="0"/>
              <w:right w:val="single" w:color="auto" w:sz="4" w:space="0"/>
            </w:tcBorders>
            <w:shd w:val="clear" w:color="auto" w:fill="auto"/>
            <w:vAlign w:val="center"/>
          </w:tcPr>
          <w:p w14:paraId="74649D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部门未合理设置财务工作岗位，职责权限不明确，未严格实行不相容岗位分离，发现一处扣1分，扣完为止。</w:t>
            </w:r>
          </w:p>
        </w:tc>
        <w:tc>
          <w:tcPr>
            <w:tcW w:w="636" w:type="dxa"/>
            <w:tcBorders>
              <w:top w:val="nil"/>
              <w:left w:val="nil"/>
              <w:bottom w:val="single" w:color="auto" w:sz="4" w:space="0"/>
              <w:right w:val="single" w:color="auto" w:sz="4" w:space="0"/>
            </w:tcBorders>
            <w:shd w:val="clear" w:color="auto" w:fill="auto"/>
            <w:vAlign w:val="center"/>
          </w:tcPr>
          <w:p w14:paraId="5DB08C3E">
            <w:pPr>
              <w:jc w:val="center"/>
              <w:rPr>
                <w:rFonts w:hint="eastAsia" w:ascii="宋体" w:hAnsi="宋体" w:cs="宋体"/>
                <w:color w:val="000000"/>
                <w:kern w:val="0"/>
                <w:sz w:val="18"/>
                <w:szCs w:val="18"/>
              </w:rPr>
            </w:pPr>
          </w:p>
        </w:tc>
        <w:tc>
          <w:tcPr>
            <w:tcW w:w="559" w:type="dxa"/>
            <w:tcBorders>
              <w:top w:val="nil"/>
              <w:left w:val="nil"/>
              <w:bottom w:val="single" w:color="auto" w:sz="4" w:space="0"/>
              <w:right w:val="single" w:color="auto" w:sz="4" w:space="0"/>
            </w:tcBorders>
            <w:shd w:val="clear" w:color="auto" w:fill="auto"/>
            <w:vAlign w:val="center"/>
          </w:tcPr>
          <w:p w14:paraId="1BF8EE5B">
            <w:pPr>
              <w:widowControl/>
              <w:jc w:val="center"/>
              <w:rPr>
                <w:rFonts w:hint="eastAsia" w:ascii="宋体" w:hAnsi="宋体" w:cs="宋体"/>
                <w:kern w:val="0"/>
                <w:sz w:val="24"/>
              </w:rPr>
            </w:pPr>
            <w:r>
              <w:rPr>
                <w:rFonts w:hint="eastAsia" w:ascii="宋体" w:hAnsi="宋体" w:cs="宋体"/>
                <w:kern w:val="0"/>
                <w:sz w:val="24"/>
              </w:rPr>
              <w:t>　</w:t>
            </w:r>
          </w:p>
        </w:tc>
      </w:tr>
      <w:tr w14:paraId="540BA5A2">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A50A5AD">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15E6F328">
            <w:pPr>
              <w:widowControl/>
              <w:jc w:val="left"/>
              <w:rPr>
                <w:rFonts w:ascii="宋体" w:hAnsi="宋体" w:cs="宋体"/>
                <w:b/>
                <w:bCs/>
                <w:kern w:val="0"/>
                <w:sz w:val="24"/>
              </w:rPr>
            </w:pPr>
          </w:p>
        </w:tc>
        <w:tc>
          <w:tcPr>
            <w:tcW w:w="1225" w:type="dxa"/>
            <w:tcBorders>
              <w:top w:val="nil"/>
              <w:left w:val="nil"/>
              <w:bottom w:val="single" w:color="auto" w:sz="4" w:space="0"/>
              <w:right w:val="single" w:color="auto" w:sz="4" w:space="0"/>
            </w:tcBorders>
            <w:shd w:val="clear" w:color="auto" w:fill="auto"/>
            <w:vAlign w:val="center"/>
          </w:tcPr>
          <w:p w14:paraId="709571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659" w:type="dxa"/>
            <w:tcBorders>
              <w:top w:val="nil"/>
              <w:left w:val="nil"/>
              <w:bottom w:val="single" w:color="auto" w:sz="4" w:space="0"/>
              <w:right w:val="single" w:color="auto" w:sz="4" w:space="0"/>
            </w:tcBorders>
            <w:shd w:val="clear" w:color="auto" w:fill="auto"/>
            <w:vAlign w:val="center"/>
          </w:tcPr>
          <w:p w14:paraId="73A611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3" w:type="dxa"/>
            <w:tcBorders>
              <w:top w:val="nil"/>
              <w:left w:val="nil"/>
              <w:bottom w:val="single" w:color="auto" w:sz="4" w:space="0"/>
              <w:right w:val="single" w:color="auto" w:sz="4" w:space="0"/>
            </w:tcBorders>
            <w:shd w:val="clear" w:color="auto" w:fill="auto"/>
            <w:vAlign w:val="center"/>
          </w:tcPr>
          <w:p w14:paraId="5E2FAD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部门资金使用是否符合相关财务管理制度规定</w:t>
            </w:r>
          </w:p>
        </w:tc>
        <w:tc>
          <w:tcPr>
            <w:tcW w:w="3008" w:type="dxa"/>
            <w:tcBorders>
              <w:top w:val="nil"/>
              <w:left w:val="nil"/>
              <w:bottom w:val="single" w:color="auto" w:sz="4" w:space="0"/>
              <w:right w:val="single" w:color="auto" w:sz="4" w:space="0"/>
            </w:tcBorders>
            <w:shd w:val="clear" w:color="auto" w:fill="auto"/>
            <w:vAlign w:val="center"/>
          </w:tcPr>
          <w:p w14:paraId="1ED5C2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部门资金使用不符合相关财务管理制度规定的，发现一处扣1分，扣完为止。</w:t>
            </w:r>
          </w:p>
        </w:tc>
        <w:tc>
          <w:tcPr>
            <w:tcW w:w="636" w:type="dxa"/>
            <w:tcBorders>
              <w:top w:val="nil"/>
              <w:left w:val="nil"/>
              <w:bottom w:val="single" w:color="auto" w:sz="4" w:space="0"/>
              <w:right w:val="single" w:color="auto" w:sz="4" w:space="0"/>
            </w:tcBorders>
            <w:shd w:val="clear" w:color="auto" w:fill="auto"/>
            <w:vAlign w:val="center"/>
          </w:tcPr>
          <w:p w14:paraId="4A389EC0">
            <w:pPr>
              <w:jc w:val="center"/>
              <w:rPr>
                <w:rFonts w:hint="eastAsia" w:ascii="宋体" w:hAnsi="宋体" w:cs="宋体"/>
                <w:kern w:val="0"/>
                <w:sz w:val="18"/>
                <w:szCs w:val="18"/>
              </w:rPr>
            </w:pPr>
          </w:p>
        </w:tc>
        <w:tc>
          <w:tcPr>
            <w:tcW w:w="559" w:type="dxa"/>
            <w:tcBorders>
              <w:top w:val="nil"/>
              <w:left w:val="nil"/>
              <w:bottom w:val="single" w:color="auto" w:sz="4" w:space="0"/>
              <w:right w:val="single" w:color="auto" w:sz="4" w:space="0"/>
            </w:tcBorders>
            <w:shd w:val="clear" w:color="auto" w:fill="auto"/>
            <w:vAlign w:val="center"/>
          </w:tcPr>
          <w:p w14:paraId="3814D3D2">
            <w:pPr>
              <w:widowControl/>
              <w:jc w:val="center"/>
              <w:rPr>
                <w:rFonts w:hint="eastAsia" w:ascii="宋体" w:hAnsi="宋体" w:cs="宋体"/>
                <w:kern w:val="0"/>
                <w:sz w:val="24"/>
              </w:rPr>
            </w:pPr>
            <w:r>
              <w:rPr>
                <w:rFonts w:hint="eastAsia" w:ascii="宋体" w:hAnsi="宋体" w:cs="宋体"/>
                <w:kern w:val="0"/>
                <w:sz w:val="24"/>
              </w:rPr>
              <w:t>　</w:t>
            </w:r>
          </w:p>
        </w:tc>
      </w:tr>
      <w:tr w14:paraId="6591ECD1">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E830E85">
            <w:pPr>
              <w:widowControl/>
              <w:jc w:val="left"/>
              <w:rPr>
                <w:rFonts w:ascii="宋体" w:hAnsi="宋体" w:cs="宋体"/>
                <w:b/>
                <w:bCs/>
                <w:kern w:val="0"/>
                <w:sz w:val="24"/>
              </w:rPr>
            </w:pPr>
          </w:p>
        </w:tc>
        <w:tc>
          <w:tcPr>
            <w:tcW w:w="2144" w:type="dxa"/>
            <w:gridSpan w:val="2"/>
            <w:tcBorders>
              <w:top w:val="single" w:color="auto" w:sz="4" w:space="0"/>
              <w:left w:val="nil"/>
              <w:bottom w:val="single" w:color="auto" w:sz="4" w:space="0"/>
              <w:right w:val="single" w:color="auto" w:sz="4" w:space="0"/>
            </w:tcBorders>
            <w:shd w:val="clear" w:color="auto" w:fill="auto"/>
            <w:vAlign w:val="center"/>
          </w:tcPr>
          <w:p w14:paraId="1A402A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659" w:type="dxa"/>
            <w:tcBorders>
              <w:top w:val="nil"/>
              <w:left w:val="nil"/>
              <w:bottom w:val="single" w:color="auto" w:sz="4" w:space="0"/>
              <w:right w:val="single" w:color="auto" w:sz="4" w:space="0"/>
            </w:tcBorders>
            <w:shd w:val="clear" w:color="auto" w:fill="auto"/>
            <w:vAlign w:val="center"/>
          </w:tcPr>
          <w:p w14:paraId="75E3D7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3" w:type="dxa"/>
            <w:tcBorders>
              <w:top w:val="nil"/>
              <w:left w:val="nil"/>
              <w:bottom w:val="single" w:color="auto" w:sz="4" w:space="0"/>
              <w:right w:val="single" w:color="auto" w:sz="4" w:space="0"/>
            </w:tcBorders>
            <w:shd w:val="clear" w:color="auto" w:fill="auto"/>
            <w:vAlign w:val="center"/>
          </w:tcPr>
          <w:p w14:paraId="255F6D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预算管理和绩效管理工作存在问题</w:t>
            </w:r>
          </w:p>
        </w:tc>
        <w:tc>
          <w:tcPr>
            <w:tcW w:w="3008" w:type="dxa"/>
            <w:tcBorders>
              <w:top w:val="nil"/>
              <w:left w:val="nil"/>
              <w:bottom w:val="single" w:color="auto" w:sz="4" w:space="0"/>
              <w:right w:val="single" w:color="auto" w:sz="4" w:space="0"/>
            </w:tcBorders>
            <w:shd w:val="clear" w:color="auto" w:fill="auto"/>
            <w:vAlign w:val="center"/>
          </w:tcPr>
          <w:p w14:paraId="6F0293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36" w:type="dxa"/>
            <w:tcBorders>
              <w:top w:val="nil"/>
              <w:left w:val="nil"/>
              <w:bottom w:val="single" w:color="auto" w:sz="4" w:space="0"/>
              <w:right w:val="single" w:color="auto" w:sz="4" w:space="0"/>
            </w:tcBorders>
            <w:shd w:val="clear" w:color="auto" w:fill="auto"/>
            <w:vAlign w:val="center"/>
          </w:tcPr>
          <w:p w14:paraId="4E032D31">
            <w:pPr>
              <w:jc w:val="center"/>
              <w:rPr>
                <w:rFonts w:hint="eastAsia" w:ascii="宋体" w:hAnsi="宋体" w:cs="宋体"/>
                <w:kern w:val="0"/>
                <w:sz w:val="18"/>
                <w:szCs w:val="18"/>
              </w:rPr>
            </w:pPr>
          </w:p>
        </w:tc>
        <w:tc>
          <w:tcPr>
            <w:tcW w:w="559" w:type="dxa"/>
            <w:tcBorders>
              <w:top w:val="nil"/>
              <w:left w:val="nil"/>
              <w:bottom w:val="single" w:color="auto" w:sz="4" w:space="0"/>
              <w:right w:val="single" w:color="auto" w:sz="4" w:space="0"/>
            </w:tcBorders>
            <w:shd w:val="clear" w:color="auto" w:fill="auto"/>
            <w:vAlign w:val="center"/>
          </w:tcPr>
          <w:p w14:paraId="14EFD194">
            <w:pPr>
              <w:widowControl/>
              <w:jc w:val="center"/>
              <w:rPr>
                <w:rFonts w:hint="eastAsia" w:ascii="宋体" w:hAnsi="宋体" w:cs="宋体"/>
                <w:kern w:val="0"/>
                <w:sz w:val="24"/>
              </w:rPr>
            </w:pPr>
            <w:r>
              <w:rPr>
                <w:rFonts w:hint="eastAsia" w:ascii="宋体" w:hAnsi="宋体" w:cs="宋体"/>
                <w:kern w:val="0"/>
                <w:sz w:val="24"/>
              </w:rPr>
              <w:t>　</w:t>
            </w:r>
          </w:p>
        </w:tc>
      </w:tr>
      <w:tr w14:paraId="3C41B224">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49EC7D8">
            <w:pPr>
              <w:widowControl/>
              <w:jc w:val="left"/>
              <w:rPr>
                <w:rFonts w:ascii="宋体" w:hAnsi="宋体" w:cs="宋体"/>
                <w:b/>
                <w:bCs/>
                <w:kern w:val="0"/>
                <w:sz w:val="24"/>
              </w:rPr>
            </w:pPr>
          </w:p>
        </w:tc>
        <w:tc>
          <w:tcPr>
            <w:tcW w:w="2144" w:type="dxa"/>
            <w:gridSpan w:val="2"/>
            <w:tcBorders>
              <w:top w:val="single" w:color="auto" w:sz="4" w:space="0"/>
              <w:left w:val="nil"/>
              <w:bottom w:val="single" w:color="auto" w:sz="4" w:space="0"/>
              <w:right w:val="single" w:color="auto" w:sz="4" w:space="0"/>
            </w:tcBorders>
            <w:shd w:val="clear" w:color="auto" w:fill="auto"/>
            <w:vAlign w:val="center"/>
          </w:tcPr>
          <w:p w14:paraId="3BC443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659" w:type="dxa"/>
            <w:tcBorders>
              <w:top w:val="nil"/>
              <w:left w:val="nil"/>
              <w:bottom w:val="single" w:color="auto" w:sz="4" w:space="0"/>
              <w:right w:val="single" w:color="auto" w:sz="4" w:space="0"/>
            </w:tcBorders>
            <w:shd w:val="clear" w:color="auto" w:fill="auto"/>
            <w:vAlign w:val="center"/>
          </w:tcPr>
          <w:p w14:paraId="53A1B5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23" w:type="dxa"/>
            <w:tcBorders>
              <w:top w:val="nil"/>
              <w:left w:val="nil"/>
              <w:bottom w:val="single" w:color="auto" w:sz="4" w:space="0"/>
              <w:right w:val="single" w:color="auto" w:sz="4" w:space="0"/>
            </w:tcBorders>
            <w:shd w:val="clear" w:color="auto" w:fill="auto"/>
            <w:vAlign w:val="center"/>
          </w:tcPr>
          <w:p w14:paraId="356629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被评价对象工作配合情况</w:t>
            </w:r>
          </w:p>
        </w:tc>
        <w:tc>
          <w:tcPr>
            <w:tcW w:w="3008" w:type="dxa"/>
            <w:tcBorders>
              <w:top w:val="nil"/>
              <w:left w:val="nil"/>
              <w:bottom w:val="single" w:color="auto" w:sz="4" w:space="0"/>
              <w:right w:val="single" w:color="auto" w:sz="4" w:space="0"/>
            </w:tcBorders>
            <w:shd w:val="clear" w:color="auto" w:fill="auto"/>
            <w:vAlign w:val="center"/>
          </w:tcPr>
          <w:p w14:paraId="449E3B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评价工作开展过程中，被评价对象拖延推诿、提交资料不及时等拒不配合评价工作的，每发现一次扣1分，扣完为止。</w:t>
            </w:r>
          </w:p>
        </w:tc>
        <w:tc>
          <w:tcPr>
            <w:tcW w:w="636" w:type="dxa"/>
            <w:tcBorders>
              <w:top w:val="nil"/>
              <w:left w:val="nil"/>
              <w:bottom w:val="single" w:color="auto" w:sz="4" w:space="0"/>
              <w:right w:val="single" w:color="auto" w:sz="4" w:space="0"/>
            </w:tcBorders>
            <w:shd w:val="clear" w:color="auto" w:fill="auto"/>
            <w:vAlign w:val="center"/>
          </w:tcPr>
          <w:p w14:paraId="4C7D1DE0">
            <w:pPr>
              <w:jc w:val="center"/>
              <w:rPr>
                <w:rFonts w:hint="eastAsia" w:ascii="宋体" w:hAnsi="宋体" w:cs="宋体"/>
                <w:color w:val="000000"/>
                <w:kern w:val="0"/>
                <w:sz w:val="18"/>
                <w:szCs w:val="18"/>
              </w:rPr>
            </w:pPr>
          </w:p>
        </w:tc>
        <w:tc>
          <w:tcPr>
            <w:tcW w:w="559" w:type="dxa"/>
            <w:tcBorders>
              <w:top w:val="nil"/>
              <w:left w:val="nil"/>
              <w:bottom w:val="single" w:color="auto" w:sz="4" w:space="0"/>
              <w:right w:val="single" w:color="auto" w:sz="4" w:space="0"/>
            </w:tcBorders>
            <w:shd w:val="clear" w:color="auto" w:fill="auto"/>
            <w:vAlign w:val="center"/>
          </w:tcPr>
          <w:p w14:paraId="31FF73EC">
            <w:pPr>
              <w:widowControl/>
              <w:jc w:val="center"/>
              <w:rPr>
                <w:rFonts w:hint="eastAsia" w:ascii="宋体" w:hAnsi="宋体" w:cs="宋体"/>
                <w:kern w:val="0"/>
                <w:sz w:val="24"/>
              </w:rPr>
            </w:pPr>
            <w:r>
              <w:rPr>
                <w:rFonts w:hint="eastAsia" w:ascii="宋体" w:hAnsi="宋体" w:cs="宋体"/>
                <w:kern w:val="0"/>
                <w:sz w:val="24"/>
              </w:rPr>
              <w:t>　</w:t>
            </w:r>
          </w:p>
        </w:tc>
      </w:tr>
      <w:tr w14:paraId="676AD3EC">
        <w:tblPrEx>
          <w:tblCellMar>
            <w:top w:w="0" w:type="dxa"/>
            <w:left w:w="108" w:type="dxa"/>
            <w:bottom w:w="0" w:type="dxa"/>
            <w:right w:w="108" w:type="dxa"/>
          </w:tblCellMar>
        </w:tblPrEx>
        <w:trPr>
          <w:trHeight w:val="639" w:hRule="atLeast"/>
          <w:jc w:val="center"/>
        </w:trPr>
        <w:tc>
          <w:tcPr>
            <w:tcW w:w="28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C64C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659" w:type="dxa"/>
            <w:tcBorders>
              <w:top w:val="nil"/>
              <w:left w:val="nil"/>
              <w:bottom w:val="single" w:color="auto" w:sz="4" w:space="0"/>
              <w:right w:val="single" w:color="auto" w:sz="4" w:space="0"/>
            </w:tcBorders>
            <w:shd w:val="clear" w:color="auto" w:fill="auto"/>
            <w:noWrap/>
            <w:vAlign w:val="center"/>
          </w:tcPr>
          <w:p w14:paraId="581295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523" w:type="dxa"/>
            <w:tcBorders>
              <w:top w:val="nil"/>
              <w:left w:val="nil"/>
              <w:bottom w:val="single" w:color="auto" w:sz="4" w:space="0"/>
              <w:right w:val="single" w:color="auto" w:sz="4" w:space="0"/>
            </w:tcBorders>
            <w:shd w:val="clear" w:color="auto" w:fill="auto"/>
            <w:noWrap/>
            <w:vAlign w:val="center"/>
          </w:tcPr>
          <w:p w14:paraId="5C5FBF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08" w:type="dxa"/>
            <w:tcBorders>
              <w:top w:val="nil"/>
              <w:left w:val="nil"/>
              <w:bottom w:val="single" w:color="auto" w:sz="4" w:space="0"/>
              <w:right w:val="single" w:color="auto" w:sz="4" w:space="0"/>
            </w:tcBorders>
            <w:shd w:val="clear" w:color="auto" w:fill="auto"/>
            <w:noWrap/>
            <w:vAlign w:val="center"/>
          </w:tcPr>
          <w:p w14:paraId="5C52BD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6" w:type="dxa"/>
            <w:tcBorders>
              <w:top w:val="nil"/>
              <w:left w:val="nil"/>
              <w:bottom w:val="single" w:color="auto" w:sz="4" w:space="0"/>
              <w:right w:val="single" w:color="auto" w:sz="4" w:space="0"/>
            </w:tcBorders>
            <w:shd w:val="clear" w:color="auto" w:fill="auto"/>
            <w:noWrap/>
            <w:vAlign w:val="center"/>
          </w:tcPr>
          <w:p w14:paraId="58A9BFD9">
            <w:pPr>
              <w:keepNext w:val="0"/>
              <w:keepLines w:val="0"/>
              <w:widowControl/>
              <w:suppressLineNumbers w:val="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92</w:t>
            </w:r>
          </w:p>
        </w:tc>
        <w:tc>
          <w:tcPr>
            <w:tcW w:w="559" w:type="dxa"/>
            <w:tcBorders>
              <w:top w:val="nil"/>
              <w:left w:val="nil"/>
              <w:bottom w:val="single" w:color="auto" w:sz="4" w:space="0"/>
              <w:right w:val="single" w:color="auto" w:sz="4" w:space="0"/>
            </w:tcBorders>
            <w:shd w:val="clear" w:color="auto" w:fill="auto"/>
            <w:noWrap/>
            <w:vAlign w:val="center"/>
          </w:tcPr>
          <w:p w14:paraId="455BB6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3C4CA9C5">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0A6BAD3">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002B8E3">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E7B5FB9">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1C16032">
      <w:pPr>
        <w:pStyle w:val="3"/>
        <w:ind w:leftChars="0" w:firstLine="0" w:firstLineChars="0"/>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F6D8729">
      <w:pPr>
        <w:pStyle w:val="3"/>
        <w:ind w:leftChars="0" w:firstLine="0" w:firstLineChars="0"/>
        <w:jc w:val="both"/>
      </w:pPr>
      <w:r>
        <w:rPr>
          <w:rFonts w:hint="eastAsia" w:ascii="Times New Roman" w:eastAsia="黑体" w:cs="Times New Roman"/>
          <w:b w:val="0"/>
          <w:bCs w:val="0"/>
          <w:i w:val="0"/>
          <w:iCs w:val="0"/>
          <w:color w:val="auto"/>
          <w:kern w:val="0"/>
          <w:sz w:val="32"/>
          <w:szCs w:val="32"/>
          <w:highlight w:val="none"/>
          <w:shd w:val="clear" w:color="auto" w:fill="FFFFFF"/>
          <w:lang w:val="en-US" w:eastAsia="zh-CN"/>
        </w:rPr>
        <w:t>附件2：</w:t>
      </w:r>
    </w:p>
    <w:p w14:paraId="35BD799E">
      <w:pPr>
        <w:spacing w:after="693" w:afterLines="222"/>
      </w:pPr>
      <w:r>
        <w:drawing>
          <wp:inline distT="0" distB="0" distL="114300" distR="114300">
            <wp:extent cx="5271135" cy="8248650"/>
            <wp:effectExtent l="0" t="0" r="571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7"/>
                    <a:stretch>
                      <a:fillRect/>
                    </a:stretch>
                  </pic:blipFill>
                  <pic:spPr>
                    <a:xfrm>
                      <a:off x="0" y="0"/>
                      <a:ext cx="5271135" cy="8248650"/>
                    </a:xfrm>
                    <a:prstGeom prst="rect">
                      <a:avLst/>
                    </a:prstGeom>
                    <a:noFill/>
                    <a:ln>
                      <a:noFill/>
                    </a:ln>
                  </pic:spPr>
                </pic:pic>
              </a:graphicData>
            </a:graphic>
          </wp:inline>
        </w:drawing>
      </w:r>
    </w:p>
    <w:p w14:paraId="3CE31F03">
      <w:pPr>
        <w:rPr>
          <w:rFonts w:hint="default" w:ascii="Times New Roman" w:hAnsi="Times New Roman" w:eastAsia="黑体" w:cs="Times New Roman"/>
          <w:b w:val="0"/>
          <w:bCs w:val="0"/>
          <w:i w:val="0"/>
          <w:iCs w:val="0"/>
          <w:color w:val="auto"/>
          <w:sz w:val="32"/>
          <w:szCs w:val="32"/>
          <w:highlight w:val="none"/>
          <w:lang w:val="en-US" w:eastAsia="zh-CN"/>
        </w:rPr>
      </w:pPr>
      <w:r>
        <w:drawing>
          <wp:inline distT="0" distB="0" distL="114300" distR="114300">
            <wp:extent cx="5375275" cy="8712835"/>
            <wp:effectExtent l="0" t="0" r="15875" b="1206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a:stretch>
                      <a:fillRect/>
                    </a:stretch>
                  </pic:blipFill>
                  <pic:spPr>
                    <a:xfrm>
                      <a:off x="0" y="0"/>
                      <a:ext cx="5375275" cy="8712835"/>
                    </a:xfrm>
                    <a:prstGeom prst="rect">
                      <a:avLst/>
                    </a:prstGeom>
                    <a:noFill/>
                    <a:ln>
                      <a:noFill/>
                    </a:ln>
                  </pic:spPr>
                </pic:pic>
              </a:graphicData>
            </a:graphic>
          </wp:inline>
        </w:drawing>
      </w:r>
    </w:p>
    <w:p w14:paraId="3EAB73FB">
      <w:pPr>
        <w:tabs>
          <w:tab w:val="left" w:pos="3885"/>
        </w:tabs>
        <w:snapToGrid w:val="0"/>
        <w:spacing w:line="600" w:lineRule="exact"/>
        <w:jc w:val="both"/>
        <w:rPr>
          <w:rFonts w:hint="eastAsia" w:eastAsia="方正小标宋简体" w:cs="Times New Roman"/>
          <w:b w:val="0"/>
          <w:bCs w:val="0"/>
          <w:i w:val="0"/>
          <w:iCs w:val="0"/>
          <w:color w:val="auto"/>
          <w:kern w:val="2"/>
          <w:sz w:val="44"/>
          <w:szCs w:val="44"/>
          <w:highlight w:val="none"/>
          <w:lang w:val="en-US" w:eastAsia="zh-CN"/>
        </w:rPr>
      </w:pPr>
      <w:bookmarkStart w:id="107" w:name="_Toc14583_WPSOffice_Level2"/>
      <w:r>
        <w:drawing>
          <wp:anchor distT="0" distB="0" distL="114300" distR="114300" simplePos="0" relativeHeight="251666432" behindDoc="0" locked="0" layoutInCell="1" allowOverlap="1">
            <wp:simplePos x="0" y="0"/>
            <wp:positionH relativeFrom="column">
              <wp:posOffset>38100</wp:posOffset>
            </wp:positionH>
            <wp:positionV relativeFrom="paragraph">
              <wp:posOffset>95250</wp:posOffset>
            </wp:positionV>
            <wp:extent cx="5271135" cy="8637270"/>
            <wp:effectExtent l="0" t="0" r="5715" b="11430"/>
            <wp:wrapSquare wrapText="bothSides"/>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9"/>
                    <a:stretch>
                      <a:fillRect/>
                    </a:stretch>
                  </pic:blipFill>
                  <pic:spPr>
                    <a:xfrm>
                      <a:off x="0" y="0"/>
                      <a:ext cx="5271135" cy="8637270"/>
                    </a:xfrm>
                    <a:prstGeom prst="rect">
                      <a:avLst/>
                    </a:prstGeom>
                    <a:noFill/>
                    <a:ln>
                      <a:noFill/>
                    </a:ln>
                  </pic:spPr>
                </pic:pic>
              </a:graphicData>
            </a:graphic>
          </wp:anchor>
        </w:drawing>
      </w:r>
      <w:bookmarkStart w:id="108" w:name="_Toc21417_WPSOffice_Level2"/>
    </w:p>
    <w:p w14:paraId="0CA26503">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67456" behindDoc="0" locked="0" layoutInCell="1" allowOverlap="1">
            <wp:simplePos x="0" y="0"/>
            <wp:positionH relativeFrom="column">
              <wp:posOffset>-256540</wp:posOffset>
            </wp:positionH>
            <wp:positionV relativeFrom="paragraph">
              <wp:posOffset>-476250</wp:posOffset>
            </wp:positionV>
            <wp:extent cx="5631815" cy="9199245"/>
            <wp:effectExtent l="0" t="0" r="6985" b="1905"/>
            <wp:wrapSquare wrapText="bothSides"/>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0"/>
                    <a:stretch>
                      <a:fillRect/>
                    </a:stretch>
                  </pic:blipFill>
                  <pic:spPr>
                    <a:xfrm>
                      <a:off x="0" y="0"/>
                      <a:ext cx="5631815" cy="9199245"/>
                    </a:xfrm>
                    <a:prstGeom prst="rect">
                      <a:avLst/>
                    </a:prstGeom>
                    <a:noFill/>
                    <a:ln>
                      <a:noFill/>
                    </a:ln>
                  </pic:spPr>
                </pic:pic>
              </a:graphicData>
            </a:graphic>
          </wp:anchor>
        </w:drawing>
      </w:r>
      <w:r>
        <w:rPr>
          <w:rFonts w:hint="eastAsia"/>
          <w:lang w:eastAsia="zh-CN"/>
        </w:rPr>
        <w:tab/>
      </w:r>
      <w:r>
        <w:rPr>
          <w:rFonts w:hint="eastAsia" w:eastAsia="方正小标宋简体" w:cs="Times New Roman"/>
          <w:b w:val="0"/>
          <w:bCs w:val="0"/>
          <w:i w:val="0"/>
          <w:iCs w:val="0"/>
          <w:color w:val="auto"/>
          <w:kern w:val="2"/>
          <w:sz w:val="44"/>
          <w:szCs w:val="44"/>
          <w:highlight w:val="none"/>
          <w:lang w:val="en-US" w:eastAsia="zh-CN"/>
        </w:rPr>
        <w:tab/>
      </w:r>
      <w:r>
        <w:rPr>
          <w:rFonts w:hint="eastAsia" w:eastAsia="方正小标宋简体" w:cs="Times New Roman"/>
          <w:b w:val="0"/>
          <w:bCs w:val="0"/>
          <w:i w:val="0"/>
          <w:iCs w:val="0"/>
          <w:color w:val="auto"/>
          <w:kern w:val="2"/>
          <w:sz w:val="44"/>
          <w:szCs w:val="44"/>
          <w:highlight w:val="none"/>
          <w:lang w:val="en-US" w:eastAsia="zh-CN"/>
        </w:rPr>
        <w:t xml:space="preserve">                 </w:t>
      </w:r>
    </w:p>
    <w:p w14:paraId="46EF6008">
      <w:pPr>
        <w:tabs>
          <w:tab w:val="left" w:pos="726"/>
          <w:tab w:val="left" w:pos="3885"/>
          <w:tab w:val="center" w:pos="4213"/>
        </w:tabs>
        <w:snapToGrid w:val="0"/>
        <w:spacing w:line="600" w:lineRule="exact"/>
        <w:jc w:val="left"/>
        <w:rPr>
          <w:rFonts w:hint="default"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68480" behindDoc="0" locked="0" layoutInCell="1" allowOverlap="1">
            <wp:simplePos x="0" y="0"/>
            <wp:positionH relativeFrom="column">
              <wp:posOffset>-95250</wp:posOffset>
            </wp:positionH>
            <wp:positionV relativeFrom="paragraph">
              <wp:posOffset>28575</wp:posOffset>
            </wp:positionV>
            <wp:extent cx="5339080" cy="8663305"/>
            <wp:effectExtent l="0" t="0" r="13970" b="4445"/>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stretch>
                      <a:fillRect/>
                    </a:stretch>
                  </pic:blipFill>
                  <pic:spPr>
                    <a:xfrm>
                      <a:off x="0" y="0"/>
                      <a:ext cx="5339080" cy="8663305"/>
                    </a:xfrm>
                    <a:prstGeom prst="rect">
                      <a:avLst/>
                    </a:prstGeom>
                    <a:noFill/>
                    <a:ln>
                      <a:noFill/>
                    </a:ln>
                  </pic:spPr>
                </pic:pic>
              </a:graphicData>
            </a:graphic>
          </wp:anchor>
        </w:drawing>
      </w:r>
    </w:p>
    <w:p w14:paraId="4C7386DC">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69504" behindDoc="0" locked="0" layoutInCell="1" allowOverlap="1">
            <wp:simplePos x="0" y="0"/>
            <wp:positionH relativeFrom="column">
              <wp:posOffset>10160</wp:posOffset>
            </wp:positionH>
            <wp:positionV relativeFrom="paragraph">
              <wp:posOffset>66675</wp:posOffset>
            </wp:positionV>
            <wp:extent cx="5309870" cy="8787765"/>
            <wp:effectExtent l="0" t="0" r="5080" b="13335"/>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2"/>
                    <a:stretch>
                      <a:fillRect/>
                    </a:stretch>
                  </pic:blipFill>
                  <pic:spPr>
                    <a:xfrm>
                      <a:off x="0" y="0"/>
                      <a:ext cx="5309870" cy="8787765"/>
                    </a:xfrm>
                    <a:prstGeom prst="rect">
                      <a:avLst/>
                    </a:prstGeom>
                    <a:noFill/>
                    <a:ln>
                      <a:noFill/>
                    </a:ln>
                  </pic:spPr>
                </pic:pic>
              </a:graphicData>
            </a:graphic>
          </wp:anchor>
        </w:drawing>
      </w:r>
    </w:p>
    <w:p w14:paraId="0640779B">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70528" behindDoc="0" locked="0" layoutInCell="1" allowOverlap="1">
            <wp:simplePos x="0" y="0"/>
            <wp:positionH relativeFrom="column">
              <wp:posOffset>133350</wp:posOffset>
            </wp:positionH>
            <wp:positionV relativeFrom="paragraph">
              <wp:posOffset>9525</wp:posOffset>
            </wp:positionV>
            <wp:extent cx="5272405" cy="8669020"/>
            <wp:effectExtent l="0" t="0" r="4445" b="17780"/>
            <wp:wrapSquare wrapText="bothSides"/>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3"/>
                    <a:stretch>
                      <a:fillRect/>
                    </a:stretch>
                  </pic:blipFill>
                  <pic:spPr>
                    <a:xfrm>
                      <a:off x="0" y="0"/>
                      <a:ext cx="5272405" cy="8669020"/>
                    </a:xfrm>
                    <a:prstGeom prst="rect">
                      <a:avLst/>
                    </a:prstGeom>
                    <a:noFill/>
                    <a:ln>
                      <a:noFill/>
                    </a:ln>
                  </pic:spPr>
                </pic:pic>
              </a:graphicData>
            </a:graphic>
          </wp:anchor>
        </w:drawing>
      </w:r>
    </w:p>
    <w:p w14:paraId="54A8CC0F">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71552" behindDoc="0" locked="0" layoutInCell="1" allowOverlap="1">
            <wp:simplePos x="0" y="0"/>
            <wp:positionH relativeFrom="column">
              <wp:posOffset>-38100</wp:posOffset>
            </wp:positionH>
            <wp:positionV relativeFrom="paragraph">
              <wp:posOffset>84455</wp:posOffset>
            </wp:positionV>
            <wp:extent cx="5443855" cy="8669020"/>
            <wp:effectExtent l="0" t="0" r="4445" b="17780"/>
            <wp:wrapSquare wrapText="bothSides"/>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24"/>
                    <a:stretch>
                      <a:fillRect/>
                    </a:stretch>
                  </pic:blipFill>
                  <pic:spPr>
                    <a:xfrm>
                      <a:off x="0" y="0"/>
                      <a:ext cx="5443855" cy="8669020"/>
                    </a:xfrm>
                    <a:prstGeom prst="rect">
                      <a:avLst/>
                    </a:prstGeom>
                    <a:noFill/>
                    <a:ln>
                      <a:noFill/>
                    </a:ln>
                  </pic:spPr>
                </pic:pic>
              </a:graphicData>
            </a:graphic>
          </wp:anchor>
        </w:drawing>
      </w:r>
    </w:p>
    <w:p w14:paraId="51E10BAD">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72576" behindDoc="0" locked="0" layoutInCell="1" allowOverlap="1">
            <wp:simplePos x="0" y="0"/>
            <wp:positionH relativeFrom="column">
              <wp:posOffset>19050</wp:posOffset>
            </wp:positionH>
            <wp:positionV relativeFrom="paragraph">
              <wp:posOffset>75565</wp:posOffset>
            </wp:positionV>
            <wp:extent cx="5263515" cy="8693150"/>
            <wp:effectExtent l="0" t="0" r="13335" b="12700"/>
            <wp:wrapSquare wrapText="bothSides"/>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5"/>
                    <a:stretch>
                      <a:fillRect/>
                    </a:stretch>
                  </pic:blipFill>
                  <pic:spPr>
                    <a:xfrm>
                      <a:off x="0" y="0"/>
                      <a:ext cx="5263515" cy="8693150"/>
                    </a:xfrm>
                    <a:prstGeom prst="rect">
                      <a:avLst/>
                    </a:prstGeom>
                    <a:noFill/>
                    <a:ln>
                      <a:noFill/>
                    </a:ln>
                  </pic:spPr>
                </pic:pic>
              </a:graphicData>
            </a:graphic>
          </wp:anchor>
        </w:drawing>
      </w:r>
    </w:p>
    <w:p w14:paraId="0D051106">
      <w:pPr>
        <w:tabs>
          <w:tab w:val="left" w:pos="726"/>
          <w:tab w:val="left" w:pos="3885"/>
          <w:tab w:val="center" w:pos="4213"/>
        </w:tabs>
        <w:snapToGrid w:val="0"/>
        <w:spacing w:line="600" w:lineRule="exact"/>
        <w:ind w:firstLine="210" w:firstLineChars="100"/>
        <w:jc w:val="left"/>
        <w:rPr>
          <w:rFonts w:hint="eastAsia" w:eastAsia="方正小标宋简体" w:cs="Times New Roman"/>
          <w:b w:val="0"/>
          <w:bCs w:val="0"/>
          <w:i w:val="0"/>
          <w:iCs w:val="0"/>
          <w:color w:val="auto"/>
          <w:kern w:val="2"/>
          <w:sz w:val="44"/>
          <w:szCs w:val="44"/>
          <w:highlight w:val="none"/>
          <w:lang w:val="en-US" w:eastAsia="zh-CN"/>
        </w:rPr>
      </w:pPr>
      <w:r>
        <w:drawing>
          <wp:anchor distT="0" distB="0" distL="114300" distR="114300" simplePos="0" relativeHeight="251673600" behindDoc="0" locked="0" layoutInCell="1" allowOverlap="1">
            <wp:simplePos x="0" y="0"/>
            <wp:positionH relativeFrom="column">
              <wp:posOffset>28575</wp:posOffset>
            </wp:positionH>
            <wp:positionV relativeFrom="paragraph">
              <wp:posOffset>47625</wp:posOffset>
            </wp:positionV>
            <wp:extent cx="5377180" cy="8709025"/>
            <wp:effectExtent l="0" t="0" r="13970" b="15875"/>
            <wp:wrapSquare wrapText="bothSides"/>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6"/>
                    <a:stretch>
                      <a:fillRect/>
                    </a:stretch>
                  </pic:blipFill>
                  <pic:spPr>
                    <a:xfrm>
                      <a:off x="0" y="0"/>
                      <a:ext cx="5377180" cy="8709025"/>
                    </a:xfrm>
                    <a:prstGeom prst="rect">
                      <a:avLst/>
                    </a:prstGeom>
                    <a:noFill/>
                    <a:ln>
                      <a:noFill/>
                    </a:ln>
                  </pic:spPr>
                </pic:pic>
              </a:graphicData>
            </a:graphic>
          </wp:anchor>
        </w:drawing>
      </w:r>
    </w:p>
    <w:bookmarkEnd w:id="107"/>
    <w:bookmarkEnd w:id="108"/>
    <w:p w14:paraId="48B46684">
      <w:bookmarkStart w:id="109" w:name="_Toc13254_WPSOffice_Level1"/>
      <w:bookmarkStart w:id="110" w:name="_Toc15396618"/>
      <w:r>
        <w:rPr>
          <w:rFonts w:hint="eastAsia" w:ascii="Times New Roman" w:eastAsia="黑体" w:cs="Times New Roman"/>
          <w:b w:val="0"/>
          <w:bCs w:val="0"/>
          <w:i w:val="0"/>
          <w:iCs w:val="0"/>
          <w:color w:val="auto"/>
          <w:kern w:val="0"/>
          <w:sz w:val="32"/>
          <w:szCs w:val="32"/>
          <w:highlight w:val="none"/>
          <w:shd w:val="clear" w:color="auto" w:fill="FFFFFF"/>
          <w:lang w:val="en-US" w:eastAsia="zh-CN"/>
        </w:rPr>
        <w:t>附件</w:t>
      </w:r>
      <w:r>
        <w:rPr>
          <w:rFonts w:hint="eastAsia" w:eastAsia="黑体" w:cs="Times New Roman"/>
          <w:b w:val="0"/>
          <w:bCs w:val="0"/>
          <w:i w:val="0"/>
          <w:iCs w:val="0"/>
          <w:color w:val="auto"/>
          <w:kern w:val="0"/>
          <w:sz w:val="32"/>
          <w:szCs w:val="32"/>
          <w:highlight w:val="none"/>
          <w:shd w:val="clear" w:color="auto" w:fill="FFFFFF"/>
          <w:lang w:val="en-US" w:eastAsia="zh-CN"/>
        </w:rPr>
        <w:t>3</w:t>
      </w:r>
      <w:r>
        <w:rPr>
          <w:rFonts w:hint="eastAsia" w:ascii="Times New Roman" w:eastAsia="黑体" w:cs="Times New Roman"/>
          <w:b w:val="0"/>
          <w:bCs w:val="0"/>
          <w:i w:val="0"/>
          <w:iCs w:val="0"/>
          <w:color w:val="auto"/>
          <w:kern w:val="0"/>
          <w:sz w:val="32"/>
          <w:szCs w:val="32"/>
          <w:highlight w:val="none"/>
          <w:shd w:val="clear" w:color="auto" w:fill="FFFFFF"/>
          <w:lang w:val="en-US" w:eastAsia="zh-CN"/>
        </w:rPr>
        <w:t>：</w:t>
      </w:r>
    </w:p>
    <w:p w14:paraId="3DD20FFB">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w:t>
      </w:r>
    </w:p>
    <w:p w14:paraId="28CBF382">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default" w:ascii="Times New Roman" w:hAnsi="Times New Roman" w:cs="Times New Roman"/>
        </w:rPr>
        <w:t>（科技创新发展引导资金项目）</w:t>
      </w:r>
    </w:p>
    <w:p w14:paraId="54016C2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5E74316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楷体_GB2312" w:hAnsi="宋体" w:eastAsia="楷体_GB2312"/>
          <w:b w:val="0"/>
          <w:bCs/>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根据区委区政府关于印发《遂宁市安居区科技创新攻坚战实施意见（2021—2023年）》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文件精神</w:t>
      </w:r>
      <w:r>
        <w:rPr>
          <w:rFonts w:hint="default" w:ascii="Times New Roman" w:hAnsi="Times New Roman" w:eastAsia="仿宋_GB2312" w:cs="Times New Roman"/>
          <w:b w:val="0"/>
          <w:bCs w:val="0"/>
          <w:i w:val="0"/>
          <w:iCs w:val="0"/>
          <w:color w:val="auto"/>
          <w:kern w:val="2"/>
          <w:sz w:val="32"/>
          <w:szCs w:val="32"/>
          <w:highlight w:val="none"/>
          <w:lang w:val="en-US" w:eastAsia="zh-CN" w:bidi="ar-SA"/>
        </w:rPr>
        <w:t xml:space="preserve"> ，要求</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区财政设立专项资金500万元</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对提升科技创新能力、培育壮大创新主体、鼓励企业建立创新平台等方面进行奖补，助力我区科技创新发展。</w:t>
      </w:r>
    </w:p>
    <w:p w14:paraId="2B73DF5B">
      <w:pPr>
        <w:spacing w:line="560" w:lineRule="exact"/>
        <w:ind w:firstLine="640" w:firstLineChars="0"/>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《科创政策》包括</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提升科技创新能力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培育壮大</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创新主体、</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鼓励企业建立创新平台、支持企业创先争优、培育引进高素质人才5</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个部分，共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条。一是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提升科技创新能力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。支持</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企业加大研发投入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录入技术交易合同</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增加高新技术产业营业收入</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。二是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培育壮大</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创新主体。支持培育高新技术企业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、国家科技型中小企业、国家技术创新示范企业、国家创新型企业、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独角兽企业、瞪羚企业等创新创业主体。三是</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鼓励企业建立创新平台。支持认定重点实验室、科技型孵化器等创新平台。四是支持企业创先争优。支持</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申报国省科技进步奖。</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五是培育引进高素质人才。支持</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引进</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两院院士、国家级科技领军人才、</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创建博士后科研工作站等。</w:t>
      </w:r>
    </w:p>
    <w:p w14:paraId="7902ADF5">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经统计拟对提升科技创新能力、培育壮大创新主体、鼓励企业建立创新平台等三个大类奖项进行兑现工作</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在拟定兑现方案，并征求各有关单位意见修改完善后由区委财经会议、区政府常务会审议通过后再开展拨付流程。</w:t>
      </w:r>
      <w:r>
        <w:rPr>
          <w:rFonts w:hint="default" w:ascii="Times New Roman" w:hAnsi="Times New Roman" w:eastAsia="仿宋_GB2312" w:cs="Times New Roman"/>
          <w:b w:val="0"/>
          <w:bCs w:val="0"/>
          <w:i w:val="0"/>
          <w:iCs w:val="0"/>
          <w:color w:val="auto"/>
          <w:kern w:val="2"/>
          <w:sz w:val="32"/>
          <w:szCs w:val="32"/>
          <w:highlight w:val="none"/>
          <w:lang w:val="en-US" w:eastAsia="zh-CN" w:bidi="ar-SA"/>
        </w:rPr>
        <w:t>202</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奖励统计兑现资金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300.39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万元，涉及奖励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个方面、企业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p>
    <w:p w14:paraId="619C45DF">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项目按照文件要求对所涉及企业开展初核及复核，对应《若干政策》所设置条目进行奖补。</w:t>
      </w:r>
    </w:p>
    <w:p w14:paraId="7233DEE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按照绩效目标及工作计划，我单位每年开展自评工作，项目运行情况良好，在有效期内完成所有</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兑现</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任务。</w:t>
      </w:r>
    </w:p>
    <w:p w14:paraId="2A1EDCA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sz w:val="32"/>
          <w:szCs w:val="32"/>
          <w:highlight w:val="none"/>
          <w:lang w:val="zh-CN" w:eastAsia="zh-CN"/>
        </w:rPr>
      </w:pPr>
      <w:r>
        <w:rPr>
          <w:rFonts w:hint="eastAsia" w:ascii="黑体" w:hAnsi="宋体" w:eastAsia="黑体" w:cs="Times New Roman"/>
          <w:sz w:val="32"/>
          <w:szCs w:val="32"/>
          <w:highlight w:val="none"/>
          <w:lang w:val="zh-CN"/>
        </w:rPr>
        <w:t>二、</w:t>
      </w:r>
      <w:r>
        <w:rPr>
          <w:rFonts w:hint="eastAsia" w:ascii="黑体" w:hAnsi="宋体" w:eastAsia="黑体" w:cs="Times New Roman"/>
          <w:sz w:val="32"/>
          <w:szCs w:val="32"/>
          <w:highlight w:val="none"/>
          <w:lang w:val="zh-CN" w:eastAsia="zh-CN"/>
        </w:rPr>
        <w:t>评价实施</w:t>
      </w:r>
    </w:p>
    <w:p w14:paraId="6FCA300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（一）评价目的。</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通过项目绩效自评及时掌握项目运行状况，确保按时高质量完成任务目标。</w:t>
      </w:r>
    </w:p>
    <w:p w14:paraId="6ADEC1B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我单位严格</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按照绩效评价指标体系，按照可能会出现的问题，重点对资金支出使用全过程及其实施效果进行综合评价和判断。</w:t>
      </w:r>
    </w:p>
    <w:p w14:paraId="557D85A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楷体_GB2312" w:hAnsi="宋体" w:eastAsia="楷体_GB2312" w:cs="Times New Roman"/>
          <w:b w:val="0"/>
          <w:bCs/>
          <w:color w:val="auto"/>
          <w:sz w:val="32"/>
          <w:szCs w:val="32"/>
          <w:highlight w:val="none"/>
          <w:u w:val="none"/>
          <w:lang w:val="zh-CN"/>
        </w:rPr>
        <w:t>（三）评价选点。</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项目绩效自评中对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获得奖补资金的企业</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随机抽样回访，</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满意度100%</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3749065C">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（四）评价方法。</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采用成本效益分析法、单位自评法、实地勘察法、座谈调研法等多种方法。</w:t>
      </w:r>
    </w:p>
    <w:p w14:paraId="60988BB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（五）评价组织。</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建立一个单位主要领导为组长，由科技股骨干具体负责的</w:t>
      </w:r>
      <w:bookmarkStart w:id="224" w:name="_GoBack"/>
      <w:bookmarkEnd w:id="224"/>
      <w:r>
        <w:rPr>
          <w:rFonts w:hint="default" w:ascii="Times New Roman" w:hAnsi="Times New Roman" w:eastAsia="仿宋_GB2312" w:cs="Times New Roman"/>
          <w:b w:val="0"/>
          <w:bCs w:val="0"/>
          <w:i w:val="0"/>
          <w:iCs w:val="0"/>
          <w:color w:val="auto"/>
          <w:kern w:val="2"/>
          <w:sz w:val="32"/>
          <w:szCs w:val="32"/>
          <w:highlight w:val="none"/>
          <w:lang w:val="en-US" w:eastAsia="zh-CN" w:bidi="ar-SA"/>
        </w:rPr>
        <w:t>项目评价专班，推动项目评价工作。</w:t>
      </w:r>
    </w:p>
    <w:p w14:paraId="5D163937">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6BDAB06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根据</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项目</w:t>
      </w:r>
      <w:r>
        <w:rPr>
          <w:rFonts w:hint="default" w:ascii="Times New Roman" w:hAnsi="Times New Roman" w:eastAsia="仿宋_GB2312" w:cs="Times New Roman"/>
          <w:b w:val="0"/>
          <w:bCs w:val="0"/>
          <w:i w:val="0"/>
          <w:iCs w:val="0"/>
          <w:color w:val="auto"/>
          <w:kern w:val="2"/>
          <w:sz w:val="32"/>
          <w:szCs w:val="32"/>
          <w:highlight w:val="none"/>
          <w:lang w:val="zh-CN" w:eastAsia="zh-CN" w:bidi="ar-SA"/>
        </w:rPr>
        <w:t>预算绩效评价指标体系“</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通用指标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“专用指标”“个性指标”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涉及</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二、三级</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指标进行</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逐项</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绩效分析</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并评分</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p>
    <w:p w14:paraId="42D7A5B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楷体_GB2312" w:hAnsi="宋体" w:eastAsia="楷体_GB2312" w:cs="Times New Roman"/>
          <w:b w:val="0"/>
          <w:bCs/>
          <w:color w:val="auto"/>
          <w:sz w:val="32"/>
          <w:szCs w:val="32"/>
          <w:highlight w:val="none"/>
          <w:u w:val="none"/>
          <w:lang w:val="zh-CN" w:eastAsia="zh-CN"/>
        </w:rPr>
        <w:t>绩效分析</w:t>
      </w:r>
    </w:p>
    <w:p w14:paraId="1D3E63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en-US" w:eastAsia="zh-CN"/>
        </w:rPr>
        <w:t>1.项目决策。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通过党组会专题研究，组织专家开展论证及资金投向进行绩效分析，决策程序合法合规。</w:t>
      </w:r>
    </w:p>
    <w:p w14:paraId="6ACD153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en-US" w:eastAsia="zh-CN"/>
        </w:rPr>
        <w:t>2.项目管理。</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定期对</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奖补企业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进行抽查，定期核查</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获奖企业</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是否</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符合</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申报条件</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，定期开展工作督查。</w:t>
      </w:r>
    </w:p>
    <w:p w14:paraId="7BB3941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en-US" w:eastAsia="zh-CN"/>
        </w:rPr>
        <w:t>3.项目实施。</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该项目严格按照相关要求开展、顺利实施，资金使用做到专款专用。</w:t>
      </w:r>
    </w:p>
    <w:p w14:paraId="5C55E4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en-US" w:eastAsia="zh-CN"/>
        </w:rPr>
        <w:t>4.项目结果。</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实施期内，该项目所有指标均保质保量完成。</w:t>
      </w:r>
    </w:p>
    <w:p w14:paraId="55473DA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Times New Roman" w:hAnsi="Times New Roman" w:eastAsia="仿宋_GB2312" w:cs="Times New Roman"/>
          <w:b w:val="0"/>
          <w:bCs w:val="0"/>
          <w:i w:val="0"/>
          <w:iCs w:val="0"/>
          <w:color w:val="auto"/>
          <w:kern w:val="2"/>
          <w:sz w:val="32"/>
          <w:szCs w:val="32"/>
          <w:highlight w:val="none"/>
          <w:lang w:val="zh-CN" w:eastAsia="zh-CN" w:bidi="ar-SA"/>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楷体_GB2312" w:hAnsi="宋体" w:eastAsia="楷体_GB2312" w:cs="Times New Roman"/>
          <w:b w:val="0"/>
          <w:bCs/>
          <w:color w:val="auto"/>
          <w:sz w:val="32"/>
          <w:szCs w:val="32"/>
          <w:highlight w:val="none"/>
          <w:u w:val="none"/>
          <w:lang w:val="zh-CN"/>
        </w:rPr>
        <w:t>绩效分析。</w:t>
      </w:r>
    </w:p>
    <w:p w14:paraId="636667D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kern w:val="2"/>
          <w:sz w:val="32"/>
          <w:szCs w:val="32"/>
          <w:highlight w:val="none"/>
          <w:lang w:val="en-US" w:eastAsia="zh-CN" w:bidi="ar-SA"/>
        </w:rPr>
        <w:t>产业发展。食品与特色消费品</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锂电与新材料</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汽车及装备制造等重点产业思瑞食品、啸驰电气等多家企业科技创新实力增强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营业收入、产值大幅提升</w:t>
      </w:r>
      <w:r>
        <w:rPr>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开展政策宣讲</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次，现场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参与</w:t>
      </w:r>
      <w:r>
        <w:rPr>
          <w:rFonts w:hint="default" w:ascii="Times New Roman" w:hAnsi="Times New Roman" w:eastAsia="仿宋_GB2312" w:cs="Times New Roman"/>
          <w:b w:val="0"/>
          <w:bCs w:val="0"/>
          <w:i w:val="0"/>
          <w:iCs w:val="0"/>
          <w:color w:val="auto"/>
          <w:kern w:val="2"/>
          <w:sz w:val="32"/>
          <w:szCs w:val="32"/>
          <w:highlight w:val="none"/>
          <w:lang w:val="en-US" w:eastAsia="zh-CN" w:bidi="ar-SA"/>
        </w:rPr>
        <w:t>达</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余人次。202</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年</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奖励统计兑现资金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300.39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万元，涉及奖励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个方面、企业</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按照《</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》第</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条，我区鼓励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提升科技创新能力</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奖励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的</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企业有四川裕能</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、四川骏瑞</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12</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家，奖励资金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149.39</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万元。按照《</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》第</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4</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条</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和第6条</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，我区鼓励</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培育壮大创新主体</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奖励企业有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金旺</w:t>
      </w:r>
      <w:r>
        <w:rPr>
          <w:rFonts w:hint="default" w:ascii="Times New Roman" w:hAnsi="Times New Roman" w:eastAsia="仿宋_GB2312" w:cs="Times New Roman"/>
          <w:b w:val="0"/>
          <w:bCs w:val="0"/>
          <w:i w:val="0"/>
          <w:iCs w:val="0"/>
          <w:color w:val="auto"/>
          <w:kern w:val="2"/>
          <w:sz w:val="32"/>
          <w:szCs w:val="32"/>
          <w:highlight w:val="none"/>
          <w:lang w:val="en-US" w:eastAsia="zh-CN" w:bidi="ar-SA"/>
        </w:rPr>
        <w:t>食品、力扬工业等</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16</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家，奖励资金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121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万元。按照《</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若干政策</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》第</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10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条，我区</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鼓励企业建立创新平台</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奖励企业有遂宁</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市安居区大智创业孵化器有限责任公司1</w:t>
      </w:r>
      <w:r>
        <w:rPr>
          <w:rFonts w:hint="default" w:ascii="Times New Roman" w:hAnsi="Times New Roman" w:eastAsia="仿宋_GB2312" w:cs="Times New Roman"/>
          <w:b w:val="0"/>
          <w:bCs w:val="0"/>
          <w:i w:val="0"/>
          <w:iCs w:val="0"/>
          <w:color w:val="auto"/>
          <w:kern w:val="2"/>
          <w:sz w:val="32"/>
          <w:szCs w:val="32"/>
          <w:highlight w:val="none"/>
          <w:lang w:val="en-US" w:eastAsia="zh-CN" w:bidi="ar-SA"/>
        </w:rPr>
        <w:t>家，资金</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30</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万元</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w:t>
      </w:r>
    </w:p>
    <w:p w14:paraId="755ADE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outlineLvl w:val="9"/>
        <w:rPr>
          <w:rFonts w:hint="eastAsia"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楷体_GB2312" w:hAnsi="宋体" w:eastAsia="楷体_GB2312" w:cs="Times New Roman"/>
          <w:b w:val="0"/>
          <w:bCs/>
          <w:color w:val="auto"/>
          <w:sz w:val="32"/>
          <w:szCs w:val="32"/>
          <w:highlight w:val="none"/>
          <w:u w:val="none"/>
          <w:lang w:val="zh-CN" w:eastAsia="zh-CN"/>
        </w:rPr>
        <w:t>绩效分析。</w:t>
      </w:r>
      <w:r>
        <w:rPr>
          <w:rFonts w:hint="default" w:ascii="Times New Roman" w:hAnsi="Times New Roman" w:eastAsia="仿宋_GB2312" w:cs="Times New Roman"/>
          <w:b w:val="0"/>
          <w:bCs w:val="0"/>
          <w:i w:val="0"/>
          <w:iCs w:val="0"/>
          <w:color w:val="auto"/>
          <w:kern w:val="2"/>
          <w:sz w:val="32"/>
          <w:szCs w:val="32"/>
          <w:highlight w:val="none"/>
          <w:lang w:val="zh-CN" w:eastAsia="zh-CN" w:bidi="ar-SA"/>
        </w:rPr>
        <w:t>所有个性指标</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均</w:t>
      </w:r>
      <w:r>
        <w:rPr>
          <w:rFonts w:hint="default" w:ascii="Times New Roman" w:hAnsi="Times New Roman" w:eastAsia="仿宋_GB2312" w:cs="Times New Roman"/>
          <w:b w:val="0"/>
          <w:bCs w:val="0"/>
          <w:i w:val="0"/>
          <w:iCs w:val="0"/>
          <w:color w:val="auto"/>
          <w:kern w:val="2"/>
          <w:sz w:val="32"/>
          <w:szCs w:val="32"/>
          <w:highlight w:val="none"/>
          <w:lang w:val="zh-CN" w:eastAsia="zh-CN" w:bidi="ar-SA"/>
        </w:rPr>
        <w:t>能按照要求高质量完成。</w:t>
      </w:r>
    </w:p>
    <w:p w14:paraId="77842272">
      <w:pPr>
        <w:pStyle w:val="12"/>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58E07F91">
      <w:pPr>
        <w:pStyle w:val="12"/>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该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社会效益显著，服务对象满意度较高，有效推进了部门绩效目标的实施。项目绩效自评得分为优秀</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得分95分</w:t>
      </w:r>
      <w:r>
        <w:rPr>
          <w:rFonts w:hint="default" w:ascii="Times New Roman" w:hAnsi="Times New Roman" w:eastAsia="仿宋_GB2312" w:cs="Times New Roman"/>
          <w:b w:val="0"/>
          <w:bCs w:val="0"/>
          <w:i w:val="0"/>
          <w:iCs w:val="0"/>
          <w:color w:val="auto"/>
          <w:kern w:val="2"/>
          <w:sz w:val="32"/>
          <w:szCs w:val="32"/>
          <w:highlight w:val="none"/>
          <w:lang w:val="zh-CN" w:eastAsia="zh-CN" w:bidi="ar-SA"/>
        </w:rPr>
        <w:t>。</w:t>
      </w:r>
    </w:p>
    <w:p w14:paraId="567D8518">
      <w:pPr>
        <w:pStyle w:val="12"/>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eastAsia" w:ascii="黑体" w:hAnsi="宋体" w:eastAsia="黑体" w:cs="Times New Roman"/>
          <w:kern w:val="2"/>
          <w:sz w:val="32"/>
          <w:szCs w:val="32"/>
          <w:highlight w:val="none"/>
          <w:lang w:val="zh-CN" w:eastAsia="zh-CN" w:bidi="ar-SA"/>
        </w:rPr>
        <w:t>五、存在主要</w:t>
      </w:r>
      <w:r>
        <w:rPr>
          <w:rFonts w:hint="eastAsia" w:ascii="黑体" w:hAnsi="宋体" w:eastAsia="黑体" w:cs="Times New Roman"/>
          <w:color w:val="auto"/>
          <w:sz w:val="32"/>
          <w:szCs w:val="32"/>
          <w:highlight w:val="none"/>
          <w:u w:val="none"/>
          <w:lang w:eastAsia="zh-CN"/>
        </w:rPr>
        <w:t>问题</w:t>
      </w:r>
      <w:r>
        <w:rPr>
          <w:rFonts w:hint="eastAsia" w:ascii="黑体" w:hAnsi="宋体" w:cs="Times New Roman"/>
          <w:color w:val="auto"/>
          <w:sz w:val="32"/>
          <w:szCs w:val="32"/>
          <w:highlight w:val="none"/>
          <w:u w:val="none"/>
          <w:lang w:eastAsia="zh-CN"/>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绩效评价工作水平有待提升。</w:t>
      </w:r>
    </w:p>
    <w:p w14:paraId="6765CBF0">
      <w:pPr>
        <w:pStyle w:val="12"/>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lang w:val="e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bookmarkStart w:id="111" w:name="_Hlk110546638"/>
      <w:r>
        <w:rPr>
          <w:rFonts w:hint="eastAsia" w:ascii="黑体" w:hAnsi="宋体" w:cs="Times New Roman"/>
          <w:color w:val="auto"/>
          <w:kern w:val="0"/>
          <w:position w:val="3"/>
          <w:sz w:val="32"/>
          <w:szCs w:val="32"/>
          <w:highlight w:val="none"/>
          <w:u w:val="none"/>
          <w:lang w:val="zh-CN" w:eastAsia="zh-CN" w:bidi="ar-SA"/>
        </w:rPr>
        <w:t>。</w:t>
      </w:r>
      <w:r>
        <w:rPr>
          <w:rFonts w:hint="default" w:ascii="Times New Roman" w:hAnsi="Times New Roman" w:eastAsia="仿宋_GB2312" w:cs="Times New Roman"/>
          <w:b w:val="0"/>
          <w:bCs w:val="0"/>
          <w:i w:val="0"/>
          <w:iCs w:val="0"/>
          <w:color w:val="auto"/>
          <w:kern w:val="2"/>
          <w:sz w:val="32"/>
          <w:szCs w:val="32"/>
          <w:highlight w:val="none"/>
          <w:lang w:val="en-US" w:eastAsia="zh-CN" w:bidi="ar-SA"/>
        </w:rPr>
        <w:t>上级部门</w:t>
      </w:r>
      <w:r>
        <w:rPr>
          <w:rFonts w:hint="default" w:ascii="Times New Roman" w:hAnsi="Times New Roman" w:eastAsia="仿宋_GB2312" w:cs="Times New Roman"/>
          <w:b w:val="0"/>
          <w:bCs w:val="0"/>
          <w:i w:val="0"/>
          <w:iCs w:val="0"/>
          <w:color w:val="auto"/>
          <w:kern w:val="2"/>
          <w:sz w:val="32"/>
          <w:szCs w:val="32"/>
          <w:highlight w:val="none"/>
          <w:lang w:val="zh-CN" w:eastAsia="zh-CN" w:bidi="ar-SA"/>
        </w:rPr>
        <w:t>继续加强对</w:t>
      </w:r>
      <w:r>
        <w:rPr>
          <w:rFonts w:hint="eastAsia" w:ascii="Times New Roman" w:hAnsi="Times New Roman" w:eastAsia="仿宋_GB2312" w:cs="Times New Roman"/>
          <w:b w:val="0"/>
          <w:bCs w:val="0"/>
          <w:i w:val="0"/>
          <w:iCs w:val="0"/>
          <w:color w:val="auto"/>
          <w:kern w:val="2"/>
          <w:sz w:val="32"/>
          <w:szCs w:val="32"/>
          <w:highlight w:val="none"/>
          <w:lang w:val="zh-CN" w:eastAsia="zh-CN" w:bidi="ar-SA"/>
        </w:rPr>
        <w:t>企业科技创新的资金支持</w:t>
      </w:r>
      <w:r>
        <w:rPr>
          <w:rFonts w:hint="default" w:ascii="Times New Roman" w:hAnsi="Times New Roman" w:eastAsia="仿宋_GB2312" w:cs="Times New Roman"/>
          <w:b w:val="0"/>
          <w:bCs w:val="0"/>
          <w:i w:val="0"/>
          <w:iCs w:val="0"/>
          <w:color w:val="auto"/>
          <w:kern w:val="2"/>
          <w:sz w:val="32"/>
          <w:szCs w:val="32"/>
          <w:highlight w:val="none"/>
          <w:lang w:val="zh-CN" w:eastAsia="zh-CN" w:bidi="ar-SA"/>
        </w:rPr>
        <w:t>，使项目编制更加符合绩效评价相关要求，适时开展培训，提高实施单位对专项资金使用绩效评价工作，重要意义的认识，牢固树立绩效管理理念，同时进一步提高绩效评价工作方式、方法，将已完成的所有工作绩效成果充分体现出来。</w:t>
      </w:r>
    </w:p>
    <w:p w14:paraId="4ADD511A">
      <w:pPr>
        <w:keepNext w:val="0"/>
        <w:keepLines w:val="0"/>
        <w:pageBreakBefore w:val="0"/>
        <w:tabs>
          <w:tab w:val="left" w:pos="1911"/>
        </w:tabs>
        <w:kinsoku/>
        <w:wordWrap/>
        <w:overflowPunct/>
        <w:topLinePunct w:val="0"/>
        <w:autoSpaceDE/>
        <w:autoSpaceDN/>
        <w:bidi w:val="0"/>
        <w:spacing w:beforeAutospacing="0" w:afterAutospacing="0" w:line="560" w:lineRule="exact"/>
        <w:ind w:left="0" w:leftChars="0" w:firstLine="640" w:firstLineChars="200"/>
        <w:jc w:val="left"/>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附表：专项资金绩效目标完成情况自评表</w:t>
      </w:r>
    </w:p>
    <w:p w14:paraId="60A77156">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p>
    <w:bookmarkEnd w:id="111"/>
    <w:p w14:paraId="316C311D">
      <w:pPr>
        <w:keepNext w:val="0"/>
        <w:keepLines w:val="0"/>
        <w:pageBreakBefore w:val="0"/>
        <w:kinsoku/>
        <w:wordWrap/>
        <w:overflowPunct/>
        <w:topLinePunct w:val="0"/>
        <w:autoSpaceDE/>
        <w:autoSpaceDN/>
        <w:bidi w:val="0"/>
        <w:adjustRightInd/>
        <w:snapToGrid/>
        <w:spacing w:line="590" w:lineRule="exact"/>
        <w:ind w:left="0" w:leftChars="0" w:right="0" w:righ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65D96B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2638C4B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655A28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C4892A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F75FD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4F656A6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7B0F27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227"/>
        <w:gridCol w:w="1212"/>
        <w:gridCol w:w="971"/>
        <w:gridCol w:w="1061"/>
        <w:gridCol w:w="938"/>
        <w:gridCol w:w="1841"/>
      </w:tblGrid>
      <w:tr w14:paraId="3980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61EE2F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926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4E4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4953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ascii="宋体" w:hAnsi="宋体" w:eastAsia="宋体" w:cs="宋体"/>
                <w:sz w:val="18"/>
                <w:szCs w:val="18"/>
              </w:rPr>
              <w:t>51090422T000000400299-科技创新发展引导资金</w:t>
            </w:r>
          </w:p>
        </w:tc>
      </w:tr>
      <w:tr w14:paraId="5ECD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ECD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2F13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区经信科技局</w:t>
            </w:r>
          </w:p>
        </w:tc>
      </w:tr>
      <w:tr w14:paraId="5E62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0DC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DA80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区级</w:t>
            </w:r>
          </w:p>
        </w:tc>
      </w:tr>
      <w:tr w14:paraId="4BE2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15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F2B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4E85A0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C0D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遂安府规〔2023〕1号-遂宁市安居区人民政府关于印发《遂宁市安居区深入推进科技创新驱动引领高质量发展的若干政策》的通知</w:t>
            </w:r>
          </w:p>
        </w:tc>
      </w:tr>
      <w:tr w14:paraId="41D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FA0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6EB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4A35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遂安府规〔2023〕1号-遂宁市安居区人民政府关于印发《遂宁市安居区深入推进科技创新驱动引领高质量发展的若干政策》的通知</w:t>
            </w:r>
          </w:p>
        </w:tc>
      </w:tr>
      <w:tr w14:paraId="21A3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DE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86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0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0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7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047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45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96A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8"/>
            </w:tblGrid>
            <w:tr w14:paraId="3CED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5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21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遂宁市安居区人民政府办公室关于兑现2022年度深入推进科技创新驱动引领高质量发展的若干政策奖励的通报</w:t>
                  </w:r>
                </w:p>
              </w:tc>
            </w:tr>
          </w:tbl>
          <w:p w14:paraId="3BCDC11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2E9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E07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CF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CE6F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《若干政策》所对应的所有支持类型</w:t>
            </w:r>
          </w:p>
        </w:tc>
      </w:tr>
      <w:tr w14:paraId="4931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DA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311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131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对应文件条目</w:t>
            </w:r>
          </w:p>
        </w:tc>
      </w:tr>
      <w:tr w14:paraId="5A46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3D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3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D809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2023.1-2023.12</w:t>
            </w:r>
          </w:p>
        </w:tc>
      </w:tr>
      <w:tr w14:paraId="0D3C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875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676487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81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188A">
            <w:pPr>
              <w:keepNext w:val="0"/>
              <w:keepLines w:val="0"/>
              <w:pageBreakBefore w:val="0"/>
              <w:tabs>
                <w:tab w:val="left" w:pos="852"/>
              </w:tabs>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300.39</w:t>
            </w:r>
          </w:p>
        </w:tc>
      </w:tr>
      <w:tr w14:paraId="09A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CA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38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5DB44">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300.39</w:t>
            </w:r>
          </w:p>
        </w:tc>
      </w:tr>
      <w:tr w14:paraId="2B20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95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BD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6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E744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w:t>
            </w:r>
          </w:p>
        </w:tc>
      </w:tr>
      <w:tr w14:paraId="45B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D8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49B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DF2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EB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BE53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r>
      <w:tr w14:paraId="7B4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189807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A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0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C2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27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25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BC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C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CC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A4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0B5BD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C1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7C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43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国家高企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8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20C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EA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r>
      <w:tr w14:paraId="4A9F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A3132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093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CF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6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省级众创空间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4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6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2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2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6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r>
      <w:tr w14:paraId="612E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41341F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3F6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4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DA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高质量完成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EE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D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B7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BE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C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r>
      <w:tr w14:paraId="7BCB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2368A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F6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E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A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完成时限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5B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95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0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9D5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7D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w:t>
            </w:r>
          </w:p>
        </w:tc>
      </w:tr>
      <w:tr w14:paraId="045C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7E0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7F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E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4FFD50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2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增产增收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1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C6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E8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2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w:t>
            </w:r>
          </w:p>
        </w:tc>
      </w:tr>
      <w:tr w14:paraId="3AA4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F3233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27C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77480D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5C53C9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BB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提升企业创新能力</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9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38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184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429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w:t>
            </w:r>
          </w:p>
        </w:tc>
      </w:tr>
      <w:tr w14:paraId="78A1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0551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36121F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6A8080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4C62FE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7681F5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企业、群众满意率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4E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1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C4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6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272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6C0B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6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9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0C8BE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27" w:type="dxa"/>
            <w:tcBorders>
              <w:top w:val="single" w:color="000000" w:sz="4" w:space="0"/>
              <w:bottom w:val="single" w:color="000000" w:sz="4" w:space="0"/>
              <w:right w:val="single" w:color="000000" w:sz="4" w:space="0"/>
            </w:tcBorders>
            <w:shd w:val="clear" w:color="auto" w:fill="auto"/>
            <w:vAlign w:val="center"/>
          </w:tcPr>
          <w:p w14:paraId="4EEF045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兑现资金</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9A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B2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300.39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CD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4E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26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300.39万元</w:t>
            </w:r>
          </w:p>
        </w:tc>
      </w:tr>
    </w:tbl>
    <w:p w14:paraId="6979D524">
      <w:pPr>
        <w:pStyle w:val="3"/>
        <w:keepNext w:val="0"/>
        <w:keepLines w:val="0"/>
        <w:pageBreakBefore w:val="0"/>
        <w:kinsoku/>
        <w:wordWrap/>
        <w:overflowPunct/>
        <w:topLinePunct w:val="0"/>
        <w:autoSpaceDE/>
        <w:autoSpaceDN/>
        <w:bidi w:val="0"/>
        <w:spacing w:after="0" w:line="578" w:lineRule="exact"/>
        <w:ind w:left="0" w:leftChars="0" w:firstLine="0" w:firstLineChars="0"/>
        <w:rPr>
          <w:rFonts w:hint="default" w:ascii="黑体" w:hAnsi="黑体" w:eastAsia="黑体" w:cs="黑体"/>
          <w:sz w:val="18"/>
          <w:szCs w:val="18"/>
          <w:highlight w:val="none"/>
          <w:lang w:val="en-US" w:eastAsia="zh-CN"/>
        </w:rPr>
      </w:pPr>
    </w:p>
    <w:p w14:paraId="183C8EF4">
      <w:pPr>
        <w:spacing w:line="600" w:lineRule="exact"/>
        <w:jc w:val="center"/>
        <w:outlineLvl w:val="0"/>
        <w:rPr>
          <w:rFonts w:hint="eastAsia" w:ascii="黑体" w:hAnsi="黑体" w:eastAsia="黑体"/>
          <w:color w:val="auto"/>
          <w:sz w:val="44"/>
          <w:szCs w:val="44"/>
          <w:highlight w:val="none"/>
        </w:rPr>
      </w:pPr>
    </w:p>
    <w:p w14:paraId="2CA05E41">
      <w:pPr>
        <w:spacing w:line="600" w:lineRule="exact"/>
        <w:jc w:val="center"/>
        <w:outlineLvl w:val="0"/>
        <w:rPr>
          <w:rFonts w:hint="eastAsia" w:ascii="黑体" w:hAnsi="黑体" w:eastAsia="黑体"/>
          <w:color w:val="auto"/>
          <w:sz w:val="44"/>
          <w:szCs w:val="44"/>
          <w:highlight w:val="none"/>
        </w:rPr>
      </w:pPr>
    </w:p>
    <w:p w14:paraId="0918814F">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112" w:name="OLE_LINK87"/>
      <w:r>
        <w:rPr>
          <w:rFonts w:hint="default" w:ascii="Times New Roman" w:hAnsi="Times New Roman" w:eastAsia="方正小标宋简体" w:cs="Times New Roman"/>
          <w:color w:val="auto"/>
          <w:kern w:val="2"/>
          <w:sz w:val="44"/>
          <w:szCs w:val="44"/>
          <w:highlight w:val="none"/>
          <w:lang w:val="en-US" w:eastAsia="zh-CN" w:bidi="ar-SA"/>
        </w:rPr>
        <w:t>专项预算绩效自评报告</w:t>
      </w:r>
      <w:bookmarkEnd w:id="112"/>
    </w:p>
    <w:p w14:paraId="76CFF0A1">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宋体"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省级工业发展资金</w:t>
      </w:r>
      <w:r>
        <w:rPr>
          <w:rFonts w:hint="eastAsia" w:ascii="Times New Roman" w:hAnsi="Times New Roman" w:eastAsia="仿宋_GB2312" w:cs="Times New Roman"/>
          <w:color w:val="auto"/>
          <w:kern w:val="2"/>
          <w:sz w:val="32"/>
          <w:szCs w:val="32"/>
          <w:lang w:val="en-US" w:eastAsia="zh-CN" w:bidi="ar-SA"/>
        </w:rPr>
        <w:t>）</w:t>
      </w:r>
    </w:p>
    <w:p w14:paraId="7E6B8B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24E1A14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（一）设立背景及基本情况。</w:t>
      </w:r>
      <w:bookmarkStart w:id="113" w:name="OLE_LINK19"/>
      <w:r>
        <w:rPr>
          <w:rFonts w:hint="default" w:ascii="Times New Roman" w:hAnsi="Times New Roman" w:eastAsia="仿宋_GB2312" w:cs="Times New Roman"/>
          <w:color w:val="auto"/>
          <w:kern w:val="2"/>
          <w:sz w:val="32"/>
          <w:szCs w:val="32"/>
          <w:lang w:val="en-US" w:eastAsia="zh-CN" w:bidi="ar-SA"/>
        </w:rPr>
        <w:t>一是“智改数转”项目方面。</w:t>
      </w:r>
      <w:bookmarkEnd w:id="113"/>
      <w:bookmarkStart w:id="114" w:name="OLE_LINK64"/>
      <w:r>
        <w:rPr>
          <w:rFonts w:hint="eastAsia" w:ascii="Times New Roman" w:hAnsi="Times New Roman" w:eastAsia="仿宋_GB2312" w:cs="Times New Roman"/>
          <w:color w:val="auto"/>
          <w:kern w:val="2"/>
          <w:sz w:val="32"/>
          <w:szCs w:val="32"/>
          <w:lang w:val="en-US" w:eastAsia="zh-CN" w:bidi="ar-SA"/>
        </w:rPr>
        <w:t>根据省经信厅</w:t>
      </w:r>
      <w:r>
        <w:rPr>
          <w:rFonts w:hint="default" w:ascii="Times New Roman" w:hAnsi="Times New Roman" w:eastAsia="仿宋_GB2312" w:cs="Times New Roman"/>
          <w:color w:val="auto"/>
          <w:kern w:val="2"/>
          <w:sz w:val="32"/>
          <w:szCs w:val="32"/>
          <w:lang w:val="en-US" w:eastAsia="zh-CN" w:bidi="ar-SA"/>
        </w:rPr>
        <w:t>《关于做好2024年制造业智能化改造数字化转型项目（切块资金项目）入库工作的通知》（川经信办函〔2024〕130号）要求</w:t>
      </w:r>
      <w:bookmarkEnd w:id="114"/>
      <w:r>
        <w:rPr>
          <w:rFonts w:hint="default" w:ascii="Times New Roman" w:hAnsi="Times New Roman" w:eastAsia="仿宋_GB2312" w:cs="Times New Roman"/>
          <w:color w:val="auto"/>
          <w:kern w:val="2"/>
          <w:sz w:val="32"/>
          <w:szCs w:val="32"/>
          <w:lang w:val="en-US" w:eastAsia="zh-CN" w:bidi="ar-SA"/>
        </w:rPr>
        <w:t>，我区组织四川裕宁铵法技术改造等7个符合条件的项目申报“智改数转”省级切块资金，经省、市核查，</w:t>
      </w:r>
      <w:bookmarkStart w:id="115" w:name="OLE_LINK10"/>
      <w:r>
        <w:rPr>
          <w:rFonts w:hint="default" w:ascii="Times New Roman" w:hAnsi="Times New Roman" w:eastAsia="仿宋_GB2312" w:cs="Times New Roman"/>
          <w:color w:val="auto"/>
          <w:kern w:val="2"/>
          <w:sz w:val="32"/>
          <w:szCs w:val="32"/>
          <w:lang w:val="en-US" w:eastAsia="zh-CN" w:bidi="ar-SA"/>
        </w:rPr>
        <w:t>遂宁拓普数字经济融合发展</w:t>
      </w:r>
      <w:bookmarkEnd w:id="115"/>
      <w:r>
        <w:rPr>
          <w:rFonts w:hint="default" w:ascii="Times New Roman" w:hAnsi="Times New Roman" w:eastAsia="仿宋_GB2312" w:cs="Times New Roman"/>
          <w:color w:val="auto"/>
          <w:kern w:val="2"/>
          <w:sz w:val="32"/>
          <w:szCs w:val="32"/>
          <w:lang w:val="en-US" w:eastAsia="zh-CN" w:bidi="ar-SA"/>
        </w:rPr>
        <w:t>等6个项目成功申报省级制造业“智改数转”切块资金，共计争取省级制造业“智改数转”项目切块资金4367万元。其中：遂宁拓普数字经济融合发展项目</w:t>
      </w:r>
      <w:bookmarkStart w:id="116" w:name="OLE_LINK11"/>
      <w:r>
        <w:rPr>
          <w:rFonts w:hint="default" w:ascii="Times New Roman" w:hAnsi="Times New Roman" w:eastAsia="仿宋_GB2312" w:cs="Times New Roman"/>
          <w:color w:val="auto"/>
          <w:kern w:val="2"/>
          <w:sz w:val="32"/>
          <w:szCs w:val="32"/>
          <w:lang w:val="en-US" w:eastAsia="zh-CN" w:bidi="ar-SA"/>
        </w:rPr>
        <w:t>主要建设内容为</w:t>
      </w:r>
      <w:bookmarkEnd w:id="116"/>
      <w:r>
        <w:rPr>
          <w:rFonts w:hint="default" w:ascii="Times New Roman" w:hAnsi="Times New Roman" w:eastAsia="仿宋_GB2312" w:cs="Times New Roman"/>
          <w:color w:val="auto"/>
          <w:kern w:val="2"/>
          <w:sz w:val="32"/>
          <w:szCs w:val="32"/>
          <w:lang w:val="en-US" w:eastAsia="zh-CN" w:bidi="ar-SA"/>
        </w:rPr>
        <w:t>智能化工厂改造，购置自动化设备，自动焊工作站，新增电泳线等，工厂网络全覆盖，增加服务器等设施，实现每个零件关键工序的参数与零件捆绑记录、追溯。四川裕宁铵法技术改造项目主要建设内容为在不改变原有产能，不增加能耗的情况下进行技术改造，建设氨水转化设备及其他配套设施，将钠法工艺变更为铵法工艺。四川坤天年产5万吨锂电池负极材料智能化车间建设项目主要建设内容为购置自动吨包投料系统、智能棒销磨解聚分级系统等智能化设备，运用ERP、WMS、MES等系统，建设了6条锂电池负极材料纯化加工生产线及配套的前端生料制备生产线、碳化生产线（本项目不涉及新增产值），从生产和管理方面进行信息化和智能化改造升级，实现精细化、自动化、数字化生产。四川阿宁年产16300吨卤制肉制品及副产品智能化加工生产线建设项目主要建设内容为购置自动滚揉机、自动漂烫机、智能包装机、全套自动化输送线等智能设备，建设年产16300吨卤制肉制品及副产品加工的智能化加工生产线。遂宁源晗园区配套扩建2*17000Nm³/h氮气项目主要建设内容为新建一座压缩机厂房及附跨、预冷间雨棚、循环水雨棚及循环水池，配套制氮设备基础。新增购置成套空分设备、气体检测仪等智能装备，以及阿里云服务器、泛微协同办公系统。遂宁伯特利汽车零部件装配和机加项目-数字化车间改造项目主要建设内容为新建EPB装配自动化线1条、EPB钳体机加自动化线3条、后支架机加自动化线2条、转向节机加自动化线2条。遂宁市安居区经济信息化和科学技术局作为项目主管部门，负责组织辖区内企业参加项目遴选，做好项目申报、专家评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现场核查</w:t>
      </w:r>
      <w:r>
        <w:rPr>
          <w:rFonts w:hint="eastAsia" w:ascii="Times New Roman" w:hAnsi="Times New Roman" w:eastAsia="仿宋_GB2312" w:cs="Times New Roman"/>
          <w:color w:val="auto"/>
          <w:kern w:val="2"/>
          <w:sz w:val="32"/>
          <w:szCs w:val="32"/>
          <w:lang w:val="en-US" w:eastAsia="zh-CN" w:bidi="ar-SA"/>
        </w:rPr>
        <w:t>和监督管理</w:t>
      </w:r>
      <w:r>
        <w:rPr>
          <w:rFonts w:hint="default" w:ascii="Times New Roman" w:hAnsi="Times New Roman" w:eastAsia="仿宋_GB2312" w:cs="Times New Roman"/>
          <w:color w:val="auto"/>
          <w:kern w:val="2"/>
          <w:sz w:val="32"/>
          <w:szCs w:val="32"/>
          <w:lang w:val="en-US" w:eastAsia="zh-CN" w:bidi="ar-SA"/>
        </w:rPr>
        <w:t>等工作。</w:t>
      </w:r>
      <w:bookmarkStart w:id="117" w:name="OLE_LINK21"/>
      <w:r>
        <w:rPr>
          <w:rFonts w:hint="default" w:ascii="Times New Roman" w:hAnsi="Times New Roman" w:eastAsia="仿宋_GB2312" w:cs="Times New Roman"/>
          <w:color w:val="auto"/>
          <w:kern w:val="2"/>
          <w:sz w:val="32"/>
          <w:szCs w:val="32"/>
          <w:lang w:val="en-US" w:eastAsia="zh-CN" w:bidi="ar-SA"/>
        </w:rPr>
        <w:t>二是“竣工投产激励项目”方面。</w:t>
      </w:r>
      <w:bookmarkEnd w:id="117"/>
      <w:bookmarkStart w:id="118" w:name="OLE_LINK2"/>
      <w:r>
        <w:rPr>
          <w:rFonts w:hint="default" w:ascii="Times New Roman" w:hAnsi="Times New Roman" w:eastAsia="仿宋_GB2312" w:cs="Times New Roman"/>
          <w:color w:val="auto"/>
          <w:kern w:val="2"/>
          <w:sz w:val="32"/>
          <w:szCs w:val="32"/>
          <w:lang w:val="en-US" w:eastAsia="zh-CN" w:bidi="ar-SA"/>
        </w:rPr>
        <w:t>按照省</w:t>
      </w:r>
      <w:bookmarkStart w:id="119" w:name="OLE_LINK8"/>
      <w:r>
        <w:rPr>
          <w:rFonts w:hint="eastAsia" w:ascii="Times New Roman" w:hAnsi="Times New Roman" w:eastAsia="仿宋_GB2312" w:cs="Times New Roman"/>
          <w:color w:val="auto"/>
          <w:kern w:val="2"/>
          <w:sz w:val="32"/>
          <w:szCs w:val="32"/>
          <w:lang w:val="en-US" w:eastAsia="zh-CN" w:bidi="ar-SA"/>
        </w:rPr>
        <w:t>经信厅</w:t>
      </w:r>
      <w:r>
        <w:rPr>
          <w:rFonts w:hint="default" w:ascii="Times New Roman" w:hAnsi="Times New Roman" w:eastAsia="仿宋_GB2312" w:cs="Times New Roman"/>
          <w:color w:val="auto"/>
          <w:kern w:val="2"/>
          <w:sz w:val="32"/>
          <w:szCs w:val="32"/>
          <w:lang w:val="en-US" w:eastAsia="zh-CN" w:bidi="ar-SA"/>
        </w:rPr>
        <w:t>《</w:t>
      </w:r>
      <w:bookmarkEnd w:id="119"/>
      <w:bookmarkStart w:id="120" w:name="OLE_LINK9"/>
      <w:r>
        <w:rPr>
          <w:rFonts w:hint="default" w:ascii="Times New Roman" w:hAnsi="Times New Roman" w:eastAsia="仿宋_GB2312" w:cs="Times New Roman"/>
          <w:color w:val="auto"/>
          <w:kern w:val="2"/>
          <w:sz w:val="32"/>
          <w:szCs w:val="32"/>
          <w:lang w:val="en-US" w:eastAsia="zh-CN" w:bidi="ar-SA"/>
        </w:rPr>
        <w:t>关于组织申报2024年二季度至2024年三季度期间竣工投产激励项目的通知》</w:t>
      </w:r>
      <w:bookmarkEnd w:id="120"/>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川经信技改函〔2024〕559号)要求</w:t>
      </w:r>
      <w:bookmarkEnd w:id="118"/>
      <w:r>
        <w:rPr>
          <w:rFonts w:hint="default" w:ascii="Times New Roman" w:hAnsi="Times New Roman" w:eastAsia="仿宋_GB2312" w:cs="Times New Roman"/>
          <w:color w:val="auto"/>
          <w:kern w:val="2"/>
          <w:sz w:val="32"/>
          <w:szCs w:val="32"/>
          <w:lang w:val="en-US" w:eastAsia="zh-CN" w:bidi="ar-SA"/>
        </w:rPr>
        <w:t>，我区符合申报条件的项目1个，为</w:t>
      </w:r>
      <w:bookmarkStart w:id="121" w:name="OLE_LINK46"/>
      <w:bookmarkStart w:id="122" w:name="OLE_LINK33"/>
      <w:r>
        <w:rPr>
          <w:rFonts w:hint="default" w:ascii="Times New Roman" w:hAnsi="Times New Roman" w:eastAsia="仿宋_GB2312" w:cs="Times New Roman"/>
          <w:color w:val="auto"/>
          <w:kern w:val="2"/>
          <w:sz w:val="32"/>
          <w:szCs w:val="32"/>
          <w:lang w:val="en-US" w:eastAsia="zh-CN" w:bidi="ar-SA"/>
        </w:rPr>
        <w:t>遂宁天齐锂业有限公司</w:t>
      </w:r>
      <w:bookmarkEnd w:id="121"/>
      <w:r>
        <w:rPr>
          <w:rFonts w:hint="default" w:ascii="Times New Roman" w:hAnsi="Times New Roman" w:eastAsia="仿宋_GB2312" w:cs="Times New Roman"/>
          <w:color w:val="auto"/>
          <w:kern w:val="2"/>
          <w:sz w:val="32"/>
          <w:szCs w:val="32"/>
          <w:lang w:val="en-US" w:eastAsia="zh-CN" w:bidi="ar-SA"/>
        </w:rPr>
        <w:t>年产2万吨碳酸锂工厂项目</w:t>
      </w:r>
      <w:bookmarkEnd w:id="122"/>
      <w:r>
        <w:rPr>
          <w:rFonts w:hint="default" w:ascii="Times New Roman" w:hAnsi="Times New Roman" w:eastAsia="仿宋_GB2312" w:cs="Times New Roman"/>
          <w:color w:val="auto"/>
          <w:kern w:val="2"/>
          <w:sz w:val="32"/>
          <w:szCs w:val="32"/>
          <w:lang w:val="en-US" w:eastAsia="zh-CN" w:bidi="ar-SA"/>
        </w:rPr>
        <w:t>，项目</w:t>
      </w:r>
      <w:r>
        <w:rPr>
          <w:rFonts w:hint="eastAsia" w:ascii="Times New Roman" w:hAnsi="Times New Roman" w:eastAsia="仿宋_GB2312" w:cs="Times New Roman"/>
          <w:color w:val="auto"/>
          <w:kern w:val="2"/>
          <w:sz w:val="32"/>
          <w:szCs w:val="32"/>
          <w:lang w:val="en-US" w:eastAsia="zh-CN" w:bidi="ar-SA"/>
        </w:rPr>
        <w:t>主要建设内容为建设年产2万吨碳酸锂工厂，遵照《GB/T9001》《GB/T24001》《GB/T28001》标准设计建设，占地面积为400亩，建筑面积为128689平方米，主要设备包括转型焙烧，酸化焙烧，浸出槽，浸出压榨机，碳化提纯槽等。</w:t>
      </w:r>
      <w:bookmarkStart w:id="123" w:name="OLE_LINK15"/>
      <w:r>
        <w:rPr>
          <w:rFonts w:hint="default" w:ascii="Times New Roman" w:hAnsi="Times New Roman" w:eastAsia="仿宋_GB2312" w:cs="Times New Roman"/>
          <w:color w:val="auto"/>
          <w:kern w:val="2"/>
          <w:sz w:val="32"/>
          <w:szCs w:val="32"/>
          <w:lang w:val="en-US" w:eastAsia="zh-CN" w:bidi="ar-SA"/>
        </w:rPr>
        <w:t>遂宁市安居区经济信息化和科学技术局作为项目主管部门，</w:t>
      </w:r>
      <w:bookmarkEnd w:id="123"/>
      <w:r>
        <w:rPr>
          <w:rFonts w:hint="default" w:ascii="Times New Roman" w:hAnsi="Times New Roman" w:eastAsia="仿宋_GB2312" w:cs="Times New Roman"/>
          <w:color w:val="auto"/>
          <w:kern w:val="2"/>
          <w:sz w:val="32"/>
          <w:szCs w:val="32"/>
          <w:lang w:val="en-US" w:eastAsia="zh-CN" w:bidi="ar-SA"/>
        </w:rPr>
        <w:t>负责组织企业项目申报，履行属地管理责任，并做好项目审核和上报工作。</w:t>
      </w:r>
    </w:p>
    <w:p w14:paraId="5B6EC903">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kern w:val="2"/>
          <w:sz w:val="32"/>
          <w:szCs w:val="32"/>
          <w:lang w:val="en-US" w:eastAsia="zh-CN" w:bidi="ar-SA"/>
        </w:rPr>
      </w:pPr>
      <w:bookmarkStart w:id="124" w:name="OLE_LINK40"/>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2"/>
          <w:sz w:val="32"/>
          <w:szCs w:val="32"/>
          <w:lang w:val="en-US" w:eastAsia="zh-CN" w:bidi="ar-SA"/>
        </w:rPr>
        <w:t>根据</w:t>
      </w:r>
      <w:r>
        <w:rPr>
          <w:rFonts w:hint="eastAsia" w:ascii="Times New Roman" w:hAnsi="Times New Roman" w:eastAsia="仿宋_GB2312" w:cs="Times New Roman"/>
          <w:color w:val="auto"/>
          <w:kern w:val="2"/>
          <w:sz w:val="32"/>
          <w:szCs w:val="32"/>
          <w:lang w:val="en-US" w:eastAsia="zh-CN" w:bidi="ar-SA"/>
        </w:rPr>
        <w:t>省经信厅</w:t>
      </w:r>
      <w:r>
        <w:rPr>
          <w:rFonts w:hint="default" w:ascii="Times New Roman" w:hAnsi="Times New Roman" w:eastAsia="仿宋_GB2312" w:cs="Times New Roman"/>
          <w:color w:val="auto"/>
          <w:kern w:val="2"/>
          <w:sz w:val="32"/>
          <w:szCs w:val="32"/>
          <w:lang w:val="en-US" w:eastAsia="zh-CN" w:bidi="ar-SA"/>
        </w:rPr>
        <w:t>《关于做好2024年第五批省级工业发展专项资金管理工作</w:t>
      </w:r>
      <w:bookmarkStart w:id="125" w:name="OLE_LINK6"/>
      <w:r>
        <w:rPr>
          <w:rFonts w:hint="default" w:ascii="Times New Roman" w:hAnsi="Times New Roman" w:eastAsia="仿宋_GB2312" w:cs="Times New Roman"/>
          <w:color w:val="auto"/>
          <w:kern w:val="2"/>
          <w:sz w:val="32"/>
          <w:szCs w:val="32"/>
          <w:lang w:val="en-US" w:eastAsia="zh-CN" w:bidi="ar-SA"/>
        </w:rPr>
        <w:t>的通知</w:t>
      </w:r>
      <w:bookmarkEnd w:id="125"/>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川经信办〔2024〕65号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和《遂宁市工业发展引导资金管理办法的通知》遂财建〔2024</w:t>
      </w:r>
      <w:bookmarkStart w:id="126" w:name="OLE_LINK4"/>
      <w:r>
        <w:rPr>
          <w:rFonts w:hint="default" w:ascii="Times New Roman" w:hAnsi="Times New Roman" w:eastAsia="仿宋_GB2312" w:cs="Times New Roman"/>
          <w:color w:val="auto"/>
          <w:kern w:val="2"/>
          <w:sz w:val="32"/>
          <w:szCs w:val="32"/>
          <w:lang w:val="en-US" w:eastAsia="zh-CN" w:bidi="ar-SA"/>
        </w:rPr>
        <w:t>〕</w:t>
      </w:r>
      <w:bookmarkEnd w:id="126"/>
      <w:r>
        <w:rPr>
          <w:rFonts w:hint="default" w:ascii="Times New Roman" w:hAnsi="Times New Roman" w:eastAsia="仿宋_GB2312" w:cs="Times New Roman"/>
          <w:color w:val="auto"/>
          <w:kern w:val="2"/>
          <w:sz w:val="32"/>
          <w:szCs w:val="32"/>
          <w:lang w:val="en-US" w:eastAsia="zh-CN" w:bidi="ar-SA"/>
        </w:rPr>
        <w:t>68号等文件要求</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以</w:t>
      </w:r>
      <w:r>
        <w:rPr>
          <w:rFonts w:hint="eastAsia" w:ascii="Times New Roman" w:hAnsi="Times New Roman" w:eastAsia="仿宋_GB2312" w:cs="Times New Roman"/>
          <w:color w:val="auto"/>
          <w:kern w:val="2"/>
          <w:sz w:val="32"/>
          <w:szCs w:val="32"/>
          <w:lang w:val="en-US" w:eastAsia="zh-CN" w:bidi="ar-SA"/>
        </w:rPr>
        <w:t>制造业</w:t>
      </w:r>
      <w:r>
        <w:rPr>
          <w:rFonts w:hint="default" w:ascii="Times New Roman" w:hAnsi="Times New Roman" w:eastAsia="仿宋_GB2312" w:cs="Times New Roman"/>
          <w:color w:val="auto"/>
          <w:kern w:val="2"/>
          <w:sz w:val="32"/>
          <w:szCs w:val="32"/>
          <w:lang w:val="en-US" w:eastAsia="zh-CN" w:bidi="ar-SA"/>
        </w:rPr>
        <w:t>“智改数转”为重要着力点，在更高起点上扎实推进制造业高质量发展，</w:t>
      </w:r>
      <w:r>
        <w:rPr>
          <w:rFonts w:hint="eastAsia" w:ascii="Times New Roman" w:hAnsi="Times New Roman" w:eastAsia="仿宋_GB2312" w:cs="Times New Roman"/>
          <w:color w:val="auto"/>
          <w:kern w:val="2"/>
          <w:sz w:val="32"/>
          <w:szCs w:val="32"/>
          <w:lang w:val="en-US" w:eastAsia="zh-CN" w:bidi="ar-SA"/>
        </w:rPr>
        <w:t>实施</w:t>
      </w:r>
      <w:r>
        <w:rPr>
          <w:rFonts w:hint="default" w:ascii="Times New Roman" w:hAnsi="Times New Roman" w:eastAsia="仿宋_GB2312" w:cs="Times New Roman"/>
          <w:color w:val="auto"/>
          <w:kern w:val="2"/>
          <w:sz w:val="32"/>
          <w:szCs w:val="32"/>
          <w:lang w:val="en-US" w:eastAsia="zh-CN" w:bidi="ar-SA"/>
        </w:rPr>
        <w:t>“智改数转”</w:t>
      </w:r>
      <w:r>
        <w:rPr>
          <w:rFonts w:hint="eastAsia" w:ascii="Times New Roman" w:hAnsi="Times New Roman" w:eastAsia="仿宋_GB2312" w:cs="Times New Roman"/>
          <w:color w:val="auto"/>
          <w:kern w:val="2"/>
          <w:sz w:val="32"/>
          <w:szCs w:val="32"/>
          <w:lang w:val="en-US" w:eastAsia="zh-CN" w:bidi="ar-SA"/>
        </w:rPr>
        <w:t>项目入库工作，加快推动产业数字化转型，项目主要</w:t>
      </w:r>
      <w:r>
        <w:rPr>
          <w:rFonts w:hint="default" w:ascii="Times New Roman" w:hAnsi="Times New Roman" w:eastAsia="仿宋_GB2312" w:cs="Times New Roman"/>
          <w:color w:val="auto"/>
          <w:kern w:val="2"/>
          <w:sz w:val="32"/>
          <w:szCs w:val="32"/>
          <w:lang w:val="en-US" w:eastAsia="zh-CN" w:bidi="ar-SA"/>
        </w:rPr>
        <w:t>紧扣六大优势产业提质倍增，围绕</w:t>
      </w:r>
      <w:bookmarkStart w:id="127" w:name="_Hlk166778330"/>
      <w:r>
        <w:rPr>
          <w:rFonts w:hint="eastAsia" w:ascii="Times New Roman" w:hAnsi="Times New Roman" w:eastAsia="仿宋_GB2312" w:cs="Times New Roman"/>
          <w:color w:val="auto"/>
          <w:kern w:val="2"/>
          <w:sz w:val="32"/>
          <w:szCs w:val="32"/>
          <w:lang w:val="en-US" w:eastAsia="zh-CN" w:bidi="ar-SA"/>
        </w:rPr>
        <w:t>制造业“</w:t>
      </w:r>
      <w:r>
        <w:rPr>
          <w:rFonts w:hint="default" w:ascii="Times New Roman" w:hAnsi="Times New Roman" w:eastAsia="仿宋_GB2312" w:cs="Times New Roman"/>
          <w:color w:val="auto"/>
          <w:kern w:val="2"/>
          <w:sz w:val="32"/>
          <w:szCs w:val="32"/>
          <w:lang w:val="en-US" w:eastAsia="zh-CN" w:bidi="ar-SA"/>
        </w:rPr>
        <w:t>降本增效</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提质扩绿</w:t>
      </w:r>
      <w:bookmarkEnd w:id="127"/>
      <w:r>
        <w:rPr>
          <w:rFonts w:hint="eastAsia" w:ascii="Times New Roman" w:hAnsi="Times New Roman" w:eastAsia="仿宋_GB2312" w:cs="Times New Roman"/>
          <w:color w:val="auto"/>
          <w:kern w:val="2"/>
          <w:sz w:val="32"/>
          <w:szCs w:val="32"/>
          <w:lang w:val="en-US" w:eastAsia="zh-CN" w:bidi="ar-SA"/>
        </w:rPr>
        <w:t>”方向；二是为认真贯彻落实省政府办公厅《关于持续巩固和增强经济回升向好态势若干政策措施的通知》(川办规〔2024〕2号)，做好激励政策兑现，积极扩大有效投资，</w:t>
      </w:r>
      <w:r>
        <w:rPr>
          <w:rFonts w:hint="default" w:ascii="Times New Roman" w:hAnsi="Times New Roman" w:eastAsia="仿宋_GB2312" w:cs="Times New Roman"/>
          <w:color w:val="auto"/>
          <w:kern w:val="2"/>
          <w:sz w:val="32"/>
          <w:szCs w:val="32"/>
          <w:lang w:val="en-US" w:eastAsia="zh-CN" w:bidi="ar-SA"/>
        </w:rPr>
        <w:t>全力推动</w:t>
      </w:r>
      <w:r>
        <w:rPr>
          <w:rFonts w:hint="eastAsia" w:ascii="Times New Roman" w:hAnsi="Times New Roman" w:eastAsia="仿宋_GB2312" w:cs="Times New Roman"/>
          <w:color w:val="auto"/>
          <w:kern w:val="2"/>
          <w:sz w:val="32"/>
          <w:szCs w:val="32"/>
          <w:lang w:val="en-US" w:eastAsia="zh-CN" w:bidi="ar-SA"/>
        </w:rPr>
        <w:t>区内重点工业</w:t>
      </w:r>
      <w:r>
        <w:rPr>
          <w:rFonts w:hint="default" w:ascii="Times New Roman" w:hAnsi="Times New Roman" w:eastAsia="仿宋_GB2312" w:cs="Times New Roman"/>
          <w:color w:val="auto"/>
          <w:kern w:val="2"/>
          <w:sz w:val="32"/>
          <w:szCs w:val="32"/>
          <w:lang w:val="en-US" w:eastAsia="zh-CN" w:bidi="ar-SA"/>
        </w:rPr>
        <w:t>项目建设，</w:t>
      </w:r>
      <w:r>
        <w:rPr>
          <w:rFonts w:hint="eastAsia" w:ascii="Times New Roman" w:hAnsi="Times New Roman" w:eastAsia="仿宋_GB2312" w:cs="Times New Roman"/>
          <w:color w:val="auto"/>
          <w:kern w:val="2"/>
          <w:sz w:val="32"/>
          <w:szCs w:val="32"/>
          <w:lang w:val="en-US" w:eastAsia="zh-CN" w:bidi="ar-SA"/>
        </w:rPr>
        <w:t>尽早</w:t>
      </w:r>
      <w:r>
        <w:rPr>
          <w:rFonts w:hint="default" w:ascii="Times New Roman" w:hAnsi="Times New Roman" w:eastAsia="仿宋_GB2312" w:cs="Times New Roman"/>
          <w:color w:val="auto"/>
          <w:kern w:val="2"/>
          <w:sz w:val="32"/>
          <w:szCs w:val="32"/>
          <w:lang w:val="en-US" w:eastAsia="zh-CN" w:bidi="ar-SA"/>
        </w:rPr>
        <w:t>形成投资实物量</w:t>
      </w:r>
      <w:r>
        <w:rPr>
          <w:rFonts w:hint="eastAsia" w:ascii="Times New Roman" w:hAnsi="Times New Roman" w:eastAsia="仿宋_GB2312" w:cs="Times New Roman"/>
          <w:color w:val="auto"/>
          <w:kern w:val="2"/>
          <w:sz w:val="32"/>
          <w:szCs w:val="32"/>
          <w:lang w:val="en-US" w:eastAsia="zh-CN" w:bidi="ar-SA"/>
        </w:rPr>
        <w:t>，项目主要用于支持2024年4月1日至2024年9月30日期间，规上工业企业竣工投产且新增产值2000万元以上的省重点工业和技术改造项目。</w:t>
      </w:r>
    </w:p>
    <w:p w14:paraId="055CE99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bookmarkStart w:id="128" w:name="OLE_LINK42"/>
      <w:bookmarkStart w:id="129" w:name="OLE_LINK43"/>
      <w:r>
        <w:rPr>
          <w:rFonts w:hint="default" w:ascii="Times New Roman" w:hAnsi="Times New Roman" w:eastAsia="仿宋_GB2312" w:cs="Times New Roman"/>
          <w:color w:val="auto"/>
          <w:kern w:val="2"/>
          <w:sz w:val="32"/>
          <w:szCs w:val="32"/>
          <w:lang w:val="en-US" w:eastAsia="zh-CN" w:bidi="ar-SA"/>
        </w:rPr>
        <w:t>根据</w:t>
      </w:r>
      <w:bookmarkStart w:id="130" w:name="OLE_LINK41"/>
      <w:r>
        <w:rPr>
          <w:rFonts w:hint="default" w:ascii="Times New Roman" w:hAnsi="Times New Roman" w:eastAsia="仿宋_GB2312" w:cs="Times New Roman"/>
          <w:color w:val="auto"/>
          <w:kern w:val="2"/>
          <w:sz w:val="32"/>
          <w:szCs w:val="32"/>
          <w:lang w:val="en-US" w:eastAsia="zh-CN" w:bidi="ar-SA"/>
        </w:rPr>
        <w:t>省</w:t>
      </w:r>
      <w:bookmarkStart w:id="131" w:name="OLE_LINK16"/>
      <w:r>
        <w:rPr>
          <w:rFonts w:hint="default" w:ascii="Times New Roman" w:hAnsi="Times New Roman" w:eastAsia="仿宋_GB2312" w:cs="Times New Roman"/>
          <w:color w:val="auto"/>
          <w:kern w:val="2"/>
          <w:sz w:val="32"/>
          <w:szCs w:val="32"/>
          <w:lang w:val="en-US" w:eastAsia="zh-CN" w:bidi="ar-SA"/>
        </w:rPr>
        <w:t>财政</w:t>
      </w:r>
      <w:bookmarkEnd w:id="131"/>
      <w:r>
        <w:rPr>
          <w:rFonts w:hint="default" w:ascii="Times New Roman" w:hAnsi="Times New Roman" w:eastAsia="仿宋_GB2312" w:cs="Times New Roman"/>
          <w:color w:val="auto"/>
          <w:kern w:val="2"/>
          <w:sz w:val="32"/>
          <w:szCs w:val="32"/>
          <w:lang w:val="en-US" w:eastAsia="zh-CN" w:bidi="ar-SA"/>
        </w:rPr>
        <w:t>厅</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省</w:t>
      </w:r>
      <w:r>
        <w:rPr>
          <w:rFonts w:hint="eastAsia" w:ascii="Times New Roman" w:hAnsi="Times New Roman" w:eastAsia="仿宋_GB2312" w:cs="Times New Roman"/>
          <w:color w:val="auto"/>
          <w:kern w:val="2"/>
          <w:sz w:val="32"/>
          <w:szCs w:val="32"/>
          <w:lang w:val="en-US" w:eastAsia="zh-CN" w:bidi="ar-SA"/>
        </w:rPr>
        <w:t>经信</w:t>
      </w:r>
      <w:r>
        <w:rPr>
          <w:rFonts w:hint="default" w:ascii="Times New Roman" w:hAnsi="Times New Roman" w:eastAsia="仿宋_GB2312" w:cs="Times New Roman"/>
          <w:color w:val="auto"/>
          <w:kern w:val="2"/>
          <w:sz w:val="32"/>
          <w:szCs w:val="32"/>
          <w:lang w:val="en-US" w:eastAsia="zh-CN" w:bidi="ar-SA"/>
        </w:rPr>
        <w:t>厅《关于下</w:t>
      </w:r>
      <w:r>
        <w:rPr>
          <w:rFonts w:hint="eastAsia" w:ascii="Times New Roman" w:hAnsi="Times New Roman" w:eastAsia="仿宋_GB2312" w:cs="Times New Roman"/>
          <w:color w:val="auto"/>
          <w:kern w:val="2"/>
          <w:sz w:val="32"/>
          <w:szCs w:val="32"/>
          <w:lang w:val="en-US" w:eastAsia="zh-CN" w:bidi="ar-SA"/>
        </w:rPr>
        <w:t>达</w:t>
      </w:r>
      <w:r>
        <w:rPr>
          <w:rFonts w:hint="default" w:ascii="Times New Roman" w:hAnsi="Times New Roman" w:eastAsia="仿宋_GB2312" w:cs="Times New Roman"/>
          <w:color w:val="auto"/>
          <w:kern w:val="2"/>
          <w:sz w:val="32"/>
          <w:szCs w:val="32"/>
          <w:lang w:val="en-US" w:eastAsia="zh-CN" w:bidi="ar-SA"/>
        </w:rPr>
        <w:t>2024年第五批省级工业发展专项资金的通知》</w:t>
      </w:r>
      <w:bookmarkStart w:id="132" w:name="OLE_LINK17"/>
      <w:r>
        <w:rPr>
          <w:rFonts w:hint="eastAsia" w:ascii="Times New Roman" w:hAnsi="Times New Roman" w:eastAsia="仿宋_GB2312" w:cs="Times New Roman"/>
          <w:color w:val="auto"/>
          <w:kern w:val="2"/>
          <w:sz w:val="32"/>
          <w:szCs w:val="32"/>
          <w:lang w:val="en-US" w:eastAsia="zh-CN" w:bidi="ar-SA"/>
        </w:rPr>
        <w:t>（</w:t>
      </w:r>
      <w:bookmarkEnd w:id="132"/>
      <w:r>
        <w:rPr>
          <w:rFonts w:hint="default" w:ascii="Times New Roman" w:hAnsi="Times New Roman" w:eastAsia="仿宋_GB2312" w:cs="Times New Roman"/>
          <w:color w:val="auto"/>
          <w:kern w:val="2"/>
          <w:sz w:val="32"/>
          <w:szCs w:val="32"/>
          <w:lang w:val="en-US" w:eastAsia="zh-CN" w:bidi="ar-SA"/>
        </w:rPr>
        <w:t>川财建〔2024</w:t>
      </w:r>
      <w:bookmarkStart w:id="133" w:name="OLE_LINK5"/>
      <w:r>
        <w:rPr>
          <w:rFonts w:hint="default" w:ascii="Times New Roman" w:hAnsi="Times New Roman" w:eastAsia="仿宋_GB2312" w:cs="Times New Roman"/>
          <w:color w:val="auto"/>
          <w:kern w:val="2"/>
          <w:sz w:val="32"/>
          <w:szCs w:val="32"/>
          <w:lang w:val="en-US" w:eastAsia="zh-CN" w:bidi="ar-SA"/>
        </w:rPr>
        <w:t>〕</w:t>
      </w:r>
      <w:bookmarkEnd w:id="133"/>
      <w:r>
        <w:rPr>
          <w:rFonts w:hint="default" w:ascii="Times New Roman" w:hAnsi="Times New Roman" w:eastAsia="仿宋_GB2312" w:cs="Times New Roman"/>
          <w:color w:val="auto"/>
          <w:kern w:val="2"/>
          <w:sz w:val="32"/>
          <w:szCs w:val="32"/>
          <w:lang w:val="en-US" w:eastAsia="zh-CN" w:bidi="ar-SA"/>
        </w:rPr>
        <w:t>323号</w:t>
      </w:r>
      <w:bookmarkStart w:id="134" w:name="OLE_LINK18"/>
      <w:r>
        <w:rPr>
          <w:rFonts w:hint="eastAsia" w:ascii="Times New Roman" w:hAnsi="Times New Roman" w:eastAsia="仿宋_GB2312" w:cs="Times New Roman"/>
          <w:color w:val="auto"/>
          <w:kern w:val="2"/>
          <w:sz w:val="32"/>
          <w:szCs w:val="32"/>
          <w:lang w:val="en-US" w:eastAsia="zh-CN" w:bidi="ar-SA"/>
        </w:rPr>
        <w:t>）</w:t>
      </w:r>
      <w:bookmarkEnd w:id="134"/>
      <w:r>
        <w:rPr>
          <w:rFonts w:hint="default" w:ascii="Times New Roman" w:hAnsi="Times New Roman" w:eastAsia="仿宋_GB2312" w:cs="Times New Roman"/>
          <w:color w:val="auto"/>
          <w:kern w:val="2"/>
          <w:sz w:val="32"/>
          <w:szCs w:val="32"/>
          <w:lang w:val="en-US" w:eastAsia="zh-CN" w:bidi="ar-SA"/>
        </w:rPr>
        <w:t>和市财政</w:t>
      </w:r>
      <w:r>
        <w:rPr>
          <w:rFonts w:hint="eastAsia" w:ascii="Times New Roman" w:hAnsi="Times New Roman" w:eastAsia="仿宋_GB2312" w:cs="Times New Roman"/>
          <w:color w:val="auto"/>
          <w:kern w:val="2"/>
          <w:sz w:val="32"/>
          <w:szCs w:val="32"/>
          <w:lang w:val="en-US" w:eastAsia="zh-CN" w:bidi="ar-SA"/>
        </w:rPr>
        <w:t>局、</w:t>
      </w:r>
      <w:r>
        <w:rPr>
          <w:rFonts w:hint="default" w:ascii="Times New Roman" w:hAnsi="Times New Roman" w:eastAsia="仿宋_GB2312" w:cs="Times New Roman"/>
          <w:color w:val="auto"/>
          <w:kern w:val="2"/>
          <w:sz w:val="32"/>
          <w:szCs w:val="32"/>
          <w:lang w:val="en-US" w:eastAsia="zh-CN" w:bidi="ar-SA"/>
        </w:rPr>
        <w:t>市经信局《关于下达2024年第五批省级工业发展专项资金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戴帽部分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的通知》遂财建〔2024〕209号文件要求，</w:t>
      </w:r>
      <w:r>
        <w:rPr>
          <w:rFonts w:hint="eastAsia" w:ascii="Times New Roman" w:hAnsi="Times New Roman" w:eastAsia="仿宋_GB2312" w:cs="Times New Roman"/>
          <w:color w:val="auto"/>
          <w:kern w:val="2"/>
          <w:sz w:val="32"/>
          <w:szCs w:val="32"/>
          <w:lang w:val="en-US" w:eastAsia="zh-CN" w:bidi="ar-SA"/>
        </w:rPr>
        <w:t>项目资金均</w:t>
      </w:r>
      <w:r>
        <w:rPr>
          <w:rFonts w:hint="default" w:ascii="Times New Roman" w:hAnsi="Times New Roman" w:eastAsia="仿宋_GB2312" w:cs="Times New Roman"/>
          <w:color w:val="auto"/>
          <w:kern w:val="2"/>
          <w:sz w:val="32"/>
          <w:szCs w:val="32"/>
          <w:lang w:val="en-US" w:eastAsia="zh-CN" w:bidi="ar-SA"/>
        </w:rPr>
        <w:t>属于带帽资金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不</w:t>
      </w:r>
      <w:r>
        <w:rPr>
          <w:rFonts w:hint="eastAsia" w:eastAsia="仿宋_GB2312" w:cs="Times New Roman"/>
          <w:color w:val="auto"/>
          <w:kern w:val="2"/>
          <w:sz w:val="32"/>
          <w:szCs w:val="32"/>
          <w:lang w:val="en-US" w:eastAsia="zh-CN" w:bidi="ar-SA"/>
        </w:rPr>
        <w:t>涉及</w:t>
      </w:r>
      <w:r>
        <w:rPr>
          <w:rFonts w:hint="eastAsia" w:ascii="Times New Roman" w:hAnsi="Times New Roman" w:eastAsia="仿宋_GB2312" w:cs="Times New Roman"/>
          <w:color w:val="auto"/>
          <w:kern w:val="2"/>
          <w:sz w:val="32"/>
          <w:szCs w:val="32"/>
          <w:lang w:val="en-US" w:eastAsia="zh-CN" w:bidi="ar-SA"/>
        </w:rPr>
        <w:t>预算安排及分配管理</w:t>
      </w:r>
      <w:bookmarkEnd w:id="128"/>
      <w:r>
        <w:rPr>
          <w:rFonts w:hint="default" w:ascii="Times New Roman" w:hAnsi="Times New Roman" w:eastAsia="仿宋_GB2312" w:cs="Times New Roman"/>
          <w:color w:val="auto"/>
          <w:kern w:val="2"/>
          <w:sz w:val="32"/>
          <w:szCs w:val="32"/>
          <w:lang w:val="en-US" w:eastAsia="zh-CN" w:bidi="ar-SA"/>
        </w:rPr>
        <w:t>。</w:t>
      </w:r>
      <w:bookmarkEnd w:id="129"/>
      <w:bookmarkEnd w:id="130"/>
    </w:p>
    <w:bookmarkEnd w:id="124"/>
    <w:p w14:paraId="5286241A">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eastAsia="zh-CN"/>
        </w:rPr>
        <w:t>（四）</w:t>
      </w:r>
      <w:bookmarkStart w:id="135" w:name="OLE_LINK20"/>
      <w:r>
        <w:rPr>
          <w:rFonts w:hint="default" w:ascii="Times New Roman" w:hAnsi="Times New Roman" w:eastAsia="楷体_GB2312" w:cs="Times New Roman"/>
          <w:b/>
          <w:color w:val="auto"/>
          <w:sz w:val="32"/>
          <w:szCs w:val="32"/>
          <w:highlight w:val="none"/>
          <w:u w:val="none"/>
          <w:lang w:val="zh-CN" w:eastAsia="zh-CN"/>
        </w:rPr>
        <w:t>项目</w:t>
      </w:r>
      <w:bookmarkStart w:id="136" w:name="OLE_LINK23"/>
      <w:r>
        <w:rPr>
          <w:rFonts w:hint="default" w:ascii="Times New Roman" w:hAnsi="Times New Roman" w:eastAsia="楷体_GB2312" w:cs="Times New Roman"/>
          <w:b/>
          <w:color w:val="auto"/>
          <w:sz w:val="32"/>
          <w:szCs w:val="32"/>
          <w:highlight w:val="none"/>
          <w:u w:val="none"/>
          <w:lang w:val="zh-CN" w:eastAsia="zh-CN"/>
        </w:rPr>
        <w:t>绩效目标</w:t>
      </w:r>
      <w:bookmarkEnd w:id="136"/>
      <w:r>
        <w:rPr>
          <w:rFonts w:hint="default" w:ascii="Times New Roman" w:hAnsi="Times New Roman" w:eastAsia="楷体_GB2312" w:cs="Times New Roman"/>
          <w:b/>
          <w:color w:val="auto"/>
          <w:sz w:val="32"/>
          <w:szCs w:val="32"/>
          <w:highlight w:val="none"/>
          <w:u w:val="none"/>
          <w:lang w:val="zh-CN" w:eastAsia="zh-CN"/>
        </w:rPr>
        <w:t>设置</w:t>
      </w:r>
      <w:bookmarkEnd w:id="135"/>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color w:val="auto"/>
          <w:kern w:val="2"/>
          <w:sz w:val="32"/>
          <w:szCs w:val="32"/>
          <w:lang w:val="zh-CN" w:eastAsia="zh-CN" w:bidi="ar-SA"/>
        </w:rPr>
        <w:t>项目整体、区域和具体绩效目标设置情况，项目自评工作开展情况。</w:t>
      </w:r>
      <w:bookmarkStart w:id="137" w:name="OLE_LINK57"/>
      <w:r>
        <w:rPr>
          <w:rFonts w:hint="default" w:ascii="Times New Roman" w:hAnsi="Times New Roman" w:eastAsia="仿宋_GB2312" w:cs="Times New Roman"/>
          <w:color w:val="auto"/>
          <w:kern w:val="2"/>
          <w:sz w:val="32"/>
          <w:szCs w:val="32"/>
          <w:lang w:val="en-US" w:eastAsia="zh-CN" w:bidi="ar-SA"/>
        </w:rPr>
        <w:t>一是“智改数转”项目方面。</w:t>
      </w:r>
      <w:bookmarkEnd w:id="137"/>
      <w:bookmarkStart w:id="138" w:name="OLE_LINK22"/>
      <w:bookmarkStart w:id="139" w:name="OLE_LINK25"/>
      <w:bookmarkStart w:id="140" w:name="OLE_LINK75"/>
      <w:r>
        <w:rPr>
          <w:rFonts w:hint="eastAsia" w:ascii="Times New Roman" w:hAnsi="Times New Roman" w:eastAsia="仿宋_GB2312" w:cs="Times New Roman"/>
          <w:color w:val="auto"/>
          <w:kern w:val="2"/>
          <w:sz w:val="32"/>
          <w:szCs w:val="32"/>
          <w:lang w:val="en-US" w:eastAsia="zh-CN" w:bidi="ar-SA"/>
        </w:rPr>
        <w:t>项目整体目标</w:t>
      </w:r>
      <w:bookmarkEnd w:id="138"/>
      <w:r>
        <w:rPr>
          <w:rFonts w:hint="eastAsia" w:ascii="Times New Roman" w:hAnsi="Times New Roman" w:eastAsia="仿宋_GB2312" w:cs="Times New Roman"/>
          <w:color w:val="auto"/>
          <w:kern w:val="2"/>
          <w:sz w:val="32"/>
          <w:szCs w:val="32"/>
          <w:lang w:val="en-US" w:eastAsia="zh-CN" w:bidi="ar-SA"/>
        </w:rPr>
        <w:t>为</w:t>
      </w:r>
      <w:bookmarkEnd w:id="139"/>
      <w:r>
        <w:rPr>
          <w:rFonts w:hint="eastAsia" w:ascii="Times New Roman" w:hAnsi="Times New Roman" w:eastAsia="仿宋_GB2312" w:cs="Times New Roman"/>
          <w:color w:val="auto"/>
          <w:kern w:val="2"/>
          <w:sz w:val="32"/>
          <w:szCs w:val="32"/>
          <w:lang w:val="en-US" w:eastAsia="zh-CN" w:bidi="ar-SA"/>
        </w:rPr>
        <w:t>围绕“降本增效、提质扩绿”目标，</w:t>
      </w:r>
      <w:bookmarkStart w:id="141" w:name="OLE_LINK77"/>
      <w:r>
        <w:rPr>
          <w:rFonts w:hint="eastAsia" w:ascii="Times New Roman" w:hAnsi="Times New Roman" w:eastAsia="仿宋_GB2312" w:cs="Times New Roman"/>
          <w:color w:val="auto"/>
          <w:kern w:val="2"/>
          <w:sz w:val="32"/>
          <w:szCs w:val="32"/>
          <w:lang w:val="en-US" w:eastAsia="zh-CN" w:bidi="ar-SA"/>
        </w:rPr>
        <w:t>推动产业升级、效率提升</w:t>
      </w:r>
      <w:bookmarkEnd w:id="141"/>
      <w:r>
        <w:rPr>
          <w:rFonts w:hint="eastAsia" w:ascii="Times New Roman" w:hAnsi="Times New Roman" w:eastAsia="仿宋_GB2312" w:cs="Times New Roman"/>
          <w:color w:val="auto"/>
          <w:kern w:val="2"/>
          <w:sz w:val="32"/>
          <w:szCs w:val="32"/>
          <w:lang w:val="en-US" w:eastAsia="zh-CN" w:bidi="ar-SA"/>
        </w:rPr>
        <w:t>。项目区域目标设置为项目实施后，全区制造业“智改数转”进程排位全市前列；项目</w:t>
      </w:r>
      <w:r>
        <w:rPr>
          <w:rFonts w:hint="default" w:ascii="Times New Roman" w:hAnsi="Times New Roman" w:eastAsia="仿宋_GB2312" w:cs="Times New Roman"/>
          <w:color w:val="auto"/>
          <w:kern w:val="2"/>
          <w:sz w:val="32"/>
          <w:szCs w:val="32"/>
          <w:lang w:val="zh-CN" w:eastAsia="zh-CN" w:bidi="ar-SA"/>
        </w:rPr>
        <w:t>具体绩效目标</w:t>
      </w:r>
      <w:r>
        <w:rPr>
          <w:rFonts w:hint="eastAsia" w:ascii="Times New Roman" w:hAnsi="Times New Roman" w:eastAsia="仿宋_GB2312" w:cs="Times New Roman"/>
          <w:color w:val="auto"/>
          <w:kern w:val="2"/>
          <w:sz w:val="32"/>
          <w:szCs w:val="32"/>
          <w:lang w:val="en-US" w:eastAsia="zh-CN" w:bidi="ar-SA"/>
        </w:rPr>
        <w:t>设置为2024年完成“智改数转”规上企业线上评估诊断全覆盖，完成线下评估诊断30家以上</w:t>
      </w:r>
      <w:bookmarkEnd w:id="140"/>
      <w:r>
        <w:rPr>
          <w:rFonts w:hint="eastAsia" w:ascii="Times New Roman" w:hAnsi="Times New Roman" w:eastAsia="仿宋_GB2312" w:cs="Times New Roman"/>
          <w:color w:val="auto"/>
          <w:kern w:val="2"/>
          <w:sz w:val="32"/>
          <w:szCs w:val="32"/>
          <w:lang w:val="en-US" w:eastAsia="zh-CN" w:bidi="ar-SA"/>
        </w:rPr>
        <w:t>。</w:t>
      </w:r>
      <w:bookmarkStart w:id="142" w:name="OLE_LINK27"/>
      <w:r>
        <w:rPr>
          <w:rFonts w:hint="default" w:ascii="Times New Roman" w:hAnsi="Times New Roman" w:eastAsia="仿宋_GB2312" w:cs="Times New Roman"/>
          <w:color w:val="auto"/>
          <w:kern w:val="2"/>
          <w:sz w:val="32"/>
          <w:szCs w:val="32"/>
          <w:lang w:val="en-US" w:eastAsia="zh-CN" w:bidi="ar-SA"/>
        </w:rPr>
        <w:t>二是“竣工投产激励项目”方面</w:t>
      </w:r>
      <w:bookmarkEnd w:id="142"/>
      <w:r>
        <w:rPr>
          <w:rFonts w:hint="default" w:ascii="Times New Roman" w:hAnsi="Times New Roman" w:eastAsia="仿宋_GB2312" w:cs="Times New Roman"/>
          <w:color w:val="auto"/>
          <w:kern w:val="2"/>
          <w:sz w:val="32"/>
          <w:szCs w:val="32"/>
          <w:lang w:val="en-US" w:eastAsia="zh-CN" w:bidi="ar-SA"/>
        </w:rPr>
        <w:t>。</w:t>
      </w:r>
      <w:bookmarkStart w:id="143" w:name="OLE_LINK24"/>
      <w:r>
        <w:rPr>
          <w:rFonts w:hint="eastAsia" w:ascii="Times New Roman" w:hAnsi="Times New Roman" w:eastAsia="仿宋_GB2312" w:cs="Times New Roman"/>
          <w:color w:val="auto"/>
          <w:kern w:val="2"/>
          <w:sz w:val="32"/>
          <w:szCs w:val="32"/>
          <w:lang w:val="en-US" w:eastAsia="zh-CN" w:bidi="ar-SA"/>
        </w:rPr>
        <w:t>项目整体目标设置为</w:t>
      </w:r>
      <w:bookmarkEnd w:id="143"/>
      <w:r>
        <w:rPr>
          <w:rFonts w:hint="eastAsia" w:ascii="Times New Roman" w:hAnsi="Times New Roman" w:eastAsia="仿宋_GB2312" w:cs="Times New Roman"/>
          <w:color w:val="auto"/>
          <w:kern w:val="2"/>
          <w:sz w:val="32"/>
          <w:szCs w:val="32"/>
          <w:lang w:val="en-US" w:eastAsia="zh-CN" w:bidi="ar-SA"/>
        </w:rPr>
        <w:t>通过引进先进生产设备、使用高自动化的生产流程、优化生产工艺、加强技术创新等措施，提高锂产品的产量与质量，降低生产成本，提升公司的市场份额和盈利能力，在产能和产品质量水平上均达到公司预期规划。</w:t>
      </w:r>
      <w:bookmarkStart w:id="144" w:name="OLE_LINK55"/>
      <w:r>
        <w:rPr>
          <w:rFonts w:hint="eastAsia" w:ascii="Times New Roman" w:hAnsi="Times New Roman" w:eastAsia="仿宋_GB2312" w:cs="Times New Roman"/>
          <w:color w:val="auto"/>
          <w:kern w:val="2"/>
          <w:sz w:val="32"/>
          <w:szCs w:val="32"/>
          <w:lang w:val="en-US" w:eastAsia="zh-CN" w:bidi="ar-SA"/>
        </w:rPr>
        <w:t>项目区域目标设置为</w:t>
      </w:r>
      <w:bookmarkEnd w:id="144"/>
      <w:bookmarkStart w:id="145" w:name="OLE_LINK26"/>
      <w:r>
        <w:rPr>
          <w:rFonts w:hint="eastAsia" w:ascii="Times New Roman" w:hAnsi="Times New Roman" w:eastAsia="仿宋_GB2312" w:cs="Times New Roman"/>
          <w:color w:val="auto"/>
          <w:kern w:val="2"/>
          <w:sz w:val="32"/>
          <w:szCs w:val="32"/>
          <w:lang w:val="en-US" w:eastAsia="zh-CN" w:bidi="ar-SA"/>
        </w:rPr>
        <w:t>扩大优质客户群，进一步扩大公司的锂盐加工产能，增强公司盈利能力和利润增长的稳定性</w:t>
      </w:r>
      <w:bookmarkEnd w:id="145"/>
      <w:r>
        <w:rPr>
          <w:rFonts w:hint="eastAsia" w:ascii="Times New Roman" w:hAnsi="Times New Roman" w:eastAsia="仿宋_GB2312" w:cs="Times New Roman"/>
          <w:color w:val="auto"/>
          <w:kern w:val="2"/>
          <w:sz w:val="32"/>
          <w:szCs w:val="32"/>
          <w:lang w:val="en-US" w:eastAsia="zh-CN" w:bidi="ar-SA"/>
        </w:rPr>
        <w:t>，带动区域相关产业链发展，为安居区经济增长做出贡献。</w:t>
      </w:r>
      <w:bookmarkStart w:id="146" w:name="OLE_LINK56"/>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zh-CN" w:eastAsia="zh-CN" w:bidi="ar-SA"/>
        </w:rPr>
        <w:t>具体绩效目标</w:t>
      </w:r>
      <w:r>
        <w:rPr>
          <w:rFonts w:hint="eastAsia" w:ascii="Times New Roman" w:hAnsi="Times New Roman" w:eastAsia="仿宋_GB2312" w:cs="Times New Roman"/>
          <w:color w:val="auto"/>
          <w:kern w:val="2"/>
          <w:sz w:val="32"/>
          <w:szCs w:val="32"/>
          <w:lang w:val="en-US" w:eastAsia="zh-CN" w:bidi="ar-SA"/>
        </w:rPr>
        <w:t>设置为</w:t>
      </w:r>
      <w:bookmarkEnd w:id="146"/>
      <w:r>
        <w:rPr>
          <w:rFonts w:hint="eastAsia" w:ascii="Times New Roman" w:hAnsi="Times New Roman" w:eastAsia="仿宋_GB2312" w:cs="Times New Roman"/>
          <w:color w:val="auto"/>
          <w:kern w:val="2"/>
          <w:sz w:val="32"/>
          <w:szCs w:val="32"/>
          <w:lang w:val="en-US" w:eastAsia="zh-CN" w:bidi="ar-SA"/>
        </w:rPr>
        <w:t>2个阶段，第一阶段为基础建设阶段，</w:t>
      </w:r>
      <w:bookmarkStart w:id="147" w:name="OLE_LINK28"/>
      <w:r>
        <w:rPr>
          <w:rFonts w:hint="eastAsia" w:ascii="Times New Roman" w:hAnsi="Times New Roman" w:eastAsia="仿宋_GB2312" w:cs="Times New Roman"/>
          <w:color w:val="auto"/>
          <w:kern w:val="2"/>
          <w:sz w:val="32"/>
          <w:szCs w:val="32"/>
          <w:lang w:val="en-US" w:eastAsia="zh-CN" w:bidi="ar-SA"/>
        </w:rPr>
        <w:t>目标为2024年09月</w:t>
      </w:r>
      <w:bookmarkEnd w:id="147"/>
      <w:r>
        <w:rPr>
          <w:rFonts w:hint="eastAsia" w:ascii="Times New Roman" w:hAnsi="Times New Roman" w:eastAsia="仿宋_GB2312" w:cs="Times New Roman"/>
          <w:color w:val="auto"/>
          <w:kern w:val="2"/>
          <w:sz w:val="32"/>
          <w:szCs w:val="32"/>
          <w:lang w:val="en-US" w:eastAsia="zh-CN" w:bidi="ar-SA"/>
        </w:rPr>
        <w:t>前完成项目竣工所需手续，项目正式竣工；第二阶段为投产运营阶段，目标为通过引进先进生产设备、使用高自动化的生产流程、优化生产工艺、加强技术创新等措施，提高锂产品的产量与质量，降低生产成本，提升公司的市场份额和盈利能力，在产能和产品质量水平上均达到公司预期规划。项目现已完成自评报告初稿。</w:t>
      </w:r>
    </w:p>
    <w:p w14:paraId="576266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4198E8CD">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（一）评价目的。</w:t>
      </w:r>
      <w:bookmarkStart w:id="148" w:name="OLE_LINK58"/>
      <w:bookmarkStart w:id="149" w:name="OLE_LINK29"/>
      <w:r>
        <w:rPr>
          <w:rFonts w:hint="default" w:ascii="Times New Roman" w:hAnsi="Times New Roman" w:eastAsia="仿宋_GB2312" w:cs="Times New Roman"/>
          <w:color w:val="auto"/>
          <w:kern w:val="2"/>
          <w:sz w:val="32"/>
          <w:szCs w:val="32"/>
          <w:lang w:val="en-US" w:eastAsia="zh-CN" w:bidi="ar-SA"/>
        </w:rPr>
        <w:t>一是“智改数转”项目方面。</w:t>
      </w:r>
      <w:bookmarkEnd w:id="148"/>
      <w:r>
        <w:rPr>
          <w:rFonts w:hint="eastAsia" w:ascii="Times New Roman" w:hAnsi="Times New Roman" w:eastAsia="仿宋_GB2312" w:cs="Times New Roman"/>
          <w:color w:val="auto"/>
          <w:kern w:val="2"/>
          <w:sz w:val="32"/>
          <w:szCs w:val="32"/>
          <w:lang w:val="en-US" w:eastAsia="zh-CN" w:bidi="ar-SA"/>
        </w:rPr>
        <w:t>旨在</w:t>
      </w:r>
      <w:r>
        <w:rPr>
          <w:rFonts w:hint="default" w:ascii="Times New Roman" w:hAnsi="Times New Roman" w:eastAsia="仿宋_GB2312" w:cs="Times New Roman"/>
          <w:color w:val="auto"/>
          <w:kern w:val="2"/>
          <w:sz w:val="32"/>
          <w:szCs w:val="32"/>
          <w:lang w:val="en-US" w:eastAsia="zh-CN" w:bidi="ar-SA"/>
        </w:rPr>
        <w:t>加快</w:t>
      </w:r>
      <w:r>
        <w:rPr>
          <w:rFonts w:hint="eastAsia" w:ascii="Times New Roman" w:hAnsi="Times New Roman" w:eastAsia="仿宋_GB2312" w:cs="Times New Roman"/>
          <w:color w:val="auto"/>
          <w:kern w:val="2"/>
          <w:sz w:val="32"/>
          <w:szCs w:val="32"/>
          <w:lang w:val="en-US" w:eastAsia="zh-CN" w:bidi="ar-SA"/>
        </w:rPr>
        <w:t>全区制造业</w:t>
      </w:r>
      <w:r>
        <w:rPr>
          <w:rFonts w:hint="default" w:ascii="Times New Roman" w:hAnsi="Times New Roman" w:eastAsia="仿宋_GB2312" w:cs="Times New Roman"/>
          <w:color w:val="auto"/>
          <w:kern w:val="2"/>
          <w:sz w:val="32"/>
          <w:szCs w:val="32"/>
          <w:lang w:val="en-US" w:eastAsia="zh-CN" w:bidi="ar-SA"/>
        </w:rPr>
        <w:t>“智改数转”</w:t>
      </w:r>
      <w:r>
        <w:rPr>
          <w:rFonts w:hint="eastAsia" w:ascii="Times New Roman" w:hAnsi="Times New Roman" w:eastAsia="仿宋_GB2312" w:cs="Times New Roman"/>
          <w:color w:val="auto"/>
          <w:kern w:val="2"/>
          <w:sz w:val="32"/>
          <w:szCs w:val="32"/>
          <w:lang w:val="en-US" w:eastAsia="zh-CN" w:bidi="ar-SA"/>
        </w:rPr>
        <w:t>行动步伐</w:t>
      </w:r>
      <w:r>
        <w:rPr>
          <w:rFonts w:hint="default" w:ascii="Times New Roman" w:hAnsi="Times New Roman" w:eastAsia="仿宋_GB2312" w:cs="Times New Roman"/>
          <w:color w:val="auto"/>
          <w:kern w:val="2"/>
          <w:sz w:val="32"/>
          <w:szCs w:val="32"/>
          <w:lang w:val="en-US" w:eastAsia="zh-CN" w:bidi="ar-SA"/>
        </w:rPr>
        <w:t>，推动</w:t>
      </w:r>
      <w:r>
        <w:rPr>
          <w:rFonts w:hint="eastAsia" w:ascii="Times New Roman" w:hAnsi="Times New Roman" w:eastAsia="仿宋_GB2312" w:cs="Times New Roman"/>
          <w:color w:val="auto"/>
          <w:kern w:val="2"/>
          <w:sz w:val="32"/>
          <w:szCs w:val="32"/>
          <w:lang w:val="en-US" w:eastAsia="zh-CN" w:bidi="ar-SA"/>
        </w:rPr>
        <w:t>企业</w:t>
      </w:r>
      <w:r>
        <w:rPr>
          <w:rFonts w:hint="default" w:ascii="Times New Roman" w:hAnsi="Times New Roman" w:eastAsia="仿宋_GB2312" w:cs="Times New Roman"/>
          <w:color w:val="auto"/>
          <w:kern w:val="2"/>
          <w:sz w:val="32"/>
          <w:szCs w:val="32"/>
          <w:lang w:val="en-US" w:eastAsia="zh-CN" w:bidi="ar-SA"/>
        </w:rPr>
        <w:t>业务数字化、流程一体化、数据可视化、管理精细化、决策智能化，提高生产效率、降低运营成本、提升产品质量，不断增强企业科技创新能力和核心竞争力，加快实现量增质升、做优做强。二是“竣工投产激励项目”方面</w:t>
      </w:r>
      <w:r>
        <w:rPr>
          <w:rFonts w:hint="eastAsia" w:ascii="Times New Roman" w:hAnsi="Times New Roman" w:eastAsia="仿宋_GB2312" w:cs="Times New Roman"/>
          <w:color w:val="auto"/>
          <w:kern w:val="2"/>
          <w:sz w:val="32"/>
          <w:szCs w:val="32"/>
          <w:lang w:val="en-US" w:eastAsia="zh-CN" w:bidi="ar-SA"/>
        </w:rPr>
        <w:t>。</w:t>
      </w:r>
      <w:bookmarkEnd w:id="149"/>
      <w:r>
        <w:rPr>
          <w:rFonts w:hint="eastAsia" w:ascii="Times New Roman" w:hAnsi="Times New Roman" w:eastAsia="仿宋_GB2312" w:cs="Times New Roman"/>
          <w:color w:val="auto"/>
          <w:kern w:val="2"/>
          <w:sz w:val="32"/>
          <w:szCs w:val="32"/>
          <w:lang w:val="en-US" w:eastAsia="zh-CN" w:bidi="ar-SA"/>
        </w:rPr>
        <w:t>旨在通过引进先进生产设备、使用高自动化的生产流程、优化生产工艺、加强技术创新等措施，深入推进智改数转，提高锂产品的产量与质量，降低生产能耗，提高单位生产产值，提升公司的市场份额和盈利能力。同时，通过项目实施与专项目标等方式，履行社会责任，带动相关产业高质量发展，为安居区实现经济社会发展全面绿色转型赋能。</w:t>
      </w:r>
    </w:p>
    <w:p w14:paraId="2CCC9D62">
      <w:pPr>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color w:val="auto"/>
          <w:kern w:val="2"/>
          <w:sz w:val="32"/>
          <w:szCs w:val="32"/>
          <w:lang w:val="en-US" w:eastAsia="zh-CN" w:bidi="ar-SA"/>
        </w:rPr>
        <w:t>一是“智改数转”项目方面。</w:t>
      </w:r>
      <w:r>
        <w:rPr>
          <w:rFonts w:hint="eastAsia" w:ascii="Times New Roman" w:hAnsi="Times New Roman" w:eastAsia="仿宋_GB2312" w:cs="Times New Roman"/>
          <w:color w:val="auto"/>
          <w:kern w:val="2"/>
          <w:sz w:val="32"/>
          <w:szCs w:val="32"/>
          <w:lang w:val="en-US" w:eastAsia="zh-CN" w:bidi="ar-SA"/>
        </w:rPr>
        <w:t>确保申报的4367万元切块资金额度与项目的实际资金缺口、预期的支出计划相匹配，避免出现预算虚高或预算不合理的情况。</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Start w:id="150" w:name="OLE_LINK62"/>
      <w:r>
        <w:rPr>
          <w:rFonts w:hint="eastAsia" w:ascii="Times New Roman" w:hAnsi="Times New Roman" w:eastAsia="仿宋_GB2312" w:cs="Times New Roman"/>
          <w:color w:val="auto"/>
          <w:kern w:val="2"/>
          <w:sz w:val="32"/>
          <w:szCs w:val="32"/>
          <w:lang w:val="en-US" w:eastAsia="zh-CN" w:bidi="ar-SA"/>
        </w:rPr>
        <w:t>确保申报的1000万元专项资金额度与项目的实际资金缺口、预期的支出计划相匹配，避免出现预算虚高或预算不合理的情况。</w:t>
      </w:r>
      <w:bookmarkEnd w:id="150"/>
      <w:r>
        <w:rPr>
          <w:rFonts w:hint="eastAsia" w:ascii="Times New Roman" w:hAnsi="Times New Roman" w:eastAsia="仿宋_GB2312" w:cs="Times New Roman"/>
          <w:color w:val="auto"/>
          <w:kern w:val="2"/>
          <w:sz w:val="32"/>
          <w:szCs w:val="32"/>
          <w:lang w:val="en-US" w:eastAsia="zh-CN" w:bidi="ar-SA"/>
        </w:rPr>
        <w:t>在专项资金获批前，提前制定合理的资金使用规划，明确资金将重点投入的项目环节、支出类别等，保障资金使用有序且符合项目发展需求。</w:t>
      </w:r>
    </w:p>
    <w:p w14:paraId="12D341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（三）评价选点。</w:t>
      </w:r>
      <w:r>
        <w:rPr>
          <w:rFonts w:hint="eastAsia" w:ascii="Times New Roman" w:hAnsi="Times New Roman" w:eastAsia="楷体_GB2312" w:cs="Times New Roman"/>
          <w:b/>
          <w:color w:val="auto"/>
          <w:sz w:val="32"/>
          <w:szCs w:val="32"/>
          <w:highlight w:val="none"/>
          <w:u w:val="none"/>
          <w:lang w:val="en-US" w:eastAsia="zh-CN"/>
        </w:rPr>
        <w:t>无。</w:t>
      </w:r>
    </w:p>
    <w:p w14:paraId="25F64553">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bookmarkStart w:id="151" w:name="OLE_LINK60"/>
      <w:bookmarkStart w:id="152" w:name="OLE_LINK31"/>
      <w:r>
        <w:rPr>
          <w:rFonts w:hint="default" w:ascii="Times New Roman" w:hAnsi="Times New Roman" w:eastAsia="仿宋_GB2312" w:cs="Times New Roman"/>
          <w:color w:val="auto"/>
          <w:kern w:val="2"/>
          <w:sz w:val="32"/>
          <w:szCs w:val="32"/>
          <w:lang w:val="en-US" w:eastAsia="zh-CN" w:bidi="ar-SA"/>
        </w:rPr>
        <w:t>一是“智改数转”项目方面。</w:t>
      </w:r>
      <w:bookmarkEnd w:id="151"/>
      <w:r>
        <w:rPr>
          <w:rFonts w:hint="eastAsia" w:ascii="Times New Roman" w:hAnsi="Times New Roman" w:eastAsia="仿宋_GB2312" w:cs="Times New Roman"/>
          <w:color w:val="auto"/>
          <w:kern w:val="2"/>
          <w:sz w:val="32"/>
          <w:szCs w:val="32"/>
          <w:lang w:val="en-US" w:eastAsia="zh-CN" w:bidi="ar-SA"/>
        </w:rPr>
        <w:t>采用</w:t>
      </w:r>
      <w:r>
        <w:rPr>
          <w:rFonts w:hint="default" w:ascii="Times New Roman" w:hAnsi="Times New Roman" w:eastAsia="仿宋_GB2312" w:cs="Times New Roman"/>
          <w:color w:val="auto"/>
          <w:kern w:val="2"/>
          <w:sz w:val="32"/>
          <w:szCs w:val="32"/>
          <w:lang w:val="en-US" w:eastAsia="zh-CN" w:bidi="ar-SA"/>
        </w:rPr>
        <w:t>单位自评法</w:t>
      </w:r>
      <w:r>
        <w:rPr>
          <w:rFonts w:hint="eastAsia" w:ascii="Times New Roman" w:hAnsi="Times New Roman" w:eastAsia="仿宋_GB2312" w:cs="Times New Roman"/>
          <w:color w:val="auto"/>
          <w:kern w:val="2"/>
          <w:sz w:val="32"/>
          <w:szCs w:val="32"/>
          <w:lang w:val="en-US" w:eastAsia="zh-CN" w:bidi="ar-SA"/>
        </w:rPr>
        <w:t>，由市经信局统一组织专家开展现场核查。</w:t>
      </w:r>
      <w:bookmarkStart w:id="153" w:name="OLE_LINK61"/>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52"/>
      <w:bookmarkEnd w:id="153"/>
    </w:p>
    <w:p w14:paraId="73CA2F9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color w:val="auto"/>
          <w:kern w:val="2"/>
          <w:sz w:val="32"/>
          <w:szCs w:val="32"/>
          <w:lang w:val="en-US" w:eastAsia="zh-CN" w:bidi="ar-SA"/>
        </w:rPr>
        <w:t>一是“智改数转”项目方面。</w:t>
      </w:r>
      <w:r>
        <w:rPr>
          <w:rFonts w:hint="eastAsia" w:ascii="Times New Roman" w:hAnsi="Times New Roman" w:eastAsia="仿宋_GB2312" w:cs="Times New Roman"/>
          <w:color w:val="auto"/>
          <w:kern w:val="2"/>
          <w:sz w:val="32"/>
          <w:szCs w:val="32"/>
          <w:lang w:val="en-US" w:eastAsia="zh-CN" w:bidi="ar-SA"/>
        </w:rPr>
        <w:t>市经信局统一组织开展，我局相关负责同志通知及项目负责人到场参与了核查及评价。</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Start w:id="154" w:name="OLE_LINK32"/>
      <w:r>
        <w:rPr>
          <w:rFonts w:hint="eastAsia" w:ascii="Times New Roman" w:hAnsi="Times New Roman" w:eastAsia="仿宋_GB2312" w:cs="Times New Roman"/>
          <w:color w:val="auto"/>
          <w:kern w:val="2"/>
          <w:sz w:val="32"/>
          <w:szCs w:val="32"/>
          <w:lang w:val="en-US" w:eastAsia="zh-CN" w:bidi="ar-SA"/>
        </w:rPr>
        <w:t>由</w:t>
      </w:r>
      <w:bookmarkStart w:id="155" w:name="OLE_LINK63"/>
      <w:r>
        <w:rPr>
          <w:rFonts w:hint="eastAsia" w:ascii="Times New Roman" w:hAnsi="Times New Roman" w:eastAsia="仿宋_GB2312" w:cs="Times New Roman"/>
          <w:color w:val="auto"/>
          <w:kern w:val="2"/>
          <w:sz w:val="32"/>
          <w:szCs w:val="32"/>
          <w:lang w:val="en-US" w:eastAsia="zh-CN" w:bidi="ar-SA"/>
        </w:rPr>
        <w:t>市经信局统一组织开展</w:t>
      </w:r>
      <w:bookmarkEnd w:id="154"/>
      <w:r>
        <w:rPr>
          <w:rFonts w:hint="eastAsia" w:ascii="Times New Roman" w:hAnsi="Times New Roman" w:eastAsia="仿宋_GB2312" w:cs="Times New Roman"/>
          <w:color w:val="auto"/>
          <w:kern w:val="2"/>
          <w:sz w:val="32"/>
          <w:szCs w:val="32"/>
          <w:lang w:val="en-US" w:eastAsia="zh-CN" w:bidi="ar-SA"/>
        </w:rPr>
        <w:t>，我局主要负责通知及项目负责人到场参与了核查及评价。</w:t>
      </w:r>
    </w:p>
    <w:bookmarkEnd w:id="155"/>
    <w:p w14:paraId="7110AB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274F34F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1AB5E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color w:val="auto"/>
          <w:kern w:val="2"/>
          <w:sz w:val="32"/>
          <w:szCs w:val="32"/>
          <w:lang w:val="en-US" w:eastAsia="zh-CN" w:bidi="ar-SA"/>
        </w:rPr>
      </w:pPr>
      <w:bookmarkStart w:id="156" w:name="OLE_LINK44"/>
      <w:r>
        <w:rPr>
          <w:rFonts w:hint="default" w:ascii="Times New Roman" w:hAnsi="Times New Roman" w:eastAsia="楷体_GB2312" w:cs="Times New Roman"/>
          <w:color w:val="auto"/>
          <w:sz w:val="32"/>
          <w:szCs w:val="32"/>
          <w:lang w:val="en-US" w:eastAsia="zh-CN"/>
        </w:rPr>
        <w:t>1.</w:t>
      </w:r>
      <w:bookmarkEnd w:id="156"/>
      <w:r>
        <w:rPr>
          <w:rFonts w:hint="default" w:ascii="Times New Roman" w:hAnsi="Times New Roman" w:eastAsia="楷体_GB2312" w:cs="Times New Roman"/>
          <w:color w:val="auto"/>
          <w:sz w:val="32"/>
          <w:szCs w:val="32"/>
          <w:lang w:eastAsia="zh-CN"/>
        </w:rPr>
        <w:t>项目决策。</w:t>
      </w:r>
      <w:bookmarkStart w:id="157" w:name="OLE_LINK30"/>
      <w:bookmarkStart w:id="158" w:name="OLE_LINK45"/>
      <w:r>
        <w:rPr>
          <w:rFonts w:hint="default" w:ascii="Times New Roman" w:hAnsi="Times New Roman" w:eastAsia="仿宋_GB2312" w:cs="Times New Roman"/>
          <w:color w:val="auto"/>
          <w:kern w:val="2"/>
          <w:sz w:val="32"/>
          <w:szCs w:val="32"/>
          <w:lang w:val="en-US" w:eastAsia="zh-CN" w:bidi="ar-SA"/>
        </w:rPr>
        <w:t>一是“智改数转”项目方面。</w:t>
      </w:r>
      <w:bookmarkEnd w:id="157"/>
      <w:r>
        <w:rPr>
          <w:rFonts w:hint="eastAsia" w:ascii="Times New Roman" w:hAnsi="Times New Roman" w:eastAsia="仿宋_GB2312" w:cs="Times New Roman"/>
          <w:color w:val="auto"/>
          <w:kern w:val="2"/>
          <w:sz w:val="32"/>
          <w:szCs w:val="32"/>
          <w:lang w:val="en-US" w:eastAsia="zh-CN" w:bidi="ar-SA"/>
        </w:rPr>
        <w:t>根据省经信厅</w:t>
      </w:r>
      <w:r>
        <w:rPr>
          <w:rFonts w:hint="default" w:ascii="Times New Roman" w:hAnsi="Times New Roman" w:eastAsia="仿宋_GB2312" w:cs="Times New Roman"/>
          <w:color w:val="auto"/>
          <w:kern w:val="2"/>
          <w:sz w:val="32"/>
          <w:szCs w:val="32"/>
          <w:lang w:val="en-US" w:eastAsia="zh-CN" w:bidi="ar-SA"/>
        </w:rPr>
        <w:t>《关于做好2024年制造业智能化改造数字化转型项目（切块资金项目）入库工作的通知》（川经信办函〔2024〕130号）要求</w:t>
      </w:r>
      <w:r>
        <w:rPr>
          <w:rFonts w:hint="eastAsia" w:ascii="Times New Roman" w:hAnsi="Times New Roman" w:eastAsia="仿宋_GB2312" w:cs="Times New Roman"/>
          <w:color w:val="auto"/>
          <w:kern w:val="2"/>
          <w:sz w:val="32"/>
          <w:szCs w:val="32"/>
          <w:lang w:val="en-US" w:eastAsia="zh-CN" w:bidi="ar-SA"/>
        </w:rPr>
        <w:t>，资金投向符合文件要求。</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58"/>
      <w:r>
        <w:rPr>
          <w:rFonts w:hint="default" w:ascii="Times New Roman" w:hAnsi="Times New Roman" w:eastAsia="仿宋_GB2312" w:cs="Times New Roman"/>
          <w:color w:val="auto"/>
          <w:kern w:val="2"/>
          <w:sz w:val="32"/>
          <w:szCs w:val="32"/>
          <w:lang w:val="en-US" w:eastAsia="zh-CN" w:bidi="ar-SA"/>
        </w:rPr>
        <w:t>遂宁天齐锂业有限公司年产2万吨碳酸锂工厂项目</w:t>
      </w:r>
      <w:r>
        <w:rPr>
          <w:rFonts w:hint="eastAsia" w:ascii="Times New Roman" w:hAnsi="Times New Roman" w:eastAsia="仿宋_GB2312" w:cs="Times New Roman"/>
          <w:color w:val="auto"/>
          <w:kern w:val="2"/>
          <w:sz w:val="32"/>
          <w:szCs w:val="32"/>
          <w:lang w:val="en-US" w:eastAsia="zh-CN" w:bidi="ar-SA"/>
        </w:rPr>
        <w:t>依托国家</w:t>
      </w:r>
      <w:r>
        <w:rPr>
          <w:rFonts w:hint="eastAsia" w:ascii="Times New Roman" w:hAnsi="Times New Roman" w:eastAsia="仿宋_GB2312" w:cs="Times New Roman"/>
          <w:color w:val="auto"/>
          <w:kern w:val="2"/>
          <w:sz w:val="32"/>
          <w:szCs w:val="32"/>
          <w:lang w:val="zh-CN" w:eastAsia="zh-CN" w:bidi="ar-SA"/>
        </w:rPr>
        <w:t>《“十四五”新型储能发展实施方案》</w:t>
      </w:r>
      <w:r>
        <w:rPr>
          <w:rFonts w:hint="eastAsia" w:ascii="Times New Roman" w:hAnsi="Times New Roman" w:eastAsia="仿宋_GB2312" w:cs="Times New Roman"/>
          <w:color w:val="auto"/>
          <w:kern w:val="2"/>
          <w:sz w:val="32"/>
          <w:szCs w:val="32"/>
          <w:lang w:val="en-US" w:eastAsia="zh-CN" w:bidi="ar-SA"/>
        </w:rPr>
        <w:t>等相关政策，聚焦新能源、新材料等关键领域，依据遂宁市打造“锂电之都”与促进社会经济发展绿色转型相关计划进行项目决策。项目规划与项目目标设立符合当地政府政策要求，聚焦成德眉遂锂电产业先进制造业集群与促进成渝经济圈建设重点领域，符合相关指标要求。</w:t>
      </w:r>
    </w:p>
    <w:p w14:paraId="1C6EDA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auto"/>
          <w:kern w:val="2"/>
          <w:sz w:val="32"/>
          <w:szCs w:val="32"/>
          <w:lang w:val="en-US" w:eastAsia="zh-CN" w:bidi="ar-SA"/>
        </w:rPr>
      </w:pPr>
      <w:bookmarkStart w:id="159" w:name="OLE_LINK39"/>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bookmarkStart w:id="160" w:name="OLE_LINK68"/>
      <w:r>
        <w:rPr>
          <w:rFonts w:hint="default" w:ascii="Times New Roman" w:hAnsi="Times New Roman" w:eastAsia="仿宋_GB2312" w:cs="Times New Roman"/>
          <w:color w:val="auto"/>
          <w:kern w:val="2"/>
          <w:sz w:val="32"/>
          <w:szCs w:val="32"/>
          <w:lang w:val="en-US" w:eastAsia="zh-CN" w:bidi="ar-SA"/>
        </w:rPr>
        <w:t>一是“智改数转”项目方面。</w:t>
      </w:r>
      <w:bookmarkEnd w:id="160"/>
      <w:r>
        <w:rPr>
          <w:rFonts w:hint="eastAsia" w:ascii="Times New Roman" w:hAnsi="Times New Roman" w:eastAsia="仿宋_GB2312" w:cs="Times New Roman"/>
          <w:color w:val="auto"/>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省财政厅</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省</w:t>
      </w:r>
      <w:r>
        <w:rPr>
          <w:rFonts w:hint="eastAsia" w:ascii="Times New Roman" w:hAnsi="Times New Roman" w:eastAsia="仿宋_GB2312" w:cs="Times New Roman"/>
          <w:color w:val="auto"/>
          <w:kern w:val="2"/>
          <w:sz w:val="32"/>
          <w:szCs w:val="32"/>
          <w:lang w:val="en-US" w:eastAsia="zh-CN" w:bidi="ar-SA"/>
        </w:rPr>
        <w:t>经信</w:t>
      </w:r>
      <w:r>
        <w:rPr>
          <w:rFonts w:hint="default" w:ascii="Times New Roman" w:hAnsi="Times New Roman" w:eastAsia="仿宋_GB2312" w:cs="Times New Roman"/>
          <w:color w:val="auto"/>
          <w:kern w:val="2"/>
          <w:sz w:val="32"/>
          <w:szCs w:val="32"/>
          <w:lang w:val="en-US" w:eastAsia="zh-CN" w:bidi="ar-SA"/>
        </w:rPr>
        <w:t>厅</w:t>
      </w:r>
      <w:bookmarkStart w:id="161" w:name="OLE_LINK65"/>
      <w:r>
        <w:rPr>
          <w:rFonts w:hint="default" w:ascii="Times New Roman" w:hAnsi="Times New Roman" w:eastAsia="仿宋_GB2312" w:cs="Times New Roman"/>
          <w:color w:val="auto"/>
          <w:kern w:val="2"/>
          <w:sz w:val="32"/>
          <w:szCs w:val="32"/>
          <w:lang w:val="en-US" w:eastAsia="zh-CN" w:bidi="ar-SA"/>
        </w:rPr>
        <w:t>《</w:t>
      </w:r>
      <w:bookmarkEnd w:id="161"/>
      <w:r>
        <w:rPr>
          <w:rFonts w:hint="default" w:ascii="Times New Roman" w:hAnsi="Times New Roman" w:eastAsia="仿宋_GB2312" w:cs="Times New Roman"/>
          <w:color w:val="auto"/>
          <w:kern w:val="2"/>
          <w:sz w:val="32"/>
          <w:szCs w:val="32"/>
          <w:lang w:val="en-US" w:eastAsia="zh-CN" w:bidi="ar-SA"/>
        </w:rPr>
        <w:t>关于下达 2024年第</w:t>
      </w: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批省级工业发展专项资金的通知》《关于下达 2024年第</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批省级工业发展专项资金的通知》</w:t>
      </w:r>
      <w:bookmarkStart w:id="162" w:name="OLE_LINK47"/>
      <w:r>
        <w:rPr>
          <w:rFonts w:hint="default" w:ascii="Times New Roman" w:hAnsi="Times New Roman" w:eastAsia="仿宋_GB2312" w:cs="Times New Roman"/>
          <w:color w:val="auto"/>
          <w:kern w:val="2"/>
          <w:sz w:val="32"/>
          <w:szCs w:val="32"/>
          <w:lang w:val="en-US" w:eastAsia="zh-CN" w:bidi="ar-SA"/>
        </w:rPr>
        <w:t>文件要求</w:t>
      </w:r>
      <w:r>
        <w:rPr>
          <w:rFonts w:hint="eastAsia" w:ascii="Times New Roman" w:hAnsi="Times New Roman" w:eastAsia="仿宋_GB2312" w:cs="Times New Roman"/>
          <w:color w:val="auto"/>
          <w:kern w:val="2"/>
          <w:sz w:val="32"/>
          <w:szCs w:val="32"/>
          <w:lang w:val="en-US" w:eastAsia="zh-CN" w:bidi="ar-SA"/>
        </w:rPr>
        <w:t>，我局成立项目管理领导小组，对资金的使用规划和执行情况进行管理，明确了资金使用流程和审批权限，通过定期绩效监控机制实现对资金分配，项目落实情况进行了有效管理，确保资金专款专用、发挥最大效益。</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62"/>
      <w:bookmarkStart w:id="163" w:name="OLE_LINK59"/>
      <w:r>
        <w:rPr>
          <w:rFonts w:hint="eastAsia" w:ascii="Times New Roman" w:hAnsi="Times New Roman" w:eastAsia="仿宋_GB2312" w:cs="Times New Roman"/>
          <w:color w:val="auto"/>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省财政厅</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省</w:t>
      </w:r>
      <w:r>
        <w:rPr>
          <w:rFonts w:hint="eastAsia" w:ascii="Times New Roman" w:hAnsi="Times New Roman" w:eastAsia="仿宋_GB2312" w:cs="Times New Roman"/>
          <w:color w:val="auto"/>
          <w:kern w:val="2"/>
          <w:sz w:val="32"/>
          <w:szCs w:val="32"/>
          <w:lang w:val="en-US" w:eastAsia="zh-CN" w:bidi="ar-SA"/>
        </w:rPr>
        <w:t>经信</w:t>
      </w:r>
      <w:r>
        <w:rPr>
          <w:rFonts w:hint="default" w:ascii="Times New Roman" w:hAnsi="Times New Roman" w:eastAsia="仿宋_GB2312" w:cs="Times New Roman"/>
          <w:color w:val="auto"/>
          <w:kern w:val="2"/>
          <w:sz w:val="32"/>
          <w:szCs w:val="32"/>
          <w:lang w:val="en-US" w:eastAsia="zh-CN" w:bidi="ar-SA"/>
        </w:rPr>
        <w:t>厅《关于下达 2024年第五批省级工业发展专项资金的通知》</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川财建〔2024〕323号</w:t>
      </w:r>
      <w:r>
        <w:rPr>
          <w:rFonts w:hint="eastAsia" w:ascii="Times New Roman" w:hAnsi="Times New Roman" w:eastAsia="仿宋_GB2312" w:cs="Times New Roman"/>
          <w:color w:val="auto"/>
          <w:kern w:val="2"/>
          <w:sz w:val="32"/>
          <w:szCs w:val="32"/>
          <w:lang w:val="en-US" w:eastAsia="zh-CN" w:bidi="ar-SA"/>
        </w:rPr>
        <w:t>）</w:t>
      </w:r>
      <w:bookmarkEnd w:id="163"/>
      <w:r>
        <w:rPr>
          <w:rFonts w:hint="default" w:ascii="Times New Roman" w:hAnsi="Times New Roman" w:eastAsia="仿宋_GB2312" w:cs="Times New Roman"/>
          <w:color w:val="auto"/>
          <w:kern w:val="2"/>
          <w:sz w:val="32"/>
          <w:szCs w:val="32"/>
          <w:lang w:val="en-US" w:eastAsia="zh-CN" w:bidi="ar-SA"/>
        </w:rPr>
        <w:t>和</w:t>
      </w:r>
      <w:bookmarkStart w:id="164" w:name="OLE_LINK48"/>
      <w:r>
        <w:rPr>
          <w:rFonts w:hint="default" w:ascii="Times New Roman" w:hAnsi="Times New Roman" w:eastAsia="仿宋_GB2312" w:cs="Times New Roman"/>
          <w:color w:val="auto"/>
          <w:kern w:val="2"/>
          <w:sz w:val="32"/>
          <w:szCs w:val="32"/>
          <w:lang w:val="en-US" w:eastAsia="zh-CN" w:bidi="ar-SA"/>
        </w:rPr>
        <w:t>市财政</w:t>
      </w:r>
      <w:r>
        <w:rPr>
          <w:rFonts w:hint="eastAsia" w:ascii="Times New Roman" w:hAnsi="Times New Roman" w:eastAsia="仿宋_GB2312" w:cs="Times New Roman"/>
          <w:color w:val="auto"/>
          <w:kern w:val="2"/>
          <w:sz w:val="32"/>
          <w:szCs w:val="32"/>
          <w:lang w:val="en-US" w:eastAsia="zh-CN" w:bidi="ar-SA"/>
        </w:rPr>
        <w:t>局、</w:t>
      </w:r>
      <w:r>
        <w:rPr>
          <w:rFonts w:hint="default" w:ascii="Times New Roman" w:hAnsi="Times New Roman" w:eastAsia="仿宋_GB2312" w:cs="Times New Roman"/>
          <w:color w:val="auto"/>
          <w:kern w:val="2"/>
          <w:sz w:val="32"/>
          <w:szCs w:val="32"/>
          <w:lang w:val="en-US" w:eastAsia="zh-CN" w:bidi="ar-SA"/>
        </w:rPr>
        <w:t>市经信局《关于下达2024年第五批省级工业发展专项资金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戴帽部分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的通知》遂财建〔2024〕209号</w:t>
      </w:r>
      <w:bookmarkStart w:id="165" w:name="OLE_LINK66"/>
      <w:r>
        <w:rPr>
          <w:rFonts w:hint="default" w:ascii="Times New Roman" w:hAnsi="Times New Roman" w:eastAsia="仿宋_GB2312" w:cs="Times New Roman"/>
          <w:color w:val="auto"/>
          <w:kern w:val="2"/>
          <w:sz w:val="32"/>
          <w:szCs w:val="32"/>
          <w:lang w:val="en-US" w:eastAsia="zh-CN" w:bidi="ar-SA"/>
        </w:rPr>
        <w:t>文件要求</w:t>
      </w:r>
      <w:bookmarkEnd w:id="164"/>
      <w:bookmarkEnd w:id="165"/>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我局成立了项目管理领导小组，并指导</w:t>
      </w:r>
      <w:r>
        <w:rPr>
          <w:rFonts w:hint="default" w:ascii="Times New Roman" w:hAnsi="Times New Roman" w:eastAsia="仿宋_GB2312" w:cs="Times New Roman"/>
          <w:color w:val="auto"/>
          <w:kern w:val="2"/>
          <w:sz w:val="32"/>
          <w:szCs w:val="32"/>
          <w:lang w:val="en-US" w:eastAsia="zh-CN" w:bidi="ar-SA"/>
        </w:rPr>
        <w:t>遂宁天齐锂业有限公司</w:t>
      </w:r>
      <w:r>
        <w:rPr>
          <w:rFonts w:hint="eastAsia" w:ascii="Times New Roman" w:hAnsi="Times New Roman" w:eastAsia="仿宋_GB2312" w:cs="Times New Roman"/>
          <w:color w:val="auto"/>
          <w:kern w:val="2"/>
          <w:sz w:val="32"/>
          <w:szCs w:val="32"/>
          <w:lang w:val="en-US" w:eastAsia="zh-CN" w:bidi="ar-SA"/>
        </w:rPr>
        <w:t>依据项目生产实际情况与各部门职能分工，制定了《竣工投产激励资金专项管理办法》，</w:t>
      </w:r>
      <w:bookmarkStart w:id="166" w:name="OLE_LINK67"/>
      <w:r>
        <w:rPr>
          <w:rFonts w:hint="eastAsia" w:ascii="Times New Roman" w:hAnsi="Times New Roman" w:eastAsia="仿宋_GB2312" w:cs="Times New Roman"/>
          <w:color w:val="auto"/>
          <w:kern w:val="2"/>
          <w:sz w:val="32"/>
          <w:szCs w:val="32"/>
          <w:lang w:val="en-US" w:eastAsia="zh-CN" w:bidi="ar-SA"/>
        </w:rPr>
        <w:t>对资金的使用规划和执行情况进行管理，明确了资金使用流程和审批权限，通过定期绩效监控机制实现对资金分配，项目落实情况进行了有效管理，确保资金专款专用、发挥最大效益</w:t>
      </w:r>
      <w:bookmarkEnd w:id="166"/>
      <w:r>
        <w:rPr>
          <w:rFonts w:hint="eastAsia" w:ascii="Times New Roman" w:hAnsi="Times New Roman" w:eastAsia="仿宋_GB2312" w:cs="Times New Roman"/>
          <w:color w:val="auto"/>
          <w:kern w:val="2"/>
          <w:sz w:val="32"/>
          <w:szCs w:val="32"/>
          <w:lang w:val="en-US" w:eastAsia="zh-CN" w:bidi="ar-SA"/>
        </w:rPr>
        <w:t>，助力项目顺利推进以及安居区经济的持续发展。</w:t>
      </w:r>
    </w:p>
    <w:p w14:paraId="6AD55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bookmarkStart w:id="167" w:name="OLE_LINK34"/>
      <w:r>
        <w:rPr>
          <w:rFonts w:hint="default" w:ascii="Times New Roman" w:hAnsi="Times New Roman" w:eastAsia="楷体_GB2312" w:cs="Times New Roman"/>
          <w:color w:val="auto"/>
          <w:sz w:val="32"/>
          <w:szCs w:val="32"/>
          <w:lang w:val="en-US" w:eastAsia="zh-CN"/>
        </w:rPr>
        <w:t>3.项目实施。</w:t>
      </w:r>
      <w:bookmarkStart w:id="168" w:name="OLE_LINK72"/>
      <w:bookmarkStart w:id="169" w:name="OLE_LINK49"/>
      <w:r>
        <w:rPr>
          <w:rFonts w:hint="default" w:ascii="Times New Roman" w:hAnsi="Times New Roman" w:eastAsia="仿宋_GB2312" w:cs="Times New Roman"/>
          <w:color w:val="auto"/>
          <w:kern w:val="2"/>
          <w:sz w:val="32"/>
          <w:szCs w:val="32"/>
          <w:lang w:val="en-US" w:eastAsia="zh-CN" w:bidi="ar-SA"/>
        </w:rPr>
        <w:t>一是“智改数转”项目方面。</w:t>
      </w:r>
      <w:bookmarkEnd w:id="168"/>
      <w:r>
        <w:rPr>
          <w:rFonts w:hint="eastAsia" w:ascii="Times New Roman" w:hAnsi="Times New Roman" w:eastAsia="仿宋_GB2312" w:cs="Times New Roman"/>
          <w:color w:val="auto"/>
          <w:kern w:val="2"/>
          <w:sz w:val="32"/>
          <w:szCs w:val="32"/>
          <w:lang w:val="en-US" w:eastAsia="zh-CN" w:bidi="ar-SA"/>
        </w:rPr>
        <w:t>按照遂宁市安居区出台的项目绩效评价相关要求，我局积极组织四川裕宁、四川坤天等6家企业，从项目概况、项目实施及管理情况、项目效益情况等方面严格进行管理，切实推进项目取得成效。</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69"/>
      <w:bookmarkStart w:id="170" w:name="OLE_LINK70"/>
      <w:r>
        <w:rPr>
          <w:rFonts w:hint="default" w:ascii="Times New Roman" w:hAnsi="Times New Roman" w:eastAsia="仿宋_GB2312" w:cs="Times New Roman"/>
          <w:color w:val="auto"/>
          <w:kern w:val="2"/>
          <w:sz w:val="32"/>
          <w:szCs w:val="32"/>
          <w:lang w:val="en-US" w:eastAsia="zh-CN" w:bidi="ar-SA"/>
        </w:rPr>
        <w:t>项目资金使用合规，</w:t>
      </w:r>
      <w:bookmarkStart w:id="171" w:name="OLE_LINK69"/>
      <w:r>
        <w:rPr>
          <w:rFonts w:hint="default" w:ascii="Times New Roman" w:hAnsi="Times New Roman" w:eastAsia="仿宋_GB2312" w:cs="Times New Roman"/>
          <w:color w:val="auto"/>
          <w:kern w:val="2"/>
          <w:sz w:val="32"/>
          <w:szCs w:val="32"/>
          <w:lang w:val="en-US" w:eastAsia="zh-CN" w:bidi="ar-SA"/>
        </w:rPr>
        <w:t>依据计划制定的产出指标、效益指标、满意度指标与成本指标四项一级指标相关内容，进行预算执行。</w:t>
      </w:r>
      <w:bookmarkEnd w:id="170"/>
      <w:bookmarkEnd w:id="171"/>
      <w:bookmarkStart w:id="172" w:name="OLE_LINK71"/>
      <w:r>
        <w:rPr>
          <w:rFonts w:hint="default" w:ascii="Times New Roman" w:hAnsi="Times New Roman" w:eastAsia="仿宋_GB2312" w:cs="Times New Roman"/>
          <w:color w:val="auto"/>
          <w:kern w:val="2"/>
          <w:sz w:val="32"/>
          <w:szCs w:val="32"/>
          <w:lang w:val="en-US" w:eastAsia="zh-CN" w:bidi="ar-SA"/>
        </w:rPr>
        <w:t>在项目实施过程中</w:t>
      </w:r>
      <w:bookmarkEnd w:id="172"/>
      <w:r>
        <w:rPr>
          <w:rFonts w:hint="default" w:ascii="Times New Roman" w:hAnsi="Times New Roman" w:eastAsia="仿宋_GB2312" w:cs="Times New Roman"/>
          <w:color w:val="auto"/>
          <w:kern w:val="2"/>
          <w:sz w:val="32"/>
          <w:szCs w:val="32"/>
          <w:lang w:val="en-US" w:eastAsia="zh-CN" w:bidi="ar-SA"/>
        </w:rPr>
        <w:t>，项目实现了既定目标年产两万吨碳酸锂，综合能耗较项目节能验收要求降低1000tce；产品质量方面，通过投入专项研发资金，实现了产品质量升级，碳酸锂产品质量质量纯度由99.3%提升至99.6%，实现了由工业级碳酸锂产品到电池级碳酸锂的生产工艺突破；综合污染物排放、人均产出等相关指标，均在项目资金的支持下按计划有序实施。</w:t>
      </w:r>
    </w:p>
    <w:p w14:paraId="75B5C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4.项目结果。</w:t>
      </w:r>
      <w:bookmarkStart w:id="173" w:name="OLE_LINK73"/>
      <w:r>
        <w:rPr>
          <w:rFonts w:hint="default" w:ascii="Times New Roman" w:hAnsi="Times New Roman" w:eastAsia="仿宋_GB2312" w:cs="Times New Roman"/>
          <w:color w:val="auto"/>
          <w:kern w:val="2"/>
          <w:sz w:val="32"/>
          <w:szCs w:val="32"/>
          <w:lang w:val="en-US" w:eastAsia="zh-CN" w:bidi="ar-SA"/>
        </w:rPr>
        <w:t>一是“智改数转”项目方面。</w:t>
      </w:r>
      <w:bookmarkEnd w:id="173"/>
      <w:bookmarkStart w:id="174" w:name="OLE_LINK81"/>
      <w:bookmarkStart w:id="175" w:name="OLE_LINK50"/>
      <w:r>
        <w:rPr>
          <w:rFonts w:hint="default" w:ascii="Times New Roman" w:hAnsi="Times New Roman" w:eastAsia="仿宋_GB2312" w:cs="Times New Roman"/>
          <w:color w:val="auto"/>
          <w:kern w:val="2"/>
          <w:sz w:val="32"/>
          <w:szCs w:val="32"/>
          <w:lang w:val="en-US" w:eastAsia="zh-CN" w:bidi="ar-SA"/>
        </w:rPr>
        <w:t>四川坤天年产5万吨锂电池负极材料智能化车间建设项目、</w:t>
      </w:r>
      <w:bookmarkStart w:id="176" w:name="OLE_LINK79"/>
      <w:r>
        <w:rPr>
          <w:rFonts w:hint="default" w:ascii="Times New Roman" w:hAnsi="Times New Roman" w:eastAsia="仿宋_GB2312" w:cs="Times New Roman"/>
          <w:color w:val="auto"/>
          <w:kern w:val="2"/>
          <w:sz w:val="32"/>
          <w:szCs w:val="32"/>
          <w:lang w:val="en-US" w:eastAsia="zh-CN" w:bidi="ar-SA"/>
        </w:rPr>
        <w:t>四川裕宁铵法技术改造项目</w:t>
      </w:r>
      <w:bookmarkEnd w:id="176"/>
      <w:r>
        <w:rPr>
          <w:rFonts w:hint="default" w:ascii="Times New Roman" w:hAnsi="Times New Roman" w:eastAsia="仿宋_GB2312" w:cs="Times New Roman"/>
          <w:color w:val="auto"/>
          <w:kern w:val="2"/>
          <w:sz w:val="32"/>
          <w:szCs w:val="32"/>
          <w:lang w:val="en-US" w:eastAsia="zh-CN" w:bidi="ar-SA"/>
        </w:rPr>
        <w:t>、</w:t>
      </w:r>
      <w:bookmarkStart w:id="177" w:name="OLE_LINK80"/>
      <w:r>
        <w:rPr>
          <w:rFonts w:hint="default" w:ascii="Times New Roman" w:hAnsi="Times New Roman" w:eastAsia="仿宋_GB2312" w:cs="Times New Roman"/>
          <w:color w:val="auto"/>
          <w:kern w:val="2"/>
          <w:sz w:val="32"/>
          <w:szCs w:val="32"/>
          <w:lang w:val="en-US" w:eastAsia="zh-CN" w:bidi="ar-SA"/>
        </w:rPr>
        <w:t>四川阿宁年产16300吨卤制肉制品及副产品智能化加工生产线建设项目</w:t>
      </w:r>
      <w:bookmarkEnd w:id="177"/>
      <w:r>
        <w:rPr>
          <w:rFonts w:hint="default" w:ascii="Times New Roman" w:hAnsi="Times New Roman" w:eastAsia="仿宋_GB2312" w:cs="Times New Roman"/>
          <w:color w:val="auto"/>
          <w:kern w:val="2"/>
          <w:sz w:val="32"/>
          <w:szCs w:val="32"/>
          <w:lang w:val="en-US" w:eastAsia="zh-CN" w:bidi="ar-SA"/>
        </w:rPr>
        <w:t>、遂宁源晗遂宁安居园区配套扩建氮气项目、遂宁拓普数字经济融合发展项目、遂宁伯特利汽车零部件装配和机加项目-数字化车间改造项目</w:t>
      </w:r>
      <w:bookmarkEnd w:id="174"/>
      <w:r>
        <w:rPr>
          <w:rFonts w:hint="default" w:ascii="Times New Roman" w:hAnsi="Times New Roman" w:eastAsia="仿宋_GB2312" w:cs="Times New Roman"/>
          <w:color w:val="auto"/>
          <w:kern w:val="2"/>
          <w:sz w:val="32"/>
          <w:szCs w:val="32"/>
          <w:lang w:val="en-US" w:eastAsia="zh-CN" w:bidi="ar-SA"/>
        </w:rPr>
        <w:t>等6个项目均已竣工投产，2024年项目实现产值</w:t>
      </w:r>
      <w:r>
        <w:rPr>
          <w:rFonts w:hint="eastAsia" w:ascii="Times New Roman" w:hAnsi="Times New Roman" w:eastAsia="仿宋_GB2312" w:cs="Times New Roman"/>
          <w:color w:val="auto"/>
          <w:kern w:val="2"/>
          <w:sz w:val="32"/>
          <w:szCs w:val="32"/>
          <w:lang w:val="en-US" w:eastAsia="zh-CN" w:bidi="ar-SA"/>
        </w:rPr>
        <w:t>34.63</w:t>
      </w:r>
      <w:r>
        <w:rPr>
          <w:rFonts w:hint="default" w:ascii="Times New Roman" w:hAnsi="Times New Roman" w:eastAsia="仿宋_GB2312" w:cs="Times New Roman"/>
          <w:color w:val="auto"/>
          <w:kern w:val="2"/>
          <w:sz w:val="32"/>
          <w:szCs w:val="32"/>
          <w:lang w:val="en-US" w:eastAsia="zh-CN" w:bidi="ar-SA"/>
        </w:rPr>
        <w:t>亿元，达到了项目实施预期效果。二是“竣工投产激励项目”方面</w:t>
      </w:r>
      <w:r>
        <w:rPr>
          <w:rFonts w:hint="eastAsia" w:ascii="Times New Roman" w:hAnsi="Times New Roman" w:eastAsia="仿宋_GB2312" w:cs="Times New Roman"/>
          <w:color w:val="auto"/>
          <w:kern w:val="2"/>
          <w:sz w:val="32"/>
          <w:szCs w:val="32"/>
          <w:lang w:val="en-US" w:eastAsia="zh-CN" w:bidi="ar-SA"/>
        </w:rPr>
        <w:t>。</w:t>
      </w:r>
      <w:bookmarkEnd w:id="175"/>
      <w:r>
        <w:rPr>
          <w:rFonts w:hint="eastAsia" w:ascii="Times New Roman" w:hAnsi="Times New Roman" w:eastAsia="仿宋_GB2312" w:cs="Times New Roman"/>
          <w:color w:val="auto"/>
          <w:kern w:val="2"/>
          <w:sz w:val="32"/>
          <w:szCs w:val="32"/>
          <w:lang w:val="en-US" w:eastAsia="zh-CN" w:bidi="ar-SA"/>
        </w:rPr>
        <w:t>项目实施目标完成情况如下：产出指标达成率100%，效益指标达成率100%，满意度指标达成率100%，成本指标达成率100%，相关指标均达到或超出计划指标，实施进度按计划推进，未有延期子项目。</w:t>
      </w:r>
    </w:p>
    <w:bookmarkEnd w:id="167"/>
    <w:p w14:paraId="4B6F09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kern w:val="2"/>
          <w:sz w:val="32"/>
          <w:szCs w:val="32"/>
          <w:lang w:val="en-US" w:eastAsia="zh-CN" w:bidi="ar-SA"/>
        </w:rPr>
      </w:pPr>
      <w:bookmarkStart w:id="178" w:name="OLE_LINK35"/>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bookmarkStart w:id="179" w:name="OLE_LINK78"/>
      <w:r>
        <w:rPr>
          <w:rFonts w:hint="default" w:ascii="Times New Roman" w:hAnsi="Times New Roman" w:eastAsia="仿宋_GB2312" w:cs="Times New Roman"/>
          <w:color w:val="auto"/>
          <w:kern w:val="2"/>
          <w:sz w:val="32"/>
          <w:szCs w:val="32"/>
          <w:lang w:val="en-US" w:eastAsia="zh-CN" w:bidi="ar-SA"/>
        </w:rPr>
        <w:t>一是“智改数转”项目方面。</w:t>
      </w:r>
      <w:bookmarkEnd w:id="179"/>
      <w:r>
        <w:rPr>
          <w:rFonts w:hint="default" w:ascii="Times New Roman" w:hAnsi="Times New Roman" w:eastAsia="仿宋_GB2312" w:cs="Times New Roman"/>
          <w:color w:val="auto"/>
          <w:kern w:val="2"/>
          <w:sz w:val="32"/>
          <w:szCs w:val="32"/>
          <w:lang w:val="en-US" w:eastAsia="zh-CN" w:bidi="ar-SA"/>
        </w:rPr>
        <w:t>该</w:t>
      </w:r>
      <w:r>
        <w:rPr>
          <w:rFonts w:hint="eastAsia" w:ascii="Times New Roman" w:hAnsi="Times New Roman" w:eastAsia="仿宋_GB2312" w:cs="Times New Roman"/>
          <w:color w:val="auto"/>
          <w:kern w:val="2"/>
          <w:sz w:val="32"/>
          <w:szCs w:val="32"/>
          <w:lang w:val="en-US" w:eastAsia="zh-CN" w:bidi="ar-SA"/>
        </w:rPr>
        <w:t>切块</w:t>
      </w:r>
      <w:r>
        <w:rPr>
          <w:rFonts w:hint="default" w:ascii="Times New Roman" w:hAnsi="Times New Roman" w:eastAsia="仿宋_GB2312" w:cs="Times New Roman"/>
          <w:color w:val="auto"/>
          <w:kern w:val="2"/>
          <w:sz w:val="32"/>
          <w:szCs w:val="32"/>
          <w:lang w:val="en-US" w:eastAsia="zh-CN" w:bidi="ar-SA"/>
        </w:rPr>
        <w:t>资金支持项目6个，</w:t>
      </w:r>
      <w:r>
        <w:rPr>
          <w:rFonts w:hint="eastAsia" w:ascii="Times New Roman" w:hAnsi="Times New Roman" w:eastAsia="仿宋_GB2312" w:cs="Times New Roman"/>
          <w:color w:val="auto"/>
          <w:kern w:val="2"/>
          <w:sz w:val="32"/>
          <w:szCs w:val="32"/>
          <w:lang w:val="en-US" w:eastAsia="zh-CN" w:bidi="ar-SA"/>
        </w:rPr>
        <w:t>设备</w:t>
      </w:r>
      <w:bookmarkStart w:id="180" w:name="OLE_LINK74"/>
      <w:r>
        <w:rPr>
          <w:rFonts w:hint="eastAsia" w:ascii="Times New Roman" w:hAnsi="Times New Roman" w:eastAsia="仿宋_GB2312" w:cs="Times New Roman"/>
          <w:color w:val="auto"/>
          <w:kern w:val="2"/>
          <w:sz w:val="32"/>
          <w:szCs w:val="32"/>
          <w:lang w:val="en-US" w:eastAsia="zh-CN" w:bidi="ar-SA"/>
        </w:rPr>
        <w:t>（含软件</w:t>
      </w:r>
      <w:bookmarkEnd w:id="180"/>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投资</w:t>
      </w:r>
      <w:r>
        <w:rPr>
          <w:rFonts w:hint="eastAsia" w:ascii="Times New Roman" w:hAnsi="Times New Roman" w:eastAsia="仿宋_GB2312" w:cs="Times New Roman"/>
          <w:color w:val="auto"/>
          <w:kern w:val="2"/>
          <w:sz w:val="32"/>
          <w:szCs w:val="32"/>
          <w:lang w:val="en-US" w:eastAsia="zh-CN" w:bidi="ar-SA"/>
        </w:rPr>
        <w:t>4.4亿</w:t>
      </w:r>
      <w:r>
        <w:rPr>
          <w:rFonts w:hint="default" w:ascii="Times New Roman" w:hAnsi="Times New Roman" w:eastAsia="仿宋_GB2312" w:cs="Times New Roman"/>
          <w:color w:val="auto"/>
          <w:kern w:val="2"/>
          <w:sz w:val="32"/>
          <w:szCs w:val="32"/>
          <w:lang w:val="en-US" w:eastAsia="zh-CN" w:bidi="ar-SA"/>
        </w:rPr>
        <w:t>元，主要用于</w:t>
      </w:r>
      <w:r>
        <w:rPr>
          <w:rFonts w:hint="eastAsia" w:ascii="Times New Roman" w:hAnsi="Times New Roman" w:eastAsia="仿宋_GB2312" w:cs="Times New Roman"/>
          <w:color w:val="auto"/>
          <w:kern w:val="2"/>
          <w:sz w:val="32"/>
          <w:szCs w:val="32"/>
          <w:lang w:val="en-US" w:eastAsia="zh-CN" w:bidi="ar-SA"/>
        </w:rPr>
        <w:t>购置智能化设备（含软件），</w:t>
      </w:r>
      <w:r>
        <w:rPr>
          <w:rFonts w:hint="default" w:ascii="Times New Roman" w:hAnsi="Times New Roman" w:eastAsia="仿宋_GB2312" w:cs="Times New Roman"/>
          <w:color w:val="auto"/>
          <w:kern w:val="2"/>
          <w:sz w:val="32"/>
          <w:szCs w:val="32"/>
          <w:lang w:val="en-US" w:eastAsia="zh-CN" w:bidi="ar-SA"/>
        </w:rPr>
        <w:t>推动业务数字化、流程一体化、数据可视化、管理精细化、决策智能化，提高生产效率、降低运营成本、提升产品质量，不断增强企业科技创新能力和核心竞争力。</w:t>
      </w:r>
      <w:r>
        <w:rPr>
          <w:rFonts w:hint="eastAsia" w:eastAsia="仿宋_GB2312" w:cs="Times New Roman"/>
          <w:color w:val="auto"/>
          <w:kern w:val="2"/>
          <w:sz w:val="32"/>
          <w:szCs w:val="32"/>
          <w:lang w:val="en-US" w:eastAsia="zh-CN" w:bidi="ar-SA"/>
        </w:rPr>
        <w:t>截至目前</w:t>
      </w:r>
      <w:r>
        <w:rPr>
          <w:rFonts w:hint="default" w:ascii="Times New Roman" w:hAnsi="Times New Roman" w:eastAsia="仿宋_GB2312" w:cs="Times New Roman"/>
          <w:color w:val="auto"/>
          <w:kern w:val="2"/>
          <w:sz w:val="32"/>
          <w:szCs w:val="32"/>
          <w:lang w:val="en-US" w:eastAsia="zh-CN" w:bidi="ar-SA"/>
        </w:rPr>
        <w:t>，在区委、区政府的坚强领导和各个企业不懈努力下，</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个项目</w:t>
      </w:r>
      <w:r>
        <w:rPr>
          <w:rFonts w:hint="eastAsia" w:ascii="Times New Roman" w:hAnsi="Times New Roman" w:eastAsia="仿宋_GB2312" w:cs="Times New Roman"/>
          <w:color w:val="auto"/>
          <w:kern w:val="2"/>
          <w:sz w:val="32"/>
          <w:szCs w:val="32"/>
          <w:lang w:val="en-US" w:eastAsia="zh-CN" w:bidi="ar-SA"/>
        </w:rPr>
        <w:t>均已竣工投产</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完成全区“智改数转”</w:t>
      </w:r>
      <w:bookmarkStart w:id="181" w:name="OLE_LINK76"/>
      <w:r>
        <w:rPr>
          <w:rFonts w:hint="eastAsia" w:ascii="Times New Roman" w:hAnsi="Times New Roman" w:eastAsia="仿宋_GB2312" w:cs="Times New Roman"/>
          <w:color w:val="auto"/>
          <w:kern w:val="2"/>
          <w:sz w:val="32"/>
          <w:szCs w:val="32"/>
          <w:lang w:val="en-US" w:eastAsia="zh-CN" w:bidi="ar-SA"/>
        </w:rPr>
        <w:t>规上企业</w:t>
      </w:r>
      <w:bookmarkEnd w:id="181"/>
      <w:r>
        <w:rPr>
          <w:rFonts w:hint="eastAsia" w:ascii="Times New Roman" w:hAnsi="Times New Roman" w:eastAsia="仿宋_GB2312" w:cs="Times New Roman"/>
          <w:color w:val="auto"/>
          <w:kern w:val="2"/>
          <w:sz w:val="32"/>
          <w:szCs w:val="32"/>
          <w:lang w:val="en-US" w:eastAsia="zh-CN" w:bidi="ar-SA"/>
        </w:rPr>
        <w:t>线上评估诊断全覆盖，完成32家企业“智改数转”线下评估诊断</w:t>
      </w:r>
      <w:bookmarkStart w:id="182" w:name="OLE_LINK51"/>
      <w:r>
        <w:rPr>
          <w:rFonts w:hint="eastAsia" w:ascii="Times New Roman" w:hAnsi="Times New Roman" w:eastAsia="仿宋_GB2312" w:cs="Times New Roman"/>
          <w:color w:val="auto"/>
          <w:kern w:val="2"/>
          <w:sz w:val="32"/>
          <w:szCs w:val="32"/>
          <w:lang w:val="en-US" w:eastAsia="zh-CN" w:bidi="ar-SA"/>
        </w:rPr>
        <w:t>，推动产业了升级、效率提升。</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82"/>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符合性分析。得益于全球“碳中和”与中国“3060”双碳目标，新能产业逐步发展成为推动全球用能结构调整的关键产业，项目符合四川省新能源产业布局发展战略。2.成长性分析。项目在产业规模、产品质量、技术经济指标和国际产能合作等方面取得了进一步的成果，有效推动了我国能源储能工业与汽车工业进一步发展，促进经济社会发展绿色转型。项目依托四川本地资源优势与下游市场，有效消纳了当地锂精矿产能。同时，本项目采用全自动化工艺流程，工艺技术、产品质量、排放指标及ESG管理水平均处于行业领先地位，有效实现向绿色、低碳、可持续转型，推动行业高质量发展，从而进一步巩固四川锂电产业的领先优势。</w:t>
      </w: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经济性分析。2024年，项目实现营业收入17.14亿元，产值30.49亿元，项目利润1.59亿元。月均产能，单位产品综合能耗，单位产品综合污染物排放等相关财务实质性指标均较项目实施前有所进步，单位产品综合能耗等重要指标均低于全国制造业与行业平均水平。</w:t>
      </w:r>
    </w:p>
    <w:bookmarkEnd w:id="178"/>
    <w:p w14:paraId="10186475">
      <w:pPr>
        <w:keepNext w:val="0"/>
        <w:keepLines w:val="0"/>
        <w:pageBreakBefore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kern w:val="2"/>
          <w:sz w:val="32"/>
          <w:szCs w:val="32"/>
          <w:lang w:val="en-US" w:eastAsia="zh-CN" w:bidi="ar-SA"/>
        </w:rPr>
      </w:pPr>
      <w:bookmarkStart w:id="183" w:name="OLE_LINK36"/>
      <w:r>
        <w:rPr>
          <w:rFonts w:hint="eastAsia" w:ascii="Times New Roman" w:hAnsi="Times New Roman"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bookmarkEnd w:id="183"/>
      <w:bookmarkStart w:id="184" w:name="OLE_LINK86"/>
      <w:bookmarkStart w:id="185" w:name="OLE_LINK52"/>
      <w:r>
        <w:rPr>
          <w:rFonts w:hint="default" w:ascii="Times New Roman" w:hAnsi="Times New Roman" w:eastAsia="仿宋_GB2312" w:cs="Times New Roman"/>
          <w:color w:val="auto"/>
          <w:kern w:val="2"/>
          <w:sz w:val="32"/>
          <w:szCs w:val="32"/>
          <w:lang w:val="en-US" w:eastAsia="zh-CN" w:bidi="ar-SA"/>
        </w:rPr>
        <w:t>一是“智改数转”项目方面。</w:t>
      </w:r>
      <w:bookmarkEnd w:id="184"/>
      <w:r>
        <w:rPr>
          <w:rFonts w:hint="eastAsia" w:ascii="Times New Roman" w:hAnsi="Times New Roman" w:eastAsia="仿宋_GB2312" w:cs="Times New Roman"/>
          <w:color w:val="auto"/>
          <w:kern w:val="2"/>
          <w:sz w:val="32"/>
          <w:szCs w:val="32"/>
          <w:lang w:val="en-US" w:eastAsia="zh-CN" w:bidi="ar-SA"/>
        </w:rPr>
        <w:t>按照《遂宁市财政局 遂宁市经济和信息化局关于下达2024年省级工业发展专项资金的通知》(遂财建〔2024</w:t>
      </w:r>
      <w:r>
        <w:rPr>
          <w:rFonts w:hint="eastAsia"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en-US" w:eastAsia="zh-CN" w:bidi="ar-SA"/>
        </w:rPr>
        <w:t>155号)要求，专项省级切块资金共4367万元，涉及6个项目，其中：</w:t>
      </w:r>
      <w:r>
        <w:rPr>
          <w:rFonts w:hint="default" w:ascii="Times New Roman" w:hAnsi="Times New Roman" w:eastAsia="仿宋_GB2312" w:cs="Times New Roman"/>
          <w:color w:val="auto"/>
          <w:kern w:val="2"/>
          <w:sz w:val="32"/>
          <w:szCs w:val="32"/>
          <w:lang w:val="en-US" w:eastAsia="zh-CN" w:bidi="ar-SA"/>
        </w:rPr>
        <w:t>四川裕宁铵法技术改造</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四川阿宁年产16300吨卤制肉制品及副产品智能化加工生产线建设</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四川坤天年产5万吨锂电池负极材料智能化车间建设</w:t>
      </w:r>
      <w:r>
        <w:rPr>
          <w:rFonts w:hint="eastAsia" w:ascii="Times New Roman" w:hAnsi="Times New Roman" w:eastAsia="仿宋_GB2312" w:cs="Times New Roman"/>
          <w:color w:val="auto"/>
          <w:kern w:val="2"/>
          <w:sz w:val="32"/>
          <w:szCs w:val="32"/>
          <w:lang w:val="en-US" w:eastAsia="zh-CN" w:bidi="ar-SA"/>
        </w:rPr>
        <w:t>等3个项目分别</w:t>
      </w:r>
      <w:bookmarkStart w:id="186" w:name="OLE_LINK83"/>
      <w:r>
        <w:rPr>
          <w:rFonts w:hint="eastAsia" w:ascii="Times New Roman" w:hAnsi="Times New Roman" w:eastAsia="仿宋_GB2312" w:cs="Times New Roman"/>
          <w:color w:val="auto"/>
          <w:kern w:val="2"/>
          <w:sz w:val="32"/>
          <w:szCs w:val="32"/>
          <w:lang w:val="en-US" w:eastAsia="zh-CN" w:bidi="ar-SA"/>
        </w:rPr>
        <w:t>获得切块资金1000万元</w:t>
      </w:r>
      <w:bookmarkEnd w:id="186"/>
      <w:r>
        <w:rPr>
          <w:rFonts w:hint="eastAsia" w:ascii="Times New Roman" w:hAnsi="Times New Roman" w:eastAsia="仿宋_GB2312" w:cs="Times New Roman"/>
          <w:color w:val="auto"/>
          <w:kern w:val="2"/>
          <w:sz w:val="32"/>
          <w:szCs w:val="32"/>
          <w:lang w:val="en-US" w:eastAsia="zh-CN" w:bidi="ar-SA"/>
        </w:rPr>
        <w:t>，遂宁源晗遂宁安居园区配套扩建氮气项目</w:t>
      </w:r>
      <w:bookmarkStart w:id="187" w:name="OLE_LINK82"/>
      <w:r>
        <w:rPr>
          <w:rFonts w:hint="eastAsia" w:ascii="Times New Roman" w:hAnsi="Times New Roman" w:eastAsia="仿宋_GB2312" w:cs="Times New Roman"/>
          <w:color w:val="auto"/>
          <w:kern w:val="2"/>
          <w:sz w:val="32"/>
          <w:szCs w:val="32"/>
          <w:lang w:val="en-US" w:eastAsia="zh-CN" w:bidi="ar-SA"/>
        </w:rPr>
        <w:t>获得切块资金607万元</w:t>
      </w:r>
      <w:bookmarkEnd w:id="187"/>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遂宁拓普数字经济融合发展项目</w:t>
      </w:r>
      <w:bookmarkStart w:id="188" w:name="OLE_LINK85"/>
      <w:r>
        <w:rPr>
          <w:rFonts w:hint="eastAsia" w:ascii="Times New Roman" w:hAnsi="Times New Roman" w:eastAsia="仿宋_GB2312" w:cs="Times New Roman"/>
          <w:color w:val="auto"/>
          <w:kern w:val="2"/>
          <w:sz w:val="32"/>
          <w:szCs w:val="32"/>
          <w:lang w:val="en-US" w:eastAsia="zh-CN" w:bidi="ar-SA"/>
        </w:rPr>
        <w:t>获得切块资金564万元</w:t>
      </w:r>
      <w:bookmarkEnd w:id="188"/>
      <w:r>
        <w:rPr>
          <w:rFonts w:hint="default" w:ascii="Times New Roman" w:hAnsi="Times New Roman" w:eastAsia="仿宋_GB2312" w:cs="Times New Roman"/>
          <w:color w:val="auto"/>
          <w:kern w:val="2"/>
          <w:sz w:val="32"/>
          <w:szCs w:val="32"/>
          <w:lang w:val="en-US" w:eastAsia="zh-CN" w:bidi="ar-SA"/>
        </w:rPr>
        <w:t>、遂宁伯特利汽车零部件装配和机加项目-数字化车间改造项目</w:t>
      </w:r>
      <w:r>
        <w:rPr>
          <w:rFonts w:hint="eastAsia" w:ascii="Times New Roman" w:hAnsi="Times New Roman" w:eastAsia="仿宋_GB2312" w:cs="Times New Roman"/>
          <w:color w:val="auto"/>
          <w:kern w:val="2"/>
          <w:sz w:val="32"/>
          <w:szCs w:val="32"/>
          <w:lang w:val="en-US" w:eastAsia="zh-CN" w:bidi="ar-SA"/>
        </w:rPr>
        <w:t>获得切块资金196万元。</w:t>
      </w:r>
      <w:r>
        <w:rPr>
          <w:rFonts w:hint="eastAsia" w:ascii="Times New Roman" w:hAnsi="Times New Roman" w:eastAsia="仿宋_GB2312" w:cs="Times New Roman"/>
          <w:color w:val="auto"/>
          <w:kern w:val="2"/>
          <w:sz w:val="32"/>
          <w:szCs w:val="32"/>
          <w:lang w:val="zh-CN" w:eastAsia="zh-CN" w:bidi="ar-SA"/>
        </w:rPr>
        <w:t>项目资金下达后，我局立即组织企业完善相关资料，项目资金坚持专款专用的原则，</w:t>
      </w:r>
      <w:r>
        <w:rPr>
          <w:rFonts w:hint="eastAsia" w:eastAsia="仿宋_GB2312" w:cs="Times New Roman"/>
          <w:color w:val="auto"/>
          <w:kern w:val="2"/>
          <w:sz w:val="32"/>
          <w:szCs w:val="32"/>
          <w:lang w:val="en-US" w:eastAsia="zh-CN" w:bidi="ar-SA"/>
        </w:rPr>
        <w:t>截至目前</w:t>
      </w:r>
      <w:r>
        <w:rPr>
          <w:rFonts w:hint="eastAsia" w:ascii="Times New Roman" w:hAnsi="Times New Roman" w:eastAsia="仿宋_GB2312" w:cs="Times New Roman"/>
          <w:color w:val="auto"/>
          <w:kern w:val="2"/>
          <w:sz w:val="32"/>
          <w:szCs w:val="32"/>
          <w:lang w:val="en-US" w:eastAsia="zh-CN" w:bidi="ar-SA"/>
        </w:rPr>
        <w:t>，兑现资金3095万元、兑付率70.87%</w:t>
      </w:r>
      <w:r>
        <w:rPr>
          <w:rFonts w:hint="eastAsia"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en-US" w:eastAsia="zh-CN" w:bidi="ar-SA"/>
        </w:rPr>
        <w:t>正在积极对接区财政，完成剩余资金拨付。</w:t>
      </w:r>
      <w:r>
        <w:rPr>
          <w:rFonts w:hint="default" w:ascii="Times New Roman" w:hAnsi="Times New Roman" w:eastAsia="仿宋_GB2312" w:cs="Times New Roman"/>
          <w:color w:val="auto"/>
          <w:kern w:val="2"/>
          <w:sz w:val="32"/>
          <w:szCs w:val="32"/>
          <w:lang w:val="en-US" w:eastAsia="zh-CN" w:bidi="ar-SA"/>
        </w:rPr>
        <w:t>二是“竣工投产激励项目”方面</w:t>
      </w:r>
      <w:bookmarkEnd w:id="185"/>
      <w:r>
        <w:rPr>
          <w:rFonts w:hint="eastAsia" w:ascii="Times New Roman" w:hAnsi="Times New Roman" w:eastAsia="仿宋_GB2312" w:cs="Times New Roman"/>
          <w:color w:val="auto"/>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市财政</w:t>
      </w:r>
      <w:r>
        <w:rPr>
          <w:rFonts w:hint="eastAsia" w:ascii="Times New Roman" w:hAnsi="Times New Roman" w:eastAsia="仿宋_GB2312" w:cs="Times New Roman"/>
          <w:color w:val="auto"/>
          <w:kern w:val="2"/>
          <w:sz w:val="32"/>
          <w:szCs w:val="32"/>
          <w:lang w:val="en-US" w:eastAsia="zh-CN" w:bidi="ar-SA"/>
        </w:rPr>
        <w:t>局、</w:t>
      </w:r>
      <w:r>
        <w:rPr>
          <w:rFonts w:hint="default" w:ascii="Times New Roman" w:hAnsi="Times New Roman" w:eastAsia="仿宋_GB2312" w:cs="Times New Roman"/>
          <w:color w:val="auto"/>
          <w:kern w:val="2"/>
          <w:sz w:val="32"/>
          <w:szCs w:val="32"/>
          <w:lang w:val="en-US" w:eastAsia="zh-CN" w:bidi="ar-SA"/>
        </w:rPr>
        <w:t>市经信局《关于下达2024年第五批省级工业发展专项资金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戴帽部分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的通知》遂财建〔2024〕209号要求</w:t>
      </w:r>
      <w:r>
        <w:rPr>
          <w:rFonts w:hint="eastAsia" w:ascii="Times New Roman" w:hAnsi="Times New Roman" w:eastAsia="仿宋_GB2312" w:cs="Times New Roman"/>
          <w:color w:val="auto"/>
          <w:kern w:val="2"/>
          <w:sz w:val="32"/>
          <w:szCs w:val="32"/>
          <w:lang w:val="en-US" w:eastAsia="zh-CN" w:bidi="ar-SA"/>
        </w:rPr>
        <w:t>，涉及我区项目1个，争取省级工业发展资金1000万元，</w:t>
      </w:r>
      <w:r>
        <w:rPr>
          <w:rFonts w:hint="eastAsia" w:eastAsia="仿宋_GB2312" w:cs="Times New Roman"/>
          <w:color w:val="auto"/>
          <w:kern w:val="2"/>
          <w:sz w:val="32"/>
          <w:szCs w:val="32"/>
          <w:lang w:val="en-US" w:eastAsia="zh-CN" w:bidi="ar-SA"/>
        </w:rPr>
        <w:t>截至目前</w:t>
      </w:r>
      <w:r>
        <w:rPr>
          <w:rFonts w:hint="eastAsia" w:ascii="Times New Roman" w:hAnsi="Times New Roman" w:eastAsia="仿宋_GB2312" w:cs="Times New Roman"/>
          <w:color w:val="auto"/>
          <w:kern w:val="2"/>
          <w:sz w:val="32"/>
          <w:szCs w:val="32"/>
          <w:lang w:val="en-US" w:eastAsia="zh-CN" w:bidi="ar-SA"/>
        </w:rPr>
        <w:t>已完成资金拨付。1.项目达产情况。项目生产情况稳定，无重大安全事故，项目实现安全生产700多天，项目生产线工时0损失，达成情况计划完成率100%。2.企业社会效益。项目积极履行社会责任，依照要求公开企业CSR与ESG相关报告。项目环保达标率100%，实现了废水0排放，其余废弃物处理未发生环境事故；项目切实关注利益相关者，项目实施过程中，未发生员工权益重大损害事件，未发生拖欠上游供应商款项与收到下游客户产品投诉，未发生企业偷税漏税与内部贪腐问题，企业社会效益实施情况计划完成率为80%。</w:t>
      </w:r>
    </w:p>
    <w:p w14:paraId="6E694CEA">
      <w:pPr>
        <w:keepNext w:val="0"/>
        <w:keepLines w:val="0"/>
        <w:pageBreakBefore w:val="0"/>
        <w:widowControl/>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bookmarkStart w:id="189" w:name="OLE_LINK37"/>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r>
        <w:rPr>
          <w:rFonts w:hint="eastAsia" w:ascii="Times New Roman" w:hAnsi="Times New Roman" w:eastAsia="黑体" w:cs="Times New Roman"/>
          <w:color w:val="auto"/>
          <w:kern w:val="0"/>
          <w:position w:val="3"/>
          <w:sz w:val="32"/>
          <w:szCs w:val="32"/>
          <w:highlight w:val="none"/>
          <w:u w:val="none"/>
          <w:lang w:val="en-US" w:eastAsia="zh-CN" w:bidi="ar-SA"/>
        </w:rPr>
        <w:t>。</w:t>
      </w:r>
      <w:r>
        <w:rPr>
          <w:rFonts w:hint="default" w:ascii="Times New Roman" w:hAnsi="Times New Roman" w:eastAsia="仿宋_GB2312" w:cs="Times New Roman"/>
          <w:color w:val="auto"/>
          <w:kern w:val="2"/>
          <w:sz w:val="32"/>
          <w:szCs w:val="32"/>
          <w:lang w:val="en-US" w:eastAsia="zh-CN" w:bidi="ar-SA"/>
        </w:rPr>
        <w:t>一是“智改数转”项目方面。</w:t>
      </w:r>
      <w:r>
        <w:rPr>
          <w:rFonts w:hint="eastAsia" w:ascii="Times New Roman" w:hAnsi="Times New Roman" w:eastAsia="仿宋_GB2312" w:cs="Times New Roman"/>
          <w:color w:val="auto"/>
          <w:kern w:val="2"/>
          <w:sz w:val="32"/>
          <w:szCs w:val="32"/>
          <w:lang w:val="en-US" w:eastAsia="zh-CN" w:bidi="ar-SA"/>
        </w:rPr>
        <w:t>我局按照“公开透明，公平公正”的原则</w:t>
      </w:r>
      <w:bookmarkStart w:id="190" w:name="OLE_LINK53"/>
      <w:r>
        <w:rPr>
          <w:rFonts w:hint="eastAsia"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en-US" w:eastAsia="zh-CN" w:bidi="ar-SA"/>
        </w:rPr>
        <w:t>对6个企业</w:t>
      </w:r>
      <w:r>
        <w:rPr>
          <w:rFonts w:hint="eastAsia" w:ascii="Times New Roman" w:hAnsi="Times New Roman" w:eastAsia="仿宋_GB2312" w:cs="Times New Roman"/>
          <w:color w:val="auto"/>
          <w:kern w:val="2"/>
          <w:sz w:val="32"/>
          <w:szCs w:val="32"/>
          <w:lang w:val="zh-CN" w:eastAsia="zh-CN" w:bidi="ar-SA"/>
        </w:rPr>
        <w:t>在资金使用、项目组织、绩效目标实现等方面的总体情况</w:t>
      </w:r>
      <w:r>
        <w:rPr>
          <w:rFonts w:hint="eastAsia" w:ascii="Times New Roman" w:hAnsi="Times New Roman" w:eastAsia="仿宋_GB2312" w:cs="Times New Roman"/>
          <w:color w:val="auto"/>
          <w:kern w:val="2"/>
          <w:sz w:val="32"/>
          <w:szCs w:val="32"/>
          <w:lang w:val="en-US" w:eastAsia="zh-CN" w:bidi="ar-SA"/>
        </w:rPr>
        <w:t>进行了有效监管，项目绩效良好，项目实施达到了预期效果。</w:t>
      </w:r>
      <w:r>
        <w:rPr>
          <w:rFonts w:hint="default" w:ascii="Times New Roman" w:hAnsi="Times New Roman" w:eastAsia="仿宋_GB2312" w:cs="Times New Roman"/>
          <w:color w:val="auto"/>
          <w:kern w:val="2"/>
          <w:sz w:val="32"/>
          <w:szCs w:val="32"/>
          <w:lang w:val="en-US" w:eastAsia="zh-CN" w:bidi="ar-SA"/>
        </w:rPr>
        <w:t>二是“竣工投产激励项目”方面</w:t>
      </w:r>
      <w:r>
        <w:rPr>
          <w:rFonts w:hint="eastAsia" w:ascii="Times New Roman" w:hAnsi="Times New Roman" w:eastAsia="仿宋_GB2312" w:cs="Times New Roman"/>
          <w:color w:val="auto"/>
          <w:kern w:val="2"/>
          <w:sz w:val="32"/>
          <w:szCs w:val="32"/>
          <w:lang w:val="en-US" w:eastAsia="zh-CN" w:bidi="ar-SA"/>
        </w:rPr>
        <w:t>。</w:t>
      </w:r>
      <w:bookmarkEnd w:id="190"/>
      <w:r>
        <w:rPr>
          <w:rFonts w:hint="eastAsia" w:ascii="Times New Roman" w:hAnsi="Times New Roman" w:eastAsia="仿宋_GB2312" w:cs="Times New Roman"/>
          <w:color w:val="auto"/>
          <w:kern w:val="2"/>
          <w:sz w:val="32"/>
          <w:szCs w:val="32"/>
          <w:lang w:val="en-US" w:eastAsia="zh-CN" w:bidi="ar-SA"/>
        </w:rPr>
        <w:t>按照相关要求，我局全方位、多层次地对投资政策兑现1000万元专项资金进行了有效监管，确保资金专款专用、发挥最大效益，项目计划实施进度为100%，综合得分118分。</w:t>
      </w:r>
    </w:p>
    <w:bookmarkEnd w:id="189"/>
    <w:p w14:paraId="684D05AA">
      <w:pPr>
        <w:keepNext w:val="0"/>
        <w:keepLines w:val="0"/>
        <w:pageBreakBefore w:val="0"/>
        <w:widowControl/>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bookmarkStart w:id="191" w:name="OLE_LINK38"/>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r>
        <w:rPr>
          <w:rFonts w:hint="eastAsia" w:ascii="Times New Roman" w:hAnsi="Times New Roman" w:eastAsia="黑体" w:cs="Times New Roman"/>
          <w:color w:val="auto"/>
          <w:kern w:val="0"/>
          <w:position w:val="3"/>
          <w:sz w:val="32"/>
          <w:szCs w:val="32"/>
          <w:highlight w:val="none"/>
          <w:u w:val="none"/>
          <w:lang w:val="en-US" w:eastAsia="zh-CN" w:bidi="ar-SA"/>
        </w:rPr>
        <w:t>。</w:t>
      </w:r>
      <w:r>
        <w:rPr>
          <w:rFonts w:hint="eastAsia" w:ascii="Times New Roman" w:hAnsi="Times New Roman" w:eastAsia="仿宋_GB2312" w:cs="Times New Roman"/>
          <w:color w:val="auto"/>
          <w:kern w:val="2"/>
          <w:sz w:val="32"/>
          <w:szCs w:val="32"/>
          <w:lang w:val="en-US" w:eastAsia="zh-CN" w:bidi="ar-SA"/>
        </w:rPr>
        <w:t>一是宣传力度不够，企业对项目绩效评价方面了解程度不够深入，开展自评工作时无系统的工作方法；二是缺乏专业人才队伍，项目绩效评价工作方面知识了解程度不深，专业性不强。</w:t>
      </w:r>
    </w:p>
    <w:p w14:paraId="1D188F69">
      <w:pPr>
        <w:keepNext w:val="0"/>
        <w:keepLines w:val="0"/>
        <w:pageBreakBefore w:val="0"/>
        <w:widowControl/>
        <w:numPr>
          <w:ilvl w:val="0"/>
          <w:numId w:val="0"/>
        </w:numPr>
        <w:tabs>
          <w:tab w:val="left" w:pos="2160"/>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r>
        <w:rPr>
          <w:rFonts w:hint="eastAsia" w:ascii="Times New Roman" w:hAnsi="Times New Roman" w:eastAsia="黑体" w:cs="Times New Roman"/>
          <w:color w:val="auto"/>
          <w:kern w:val="0"/>
          <w:position w:val="3"/>
          <w:sz w:val="32"/>
          <w:szCs w:val="32"/>
          <w:highlight w:val="none"/>
          <w:u w:val="none"/>
          <w:lang w:val="zh-CN" w:eastAsia="zh-CN" w:bidi="ar-SA"/>
        </w:rPr>
        <w:t>。</w:t>
      </w:r>
      <w:r>
        <w:rPr>
          <w:rFonts w:hint="eastAsia" w:ascii="Times New Roman" w:hAnsi="Times New Roman" w:eastAsia="仿宋_GB2312" w:cs="Times New Roman"/>
          <w:color w:val="auto"/>
          <w:kern w:val="2"/>
          <w:sz w:val="32"/>
          <w:szCs w:val="32"/>
          <w:lang w:val="en-US" w:eastAsia="zh-CN" w:bidi="ar-SA"/>
        </w:rPr>
        <w:t>一是加大宣传力度，使企业充分认识到项目绩效评价工作的重要性和必要性，突显专项资金的使用效益；二是加强项目绩效工作培训，提升工作队伍的业务能力，更好地指导企业、服务企业。</w:t>
      </w:r>
      <w:bookmarkEnd w:id="159"/>
      <w:bookmarkEnd w:id="191"/>
    </w:p>
    <w:p w14:paraId="6231400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附表：专项预算项目绩效目标完成情况自评表</w:t>
      </w:r>
    </w:p>
    <w:p w14:paraId="0C1935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br w:type="page"/>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875"/>
        <w:gridCol w:w="1312"/>
        <w:gridCol w:w="1622"/>
        <w:gridCol w:w="851"/>
        <w:gridCol w:w="1283"/>
        <w:gridCol w:w="743"/>
        <w:gridCol w:w="1012"/>
        <w:gridCol w:w="1883"/>
      </w:tblGrid>
      <w:tr w14:paraId="70A2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1515AF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0099D2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3776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4461" w:type="dxa"/>
            <w:gridSpan w:val="4"/>
            <w:tcBorders>
              <w:top w:val="single" w:color="000000" w:sz="4" w:space="0"/>
              <w:left w:val="single" w:color="000000" w:sz="4" w:space="0"/>
              <w:bottom w:val="single" w:color="000000" w:sz="4" w:space="0"/>
              <w:right w:val="single" w:color="000000" w:sz="4" w:space="0"/>
            </w:tcBorders>
            <w:noWrap w:val="0"/>
            <w:vAlign w:val="center"/>
          </w:tcPr>
          <w:p w14:paraId="31C6D7E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11FA90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天齐锂业遂宁安居区年产2万吨碳酸锂工厂项目</w:t>
            </w:r>
          </w:p>
        </w:tc>
      </w:tr>
      <w:tr w14:paraId="4268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461" w:type="dxa"/>
            <w:gridSpan w:val="4"/>
            <w:tcBorders>
              <w:top w:val="single" w:color="000000" w:sz="4" w:space="0"/>
              <w:left w:val="single" w:color="000000" w:sz="4" w:space="0"/>
              <w:bottom w:val="single" w:color="000000" w:sz="4" w:space="0"/>
              <w:right w:val="single" w:color="000000" w:sz="4" w:space="0"/>
            </w:tcBorders>
            <w:noWrap w:val="0"/>
            <w:vAlign w:val="center"/>
          </w:tcPr>
          <w:p w14:paraId="47D83D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预算单位</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3A90E3F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遂宁市经济和信息化局</w:t>
            </w:r>
          </w:p>
        </w:tc>
      </w:tr>
      <w:tr w14:paraId="1A52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61" w:type="dxa"/>
            <w:gridSpan w:val="4"/>
            <w:tcBorders>
              <w:top w:val="single" w:color="000000" w:sz="4" w:space="0"/>
              <w:left w:val="single" w:color="000000" w:sz="4" w:space="0"/>
              <w:bottom w:val="single" w:color="000000" w:sz="4" w:space="0"/>
              <w:right w:val="single" w:color="000000" w:sz="4" w:space="0"/>
            </w:tcBorders>
            <w:noWrap w:val="0"/>
            <w:vAlign w:val="center"/>
          </w:tcPr>
          <w:p w14:paraId="1B1F02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项目类型</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1C3559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p>
        </w:tc>
      </w:tr>
      <w:tr w14:paraId="3618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DFAB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 概况</w:t>
            </w: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17F21C8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中长期规划（名称、文号，仅指</w:t>
            </w:r>
          </w:p>
          <w:p w14:paraId="17B45E5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常年项目）</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2DCC2C6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川投资备[2018-510904-26-03-2418201]FGQB-0004号</w:t>
            </w:r>
          </w:p>
        </w:tc>
      </w:tr>
      <w:tr w14:paraId="6BA6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03C26">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2836628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资金管理办法（名称、文号）</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3848D1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川财建[2024] 323号</w:t>
            </w:r>
          </w:p>
        </w:tc>
      </w:tr>
      <w:tr w14:paraId="4D98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A77AC">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35484B7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绩效分配方式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FED2CF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t>o</w:t>
            </w:r>
            <w:r>
              <w:rPr>
                <w:rFonts w:hint="default" w:ascii="Times New Roman" w:hAnsi="Times New Roman" w:eastAsia="宋体" w:cs="Times New Roman"/>
                <w:i w:val="0"/>
                <w:color w:val="000000"/>
                <w:kern w:val="0"/>
                <w:sz w:val="18"/>
                <w:szCs w:val="18"/>
                <w:u w:val="none"/>
                <w:lang w:val="en-US" w:eastAsia="zh-CN" w:bidi="ar"/>
              </w:rPr>
              <w:t>因素法</w:t>
            </w:r>
          </w:p>
        </w:tc>
        <w:tc>
          <w:tcPr>
            <w:tcW w:w="2026" w:type="dxa"/>
            <w:gridSpan w:val="2"/>
            <w:tcBorders>
              <w:top w:val="single" w:color="000000" w:sz="4" w:space="0"/>
              <w:left w:val="single" w:color="000000" w:sz="4" w:space="0"/>
              <w:bottom w:val="single" w:color="000000" w:sz="4" w:space="0"/>
              <w:right w:val="single" w:color="000000" w:sz="4" w:space="0"/>
            </w:tcBorders>
            <w:noWrap w:val="0"/>
            <w:vAlign w:val="center"/>
          </w:tcPr>
          <w:p w14:paraId="26BEDA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t>o</w:t>
            </w:r>
            <w:r>
              <w:rPr>
                <w:rFonts w:hint="default" w:ascii="Times New Roman" w:hAnsi="Times New Roman" w:eastAsia="Wingdings 2" w:cs="Times New Roman"/>
                <w:i w:val="0"/>
                <w:color w:val="000000"/>
                <w:kern w:val="0"/>
                <w:sz w:val="18"/>
                <w:szCs w:val="18"/>
                <w:u w:val="none"/>
                <w:lang w:val="en-US" w:eastAsia="zh-CN" w:bidi="ar"/>
              </w:rPr>
              <w:t>项目法</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2EAD30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sym w:font="Wingdings" w:char="00FE"/>
            </w:r>
            <w:r>
              <w:rPr>
                <w:rFonts w:hint="default" w:ascii="Times New Roman" w:hAnsi="Times New Roman" w:eastAsia="宋体" w:cs="Times New Roman"/>
                <w:i w:val="0"/>
                <w:color w:val="000000"/>
                <w:kern w:val="0"/>
                <w:sz w:val="18"/>
                <w:szCs w:val="18"/>
                <w:u w:val="none"/>
                <w:lang w:val="en-US" w:eastAsia="zh-CN" w:bidi="ar"/>
              </w:rPr>
              <w:t>据实据效</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301D4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sym w:font="Wingdings" w:char="00A8"/>
            </w:r>
            <w:r>
              <w:rPr>
                <w:rFonts w:hint="default" w:ascii="Times New Roman" w:hAnsi="Times New Roman" w:eastAsia="宋体" w:cs="Times New Roman"/>
                <w:i w:val="0"/>
                <w:color w:val="000000"/>
                <w:kern w:val="0"/>
                <w:sz w:val="18"/>
                <w:szCs w:val="18"/>
                <w:u w:val="none"/>
                <w:lang w:val="en-US" w:eastAsia="zh-CN" w:bidi="ar"/>
              </w:rPr>
              <w:t>因素法与项目法相结合</w:t>
            </w:r>
          </w:p>
        </w:tc>
      </w:tr>
      <w:tr w14:paraId="6A68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4FD58">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257C28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立项依据</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389B71A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川财建[2024] 323号</w:t>
            </w:r>
          </w:p>
        </w:tc>
      </w:tr>
      <w:tr w14:paraId="4707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A81B6">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1FEC7D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使用范围</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5D077B38">
            <w:pPr>
              <w:keepNext w:val="0"/>
              <w:keepLines w:val="0"/>
              <w:pageBreakBefore w:val="0"/>
              <w:kinsoku/>
              <w:wordWrap/>
              <w:overflowPunct/>
              <w:topLinePunct w:val="0"/>
              <w:autoSpaceDE/>
              <w:autoSpaceDN/>
              <w:bidi w:val="0"/>
              <w:adjustRightInd/>
              <w:snapToGrid/>
              <w:spacing w:line="320" w:lineRule="exact"/>
              <w:ind w:left="0" w:leftChars="0"/>
              <w:jc w:val="left"/>
              <w:rPr>
                <w:rFonts w:hint="default" w:ascii="Times New Roman" w:hAnsi="Times New Roman" w:eastAsia="宋体" w:cs="Times New Roman"/>
                <w:i w:val="0"/>
                <w:color w:val="000000"/>
                <w:sz w:val="18"/>
                <w:szCs w:val="18"/>
                <w:u w:val="none"/>
              </w:rPr>
            </w:pPr>
          </w:p>
        </w:tc>
      </w:tr>
      <w:tr w14:paraId="4B1A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BDC44">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1D607A8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申报（补助）条件</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43A95BA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2024年二、三季度期间工业项目竣工投产激励资金</w:t>
            </w:r>
          </w:p>
        </w:tc>
      </w:tr>
      <w:tr w14:paraId="42F4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A75EF">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809" w:type="dxa"/>
            <w:gridSpan w:val="3"/>
            <w:tcBorders>
              <w:top w:val="single" w:color="000000" w:sz="4" w:space="0"/>
              <w:left w:val="single" w:color="000000" w:sz="4" w:space="0"/>
              <w:bottom w:val="single" w:color="000000" w:sz="4" w:space="0"/>
              <w:right w:val="single" w:color="000000" w:sz="4" w:space="0"/>
            </w:tcBorders>
            <w:noWrap w:val="0"/>
            <w:vAlign w:val="center"/>
          </w:tcPr>
          <w:p w14:paraId="6C5CB35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项目起止年限</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4EAC6CD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2023.4-2024.1</w:t>
            </w:r>
          </w:p>
        </w:tc>
      </w:tr>
      <w:tr w14:paraId="2A10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1C656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项目资金</w:t>
            </w:r>
          </w:p>
          <w:p w14:paraId="458381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2934" w:type="dxa"/>
            <w:gridSpan w:val="2"/>
            <w:tcBorders>
              <w:top w:val="single" w:color="000000" w:sz="4" w:space="0"/>
              <w:left w:val="single" w:color="000000" w:sz="4" w:space="0"/>
              <w:bottom w:val="single" w:color="000000" w:sz="4" w:space="0"/>
              <w:right w:val="single" w:color="000000" w:sz="4" w:space="0"/>
            </w:tcBorders>
            <w:noWrap w:val="0"/>
            <w:vAlign w:val="center"/>
          </w:tcPr>
          <w:p w14:paraId="3246F89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年度资金总额：</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230DFD9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143,392.88万元</w:t>
            </w:r>
          </w:p>
        </w:tc>
      </w:tr>
      <w:tr w14:paraId="5641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13EE36">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2934" w:type="dxa"/>
            <w:gridSpan w:val="2"/>
            <w:tcBorders>
              <w:top w:val="single" w:color="000000" w:sz="4" w:space="0"/>
              <w:left w:val="single" w:color="000000" w:sz="4" w:space="0"/>
              <w:bottom w:val="single" w:color="000000" w:sz="4" w:space="0"/>
              <w:right w:val="single" w:color="000000" w:sz="4" w:space="0"/>
            </w:tcBorders>
            <w:noWrap w:val="0"/>
            <w:vAlign w:val="center"/>
          </w:tcPr>
          <w:p w14:paraId="23BFD74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其中：财政拨款</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043BD2D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1,000万元</w:t>
            </w:r>
          </w:p>
        </w:tc>
      </w:tr>
      <w:tr w14:paraId="09A5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348B47">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2934" w:type="dxa"/>
            <w:gridSpan w:val="2"/>
            <w:tcBorders>
              <w:top w:val="single" w:color="000000" w:sz="4" w:space="0"/>
              <w:left w:val="single" w:color="000000" w:sz="4" w:space="0"/>
              <w:bottom w:val="single" w:color="000000" w:sz="4" w:space="0"/>
              <w:right w:val="single" w:color="000000" w:sz="4" w:space="0"/>
            </w:tcBorders>
            <w:noWrap w:val="0"/>
            <w:vAlign w:val="center"/>
          </w:tcPr>
          <w:p w14:paraId="3421D5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其他资金</w:t>
            </w:r>
          </w:p>
        </w:tc>
        <w:tc>
          <w:tcPr>
            <w:tcW w:w="5772" w:type="dxa"/>
            <w:gridSpan w:val="5"/>
            <w:tcBorders>
              <w:top w:val="single" w:color="000000" w:sz="4" w:space="0"/>
              <w:left w:val="single" w:color="000000" w:sz="4" w:space="0"/>
              <w:bottom w:val="single" w:color="000000" w:sz="4" w:space="0"/>
              <w:right w:val="single" w:color="000000" w:sz="4" w:space="0"/>
            </w:tcBorders>
            <w:noWrap w:val="0"/>
            <w:vAlign w:val="center"/>
          </w:tcPr>
          <w:p w14:paraId="22A1ADE0">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w:t>
            </w:r>
          </w:p>
        </w:tc>
      </w:tr>
      <w:tr w14:paraId="2598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6657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E91613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年度目标</w:t>
            </w:r>
          </w:p>
        </w:tc>
      </w:tr>
      <w:tr w14:paraId="44CA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331B2">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24E60F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实现电池级碳酸锂年产量2万吨</w:t>
            </w:r>
          </w:p>
        </w:tc>
      </w:tr>
      <w:tr w14:paraId="7A35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117F63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 指标</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48DEB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8C7F4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54CBAAE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AA8B84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指标性质</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7CFDCB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2FD45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度量单位</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CDD68B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权重</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F68F7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实际完成指标值</w:t>
            </w:r>
          </w:p>
        </w:tc>
      </w:tr>
      <w:tr w14:paraId="3FD2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190DB5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A766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F66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6A80BD09">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B407861">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C5C329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2万吨</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CB60F54">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万吨</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4F602A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696632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 xml:space="preserve">2万吨 </w:t>
            </w:r>
          </w:p>
        </w:tc>
      </w:tr>
      <w:tr w14:paraId="532B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883356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91E1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6BB4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99D759E">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能耗</w:t>
            </w: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1995382">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03C28A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44594.64tce</w:t>
            </w:r>
          </w:p>
        </w:tc>
        <w:tc>
          <w:tcPr>
            <w:tcW w:w="74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D86CEC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tce</w:t>
            </w:r>
          </w:p>
        </w:tc>
        <w:tc>
          <w:tcPr>
            <w:tcW w:w="101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E40E83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FDBC43D">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41610.53tce</w:t>
            </w:r>
          </w:p>
        </w:tc>
      </w:tr>
      <w:tr w14:paraId="2735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6EC2B4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2834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78B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5381DA0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产品质量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8B77A5">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EB0D3A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Li</w:t>
            </w:r>
            <w:r>
              <w:rPr>
                <w:rFonts w:hint="eastAsia" w:ascii="Times New Roman" w:hAnsi="Times New Roman" w:eastAsia="宋体" w:cs="Times New Roman"/>
                <w:i w:val="0"/>
                <w:color w:val="000000"/>
                <w:sz w:val="18"/>
                <w:szCs w:val="18"/>
                <w:u w:val="none"/>
                <w:vertAlign w:val="subscript"/>
                <w:lang w:val="en-US" w:eastAsia="zh-CN"/>
              </w:rPr>
              <w:t>2</w:t>
            </w:r>
            <w:r>
              <w:rPr>
                <w:rFonts w:hint="eastAsia" w:ascii="Times New Roman" w:hAnsi="Times New Roman" w:eastAsia="宋体" w:cs="Times New Roman"/>
                <w:i w:val="0"/>
                <w:color w:val="000000"/>
                <w:sz w:val="18"/>
                <w:szCs w:val="18"/>
                <w:u w:val="none"/>
                <w:lang w:val="en-US" w:eastAsia="zh-CN"/>
              </w:rPr>
              <w:t>CO</w:t>
            </w:r>
            <w:r>
              <w:rPr>
                <w:rFonts w:hint="eastAsia" w:ascii="Times New Roman" w:hAnsi="Times New Roman" w:eastAsia="宋体" w:cs="Times New Roman"/>
                <w:i w:val="0"/>
                <w:color w:val="000000"/>
                <w:sz w:val="18"/>
                <w:szCs w:val="18"/>
                <w:u w:val="none"/>
                <w:vertAlign w:val="subscript"/>
                <w:lang w:val="en-US" w:eastAsia="zh-CN"/>
              </w:rPr>
              <w:t>3≥</w:t>
            </w:r>
            <w:r>
              <w:rPr>
                <w:rFonts w:hint="eastAsia" w:ascii="Times New Roman" w:hAnsi="Times New Roman" w:eastAsia="宋体" w:cs="Times New Roman"/>
                <w:i w:val="0"/>
                <w:color w:val="000000"/>
                <w:sz w:val="18"/>
                <w:szCs w:val="18"/>
                <w:u w:val="none"/>
                <w:lang w:val="en-US" w:eastAsia="zh-CN"/>
              </w:rPr>
              <w:t>99.5%</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705C34B">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7F85C5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FAC25B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Li</w:t>
            </w:r>
            <w:r>
              <w:rPr>
                <w:rFonts w:hint="eastAsia" w:ascii="Times New Roman" w:hAnsi="Times New Roman" w:eastAsia="宋体" w:cs="Times New Roman"/>
                <w:i w:val="0"/>
                <w:color w:val="000000"/>
                <w:sz w:val="18"/>
                <w:szCs w:val="18"/>
                <w:u w:val="none"/>
                <w:vertAlign w:val="subscript"/>
                <w:lang w:val="en-US" w:eastAsia="zh-CN"/>
              </w:rPr>
              <w:t>2</w:t>
            </w:r>
            <w:r>
              <w:rPr>
                <w:rFonts w:hint="eastAsia" w:ascii="Times New Roman" w:hAnsi="Times New Roman" w:eastAsia="宋体" w:cs="Times New Roman"/>
                <w:i w:val="0"/>
                <w:color w:val="000000"/>
                <w:sz w:val="18"/>
                <w:szCs w:val="18"/>
                <w:u w:val="none"/>
                <w:lang w:val="en-US" w:eastAsia="zh-CN"/>
              </w:rPr>
              <w:t>CO</w:t>
            </w:r>
            <w:r>
              <w:rPr>
                <w:rFonts w:hint="eastAsia" w:ascii="Times New Roman" w:hAnsi="Times New Roman" w:eastAsia="宋体" w:cs="Times New Roman"/>
                <w:i w:val="0"/>
                <w:color w:val="000000"/>
                <w:sz w:val="18"/>
                <w:szCs w:val="18"/>
                <w:u w:val="none"/>
                <w:vertAlign w:val="subscript"/>
                <w:lang w:val="en-US" w:eastAsia="zh-CN"/>
              </w:rPr>
              <w:t>3≥</w:t>
            </w:r>
            <w:r>
              <w:rPr>
                <w:rFonts w:hint="eastAsia" w:ascii="Times New Roman" w:hAnsi="Times New Roman" w:eastAsia="宋体" w:cs="Times New Roman"/>
                <w:i w:val="0"/>
                <w:color w:val="000000"/>
                <w:sz w:val="18"/>
                <w:szCs w:val="18"/>
                <w:u w:val="none"/>
                <w:lang w:val="en-US" w:eastAsia="zh-CN"/>
              </w:rPr>
              <w:t>99.6%</w:t>
            </w:r>
          </w:p>
        </w:tc>
      </w:tr>
      <w:tr w14:paraId="234D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826E24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0DB3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51C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4B875A2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人均产值</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C8DF214">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3C8925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800万元/人</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2078C1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万元/人</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61BDF6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AB382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1385.90万元/人</w:t>
            </w:r>
          </w:p>
        </w:tc>
      </w:tr>
      <w:tr w14:paraId="19DF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8A164C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C803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1654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014C013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进展速度</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3F4C86C">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49288C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E2F2C6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4E55B5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9A1125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r>
      <w:tr w14:paraId="1FC1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C4765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68FF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3AF6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372F51C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处理周期</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FB03FA3">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9A2CA3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91B8273">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0A8449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AAC6F0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r>
      <w:tr w14:paraId="5C95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A17F0E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40A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A36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经济效益</w:t>
            </w:r>
          </w:p>
          <w:p w14:paraId="0E5879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41C447B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营业收入</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9BA8A71">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BFDBEE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15亿元</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8C66D81">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亿元</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A3249C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68F353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17.14亿元</w:t>
            </w:r>
          </w:p>
        </w:tc>
      </w:tr>
      <w:tr w14:paraId="7633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176AF6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9D4D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0C6D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1808F4B8">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产值</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D4F544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1CBC8E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25亿元</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0164D2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亿元</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7A02DF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613B67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30.49亿元</w:t>
            </w:r>
          </w:p>
        </w:tc>
      </w:tr>
      <w:tr w14:paraId="00F1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AF3056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CEF7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restart"/>
            <w:tcBorders>
              <w:top w:val="single" w:color="000000" w:sz="4" w:space="0"/>
              <w:left w:val="single" w:color="000000" w:sz="4" w:space="0"/>
              <w:right w:val="single" w:color="000000" w:sz="4" w:space="0"/>
            </w:tcBorders>
            <w:noWrap w:val="0"/>
            <w:vAlign w:val="center"/>
          </w:tcPr>
          <w:p w14:paraId="083C0E6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社会效益</w:t>
            </w:r>
          </w:p>
          <w:p w14:paraId="5A85E6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062080F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综合污染物排放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83A9F4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93EEDA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12000kg/t</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215FC6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kg/t</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9F763A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1C54F1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10380.22kg/t</w:t>
            </w:r>
          </w:p>
        </w:tc>
      </w:tr>
      <w:tr w14:paraId="4572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8033AA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E809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312" w:type="dxa"/>
            <w:vMerge w:val="continue"/>
            <w:tcBorders>
              <w:top w:val="single" w:color="000000" w:sz="4" w:space="0"/>
              <w:left w:val="single" w:color="000000" w:sz="4" w:space="0"/>
              <w:right w:val="single" w:color="000000" w:sz="4" w:space="0"/>
            </w:tcBorders>
            <w:noWrap w:val="0"/>
            <w:vAlign w:val="center"/>
          </w:tcPr>
          <w:p w14:paraId="5C774CF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2D285C1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员工权益保障</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DBB135A">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2DF611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DF9D4D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F7F21E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040B19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r>
      <w:tr w14:paraId="4A53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70749D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tcBorders>
              <w:top w:val="single" w:color="000000" w:sz="4" w:space="0"/>
              <w:left w:val="single" w:color="000000" w:sz="4" w:space="0"/>
              <w:right w:val="single" w:color="000000" w:sz="4" w:space="0"/>
            </w:tcBorders>
            <w:noWrap w:val="0"/>
            <w:vAlign w:val="center"/>
          </w:tcPr>
          <w:p w14:paraId="71620A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满意度</w:t>
            </w:r>
          </w:p>
          <w:p w14:paraId="185E870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w:t>
            </w:r>
          </w:p>
        </w:tc>
        <w:tc>
          <w:tcPr>
            <w:tcW w:w="1312" w:type="dxa"/>
            <w:tcBorders>
              <w:top w:val="single" w:color="000000" w:sz="4" w:space="0"/>
              <w:left w:val="single" w:color="000000" w:sz="4" w:space="0"/>
              <w:right w:val="single" w:color="000000" w:sz="4" w:space="0"/>
            </w:tcBorders>
            <w:noWrap w:val="0"/>
            <w:vAlign w:val="center"/>
          </w:tcPr>
          <w:p w14:paraId="1876222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服务对象</w:t>
            </w:r>
          </w:p>
          <w:p w14:paraId="4F89D1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3BB3772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客户投诉</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9522180">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973033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5</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402E17A">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件</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2CDBEE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04B72F5">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w:t>
            </w:r>
          </w:p>
        </w:tc>
      </w:tr>
      <w:tr w14:paraId="24F3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D16F99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A55A7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48118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经济成本</w:t>
            </w:r>
          </w:p>
          <w:p w14:paraId="0E63E0B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w:t>
            </w:r>
          </w:p>
        </w:tc>
        <w:tc>
          <w:tcPr>
            <w:tcW w:w="1622" w:type="dxa"/>
            <w:tcBorders>
              <w:top w:val="single" w:color="000000" w:sz="4" w:space="0"/>
              <w:bottom w:val="single" w:color="000000" w:sz="4" w:space="0"/>
              <w:right w:val="single" w:color="000000" w:sz="4" w:space="0"/>
            </w:tcBorders>
            <w:noWrap w:val="0"/>
            <w:vAlign w:val="center"/>
          </w:tcPr>
          <w:p w14:paraId="0143127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单位产值能耗</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264C43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A206CB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300kgce/万元</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178A0B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kgce/万元</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B8A323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BC41ED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136.47 kgce/万元</w:t>
            </w:r>
          </w:p>
        </w:tc>
      </w:tr>
      <w:tr w14:paraId="778E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338" w:type="dxa"/>
            <w:gridSpan w:val="7"/>
            <w:tcBorders>
              <w:top w:val="single" w:color="000000" w:sz="4" w:space="0"/>
              <w:left w:val="single" w:color="000000" w:sz="4" w:space="0"/>
              <w:bottom w:val="single" w:color="000000" w:sz="4" w:space="0"/>
              <w:right w:val="single" w:color="000000" w:sz="4" w:space="0"/>
            </w:tcBorders>
            <w:noWrap w:val="0"/>
            <w:vAlign w:val="center"/>
          </w:tcPr>
          <w:p w14:paraId="203AAB5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指标得分</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6FF9779">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79C25A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r>
    </w:tbl>
    <w:p w14:paraId="6F426431">
      <w:pPr>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jc w:val="both"/>
        <w:textAlignment w:val="auto"/>
        <w:rPr>
          <w:rFonts w:hint="default" w:ascii="Times New Roman" w:hAnsi="Times New Roman" w:eastAsia="黑体" w:cs="Times New Roman"/>
          <w:kern w:val="2"/>
          <w:sz w:val="24"/>
          <w:szCs w:val="24"/>
          <w:highlight w:val="none"/>
          <w:lang w:val="en-US" w:eastAsia="zh-CN" w:bidi="ar-SA"/>
        </w:rPr>
      </w:pPr>
    </w:p>
    <w:p w14:paraId="3BBBA1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kern w:val="2"/>
          <w:sz w:val="24"/>
          <w:szCs w:val="24"/>
          <w:highlight w:val="none"/>
          <w:lang w:val="en-US" w:eastAsia="zh-CN" w:bidi="ar-SA"/>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946"/>
        <w:gridCol w:w="899"/>
        <w:gridCol w:w="1462"/>
        <w:gridCol w:w="1353"/>
        <w:gridCol w:w="1050"/>
        <w:gridCol w:w="700"/>
        <w:gridCol w:w="1121"/>
        <w:gridCol w:w="1631"/>
      </w:tblGrid>
      <w:tr w14:paraId="34D6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9814" w:type="dxa"/>
            <w:gridSpan w:val="9"/>
            <w:noWrap w:val="0"/>
            <w:vAlign w:val="center"/>
          </w:tcPr>
          <w:p w14:paraId="131910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3188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3959" w:type="dxa"/>
            <w:gridSpan w:val="4"/>
            <w:tcBorders>
              <w:top w:val="single" w:color="000000" w:sz="4" w:space="0"/>
              <w:left w:val="single" w:color="000000" w:sz="4" w:space="0"/>
              <w:bottom w:val="single" w:color="000000" w:sz="4" w:space="0"/>
              <w:right w:val="single" w:color="000000" w:sz="4" w:space="0"/>
            </w:tcBorders>
            <w:noWrap w:val="0"/>
            <w:vAlign w:val="center"/>
          </w:tcPr>
          <w:p w14:paraId="63517D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6EFD504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制造业“智改数转”切块资金项目</w:t>
            </w:r>
          </w:p>
        </w:tc>
      </w:tr>
      <w:tr w14:paraId="5BCA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3959" w:type="dxa"/>
            <w:gridSpan w:val="4"/>
            <w:tcBorders>
              <w:top w:val="single" w:color="000000" w:sz="4" w:space="0"/>
              <w:left w:val="single" w:color="000000" w:sz="4" w:space="0"/>
              <w:bottom w:val="single" w:color="000000" w:sz="4" w:space="0"/>
              <w:right w:val="single" w:color="000000" w:sz="4" w:space="0"/>
            </w:tcBorders>
            <w:noWrap w:val="0"/>
            <w:vAlign w:val="center"/>
          </w:tcPr>
          <w:p w14:paraId="0383EB3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预算单位</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2B7590A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遂宁市经济和信息化局</w:t>
            </w:r>
          </w:p>
        </w:tc>
      </w:tr>
      <w:tr w14:paraId="3290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59" w:type="dxa"/>
            <w:gridSpan w:val="4"/>
            <w:tcBorders>
              <w:top w:val="single" w:color="000000" w:sz="4" w:space="0"/>
              <w:left w:val="single" w:color="000000" w:sz="4" w:space="0"/>
              <w:bottom w:val="single" w:color="000000" w:sz="4" w:space="0"/>
              <w:right w:val="single" w:color="000000" w:sz="4" w:space="0"/>
            </w:tcBorders>
            <w:noWrap w:val="0"/>
            <w:vAlign w:val="center"/>
          </w:tcPr>
          <w:p w14:paraId="350681B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项目类型</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2CC4617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r>
      <w:tr w14:paraId="071B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2D01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 概况</w:t>
            </w: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6F96400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中长期规划（名称、文号，仅指</w:t>
            </w:r>
          </w:p>
          <w:p w14:paraId="7FDEFE7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常年项目）</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2888DC8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制造业“智改数转”切块资金项目</w:t>
            </w:r>
          </w:p>
        </w:tc>
      </w:tr>
      <w:tr w14:paraId="04D9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5C8D9">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68A7010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资金管理办法（名称、文号）</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5938CD17">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(川财建〔2024〕155号)</w:t>
            </w:r>
            <w:r>
              <w:rPr>
                <w:rFonts w:hint="eastAsia" w:ascii="Times New Roman" w:hAnsi="Times New Roman" w:eastAsia="宋体" w:cs="Times New Roman"/>
                <w:i w:val="0"/>
                <w:color w:val="000000"/>
                <w:sz w:val="18"/>
                <w:szCs w:val="18"/>
                <w:u w:val="none"/>
                <w:lang w:val="en-US" w:eastAsia="zh-CN"/>
              </w:rPr>
              <w:t>、</w:t>
            </w:r>
            <w:r>
              <w:rPr>
                <w:rFonts w:hint="default" w:ascii="Times New Roman" w:hAnsi="Times New Roman" w:eastAsia="宋体" w:cs="Times New Roman"/>
                <w:i w:val="0"/>
                <w:color w:val="000000"/>
                <w:sz w:val="18"/>
                <w:szCs w:val="18"/>
                <w:u w:val="none"/>
                <w:lang w:val="en-US" w:eastAsia="zh-CN"/>
              </w:rPr>
              <w:t>(川财建〔2024〕239号)</w:t>
            </w:r>
          </w:p>
        </w:tc>
      </w:tr>
      <w:tr w14:paraId="3029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926F">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5BEADBC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绩效分配方式</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8E2FD2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sym w:font="Wingdings" w:char="00A8"/>
            </w:r>
            <w:r>
              <w:rPr>
                <w:rFonts w:hint="default" w:ascii="Times New Roman" w:hAnsi="Times New Roman" w:eastAsia="宋体" w:cs="Times New Roman"/>
                <w:i w:val="0"/>
                <w:color w:val="000000"/>
                <w:kern w:val="0"/>
                <w:sz w:val="18"/>
                <w:szCs w:val="18"/>
                <w:u w:val="none"/>
                <w:lang w:val="en-US" w:eastAsia="zh-CN" w:bidi="ar"/>
              </w:rPr>
              <w:t>因素法</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14D9207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t>o</w:t>
            </w:r>
            <w:r>
              <w:rPr>
                <w:rFonts w:hint="default" w:ascii="Times New Roman" w:hAnsi="Times New Roman" w:eastAsia="Wingdings 2" w:cs="Times New Roman"/>
                <w:i w:val="0"/>
                <w:color w:val="000000"/>
                <w:kern w:val="0"/>
                <w:sz w:val="18"/>
                <w:szCs w:val="18"/>
                <w:u w:val="none"/>
                <w:lang w:val="en-US" w:eastAsia="zh-CN" w:bidi="ar"/>
              </w:rPr>
              <w:t>项目法</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F61EB2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sym w:font="Wingdings" w:char="00A8"/>
            </w:r>
            <w:r>
              <w:rPr>
                <w:rFonts w:hint="default" w:ascii="Times New Roman" w:hAnsi="Times New Roman" w:eastAsia="宋体" w:cs="Times New Roman"/>
                <w:i w:val="0"/>
                <w:color w:val="000000"/>
                <w:kern w:val="0"/>
                <w:sz w:val="18"/>
                <w:szCs w:val="18"/>
                <w:u w:val="none"/>
                <w:lang w:val="en-US" w:eastAsia="zh-CN" w:bidi="ar"/>
              </w:rPr>
              <w:t>据实据效</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8381F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Wingdings 2" w:cs="Times New Roman"/>
                <w:i w:val="0"/>
                <w:color w:val="000000"/>
                <w:sz w:val="18"/>
                <w:szCs w:val="18"/>
                <w:u w:val="none"/>
              </w:rPr>
            </w:pPr>
            <w:r>
              <w:rPr>
                <w:rFonts w:ascii="Wingdings" w:hAnsi="Wingdings" w:eastAsia="Wingdings" w:cs="Wingdings"/>
                <w:spacing w:val="3"/>
                <w:position w:val="1"/>
                <w:sz w:val="18"/>
                <w:szCs w:val="18"/>
              </w:rPr>
              <w:sym w:font="Wingdings" w:char="00FE"/>
            </w:r>
            <w:r>
              <w:rPr>
                <w:rFonts w:hint="default" w:ascii="Times New Roman" w:hAnsi="Times New Roman" w:eastAsia="宋体" w:cs="Times New Roman"/>
                <w:i w:val="0"/>
                <w:color w:val="000000"/>
                <w:kern w:val="0"/>
                <w:sz w:val="18"/>
                <w:szCs w:val="18"/>
                <w:u w:val="none"/>
                <w:lang w:val="en-US" w:eastAsia="zh-CN" w:bidi="ar"/>
              </w:rPr>
              <w:t>因素法与项目法相结合</w:t>
            </w:r>
          </w:p>
        </w:tc>
      </w:tr>
      <w:tr w14:paraId="2B1B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52E50">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77EB37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立项依据</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28B6154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川财建[2024] 323号</w:t>
            </w:r>
          </w:p>
        </w:tc>
      </w:tr>
      <w:tr w14:paraId="12AD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DBCE9">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6F8F1B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使用范围</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615BADC3">
            <w:pPr>
              <w:keepNext w:val="0"/>
              <w:keepLines w:val="0"/>
              <w:pageBreakBefore w:val="0"/>
              <w:kinsoku/>
              <w:wordWrap/>
              <w:overflowPunct/>
              <w:topLinePunct w:val="0"/>
              <w:autoSpaceDE/>
              <w:autoSpaceDN/>
              <w:bidi w:val="0"/>
              <w:adjustRightInd/>
              <w:snapToGrid/>
              <w:spacing w:line="320" w:lineRule="exact"/>
              <w:ind w:left="0" w:leftChars="0"/>
              <w:jc w:val="left"/>
              <w:rPr>
                <w:rFonts w:hint="default" w:ascii="Times New Roman" w:hAnsi="Times New Roman" w:eastAsia="宋体" w:cs="Times New Roman"/>
                <w:i w:val="0"/>
                <w:color w:val="000000"/>
                <w:sz w:val="18"/>
                <w:szCs w:val="18"/>
                <w:u w:val="none"/>
              </w:rPr>
            </w:pPr>
          </w:p>
        </w:tc>
      </w:tr>
      <w:tr w14:paraId="064B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A1714">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1EDAF05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申报（补助）条件</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35638D1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项目符合企业智改数转网联、产业链和集群数字化转型重点方向</w:t>
            </w:r>
          </w:p>
        </w:tc>
      </w:tr>
      <w:tr w14:paraId="3D0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3A2CC">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3307" w:type="dxa"/>
            <w:gridSpan w:val="3"/>
            <w:tcBorders>
              <w:top w:val="single" w:color="000000" w:sz="4" w:space="0"/>
              <w:left w:val="single" w:color="000000" w:sz="4" w:space="0"/>
              <w:bottom w:val="single" w:color="000000" w:sz="4" w:space="0"/>
              <w:right w:val="single" w:color="000000" w:sz="4" w:space="0"/>
            </w:tcBorders>
            <w:noWrap w:val="0"/>
            <w:vAlign w:val="center"/>
          </w:tcPr>
          <w:p w14:paraId="6A9C80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项目起止年限</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4626E4F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2021.11-2024.12</w:t>
            </w:r>
          </w:p>
        </w:tc>
      </w:tr>
      <w:tr w14:paraId="1521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9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676D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项目资金</w:t>
            </w:r>
          </w:p>
          <w:p w14:paraId="351E87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2361" w:type="dxa"/>
            <w:gridSpan w:val="2"/>
            <w:tcBorders>
              <w:top w:val="single" w:color="000000" w:sz="4" w:space="0"/>
              <w:left w:val="single" w:color="000000" w:sz="4" w:space="0"/>
              <w:bottom w:val="single" w:color="000000" w:sz="4" w:space="0"/>
              <w:right w:val="single" w:color="000000" w:sz="4" w:space="0"/>
            </w:tcBorders>
            <w:noWrap w:val="0"/>
            <w:vAlign w:val="center"/>
          </w:tcPr>
          <w:p w14:paraId="3D15C5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6D4412D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54225.98万元</w:t>
            </w:r>
          </w:p>
        </w:tc>
      </w:tr>
      <w:tr w14:paraId="2571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E9F136">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noWrap w:val="0"/>
            <w:vAlign w:val="center"/>
          </w:tcPr>
          <w:p w14:paraId="16453EC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其中：财政拨款</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1979177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4367万元</w:t>
            </w:r>
          </w:p>
        </w:tc>
      </w:tr>
      <w:tr w14:paraId="205A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F92473">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noWrap w:val="0"/>
            <w:vAlign w:val="center"/>
          </w:tcPr>
          <w:p w14:paraId="2A313E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其他资金</w:t>
            </w:r>
          </w:p>
        </w:tc>
        <w:tc>
          <w:tcPr>
            <w:tcW w:w="5855" w:type="dxa"/>
            <w:gridSpan w:val="5"/>
            <w:tcBorders>
              <w:top w:val="single" w:color="000000" w:sz="4" w:space="0"/>
              <w:left w:val="single" w:color="000000" w:sz="4" w:space="0"/>
              <w:bottom w:val="single" w:color="000000" w:sz="4" w:space="0"/>
              <w:right w:val="single" w:color="000000" w:sz="4" w:space="0"/>
            </w:tcBorders>
            <w:noWrap w:val="0"/>
            <w:vAlign w:val="center"/>
          </w:tcPr>
          <w:p w14:paraId="7C4537D4">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w:t>
            </w:r>
          </w:p>
        </w:tc>
      </w:tr>
      <w:tr w14:paraId="48B4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0E48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 目标</w:t>
            </w:r>
          </w:p>
        </w:tc>
        <w:tc>
          <w:tcPr>
            <w:tcW w:w="9162" w:type="dxa"/>
            <w:gridSpan w:val="8"/>
            <w:tcBorders>
              <w:top w:val="single" w:color="000000" w:sz="4" w:space="0"/>
              <w:left w:val="single" w:color="000000" w:sz="4" w:space="0"/>
              <w:bottom w:val="single" w:color="000000" w:sz="4" w:space="0"/>
              <w:right w:val="single" w:color="000000" w:sz="4" w:space="0"/>
            </w:tcBorders>
            <w:noWrap w:val="0"/>
            <w:vAlign w:val="center"/>
          </w:tcPr>
          <w:p w14:paraId="7E62844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年度目标</w:t>
            </w:r>
          </w:p>
        </w:tc>
      </w:tr>
      <w:tr w14:paraId="20B6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5C6CF">
            <w:pPr>
              <w:keepNext w:val="0"/>
              <w:keepLines w:val="0"/>
              <w:pageBreakBefore w:val="0"/>
              <w:kinsoku/>
              <w:wordWrap/>
              <w:overflowPunct/>
              <w:topLinePunct w:val="0"/>
              <w:autoSpaceDE/>
              <w:autoSpaceDN/>
              <w:bidi w:val="0"/>
              <w:adjustRightInd/>
              <w:snapToGrid/>
              <w:spacing w:line="320" w:lineRule="exact"/>
              <w:ind w:left="0" w:leftChars="0"/>
              <w:rPr>
                <w:rFonts w:hint="default" w:ascii="Times New Roman" w:hAnsi="Times New Roman" w:eastAsia="宋体" w:cs="Times New Roman"/>
                <w:i w:val="0"/>
                <w:color w:val="000000"/>
                <w:sz w:val="18"/>
                <w:szCs w:val="18"/>
                <w:u w:val="none"/>
              </w:rPr>
            </w:pPr>
          </w:p>
        </w:tc>
        <w:tc>
          <w:tcPr>
            <w:tcW w:w="9162" w:type="dxa"/>
            <w:gridSpan w:val="8"/>
            <w:tcBorders>
              <w:top w:val="single" w:color="000000" w:sz="4" w:space="0"/>
              <w:left w:val="single" w:color="000000" w:sz="4" w:space="0"/>
              <w:bottom w:val="single" w:color="000000" w:sz="4" w:space="0"/>
              <w:right w:val="single" w:color="000000" w:sz="4" w:space="0"/>
            </w:tcBorders>
            <w:noWrap w:val="0"/>
            <w:vAlign w:val="center"/>
          </w:tcPr>
          <w:p w14:paraId="613DE0B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降本增效、提质扩绿</w:t>
            </w:r>
          </w:p>
        </w:tc>
      </w:tr>
      <w:tr w14:paraId="58EA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050EE7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 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B89E1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4227CE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14EFD5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F7F38C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77D8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A587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度量单位</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ADC33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权重</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31462F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实际完成指标值</w:t>
            </w:r>
          </w:p>
        </w:tc>
      </w:tr>
      <w:tr w14:paraId="4759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CE9E71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5A91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67B2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9E13DE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产量</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1F405C">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3E680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58550C">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0E47D9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6F3BFF4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2F63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25F164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1BF9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DFC5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592840B">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能耗</w:t>
            </w:r>
          </w:p>
        </w:tc>
        <w:tc>
          <w:tcPr>
            <w:tcW w:w="135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B75F8B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F9D773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96A793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1F90A7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328F0C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1A6B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9E8965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362C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C3F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36B945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产品质量</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6A2FB8">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9082A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CE5A123">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5FC45E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0B069D68">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7BF0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C43FBE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81E3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74FC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54EC58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人均产值</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F3FDA18">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1DA22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6C35E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0774B4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25441C9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1.1</w:t>
            </w:r>
          </w:p>
        </w:tc>
      </w:tr>
      <w:tr w14:paraId="13B7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60CB3B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0A88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170E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74DF51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进展速度</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9BEA1AA">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7CF28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73036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FC6775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C28FC2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1846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545A12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2F8F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8F46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B017B4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处理周期</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C85411E">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3F74E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63E0A93">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73031B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4FAC2F7">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1108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C97DEC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1DC0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D2F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经济效益指标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FE27B8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营业收入</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FFBA16C">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CE5869">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88B0D1D">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F5E188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4035EF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33.36亿元</w:t>
            </w:r>
          </w:p>
        </w:tc>
      </w:tr>
      <w:tr w14:paraId="3D73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2BD57F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1C35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B47E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7E3ABD5">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产值</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91ACC0">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8D84E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A0A5A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A0BAF9B">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F23893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34.63亿元</w:t>
            </w:r>
          </w:p>
        </w:tc>
      </w:tr>
      <w:tr w14:paraId="4592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DE4D024">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FAF9C">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restart"/>
            <w:tcBorders>
              <w:top w:val="single" w:color="000000" w:sz="4" w:space="0"/>
              <w:left w:val="single" w:color="000000" w:sz="4" w:space="0"/>
              <w:right w:val="single" w:color="000000" w:sz="4" w:space="0"/>
            </w:tcBorders>
            <w:noWrap w:val="0"/>
            <w:vAlign w:val="center"/>
          </w:tcPr>
          <w:p w14:paraId="477604C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48DB60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综合污染物排放</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755A06F">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72640">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9B858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E061BF2">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42CB73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1.01</w:t>
            </w:r>
          </w:p>
        </w:tc>
      </w:tr>
      <w:tr w14:paraId="6FA7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7701E0F">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3181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899" w:type="dxa"/>
            <w:vMerge w:val="continue"/>
            <w:tcBorders>
              <w:top w:val="single" w:color="000000" w:sz="4" w:space="0"/>
              <w:left w:val="single" w:color="000000" w:sz="4" w:space="0"/>
              <w:right w:val="single" w:color="000000" w:sz="4" w:space="0"/>
            </w:tcBorders>
            <w:noWrap w:val="0"/>
            <w:vAlign w:val="center"/>
          </w:tcPr>
          <w:p w14:paraId="017ABC1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BDC2B1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员工权益保障</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0573D3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定性</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95740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438ACE">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198FD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43BCDE6">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711B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8E22683">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tcBorders>
              <w:top w:val="single" w:color="000000" w:sz="4" w:space="0"/>
              <w:left w:val="single" w:color="000000" w:sz="4" w:space="0"/>
              <w:right w:val="single" w:color="000000" w:sz="4" w:space="0"/>
            </w:tcBorders>
            <w:noWrap w:val="0"/>
            <w:vAlign w:val="center"/>
          </w:tcPr>
          <w:p w14:paraId="096A73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满意度</w:t>
            </w:r>
          </w:p>
          <w:p w14:paraId="4443B4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w:t>
            </w:r>
          </w:p>
        </w:tc>
        <w:tc>
          <w:tcPr>
            <w:tcW w:w="899" w:type="dxa"/>
            <w:tcBorders>
              <w:top w:val="single" w:color="000000" w:sz="4" w:space="0"/>
              <w:left w:val="single" w:color="000000" w:sz="4" w:space="0"/>
              <w:right w:val="single" w:color="000000" w:sz="4" w:space="0"/>
            </w:tcBorders>
            <w:noWrap w:val="0"/>
            <w:vAlign w:val="center"/>
          </w:tcPr>
          <w:p w14:paraId="5F2BA8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42F810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客户投诉</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33D971">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32770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45C1C3">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C95115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3F7F6D1">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w:t>
            </w:r>
          </w:p>
        </w:tc>
      </w:tr>
      <w:tr w14:paraId="2022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EB3811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EDA5F1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70C5CB2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经济成本指标</w:t>
            </w:r>
          </w:p>
        </w:tc>
        <w:tc>
          <w:tcPr>
            <w:tcW w:w="1462" w:type="dxa"/>
            <w:tcBorders>
              <w:top w:val="single" w:color="000000" w:sz="4" w:space="0"/>
              <w:bottom w:val="single" w:color="000000" w:sz="4" w:space="0"/>
              <w:right w:val="single" w:color="000000" w:sz="4" w:space="0"/>
            </w:tcBorders>
            <w:noWrap w:val="0"/>
            <w:vAlign w:val="center"/>
          </w:tcPr>
          <w:p w14:paraId="5012C52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单位产值能耗</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793F066">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定量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E8FF61">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9931FD">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43661E8">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1C833A4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0.9</w:t>
            </w:r>
          </w:p>
        </w:tc>
      </w:tr>
      <w:tr w14:paraId="33AF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062" w:type="dxa"/>
            <w:gridSpan w:val="7"/>
            <w:tcBorders>
              <w:top w:val="single" w:color="000000" w:sz="4" w:space="0"/>
              <w:left w:val="single" w:color="000000" w:sz="4" w:space="0"/>
              <w:bottom w:val="single" w:color="000000" w:sz="4" w:space="0"/>
              <w:right w:val="single" w:color="000000" w:sz="4" w:space="0"/>
            </w:tcBorders>
            <w:noWrap w:val="0"/>
            <w:vAlign w:val="center"/>
          </w:tcPr>
          <w:p w14:paraId="2B2C539A">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指标得分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6D94BBE">
            <w:pPr>
              <w:keepNext w:val="0"/>
              <w:keepLines w:val="0"/>
              <w:pageBreakBefore w:val="0"/>
              <w:kinsoku/>
              <w:wordWrap/>
              <w:overflowPunct/>
              <w:topLinePunct w:val="0"/>
              <w:autoSpaceDE/>
              <w:autoSpaceDN/>
              <w:bidi w:val="0"/>
              <w:adjustRightInd/>
              <w:snapToGrid/>
              <w:spacing w:line="320" w:lineRule="exact"/>
              <w:ind w:left="0" w:leftChars="0"/>
              <w:jc w:val="center"/>
              <w:rPr>
                <w:rFonts w:hint="eastAsia" w:ascii="Times New Roman" w:hAnsi="Times New Roman" w:eastAsia="宋体" w:cs="Times New Roman"/>
                <w:i w:val="0"/>
                <w:color w:val="000000"/>
                <w:sz w:val="18"/>
                <w:szCs w:val="18"/>
                <w:u w:val="none"/>
                <w:lang w:val="en-US" w:eastAsia="zh-CN"/>
              </w:rPr>
            </w:pP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5A15555">
            <w:pPr>
              <w:keepNext w:val="0"/>
              <w:keepLines w:val="0"/>
              <w:pageBreakBefore w:val="0"/>
              <w:kinsoku/>
              <w:wordWrap/>
              <w:overflowPunct/>
              <w:topLinePunct w:val="0"/>
              <w:autoSpaceDE/>
              <w:autoSpaceDN/>
              <w:bidi w:val="0"/>
              <w:adjustRightInd/>
              <w:snapToGrid/>
              <w:spacing w:line="320" w:lineRule="exact"/>
              <w:ind w:left="0" w:leftChars="0"/>
              <w:jc w:val="center"/>
              <w:rPr>
                <w:rFonts w:hint="default" w:ascii="Times New Roman" w:hAnsi="Times New Roman" w:eastAsia="宋体" w:cs="Times New Roman"/>
                <w:i w:val="0"/>
                <w:color w:val="000000"/>
                <w:sz w:val="18"/>
                <w:szCs w:val="18"/>
                <w:u w:val="none"/>
              </w:rPr>
            </w:pPr>
          </w:p>
        </w:tc>
      </w:tr>
    </w:tbl>
    <w:p w14:paraId="573B7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专项资金绩效自评报告</w:t>
      </w:r>
    </w:p>
    <w:p w14:paraId="045003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（制造业高质量发展奖励资金）</w:t>
      </w:r>
    </w:p>
    <w:p w14:paraId="73121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lang w:val="zh-CN"/>
        </w:rPr>
        <w:t>项目概况</w:t>
      </w:r>
    </w:p>
    <w:p w14:paraId="32BB282D">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zh-CN"/>
        </w:rPr>
        <w:t>（一）设立背景及基本情况。</w:t>
      </w:r>
      <w:r>
        <w:rPr>
          <w:rFonts w:hint="default" w:ascii="Times New Roman" w:hAnsi="Times New Roman" w:eastAsia="仿宋_GB2312" w:cs="Times New Roman"/>
          <w:color w:val="auto"/>
          <w:kern w:val="2"/>
          <w:sz w:val="32"/>
          <w:szCs w:val="32"/>
          <w:lang w:val="en-US" w:eastAsia="zh-CN" w:bidi="ar-SA"/>
        </w:rPr>
        <w:t>根据《遂宁市安居区人民政府关于印发〈关于加快推进制造业高质量发展的若干政策〉的通知》（</w:t>
      </w:r>
      <w:r>
        <w:rPr>
          <w:rFonts w:hint="eastAsia" w:ascii="Times New Roman" w:hAnsi="Times New Roman" w:eastAsia="仿宋_GB2312" w:cs="Times New Roman"/>
          <w:color w:val="auto"/>
          <w:kern w:val="2"/>
          <w:sz w:val="32"/>
          <w:szCs w:val="32"/>
          <w:lang w:val="en-US" w:eastAsia="zh-CN" w:bidi="ar-SA"/>
        </w:rPr>
        <w:t>以下简称《若干政策》）</w:t>
      </w:r>
      <w:r>
        <w:rPr>
          <w:rFonts w:hint="default" w:ascii="Times New Roman" w:hAnsi="Times New Roman" w:eastAsia="仿宋_GB2312" w:cs="Times New Roman"/>
          <w:color w:val="auto"/>
          <w:kern w:val="2"/>
          <w:sz w:val="32"/>
          <w:szCs w:val="32"/>
          <w:lang w:val="en-US" w:eastAsia="zh-CN" w:bidi="ar-SA"/>
        </w:rPr>
        <w:t>文件</w:t>
      </w:r>
      <w:r>
        <w:rPr>
          <w:rFonts w:hint="eastAsia" w:ascii="Times New Roman" w:hAnsi="Times New Roman" w:eastAsia="仿宋_GB2312" w:cs="Times New Roman"/>
          <w:color w:val="auto"/>
          <w:kern w:val="2"/>
          <w:sz w:val="32"/>
          <w:szCs w:val="32"/>
          <w:lang w:val="en-US" w:eastAsia="zh-CN" w:bidi="ar-SA"/>
        </w:rPr>
        <w:t>要求，每年由我局和区财政局牵头，区委组织部、区人社局、区市场监管局、区自然资源和规划局、区金融办、区商务局、区水利局、区税务局、区经济合作局、区应急局、安居生态环境局等相关部门配合，组织兑现上一年度奖励。同时按照《若干政策》第十六条中兑现程序要求，第二、四、七、八、十三条措施由我局组织初核，第三、五、六条措施由我局、区水利局、区应急局、区市场监管局就相关内容组织初核，第九条措施由区市场监管局、区委组织部、区人社局就相关内容组织初核，第十条措施由区市场监管局组织初核，第十一条由区市场监管局、区税务局组织初核，第十二条由区商务局组织初核，第十四条措施由区金融办组织初核，第十五条由区自然资源和规划局组织初核。相关部门初核后，由我局汇总相关意见初步形成《兑现方案》。通过“</w:t>
      </w:r>
      <w:r>
        <w:rPr>
          <w:rFonts w:hint="default" w:ascii="Times New Roman" w:hAnsi="Times New Roman" w:eastAsia="仿宋_GB2312" w:cs="Times New Roman"/>
          <w:color w:val="auto"/>
          <w:kern w:val="2"/>
          <w:sz w:val="32"/>
          <w:szCs w:val="32"/>
          <w:lang w:val="en-US" w:eastAsia="zh-CN" w:bidi="ar-SA"/>
        </w:rPr>
        <w:t>OA</w:t>
      </w:r>
      <w:r>
        <w:rPr>
          <w:rFonts w:hint="eastAsia" w:ascii="Times New Roman" w:hAnsi="Times New Roman" w:eastAsia="仿宋_GB2312" w:cs="Times New Roman"/>
          <w:color w:val="auto"/>
          <w:kern w:val="2"/>
          <w:sz w:val="32"/>
          <w:szCs w:val="32"/>
          <w:lang w:val="en-US" w:eastAsia="zh-CN" w:bidi="ar-SA"/>
        </w:rPr>
        <w:t>”系统征求区级相关部门意见，修改完善经局党组会研究后，提报工业工作专题会议审议。按照工业工作专题会议审议要求修改后，委托律师事务所出具《兑现方案》法律意见书，并组织相关专家和工作人员开展《兑现方案》必要性、科学性和可行性论证及风险评估，待相关流程走完后，通过区融媒体在网上公示《兑现方案》拟支持企业名单。收集完公众意见后，提报区委财经委员会议审议。按照区委财经委员会议审议要求修改后，组织开展《兑现方案》公平竞争审查和合法性审查，通过区政府五届55次常务会议纪要，最终形成兑现方案。</w:t>
      </w:r>
    </w:p>
    <w:p w14:paraId="17514BA2">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我区组织遂宁拓普</w:t>
      </w:r>
      <w:r>
        <w:rPr>
          <w:rFonts w:hint="eastAsia" w:ascii="Times New Roman" w:hAnsi="Times New Roman" w:eastAsia="仿宋_GB2312" w:cs="Times New Roman"/>
          <w:color w:val="auto"/>
          <w:kern w:val="2"/>
          <w:sz w:val="32"/>
          <w:szCs w:val="32"/>
          <w:lang w:val="en-US" w:eastAsia="zh-CN" w:bidi="ar-SA"/>
        </w:rPr>
        <w:t>、四川骏瑞、四川江淮等27家</w:t>
      </w:r>
      <w:r>
        <w:rPr>
          <w:rFonts w:hint="default" w:ascii="Times New Roman" w:hAnsi="Times New Roman" w:eastAsia="仿宋_GB2312" w:cs="Times New Roman"/>
          <w:color w:val="auto"/>
          <w:kern w:val="2"/>
          <w:sz w:val="32"/>
          <w:szCs w:val="32"/>
          <w:lang w:val="en-US" w:eastAsia="zh-CN" w:bidi="ar-SA"/>
        </w:rPr>
        <w:t>符合条件</w:t>
      </w:r>
      <w:r>
        <w:rPr>
          <w:rFonts w:hint="eastAsia" w:ascii="Times New Roman" w:hAnsi="Times New Roman" w:eastAsia="仿宋_GB2312" w:cs="Times New Roman"/>
          <w:color w:val="auto"/>
          <w:kern w:val="2"/>
          <w:sz w:val="32"/>
          <w:szCs w:val="32"/>
          <w:lang w:val="en-US" w:eastAsia="zh-CN" w:bidi="ar-SA"/>
        </w:rPr>
        <w:t>的企业</w:t>
      </w:r>
      <w:r>
        <w:rPr>
          <w:rFonts w:hint="default" w:ascii="Times New Roman" w:hAnsi="Times New Roman" w:eastAsia="仿宋_GB2312" w:cs="Times New Roman"/>
          <w:color w:val="auto"/>
          <w:kern w:val="2"/>
          <w:sz w:val="32"/>
          <w:szCs w:val="32"/>
          <w:lang w:val="en-US" w:eastAsia="zh-CN" w:bidi="ar-SA"/>
        </w:rPr>
        <w:t>涉及奖励7个方面</w:t>
      </w:r>
      <w:r>
        <w:rPr>
          <w:rFonts w:hint="eastAsia" w:ascii="Times New Roman" w:hAnsi="Times New Roman" w:eastAsia="仿宋_GB2312" w:cs="Times New Roman"/>
          <w:color w:val="auto"/>
          <w:kern w:val="2"/>
          <w:sz w:val="32"/>
          <w:szCs w:val="32"/>
          <w:lang w:val="en-US" w:eastAsia="zh-CN" w:bidi="ar-SA"/>
        </w:rPr>
        <w:t>进行申报</w:t>
      </w:r>
      <w:r>
        <w:rPr>
          <w:rFonts w:hint="default" w:ascii="Times New Roman" w:hAnsi="Times New Roman" w:eastAsia="仿宋_GB2312" w:cs="Times New Roman"/>
          <w:color w:val="auto"/>
          <w:kern w:val="2"/>
          <w:sz w:val="32"/>
          <w:szCs w:val="32"/>
          <w:lang w:val="en-US" w:eastAsia="zh-CN" w:bidi="ar-SA"/>
        </w:rPr>
        <w:t>2022年推进制造业高质量发展奖励资金共计55</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.79万元</w:t>
      </w:r>
      <w:r>
        <w:rPr>
          <w:rFonts w:hint="eastAsia" w:ascii="Times New Roman" w:hAnsi="Times New Roman" w:eastAsia="仿宋_GB2312" w:cs="Times New Roman"/>
          <w:color w:val="auto"/>
          <w:kern w:val="2"/>
          <w:sz w:val="32"/>
          <w:szCs w:val="32"/>
          <w:lang w:val="en-US" w:eastAsia="zh-CN" w:bidi="ar-SA"/>
        </w:rPr>
        <w:t>，</w:t>
      </w:r>
    </w:p>
    <w:p w14:paraId="287CC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实施目的及支持方向</w:t>
      </w:r>
      <w:r>
        <w:rPr>
          <w:rFonts w:hint="eastAsia" w:ascii="楷体" w:hAnsi="楷体" w:eastAsia="楷体" w:cs="楷体"/>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我局和区财政局联合发布申报通知后，由企业自主进行申报，项目资金主要目的是</w:t>
      </w:r>
      <w:r>
        <w:rPr>
          <w:rFonts w:hint="eastAsia" w:ascii="Times New Roman" w:hAnsi="Times New Roman" w:eastAsia="仿宋_GB2312" w:cs="Times New Roman"/>
          <w:color w:val="auto"/>
          <w:kern w:val="2"/>
          <w:sz w:val="32"/>
          <w:szCs w:val="32"/>
          <w:lang w:val="zh-CN" w:eastAsia="zh-CN" w:bidi="ar-SA"/>
        </w:rPr>
        <w:t>加快推进</w:t>
      </w:r>
      <w:r>
        <w:rPr>
          <w:rFonts w:hint="eastAsia" w:ascii="Times New Roman" w:hAnsi="Times New Roman" w:eastAsia="仿宋_GB2312" w:cs="Times New Roman"/>
          <w:color w:val="auto"/>
          <w:kern w:val="2"/>
          <w:sz w:val="32"/>
          <w:szCs w:val="32"/>
          <w:lang w:val="en-US" w:eastAsia="zh-CN" w:bidi="ar-SA"/>
        </w:rPr>
        <w:t>我区</w:t>
      </w:r>
      <w:r>
        <w:rPr>
          <w:rFonts w:hint="eastAsia" w:ascii="Times New Roman" w:hAnsi="Times New Roman" w:eastAsia="仿宋_GB2312" w:cs="Times New Roman"/>
          <w:color w:val="auto"/>
          <w:kern w:val="2"/>
          <w:sz w:val="32"/>
          <w:szCs w:val="32"/>
          <w:lang w:val="zh-CN" w:eastAsia="zh-CN" w:bidi="ar-SA"/>
        </w:rPr>
        <w:t>制造业高质量发展，</w:t>
      </w:r>
      <w:r>
        <w:rPr>
          <w:rFonts w:hint="eastAsia" w:ascii="Times New Roman" w:hAnsi="Times New Roman" w:eastAsia="仿宋_GB2312" w:cs="Times New Roman"/>
          <w:color w:val="auto"/>
          <w:kern w:val="2"/>
          <w:sz w:val="32"/>
          <w:szCs w:val="32"/>
          <w:lang w:val="en-US" w:eastAsia="zh-CN" w:bidi="ar-SA"/>
        </w:rPr>
        <w:t>奖励资金主要用于支持重大项目建设、企业管理能力提升等14个方面。</w:t>
      </w:r>
    </w:p>
    <w:p w14:paraId="317E0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zh-CN" w:eastAsia="zh-CN"/>
        </w:rPr>
        <w:t>（三）</w:t>
      </w:r>
      <w:r>
        <w:rPr>
          <w:rFonts w:hint="default" w:ascii="楷体" w:hAnsi="楷体" w:eastAsia="楷体" w:cs="楷体"/>
          <w:sz w:val="32"/>
          <w:szCs w:val="32"/>
          <w:lang w:val="en-US" w:eastAsia="zh-CN"/>
        </w:rPr>
        <w:t>预算安排及分配管理</w:t>
      </w:r>
      <w:r>
        <w:rPr>
          <w:rFonts w:hint="eastAsia" w:ascii="楷体" w:hAnsi="楷体" w:eastAsia="楷体" w:cs="楷体"/>
          <w:sz w:val="32"/>
          <w:szCs w:val="32"/>
          <w:lang w:val="zh-CN" w:eastAsia="zh-CN"/>
        </w:rPr>
        <w:t>。</w:t>
      </w:r>
      <w:r>
        <w:rPr>
          <w:rFonts w:hint="eastAsia" w:ascii="Times New Roman" w:hAnsi="Times New Roman" w:eastAsia="仿宋_GB2312" w:cs="Times New Roman"/>
          <w:color w:val="auto"/>
          <w:kern w:val="2"/>
          <w:sz w:val="32"/>
          <w:szCs w:val="32"/>
          <w:lang w:val="en-US" w:eastAsia="zh-CN" w:bidi="ar-SA"/>
        </w:rPr>
        <w:t>奖励资金预算根据企业申报情况，组织开展了财政能力承受评估，经评估，我区能够保障奖励资金拨付。奖励资金分配是按照《若干政策》要求，共计涉及27家企业，涉及资金552.79万元。</w:t>
      </w:r>
    </w:p>
    <w:p w14:paraId="2DE90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zh-CN" w:eastAsia="zh-CN" w:bidi="ar-SA"/>
        </w:rPr>
      </w:pPr>
      <w:r>
        <w:rPr>
          <w:rFonts w:hint="eastAsia" w:ascii="楷体" w:hAnsi="楷体" w:eastAsia="楷体" w:cs="楷体"/>
          <w:sz w:val="32"/>
          <w:szCs w:val="32"/>
          <w:lang w:val="zh-CN" w:eastAsia="zh-CN"/>
        </w:rPr>
        <w:t>（四）项目绩效目标设置。</w:t>
      </w:r>
      <w:r>
        <w:rPr>
          <w:rFonts w:hint="eastAsia" w:ascii="Times New Roman" w:hAnsi="Times New Roman" w:eastAsia="仿宋_GB2312" w:cs="Times New Roman"/>
          <w:color w:val="auto"/>
          <w:kern w:val="2"/>
          <w:sz w:val="32"/>
          <w:szCs w:val="32"/>
          <w:lang w:val="en-US" w:eastAsia="zh-CN" w:bidi="ar-SA"/>
        </w:rPr>
        <w:t>项目整体目标是为了推动我区制造业企业提升、优质项目落地，实现产业智能化、高端化、绿色化发展，推动产业升级、效率提升。</w:t>
      </w:r>
    </w:p>
    <w:p w14:paraId="4FC5D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二、评价实施</w:t>
      </w:r>
    </w:p>
    <w:p w14:paraId="40015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zh-CN" w:eastAsia="zh-CN"/>
        </w:rPr>
        <w:t>（一）评价目的。</w:t>
      </w:r>
      <w:r>
        <w:rPr>
          <w:rFonts w:hint="eastAsia" w:ascii="Times New Roman" w:hAnsi="Times New Roman" w:eastAsia="仿宋_GB2312" w:cs="Times New Roman"/>
          <w:color w:val="auto"/>
          <w:kern w:val="2"/>
          <w:sz w:val="32"/>
          <w:szCs w:val="32"/>
          <w:lang w:val="en-US" w:eastAsia="zh-CN" w:bidi="ar-SA"/>
        </w:rPr>
        <w:t>充分发挥政策资金的激励导向作用，助推工业经济高质量发展。</w:t>
      </w:r>
    </w:p>
    <w:p w14:paraId="722EF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val="zh-CN"/>
        </w:rPr>
        <w:t>（</w:t>
      </w:r>
      <w:r>
        <w:rPr>
          <w:rFonts w:hint="eastAsia" w:ascii="楷体" w:hAnsi="楷体" w:eastAsia="楷体" w:cs="楷体"/>
          <w:sz w:val="32"/>
          <w:szCs w:val="32"/>
          <w:lang w:val="zh-CN" w:eastAsia="zh-CN"/>
        </w:rPr>
        <w:t>二）预设问题及评价重点</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color w:val="auto"/>
          <w:kern w:val="2"/>
          <w:sz w:val="32"/>
          <w:szCs w:val="32"/>
          <w:lang w:val="zh-CN" w:eastAsia="zh-CN" w:bidi="ar-SA"/>
        </w:rPr>
        <w:t>按照绩效评价指标体系，对资金支出使用全过程及实施效果进行综合评价和判断。重点关注资金分配是否符合相关规</w:t>
      </w:r>
      <w:r>
        <w:rPr>
          <w:rFonts w:hint="eastAsia" w:ascii="Times New Roman" w:hAnsi="Times New Roman" w:eastAsia="仿宋_GB2312" w:cs="Times New Roman"/>
          <w:color w:val="auto"/>
          <w:kern w:val="2"/>
          <w:sz w:val="32"/>
          <w:szCs w:val="32"/>
          <w:lang w:val="en-US" w:eastAsia="zh-CN" w:bidi="ar-SA"/>
        </w:rPr>
        <w:t>定。</w:t>
      </w:r>
    </w:p>
    <w:p w14:paraId="0D307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zh-CN" w:eastAsia="zh-CN"/>
        </w:rPr>
        <w:t>（三）评价选点。</w:t>
      </w:r>
      <w:r>
        <w:rPr>
          <w:rFonts w:hint="eastAsia" w:ascii="Times New Roman" w:hAnsi="Times New Roman" w:eastAsia="仿宋_GB2312" w:cs="Times New Roman"/>
          <w:color w:val="auto"/>
          <w:kern w:val="2"/>
          <w:sz w:val="32"/>
          <w:szCs w:val="32"/>
          <w:lang w:val="zh-CN" w:eastAsia="zh-CN" w:bidi="ar-SA"/>
        </w:rPr>
        <w:t>本次点位评价综合考虑资金量、覆盖情况以及可能存在的问题等因素，结合关于项目选点相关要求，</w:t>
      </w:r>
      <w:r>
        <w:rPr>
          <w:rFonts w:hint="eastAsia" w:ascii="Times New Roman" w:hAnsi="Times New Roman" w:eastAsia="仿宋_GB2312" w:cs="Times New Roman"/>
          <w:color w:val="auto"/>
          <w:kern w:val="2"/>
          <w:sz w:val="32"/>
          <w:szCs w:val="32"/>
          <w:lang w:val="en-US" w:eastAsia="zh-CN" w:bidi="ar-SA"/>
        </w:rPr>
        <w:t>我局共计选择了四川江淮、四川坤天、四川裕能等8个点位。</w:t>
      </w:r>
    </w:p>
    <w:p w14:paraId="77552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zh-CN" w:eastAsia="zh-CN"/>
        </w:rPr>
        <w:t>（四）评价方法。</w:t>
      </w:r>
      <w:r>
        <w:rPr>
          <w:rFonts w:hint="eastAsia" w:ascii="Times New Roman" w:hAnsi="Times New Roman" w:eastAsia="仿宋_GB2312" w:cs="Times New Roman"/>
          <w:color w:val="auto"/>
          <w:kern w:val="2"/>
          <w:sz w:val="32"/>
          <w:szCs w:val="32"/>
          <w:lang w:val="en-US" w:eastAsia="zh-CN" w:bidi="ar-SA"/>
        </w:rPr>
        <w:t>采用</w:t>
      </w:r>
      <w:r>
        <w:rPr>
          <w:rFonts w:hint="default" w:ascii="Times New Roman" w:hAnsi="Times New Roman" w:eastAsia="仿宋_GB2312" w:cs="Times New Roman"/>
          <w:color w:val="auto"/>
          <w:kern w:val="2"/>
          <w:sz w:val="32"/>
          <w:szCs w:val="32"/>
          <w:lang w:val="en-US" w:eastAsia="zh-CN" w:bidi="ar-SA"/>
        </w:rPr>
        <w:t>单位自评法</w:t>
      </w:r>
      <w:r>
        <w:rPr>
          <w:rFonts w:hint="eastAsia" w:ascii="Times New Roman" w:hAnsi="Times New Roman" w:eastAsia="仿宋_GB2312" w:cs="Times New Roman"/>
          <w:color w:val="auto"/>
          <w:kern w:val="2"/>
          <w:sz w:val="32"/>
          <w:szCs w:val="32"/>
          <w:lang w:val="en-US" w:eastAsia="zh-CN" w:bidi="ar-SA"/>
        </w:rPr>
        <w:t>。</w:t>
      </w:r>
    </w:p>
    <w:p w14:paraId="0BBD7D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Times New Roman" w:hAnsi="Times New Roman" w:eastAsia="仿宋_GB2312" w:cs="Times New Roman"/>
          <w:color w:val="auto"/>
          <w:kern w:val="2"/>
          <w:sz w:val="32"/>
          <w:szCs w:val="32"/>
          <w:lang w:val="en-US" w:eastAsia="zh-CN" w:bidi="ar-SA"/>
        </w:rPr>
      </w:pPr>
      <w:r>
        <w:rPr>
          <w:rFonts w:hint="eastAsia" w:ascii="楷体" w:hAnsi="楷体" w:eastAsia="楷体" w:cs="楷体"/>
          <w:kern w:val="2"/>
          <w:sz w:val="32"/>
          <w:szCs w:val="32"/>
          <w:lang w:val="zh-CN" w:eastAsia="zh-CN" w:bidi="ar-SA"/>
        </w:rPr>
        <w:t>（五）评价组织。</w:t>
      </w:r>
      <w:r>
        <w:rPr>
          <w:rFonts w:hint="eastAsia" w:ascii="Times New Roman" w:hAnsi="Times New Roman" w:eastAsia="仿宋_GB2312" w:cs="Times New Roman"/>
          <w:color w:val="auto"/>
          <w:kern w:val="2"/>
          <w:sz w:val="32"/>
          <w:szCs w:val="32"/>
          <w:lang w:val="en-US" w:eastAsia="zh-CN" w:bidi="ar-SA"/>
        </w:rPr>
        <w:t>我局</w:t>
      </w:r>
      <w:r>
        <w:rPr>
          <w:rFonts w:hint="default" w:ascii="Times New Roman" w:hAnsi="Times New Roman" w:eastAsia="仿宋_GB2312" w:cs="Times New Roman"/>
          <w:color w:val="auto"/>
          <w:kern w:val="2"/>
          <w:sz w:val="32"/>
          <w:szCs w:val="32"/>
          <w:lang w:val="zh-CN" w:eastAsia="zh-CN" w:bidi="ar-SA"/>
        </w:rPr>
        <w:t>绩效自评由</w:t>
      </w:r>
      <w:r>
        <w:rPr>
          <w:rFonts w:hint="eastAsia" w:ascii="Times New Roman" w:hAnsi="Times New Roman" w:eastAsia="仿宋_GB2312" w:cs="Times New Roman"/>
          <w:color w:val="auto"/>
          <w:kern w:val="2"/>
          <w:sz w:val="32"/>
          <w:szCs w:val="32"/>
          <w:lang w:val="en-US" w:eastAsia="zh-CN" w:bidi="ar-SA"/>
        </w:rPr>
        <w:t>综合股</w:t>
      </w:r>
      <w:r>
        <w:rPr>
          <w:rFonts w:hint="default" w:ascii="Times New Roman" w:hAnsi="Times New Roman" w:eastAsia="仿宋_GB2312" w:cs="Times New Roman"/>
          <w:color w:val="auto"/>
          <w:kern w:val="2"/>
          <w:sz w:val="32"/>
          <w:szCs w:val="32"/>
          <w:lang w:val="zh-CN" w:eastAsia="zh-CN" w:bidi="ar-SA"/>
        </w:rPr>
        <w:t>牵头，主要负责确定自评重点、自评选点、自评方式方法；本次绩效自评的主要工作程序包括：开展专题布置、收集整理自评资料、汇总撰写绩效自评报告等。</w:t>
      </w:r>
    </w:p>
    <w:p w14:paraId="1A431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eastAsia="zh-CN"/>
        </w:rPr>
        <w:t>三、绩效分析</w:t>
      </w:r>
      <w:r>
        <w:rPr>
          <w:rFonts w:hint="eastAsia" w:ascii="黑体" w:hAnsi="黑体" w:eastAsia="黑体" w:cs="黑体"/>
          <w:sz w:val="32"/>
          <w:szCs w:val="32"/>
          <w:lang w:val="zh-CN" w:eastAsia="zh-CN"/>
        </w:rPr>
        <w:tab/>
      </w:r>
    </w:p>
    <w:p w14:paraId="7D3BA74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2"/>
          <w:sz w:val="32"/>
          <w:szCs w:val="32"/>
          <w:lang w:val="zh-CN" w:eastAsia="zh-CN" w:bidi="ar-SA"/>
        </w:rPr>
      </w:pPr>
      <w:r>
        <w:rPr>
          <w:rFonts w:hint="eastAsia" w:ascii="楷体" w:hAnsi="楷体" w:eastAsia="楷体" w:cs="楷体"/>
          <w:kern w:val="2"/>
          <w:sz w:val="32"/>
          <w:szCs w:val="32"/>
          <w:lang w:val="en-US" w:eastAsia="zh-CN" w:bidi="ar-SA"/>
        </w:rPr>
        <w:t>通用指标</w:t>
      </w:r>
      <w:r>
        <w:rPr>
          <w:rFonts w:hint="default" w:ascii="楷体" w:hAnsi="楷体" w:eastAsia="楷体" w:cs="楷体"/>
          <w:kern w:val="2"/>
          <w:sz w:val="32"/>
          <w:szCs w:val="32"/>
          <w:lang w:val="zh-CN" w:eastAsia="zh-CN" w:bidi="ar-SA"/>
        </w:rPr>
        <w:t>绩效分析。</w:t>
      </w:r>
    </w:p>
    <w:p w14:paraId="0386BB8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eastAsia="zh-CN"/>
        </w:rPr>
        <w:t>项目决策。</w:t>
      </w:r>
      <w:r>
        <w:rPr>
          <w:rFonts w:hint="eastAsia" w:ascii="Times New Roman" w:hAnsi="Times New Roman" w:eastAsia="仿宋_GB2312" w:cs="Times New Roman"/>
          <w:color w:val="auto"/>
          <w:kern w:val="2"/>
          <w:sz w:val="32"/>
          <w:szCs w:val="32"/>
          <w:lang w:val="en-US" w:eastAsia="zh-CN" w:bidi="ar-SA"/>
        </w:rPr>
        <w:t>区级奖励资金设立经过事前评估，符合专项资金设立的基本规范和程序要求，项目的设立与我局的职责相符，属于公共财政支持范围，项目设立程序严密。</w:t>
      </w:r>
    </w:p>
    <w:p w14:paraId="734F6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val="en-US" w:eastAsia="zh-CN"/>
        </w:rPr>
        <w:t xml:space="preserve">2. </w:t>
      </w:r>
      <w:r>
        <w:rPr>
          <w:rFonts w:hint="eastAsia" w:ascii="Times New Roman" w:hAnsi="Times New Roman" w:eastAsia="仿宋_GB2312" w:cs="Times New Roman"/>
          <w:sz w:val="32"/>
          <w:szCs w:val="32"/>
          <w:lang w:eastAsia="zh-CN"/>
        </w:rPr>
        <w:t>项目管理。</w:t>
      </w:r>
      <w:r>
        <w:rPr>
          <w:rFonts w:hint="eastAsia" w:ascii="Times New Roman" w:hAnsi="Times New Roman" w:eastAsia="仿宋_GB2312" w:cs="Times New Roman"/>
          <w:color w:val="auto"/>
          <w:kern w:val="2"/>
          <w:sz w:val="32"/>
          <w:szCs w:val="32"/>
          <w:lang w:val="en-US" w:eastAsia="zh-CN" w:bidi="ar-SA"/>
        </w:rPr>
        <w:t>按照《若干政策》要求，明确了资金使用范围、预算管理及绩效管理等要求，项目管理制度建立较完善。</w:t>
      </w:r>
    </w:p>
    <w:p w14:paraId="4049B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val="en-US" w:eastAsia="zh-CN"/>
        </w:rPr>
        <w:t>3. 项目实施。</w:t>
      </w:r>
      <w:r>
        <w:rPr>
          <w:rFonts w:hint="eastAsia" w:ascii="Times New Roman" w:hAnsi="Times New Roman" w:eastAsia="仿宋_GB2312" w:cs="Times New Roman"/>
          <w:color w:val="auto"/>
          <w:kern w:val="2"/>
          <w:sz w:val="32"/>
          <w:szCs w:val="32"/>
          <w:lang w:val="en-US" w:eastAsia="zh-CN" w:bidi="ar-SA"/>
        </w:rPr>
        <w:t>2022年区级制造业高质量发展奖励资金支付总体较为规范，2022年区级制造业高质量发展奖励资金预算额度为552万元，累计支付552.79万元，预算执行进度为100%。</w:t>
      </w:r>
    </w:p>
    <w:p w14:paraId="5BF92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val="en-US" w:eastAsia="zh-CN"/>
        </w:rPr>
        <w:t>4. 项目结果。</w:t>
      </w:r>
      <w:r>
        <w:rPr>
          <w:rFonts w:hint="eastAsia" w:ascii="Times New Roman" w:hAnsi="Times New Roman" w:eastAsia="仿宋_GB2312" w:cs="Times New Roman"/>
          <w:color w:val="auto"/>
          <w:kern w:val="2"/>
          <w:sz w:val="32"/>
          <w:szCs w:val="32"/>
          <w:lang w:val="en-US" w:eastAsia="zh-CN" w:bidi="ar-SA"/>
        </w:rPr>
        <w:t>2022年区级制造业高质量发展奖励资金共计补助企业27家，项目均完成实施，完成计划产出数量指标100%。</w:t>
      </w:r>
    </w:p>
    <w:p w14:paraId="606C8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楷体" w:hAnsi="楷体" w:eastAsia="楷体" w:cs="楷体"/>
          <w:kern w:val="2"/>
          <w:sz w:val="32"/>
          <w:szCs w:val="32"/>
          <w:lang w:val="zh-CN" w:eastAsia="zh-CN" w:bidi="ar-SA"/>
        </w:rPr>
        <w:t>（二）</w:t>
      </w:r>
      <w:r>
        <w:rPr>
          <w:rFonts w:hint="eastAsia" w:ascii="楷体" w:hAnsi="楷体" w:eastAsia="楷体" w:cs="楷体"/>
          <w:kern w:val="2"/>
          <w:sz w:val="32"/>
          <w:szCs w:val="32"/>
          <w:lang w:val="en-US" w:eastAsia="zh-CN" w:bidi="ar-SA"/>
        </w:rPr>
        <w:t>专用指标</w:t>
      </w:r>
      <w:r>
        <w:rPr>
          <w:rFonts w:hint="default" w:ascii="楷体" w:hAnsi="楷体" w:eastAsia="楷体" w:cs="楷体"/>
          <w:kern w:val="2"/>
          <w:sz w:val="32"/>
          <w:szCs w:val="32"/>
          <w:lang w:val="zh-CN" w:eastAsia="zh-CN" w:bidi="ar-SA"/>
        </w:rPr>
        <w:t>绩效分析</w:t>
      </w:r>
    </w:p>
    <w:p w14:paraId="61109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产业发展。2022年区级制造业高质量发展奖励资金成功了6家企业新购置设备，更新率100%，4家企业完成( GB/T23001-2017）贯标评定认证，5家企业新增为省级“专精特新”企业，7家企业“升规入统”等成绩，积极推动了全区工业高质量发展2022年区级制造业高质量发展奖励资金共涉及企业27家，企业满意度100%。项目建设均完工，奖励资金均到位。资金拨付合法合规，符合专项资金设立的基本规范和程序要求。</w:t>
      </w:r>
    </w:p>
    <w:p w14:paraId="30271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 w:hAnsi="楷体" w:eastAsia="楷体" w:cs="楷体"/>
          <w:kern w:val="2"/>
          <w:sz w:val="32"/>
          <w:szCs w:val="32"/>
          <w:lang w:val="zh-CN" w:eastAsia="zh-CN" w:bidi="ar-SA"/>
        </w:rPr>
        <w:t>（三）</w:t>
      </w:r>
      <w:r>
        <w:rPr>
          <w:rFonts w:hint="eastAsia" w:ascii="楷体" w:hAnsi="楷体" w:eastAsia="楷体" w:cs="楷体"/>
          <w:kern w:val="2"/>
          <w:sz w:val="32"/>
          <w:szCs w:val="32"/>
          <w:lang w:val="en-US" w:eastAsia="zh-CN" w:bidi="ar-SA"/>
        </w:rPr>
        <w:t>个性指标</w:t>
      </w:r>
      <w:r>
        <w:rPr>
          <w:rFonts w:hint="default" w:ascii="楷体" w:hAnsi="楷体" w:eastAsia="楷体" w:cs="楷体"/>
          <w:kern w:val="2"/>
          <w:sz w:val="32"/>
          <w:szCs w:val="32"/>
          <w:lang w:val="zh-CN" w:eastAsia="zh-CN" w:bidi="ar-SA"/>
        </w:rPr>
        <w:t>绩效分析。</w:t>
      </w:r>
      <w:r>
        <w:rPr>
          <w:rFonts w:hint="eastAsia" w:ascii="Times New Roman" w:hAnsi="Times New Roman" w:eastAsia="仿宋_GB2312" w:cs="Times New Roman"/>
          <w:color w:val="auto"/>
          <w:kern w:val="2"/>
          <w:sz w:val="32"/>
          <w:szCs w:val="32"/>
          <w:lang w:val="en-US" w:eastAsia="zh-CN" w:bidi="ar-SA"/>
        </w:rPr>
        <w:t>2022年，计划“升规入统”企业5家，完成率100%，计划完成( GB/T23001-2017）贯标评定认证4家，完成率100%，计划新增5家省级“专精特新”企业，完成率100%，计划新增1家市级企业技术中心，完成率100%。</w:t>
      </w:r>
    </w:p>
    <w:p w14:paraId="05A7A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14:paraId="10DDA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经评价，</w:t>
      </w:r>
      <w:r>
        <w:rPr>
          <w:rFonts w:hint="eastAsia" w:ascii="Times New Roman" w:hAnsi="Times New Roman" w:eastAsia="仿宋_GB2312" w:cs="Times New Roman"/>
          <w:color w:val="auto"/>
          <w:kern w:val="2"/>
          <w:sz w:val="32"/>
          <w:szCs w:val="32"/>
          <w:lang w:val="en-US" w:eastAsia="zh-CN" w:bidi="ar-SA"/>
        </w:rPr>
        <w:t>2022年区级制造业高质量发展奖励资金</w:t>
      </w:r>
      <w:r>
        <w:rPr>
          <w:rFonts w:hint="default" w:ascii="Times New Roman" w:hAnsi="Times New Roman" w:eastAsia="仿宋_GB2312" w:cs="Times New Roman"/>
          <w:color w:val="auto"/>
          <w:kern w:val="2"/>
          <w:sz w:val="32"/>
          <w:szCs w:val="32"/>
          <w:lang w:val="en-US" w:eastAsia="zh-CN" w:bidi="ar-SA"/>
        </w:rPr>
        <w:t>绩效自评结果“</w:t>
      </w:r>
      <w:r>
        <w:rPr>
          <w:rFonts w:hint="eastAsia" w:ascii="Times New Roman" w:hAnsi="Times New Roman" w:eastAsia="仿宋_GB2312" w:cs="Times New Roman"/>
          <w:color w:val="auto"/>
          <w:kern w:val="2"/>
          <w:sz w:val="32"/>
          <w:szCs w:val="32"/>
          <w:lang w:val="en-US" w:eastAsia="zh-CN" w:bidi="ar-SA"/>
        </w:rPr>
        <w:t>优</w:t>
      </w:r>
      <w:r>
        <w:rPr>
          <w:rFonts w:hint="default" w:ascii="Times New Roman" w:hAnsi="Times New Roman" w:eastAsia="仿宋_GB2312" w:cs="Times New Roman"/>
          <w:color w:val="auto"/>
          <w:kern w:val="2"/>
          <w:sz w:val="32"/>
          <w:szCs w:val="32"/>
          <w:lang w:val="en-US" w:eastAsia="zh-CN" w:bidi="ar-SA"/>
        </w:rPr>
        <w:t>”，得分为</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en-US" w:eastAsia="zh-CN" w:bidi="ar-SA"/>
        </w:rPr>
        <w:t>分。总体上看，</w:t>
      </w:r>
      <w:r>
        <w:rPr>
          <w:rFonts w:hint="eastAsia" w:ascii="Times New Roman" w:hAnsi="Times New Roman" w:eastAsia="仿宋_GB2312" w:cs="Times New Roman"/>
          <w:color w:val="auto"/>
          <w:kern w:val="2"/>
          <w:sz w:val="32"/>
          <w:szCs w:val="32"/>
          <w:lang w:val="en-US" w:eastAsia="zh-CN" w:bidi="ar-SA"/>
        </w:rPr>
        <w:t>2022年区级制造业高质量发展奖励资金</w:t>
      </w:r>
      <w:r>
        <w:rPr>
          <w:rFonts w:hint="default" w:ascii="Times New Roman" w:hAnsi="Times New Roman" w:eastAsia="仿宋_GB2312" w:cs="Times New Roman"/>
          <w:color w:val="auto"/>
          <w:kern w:val="2"/>
          <w:sz w:val="32"/>
          <w:szCs w:val="32"/>
          <w:lang w:val="en-US" w:eastAsia="zh-CN" w:bidi="ar-SA"/>
        </w:rPr>
        <w:t>设立依据充分、规划合理、资金投向明确，项目目标清晰，实施结果与规划基本一致，受益</w:t>
      </w:r>
      <w:r>
        <w:rPr>
          <w:rFonts w:hint="eastAsia" w:ascii="Times New Roman" w:hAnsi="Times New Roman" w:eastAsia="仿宋_GB2312" w:cs="Times New Roman"/>
          <w:color w:val="auto"/>
          <w:kern w:val="2"/>
          <w:sz w:val="32"/>
          <w:szCs w:val="32"/>
          <w:lang w:val="en-US" w:eastAsia="zh-CN" w:bidi="ar-SA"/>
        </w:rPr>
        <w:t>企业</w:t>
      </w:r>
      <w:r>
        <w:rPr>
          <w:rFonts w:hint="default" w:ascii="Times New Roman" w:hAnsi="Times New Roman" w:eastAsia="仿宋_GB2312" w:cs="Times New Roman"/>
          <w:color w:val="auto"/>
          <w:kern w:val="2"/>
          <w:sz w:val="32"/>
          <w:szCs w:val="32"/>
          <w:lang w:val="en-US" w:eastAsia="zh-CN" w:bidi="ar-SA"/>
        </w:rPr>
        <w:t>满意度高。通过项目实施，有效</w:t>
      </w:r>
      <w:r>
        <w:rPr>
          <w:rFonts w:hint="eastAsia" w:ascii="Times New Roman" w:hAnsi="Times New Roman" w:eastAsia="仿宋_GB2312" w:cs="Times New Roman"/>
          <w:color w:val="auto"/>
          <w:kern w:val="2"/>
          <w:sz w:val="32"/>
          <w:szCs w:val="32"/>
          <w:lang w:val="en-US" w:eastAsia="zh-CN" w:bidi="ar-SA"/>
        </w:rPr>
        <w:t>的推动了产业发展</w:t>
      </w:r>
      <w:r>
        <w:rPr>
          <w:rFonts w:hint="default" w:ascii="Times New Roman" w:hAnsi="Times New Roman" w:eastAsia="仿宋_GB2312" w:cs="Times New Roman"/>
          <w:color w:val="auto"/>
          <w:kern w:val="2"/>
          <w:sz w:val="32"/>
          <w:szCs w:val="32"/>
          <w:lang w:val="en-US" w:eastAsia="zh-CN" w:bidi="ar-SA"/>
        </w:rPr>
        <w:t>。</w:t>
      </w:r>
    </w:p>
    <w:p w14:paraId="14672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sz w:val="32"/>
          <w:szCs w:val="32"/>
          <w:lang w:eastAsia="zh-CN"/>
        </w:rPr>
        <w:t>五、存在主要问题。</w:t>
      </w:r>
      <w:r>
        <w:rPr>
          <w:rFonts w:hint="eastAsia" w:ascii="Times New Roman" w:hAnsi="Times New Roman" w:eastAsia="仿宋_GB2312" w:cs="Times New Roman"/>
          <w:color w:val="auto"/>
          <w:kern w:val="2"/>
          <w:sz w:val="32"/>
          <w:szCs w:val="32"/>
          <w:lang w:val="en-US" w:eastAsia="zh-CN" w:bidi="ar-SA"/>
        </w:rPr>
        <w:t>一是宣传力度不够，企业对项目绩效评价方面了解程度不够深入，开展自评工作时无系统的工作方法；二是缺乏专业人才队伍，项目绩效评价工作方面知识了解程度不深，专业性不强。</w:t>
      </w:r>
    </w:p>
    <w:p w14:paraId="19E2D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zh-CN" w:eastAsia="zh-CN"/>
        </w:rPr>
        <w:t>六、改进建议。</w:t>
      </w:r>
      <w:r>
        <w:rPr>
          <w:rFonts w:hint="eastAsia" w:ascii="Times New Roman" w:hAnsi="Times New Roman" w:eastAsia="仿宋_GB2312" w:cs="Times New Roman"/>
          <w:color w:val="auto"/>
          <w:kern w:val="2"/>
          <w:sz w:val="32"/>
          <w:szCs w:val="32"/>
          <w:lang w:val="en-US" w:eastAsia="zh-CN" w:bidi="ar-SA"/>
        </w:rPr>
        <w:t>一是加大宣传力度，使企业充分认识到项目绩效评价工作的重要性和必要性，突显专项资金的使用效益；二是加强项目绩效工作培训，提升工作队伍的业务能力，更好地指导企业、服务企业。</w:t>
      </w:r>
    </w:p>
    <w:p w14:paraId="2440F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附表：专项资金绩效目标完成情况自评表</w:t>
      </w:r>
    </w:p>
    <w:p w14:paraId="3D5EC5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br w:type="page"/>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03D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1DBC12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7C1CC2C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6189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7085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B2DD3DD">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制造业高质量发展奖励资金</w:t>
            </w:r>
          </w:p>
        </w:tc>
      </w:tr>
      <w:tr w14:paraId="2308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EAF45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5CE27C">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区经信科技局</w:t>
            </w:r>
          </w:p>
        </w:tc>
      </w:tr>
      <w:tr w14:paraId="0727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30838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A3C4B67">
            <w:pPr>
              <w:keepNext w:val="0"/>
              <w:keepLines w:val="0"/>
              <w:pageBreakBefore w:val="0"/>
              <w:kinsoku/>
              <w:wordWrap/>
              <w:overflowPunct/>
              <w:topLinePunct w:val="0"/>
              <w:autoSpaceDE/>
              <w:autoSpaceDN/>
              <w:bidi w:val="0"/>
              <w:adjustRightInd/>
              <w:snapToGrid/>
              <w:spacing w:line="24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6FEC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B1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F80BF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233ACE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96D8E68">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遂安府规〔2022〕1号</w:t>
            </w:r>
          </w:p>
        </w:tc>
      </w:tr>
      <w:tr w14:paraId="6193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13212">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3D9D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950155F">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遂安工业办〔2022〕5号</w:t>
            </w:r>
          </w:p>
        </w:tc>
      </w:tr>
      <w:tr w14:paraId="5691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4E3DC">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EDD8F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8809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29F573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F321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C1240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12E4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CB4E7">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5426CFF">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F159D9D">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遂宁市安居区人民政府关于印发《关于加快推进制造业高质量发展的若千政策》的通知，遂安府规【2022】1号</w:t>
            </w:r>
          </w:p>
        </w:tc>
      </w:tr>
      <w:tr w14:paraId="7277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3BC3B">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0386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9732E37">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kern w:val="0"/>
                <w:sz w:val="18"/>
                <w:szCs w:val="18"/>
                <w:u w:val="none"/>
                <w:lang w:val="en-US" w:eastAsia="zh-CN" w:bidi="ar"/>
              </w:rPr>
              <w:t>安居区工业企业</w:t>
            </w:r>
          </w:p>
        </w:tc>
      </w:tr>
      <w:tr w14:paraId="0C55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20434">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1B49D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4A4F7DE">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符合遂安府规〔2022〕1号文件政策条件的企业</w:t>
            </w:r>
          </w:p>
        </w:tc>
      </w:tr>
      <w:tr w14:paraId="2EFB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0954">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0152B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0267E75">
            <w:pPr>
              <w:keepNext w:val="0"/>
              <w:keepLines w:val="0"/>
              <w:pageBreakBefore w:val="0"/>
              <w:kinsoku/>
              <w:wordWrap/>
              <w:overflowPunct/>
              <w:topLinePunct w:val="0"/>
              <w:autoSpaceDE/>
              <w:autoSpaceDN/>
              <w:bidi w:val="0"/>
              <w:adjustRightInd/>
              <w:snapToGrid/>
              <w:spacing w:line="24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2022年1月至2022年12月</w:t>
            </w:r>
          </w:p>
        </w:tc>
      </w:tr>
      <w:tr w14:paraId="0DD6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8F8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2403A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80859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B09826B">
            <w:pPr>
              <w:keepNext w:val="0"/>
              <w:keepLines w:val="0"/>
              <w:pageBreakBefore w:val="0"/>
              <w:kinsoku/>
              <w:wordWrap/>
              <w:overflowPunct/>
              <w:topLinePunct w:val="0"/>
              <w:autoSpaceDE/>
              <w:autoSpaceDN/>
              <w:bidi w:val="0"/>
              <w:adjustRightInd/>
              <w:snapToGrid/>
              <w:spacing w:line="24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552.79</w:t>
            </w:r>
          </w:p>
        </w:tc>
      </w:tr>
      <w:tr w14:paraId="5042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A7DF2D">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6B0A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9249783">
            <w:pPr>
              <w:keepNext w:val="0"/>
              <w:keepLines w:val="0"/>
              <w:pageBreakBefore w:val="0"/>
              <w:kinsoku/>
              <w:wordWrap/>
              <w:overflowPunct/>
              <w:topLinePunct w:val="0"/>
              <w:autoSpaceDE/>
              <w:autoSpaceDN/>
              <w:bidi w:val="0"/>
              <w:adjustRightInd/>
              <w:snapToGrid/>
              <w:spacing w:line="24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552.79</w:t>
            </w:r>
          </w:p>
        </w:tc>
      </w:tr>
      <w:tr w14:paraId="35D4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BA0FCA">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3C867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FEF92DF">
            <w:pPr>
              <w:keepNext w:val="0"/>
              <w:keepLines w:val="0"/>
              <w:pageBreakBefore w:val="0"/>
              <w:kinsoku/>
              <w:wordWrap/>
              <w:overflowPunct/>
              <w:topLinePunct w:val="0"/>
              <w:autoSpaceDE/>
              <w:autoSpaceDN/>
              <w:bidi w:val="0"/>
              <w:adjustRightInd/>
              <w:snapToGrid/>
              <w:spacing w:line="240" w:lineRule="exact"/>
              <w:ind w:left="0" w:leftChars="0"/>
              <w:jc w:val="right"/>
              <w:rPr>
                <w:rFonts w:hint="eastAsia" w:ascii="宋体" w:hAnsi="宋体" w:eastAsia="宋体" w:cs="宋体"/>
                <w:i w:val="0"/>
                <w:color w:val="000000"/>
                <w:sz w:val="18"/>
                <w:szCs w:val="18"/>
                <w:u w:val="none"/>
              </w:rPr>
            </w:pPr>
          </w:p>
        </w:tc>
      </w:tr>
      <w:tr w14:paraId="4EFB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BAB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3B5931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4678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3CA45">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3B11ECB">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r>
      <w:tr w14:paraId="7133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BD681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6EA99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96D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D9D6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CD6CF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F5D96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2C92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904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3E56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6C59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62A305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2259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B3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6C58048">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支持</w:t>
            </w:r>
            <w:r>
              <w:rPr>
                <w:rFonts w:hint="eastAsia" w:ascii="宋体" w:hAnsi="宋体" w:eastAsia="宋体" w:cs="宋体"/>
                <w:i w:val="0"/>
                <w:color w:val="000000"/>
                <w:sz w:val="18"/>
                <w:szCs w:val="18"/>
                <w:u w:val="none"/>
                <w:lang w:val="en-US" w:eastAsia="zh-CN"/>
              </w:rPr>
              <w:t>工业</w:t>
            </w:r>
            <w:r>
              <w:rPr>
                <w:rFonts w:hint="eastAsia" w:ascii="宋体" w:hAnsi="宋体" w:eastAsia="宋体" w:cs="宋体"/>
                <w:i w:val="0"/>
                <w:color w:val="000000"/>
                <w:sz w:val="18"/>
                <w:szCs w:val="18"/>
                <w:u w:val="none"/>
                <w:lang w:eastAsia="zh-CN"/>
              </w:rPr>
              <w:t>企业个数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FD036A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64E3C4D">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FA6B22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396EC8F">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209B4E6">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w:t>
            </w:r>
          </w:p>
        </w:tc>
      </w:tr>
      <w:tr w14:paraId="66D1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65761B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093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BFE1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245DEE1">
            <w:pPr>
              <w:keepNext w:val="0"/>
              <w:keepLines w:val="0"/>
              <w:pageBreakBefore w:val="0"/>
              <w:kinsoku/>
              <w:wordWrap/>
              <w:overflowPunct/>
              <w:topLinePunct w:val="0"/>
              <w:autoSpaceDE/>
              <w:autoSpaceDN/>
              <w:bidi w:val="0"/>
              <w:adjustRightInd/>
              <w:snapToGrid/>
              <w:spacing w:line="24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资金补助方向设定</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451E6A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85B53F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D5ED3FB">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BD6C8BE">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E93742C">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r>
      <w:tr w14:paraId="6C70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B0CC5A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0C80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B8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20B99D3">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支持</w:t>
            </w:r>
            <w:r>
              <w:rPr>
                <w:rFonts w:hint="eastAsia" w:ascii="宋体" w:hAnsi="宋体" w:eastAsia="宋体" w:cs="宋体"/>
                <w:i w:val="0"/>
                <w:color w:val="000000"/>
                <w:sz w:val="18"/>
                <w:szCs w:val="18"/>
                <w:u w:val="none"/>
                <w:lang w:val="en-US" w:eastAsia="zh-CN"/>
              </w:rPr>
              <w:t>工业</w:t>
            </w:r>
            <w:r>
              <w:rPr>
                <w:rFonts w:hint="eastAsia" w:ascii="宋体" w:hAnsi="宋体" w:eastAsia="宋体" w:cs="宋体"/>
                <w:i w:val="0"/>
                <w:color w:val="000000"/>
                <w:sz w:val="18"/>
                <w:szCs w:val="18"/>
                <w:u w:val="none"/>
                <w:lang w:eastAsia="zh-CN"/>
              </w:rPr>
              <w:t>企业个数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26C78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3A4E99">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AEDD8E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B80AA8">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1FEC0C">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w:t>
            </w:r>
          </w:p>
        </w:tc>
      </w:tr>
      <w:tr w14:paraId="30DF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8C007E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95B0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68A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E46812">
            <w:pPr>
              <w:keepNext w:val="0"/>
              <w:keepLines w:val="0"/>
              <w:pageBreakBefore w:val="0"/>
              <w:kinsoku/>
              <w:wordWrap/>
              <w:overflowPunct/>
              <w:topLinePunct w:val="0"/>
              <w:autoSpaceDE/>
              <w:autoSpaceDN/>
              <w:bidi w:val="0"/>
              <w:adjustRightInd/>
              <w:snapToGrid/>
              <w:spacing w:line="24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补助项目资金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017716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85069A1">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AC15075">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11D2945">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E6351E3">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552.79</w:t>
            </w:r>
          </w:p>
        </w:tc>
      </w:tr>
      <w:tr w14:paraId="048E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61783F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017F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C8C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B6029B">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C2B8FB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64E48BE">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6C7B8A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B810BA">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58BBA31">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p>
        </w:tc>
      </w:tr>
      <w:tr w14:paraId="0291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0E1104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91B7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4821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09F5A42">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E81E73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C2BAC75">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B35873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9905E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296313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262D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85C5BF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588A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9E40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0466F44">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275CEC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8DBC26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FE5C29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C024D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3F93C0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78FC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1A8E32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ABE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DAE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3C201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39B0769">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推动我区制造业企业提升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FA42C64">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1AEF2F2">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有效提长</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83683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12DB98">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仿宋_GB2312"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BB09843">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8.2</w:t>
            </w:r>
          </w:p>
        </w:tc>
      </w:tr>
      <w:tr w14:paraId="7214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6DF93F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69D0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384F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7AC94B9">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6F349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A9643B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ACD63A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88505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73BBBA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7B33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E134BF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1C72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right w:val="single" w:color="000000" w:sz="4" w:space="0"/>
            </w:tcBorders>
            <w:noWrap w:val="0"/>
            <w:vAlign w:val="center"/>
          </w:tcPr>
          <w:p w14:paraId="6B279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15B5DA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B9FCEC7">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59CAAB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F02180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BC816D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443CA0">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2D1A4A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7B6B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E3D7D3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A7EC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right w:val="single" w:color="000000" w:sz="4" w:space="0"/>
            </w:tcBorders>
            <w:noWrap w:val="0"/>
            <w:vAlign w:val="center"/>
          </w:tcPr>
          <w:p w14:paraId="1B95088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DCD9EBA">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7341A1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791BF75">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2BF6EB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41DC9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300E78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18A0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930F705">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2CF0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FC61E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4A8AD74">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41A1FB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54FBF6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200AD3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F927AB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B067C3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6DB1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0DF869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noWrap w:val="0"/>
            <w:vAlign w:val="center"/>
          </w:tcPr>
          <w:p w14:paraId="2C07E8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5D6C5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2F4EA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5C57F9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F4FC28E">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企业满意率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E9E7D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E6FE8AD">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FA2586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6B42480">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84AEF16">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6BD7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D53890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0C6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3C3C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39C943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noWrap w:val="0"/>
            <w:vAlign w:val="center"/>
          </w:tcPr>
          <w:p w14:paraId="262F06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奖补资金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A3BB6C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2A06249">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仿宋_GB2312" w:cs="宋体"/>
                <w:i w:val="0"/>
                <w:color w:val="000000"/>
                <w:sz w:val="18"/>
                <w:szCs w:val="18"/>
                <w:u w:val="none"/>
                <w:lang w:val="en-US" w:eastAsia="zh-CN"/>
              </w:rPr>
              <w:t>500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4615613">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仿宋_GB2312"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68AC52">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仿宋_GB2312"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C67B4C4">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仿宋_GB2312" w:cs="宋体"/>
                <w:i w:val="0"/>
                <w:color w:val="000000"/>
                <w:sz w:val="18"/>
                <w:szCs w:val="18"/>
                <w:u w:val="none"/>
                <w:lang w:val="en-US" w:eastAsia="zh-CN"/>
              </w:rPr>
              <w:t>552.79</w:t>
            </w:r>
          </w:p>
        </w:tc>
      </w:tr>
      <w:tr w14:paraId="5402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B1A10D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0138B">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9BE28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p>
        </w:tc>
        <w:tc>
          <w:tcPr>
            <w:tcW w:w="1312" w:type="dxa"/>
            <w:tcBorders>
              <w:top w:val="single" w:color="000000" w:sz="4" w:space="0"/>
              <w:bottom w:val="single" w:color="000000" w:sz="4" w:space="0"/>
              <w:right w:val="single" w:color="000000" w:sz="4" w:space="0"/>
            </w:tcBorders>
            <w:noWrap w:val="0"/>
            <w:vAlign w:val="center"/>
          </w:tcPr>
          <w:p w14:paraId="4728BCF0">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21A675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C22310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733D5C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F2C6B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D7CD36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r>
    </w:tbl>
    <w:p w14:paraId="7FAC6966">
      <w:pPr>
        <w:spacing w:line="600" w:lineRule="exact"/>
        <w:jc w:val="center"/>
        <w:outlineLvl w:val="0"/>
        <w:rPr>
          <w:rFonts w:hint="eastAsia" w:ascii="黑体" w:hAnsi="黑体" w:eastAsia="黑体"/>
          <w:color w:val="auto"/>
          <w:sz w:val="44"/>
          <w:szCs w:val="44"/>
          <w:highlight w:val="none"/>
        </w:rPr>
      </w:pPr>
    </w:p>
    <w:p w14:paraId="7C68776C">
      <w:pPr>
        <w:spacing w:line="600" w:lineRule="exact"/>
        <w:jc w:val="center"/>
        <w:outlineLvl w:val="0"/>
        <w:rPr>
          <w:rFonts w:hint="eastAsia" w:ascii="黑体" w:hAnsi="黑体" w:eastAsia="黑体"/>
          <w:color w:val="auto"/>
          <w:sz w:val="44"/>
          <w:szCs w:val="44"/>
          <w:highlight w:val="none"/>
        </w:rPr>
      </w:pPr>
    </w:p>
    <w:p w14:paraId="0CFDC15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bidi="ar-SA"/>
        </w:rPr>
      </w:pPr>
      <w:r>
        <w:rPr>
          <w:rFonts w:hint="default"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4953FC9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default" w:ascii="Times New Roman" w:hAnsi="Times New Roman" w:eastAsia="仿宋_GB2312" w:cs="Times New Roman"/>
          <w:kern w:val="2"/>
          <w:sz w:val="32"/>
          <w:szCs w:val="32"/>
          <w:lang w:val="en-US" w:eastAsia="zh-CN" w:bidi="ar-SA"/>
        </w:rPr>
        <w:t>（全省低碳地热资源开发利用现场会经</w:t>
      </w:r>
      <w:r>
        <w:rPr>
          <w:rFonts w:hint="eastAsia" w:ascii="Times New Roman" w:hAnsi="Times New Roman" w:eastAsia="仿宋_GB2312" w:cs="Times New Roman"/>
          <w:kern w:val="2"/>
          <w:sz w:val="32"/>
          <w:szCs w:val="32"/>
          <w:lang w:val="en-US" w:eastAsia="zh-CN" w:bidi="ar-SA"/>
        </w:rPr>
        <w:t>费）</w:t>
      </w:r>
      <w:r>
        <w:rPr>
          <w:rFonts w:hint="default" w:ascii="Times New Roman" w:hAnsi="Times New Roman" w:eastAsia="仿宋_GB2312" w:cs="Times New Roman"/>
          <w:kern w:val="2"/>
          <w:sz w:val="32"/>
          <w:szCs w:val="32"/>
          <w:lang w:val="en-US" w:eastAsia="zh-CN" w:bidi="ar-SA"/>
        </w:rPr>
        <w:t>​</w:t>
      </w:r>
    </w:p>
    <w:p w14:paraId="2B6C054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zh-CN"/>
        </w:rPr>
      </w:pPr>
      <w:r>
        <w:rPr>
          <w:rFonts w:hint="default" w:ascii="黑体" w:hAnsi="宋体" w:eastAsia="黑体" w:cs="Times New Roman"/>
          <w:sz w:val="32"/>
          <w:szCs w:val="32"/>
          <w:highlight w:val="none"/>
          <w:lang w:val="en-US" w:eastAsia="zh-CN"/>
        </w:rPr>
        <w:t>一、项目概况​</w:t>
      </w:r>
    </w:p>
    <w:p w14:paraId="31569B73">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color w:val="auto"/>
          <w:sz w:val="32"/>
          <w:szCs w:val="32"/>
          <w:highlight w:val="none"/>
          <w:u w:val="none"/>
          <w:lang w:val="zh-CN"/>
        </w:rPr>
      </w:pPr>
      <w:r>
        <w:rPr>
          <w:rFonts w:hint="default" w:ascii="楷体_GB2312" w:hAnsi="宋体" w:eastAsia="楷体_GB2312" w:cs="Times New Roman"/>
          <w:b w:val="0"/>
          <w:bCs/>
          <w:color w:val="auto"/>
          <w:sz w:val="32"/>
          <w:szCs w:val="32"/>
          <w:highlight w:val="none"/>
          <w:u w:val="none"/>
          <w:lang w:val="en-US" w:eastAsia="zh-CN"/>
        </w:rPr>
        <w:t>（一）设立背景及基本情况</w:t>
      </w:r>
      <w:r>
        <w:rPr>
          <w:rFonts w:hint="default" w:ascii="楷体_GB2312" w:hAnsi="宋体" w:eastAsia="楷体_GB2312" w:cs="Times New Roman"/>
          <w:b/>
          <w:color w:val="auto"/>
          <w:sz w:val="32"/>
          <w:szCs w:val="32"/>
          <w:highlight w:val="none"/>
          <w:u w:val="none"/>
          <w:lang w:val="en-US" w:eastAsia="zh-CN"/>
        </w:rPr>
        <w:t>​</w:t>
      </w:r>
    </w:p>
    <w:p w14:paraId="701EFB94">
      <w:pPr>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在 “双碳” 目标战略背景下，地热资源作为清洁、可再生能源，对优化能源结构、推动低碳经济发展具有重要意义。为加快全省低碳地热资源开发利用进程，促进相关技术交流与产业合作，特召开全省低碳地热资源开发利用现场会。项目立项依据国家及四川省关于大力发展清洁能源、推进节能减排的政策文件，以及省自然资源厅、省能源局等部门联合印发的《四川省地热资源开发利用规划》。资金申报严格遵循省级财政专项资金管理相关规定。项目主要内容包括会议场地租赁、专家邀请、会议资料编制、会务组织、现场参观路线规划及设备展示等。主管部门负责统筹协调会议筹备与开展工作，确保会议围绕地热资源开发利用主题高效推进，充分发挥政策引导与技术交流平台作用。​</w:t>
      </w:r>
    </w:p>
    <w:p w14:paraId="6AF47828">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（二）实施目的及支持方向​</w:t>
      </w:r>
    </w:p>
    <w:p w14:paraId="5CBC61F4">
      <w:pPr>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规范项目资金使用，主管部门制定了专项资金管理办法，明确资金使用范围涵盖会议筹备、举办过程中的各项支出，规定审批流程、绩效评价等内容。项目实施目的旨在通过现场会搭建行业交流平台，展示全省低碳地热资源开发利用的最新成果、先进技术和成功案例，加强政府部门、科研机构、企业之间的沟通协作，推动地热资源开发利用产业高质量发展。主要工作任务包括邀请国内外地热领域专家进行技术分享，组织参会人员实地参观地热资源开发利用示范项目，举办项目推介与合作洽谈活动等。项目支持方向聚焦于保障会议顺利举办，提升会议专业性、影响力和实效性，促进地热资源开发利用技术成果转化与产业合作。​</w:t>
      </w:r>
    </w:p>
    <w:p w14:paraId="70F8BF47">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（三）预算安排及分配管理​</w:t>
      </w:r>
    </w:p>
    <w:p w14:paraId="30CC3A9F">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项目预算安排 14.99 万元，资金分配充分考虑会议实际需求。其中，</w:t>
      </w:r>
      <w:r>
        <w:rPr>
          <w:rFonts w:hint="eastAsia" w:ascii="Times New Roman" w:hAnsi="Times New Roman" w:eastAsia="仿宋_GB2312" w:cs="Times New Roman"/>
          <w:kern w:val="2"/>
          <w:sz w:val="32"/>
          <w:szCs w:val="32"/>
          <w:lang w:val="en-US" w:eastAsia="zh-CN" w:bidi="ar-SA"/>
        </w:rPr>
        <w:t>3.5</w:t>
      </w:r>
      <w:r>
        <w:rPr>
          <w:rFonts w:hint="default" w:ascii="Times New Roman" w:hAnsi="Times New Roman" w:eastAsia="仿宋_GB2312" w:cs="Times New Roman"/>
          <w:kern w:val="2"/>
          <w:sz w:val="32"/>
          <w:szCs w:val="32"/>
          <w:lang w:val="en-US" w:eastAsia="zh-CN" w:bidi="ar-SA"/>
        </w:rPr>
        <w:t>万元用于会场布置、资料印制等费用；</w:t>
      </w:r>
      <w:r>
        <w:rPr>
          <w:rFonts w:hint="eastAsia"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t>万元用于会务</w:t>
      </w:r>
      <w:r>
        <w:rPr>
          <w:rFonts w:hint="eastAsia" w:ascii="Times New Roman" w:hAnsi="Times New Roman" w:eastAsia="仿宋_GB2312" w:cs="Times New Roman"/>
          <w:kern w:val="2"/>
          <w:sz w:val="32"/>
          <w:szCs w:val="32"/>
          <w:lang w:val="en-US" w:eastAsia="zh-CN" w:bidi="ar-SA"/>
        </w:rPr>
        <w:t>租赁</w:t>
      </w:r>
      <w:r>
        <w:rPr>
          <w:rFonts w:hint="default" w:ascii="Times New Roman" w:hAnsi="Times New Roman" w:eastAsia="仿宋_GB2312" w:cs="Times New Roman"/>
          <w:kern w:val="2"/>
          <w:sz w:val="32"/>
          <w:szCs w:val="32"/>
          <w:lang w:val="en-US" w:eastAsia="zh-CN" w:bidi="ar-SA"/>
        </w:rPr>
        <w:t>，涵盖参会人员餐饮、住宿安排；1 万元用于</w:t>
      </w:r>
      <w:r>
        <w:rPr>
          <w:rFonts w:hint="eastAsia" w:ascii="Times New Roman" w:hAnsi="Times New Roman" w:eastAsia="仿宋_GB2312" w:cs="Times New Roman"/>
          <w:kern w:val="2"/>
          <w:sz w:val="32"/>
          <w:szCs w:val="32"/>
          <w:lang w:val="en-US" w:eastAsia="zh-CN" w:bidi="ar-SA"/>
        </w:rPr>
        <w:t>招商手册</w:t>
      </w:r>
      <w:r>
        <w:rPr>
          <w:rFonts w:hint="default" w:ascii="Times New Roman" w:hAnsi="Times New Roman" w:eastAsia="仿宋_GB2312" w:cs="Times New Roman"/>
          <w:kern w:val="2"/>
          <w:sz w:val="32"/>
          <w:szCs w:val="32"/>
          <w:lang w:val="en-US" w:eastAsia="zh-CN" w:bidi="ar-SA"/>
        </w:rPr>
        <w:t>宣传推广</w:t>
      </w:r>
      <w:r>
        <w:rPr>
          <w:rFonts w:hint="eastAsia" w:ascii="Times New Roman" w:hAnsi="Times New Roman" w:eastAsia="仿宋_GB2312" w:cs="Times New Roman"/>
          <w:kern w:val="2"/>
          <w:sz w:val="32"/>
          <w:szCs w:val="32"/>
          <w:lang w:val="en-US" w:eastAsia="zh-CN" w:bidi="ar-SA"/>
        </w:rPr>
        <w:t>制作</w:t>
      </w:r>
      <w:r>
        <w:rPr>
          <w:rFonts w:hint="default" w:ascii="Times New Roman" w:hAnsi="Times New Roman" w:eastAsia="仿宋_GB2312" w:cs="Times New Roman"/>
          <w:kern w:val="2"/>
          <w:sz w:val="32"/>
          <w:szCs w:val="32"/>
          <w:lang w:val="en-US" w:eastAsia="zh-CN" w:bidi="ar-SA"/>
        </w:rPr>
        <w:t>；0.99 万元作为其他不可预见费用。资金分配遵循重点突出、合理均衡原则，优先保障会议核心环节，同时兼顾各项辅助工作开展。​</w:t>
      </w:r>
    </w:p>
    <w:p w14:paraId="3FA724F9">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（四）项目绩效目标设置​</w:t>
      </w:r>
    </w:p>
    <w:p w14:paraId="6A91F4E3">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项目整体绩效目标为成功举办一次高水平、具有影响力的全省低碳地热资源开发利用现场会，推动全省地热资源开发利用产业发展，助力实现 “双碳” 目标。区域绩效目标聚焦于展示全省不同地区地热资源开发利用的特色与成果，促进区域间经验交流与合作。具体绩效目标包括：邀请 20 位以上地热领域专家参会，吸引 200 家以上相关企业代表参与；编制高质量会议资料 300 份以上；组织 3 - 5 个地热资源开发利用示范项目现场参观。</w:t>
      </w:r>
    </w:p>
    <w:p w14:paraId="71FBD78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zh-CN"/>
        </w:rPr>
      </w:pPr>
      <w:r>
        <w:rPr>
          <w:rFonts w:hint="default" w:ascii="黑体" w:hAnsi="宋体" w:eastAsia="黑体" w:cs="Times New Roman"/>
          <w:sz w:val="32"/>
          <w:szCs w:val="32"/>
          <w:highlight w:val="none"/>
          <w:lang w:val="en-US" w:eastAsia="zh-CN"/>
        </w:rPr>
        <w:t>二、评价实施​</w:t>
      </w:r>
    </w:p>
    <w:p w14:paraId="2D6AD452">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（一）评价目的​</w:t>
      </w:r>
    </w:p>
    <w:p w14:paraId="4504B020">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通过项目绩效自评，全面评估 14.99 万元专项资金在全省低碳地热资源开发利用现场会项目中的使用效率与效果，检验项目是否达成预期绩效目标，总结会议筹备与举办过程中的经验与不足，为后续同类会议举办、资金申请、预算调整提供科学依据，进一步提升会议对地热资源开发利用产业的推动作用。​</w:t>
      </w:r>
    </w:p>
    <w:p w14:paraId="777D90DB">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（二）预设问题及评价重点​</w:t>
      </w:r>
    </w:p>
    <w:p w14:paraId="523FE593">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预设问题包括资金使用是否规范合理、会议是否达到预期的交流与推广效果、绩效目标是否全部完成等。评价重点围绕资金支出使用全过程及其实施效果，按照绩效评价指标体系，对项目决策的科学性、项目管理的规范性、项目实施的有效性以及项目结果的达成度进行综合评价和判断。​</w:t>
      </w:r>
    </w:p>
    <w:p w14:paraId="73DE8C2D">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（三）评价选点​</w:t>
      </w:r>
    </w:p>
    <w:p w14:paraId="09C3AAFD">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绩效自评抽样点位涵盖会议筹备、举办的主要环节。在会议筹备方面，选取专家邀请流程、会议资料编制过程及场地租赁谈判等环节；会议举办过程中，选取专家演讲质量、现场参观组织情况、参会人员互动交流效果等；会议结束后，选取媒体宣传效果、参会人员满意度调查反馈等进行分析。</w:t>
      </w:r>
    </w:p>
    <w:p w14:paraId="42307373">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（四）评价方法​</w:t>
      </w:r>
    </w:p>
    <w:p w14:paraId="08719525">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采用多种评价方法收集相关材料和开展具体评价。运用成本效益分析法，对比会议投入资金与产出的技术交流、产业合作等成果；通过案卷研究法，查阅项目资金使用凭证、会议筹备文件、参会人员名单等资料；结合单位自评法，由会议筹备组内部对项目执行情况进行自我评估；运用实地勘察法，检查会议场地布置、现场参观项目设施等实际情况；采用问卷调查法，向参会人员发放问卷，收集对会议内容、组织安排等方面的满意度；开展座谈调研法，与专家、企业代表进行交流，获取会议效果反馈意见。​</w:t>
      </w:r>
    </w:p>
    <w:p w14:paraId="6074B3C7">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（五）评价组织​</w:t>
      </w:r>
    </w:p>
    <w:p w14:paraId="078D8FA1">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评价组由会议筹备组工作人员 </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 xml:space="preserve"> 名、财务人员</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 xml:space="preserve"> 名、</w:t>
      </w:r>
      <w:r>
        <w:rPr>
          <w:rFonts w:hint="eastAsia" w:ascii="Times New Roman" w:hAnsi="Times New Roman" w:eastAsia="仿宋_GB2312" w:cs="Times New Roman"/>
          <w:kern w:val="2"/>
          <w:sz w:val="32"/>
          <w:szCs w:val="32"/>
          <w:lang w:val="en-US" w:eastAsia="zh-CN" w:bidi="ar-SA"/>
        </w:rPr>
        <w:t>业务分管领导</w:t>
      </w:r>
      <w:r>
        <w:rPr>
          <w:rFonts w:hint="default" w:ascii="Times New Roman" w:hAnsi="Times New Roman" w:eastAsia="仿宋_GB2312" w:cs="Times New Roman"/>
          <w:kern w:val="2"/>
          <w:sz w:val="32"/>
          <w:szCs w:val="32"/>
          <w:lang w:val="en-US" w:eastAsia="zh-CN" w:bidi="ar-SA"/>
        </w:rPr>
        <w:t xml:space="preserve"> 1 名组成。会议筹备组工作人员负责评估会议组织实施情况，判断绩效目标完成程度；财务人员审核资金使用情况，分析预算执行数据；各成员职责明确，协同合作完成项目绩效自评工作。​</w:t>
      </w:r>
    </w:p>
    <w:p w14:paraId="393D858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zh-CN"/>
        </w:rPr>
      </w:pPr>
      <w:r>
        <w:rPr>
          <w:rFonts w:hint="default" w:ascii="黑体" w:hAnsi="宋体" w:eastAsia="黑体" w:cs="Times New Roman"/>
          <w:sz w:val="32"/>
          <w:szCs w:val="32"/>
          <w:highlight w:val="none"/>
          <w:lang w:val="en-US" w:eastAsia="zh-CN"/>
        </w:rPr>
        <w:t>三、绩效分析​</w:t>
      </w:r>
    </w:p>
    <w:p w14:paraId="1CBCC88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（一）通用指标绩效分析​</w:t>
      </w:r>
    </w:p>
    <w:p w14:paraId="427071CC">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项目决策：项目立项严格遵循国家和省级清洁能源发展政策要求，决策程序规范，对会议开展进行了充分的规划论证，明确了资金投向与使用范围，确保资金用于会议核心环节，决策科学性较高。​</w:t>
      </w:r>
    </w:p>
    <w:p w14:paraId="500B375F">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项目管理：</w:t>
      </w:r>
      <w:r>
        <w:rPr>
          <w:rFonts w:hint="eastAsia" w:ascii="Times New Roman" w:hAnsi="Times New Roman" w:eastAsia="仿宋_GB2312" w:cs="Times New Roman"/>
          <w:kern w:val="2"/>
          <w:sz w:val="32"/>
          <w:szCs w:val="32"/>
          <w:lang w:val="en-US" w:eastAsia="zh-CN" w:bidi="ar-SA"/>
        </w:rPr>
        <w:t>实行专款专用</w:t>
      </w:r>
      <w:r>
        <w:rPr>
          <w:rFonts w:hint="default" w:ascii="Times New Roman" w:hAnsi="Times New Roman" w:eastAsia="仿宋_GB2312" w:cs="Times New Roman"/>
          <w:kern w:val="2"/>
          <w:sz w:val="32"/>
          <w:szCs w:val="32"/>
          <w:lang w:val="en-US" w:eastAsia="zh-CN" w:bidi="ar-SA"/>
        </w:rPr>
        <w:t>。​</w:t>
      </w:r>
    </w:p>
    <w:p w14:paraId="48111222">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项目实施：预算执行方面，整体进度符合预期；资金使用符合规定用途，审批流程规范。​</w:t>
      </w:r>
    </w:p>
    <w:p w14:paraId="380CD13A">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项目结果：在目标完成方面，邀请</w:t>
      </w:r>
      <w:r>
        <w:rPr>
          <w:rFonts w:hint="eastAsia" w:ascii="Times New Roman" w:hAnsi="Times New Roman" w:eastAsia="仿宋_GB2312" w:cs="Times New Roman"/>
          <w:kern w:val="2"/>
          <w:sz w:val="32"/>
          <w:szCs w:val="32"/>
          <w:lang w:val="en-US" w:eastAsia="zh-CN" w:bidi="ar-SA"/>
        </w:rPr>
        <w:t>行业代表、</w:t>
      </w:r>
      <w:r>
        <w:rPr>
          <w:rFonts w:hint="default" w:ascii="Times New Roman" w:hAnsi="Times New Roman" w:eastAsia="仿宋_GB2312" w:cs="Times New Roman"/>
          <w:kern w:val="2"/>
          <w:sz w:val="32"/>
          <w:szCs w:val="32"/>
          <w:lang w:val="en-US" w:eastAsia="zh-CN" w:bidi="ar-SA"/>
        </w:rPr>
        <w:t>示范项目现场参观</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完成时效上，会议按计划时间节点顺利举办。​</w:t>
      </w:r>
    </w:p>
    <w:p w14:paraId="3BF5EEB8">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（二）专用指标绩效分析​</w:t>
      </w:r>
    </w:p>
    <w:p w14:paraId="21F3A29E">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省低碳地热资源开发利用现场会经费项目属于产业发展类，围绕符合性、成长性、经济性进行绩效分析。资金使用符合地热资源开发利用产业发展政策导向，用途合规；会议的举办为产业发展提供了交流平台，有助于推动产业技术进步和合作，具有一定成长性；但从投入产出比来看，在吸引企业参会数量、宣传覆盖范围等方面，经济带动效果未达预期。​</w:t>
      </w:r>
    </w:p>
    <w:p w14:paraId="16253B64">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（三）个性指标绩效分析​</w:t>
      </w:r>
    </w:p>
    <w:p w14:paraId="415523FC">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现场参观项目展示效果：从参观路线规划合理性、项目展示完整性、讲解专业性等方面评估现场参观项目展示效果。</w:t>
      </w:r>
    </w:p>
    <w:p w14:paraId="309360F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zh-CN" w:eastAsia="zh-CN"/>
        </w:rPr>
      </w:pPr>
      <w:r>
        <w:rPr>
          <w:rFonts w:hint="default" w:ascii="黑体" w:hAnsi="宋体" w:eastAsia="黑体" w:cs="Times New Roman"/>
          <w:sz w:val="32"/>
          <w:szCs w:val="32"/>
          <w:highlight w:val="none"/>
          <w:lang w:val="en-US" w:eastAsia="zh-CN"/>
        </w:rPr>
        <w:t>四、评价结论​</w:t>
      </w:r>
    </w:p>
    <w:p w14:paraId="6E279920">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项目实施在推动全省低碳地热资源开发利用产业交流方面取得了一定成效，成功举办了现场会。经综合评价，专项资金绩效自评总分为 </w:t>
      </w:r>
      <w:r>
        <w:rPr>
          <w:rFonts w:hint="eastAsia"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t>分。</w:t>
      </w:r>
    </w:p>
    <w:p w14:paraId="2946F6B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en-US" w:eastAsia="zh-CN"/>
        </w:rPr>
      </w:pPr>
      <w:r>
        <w:rPr>
          <w:rFonts w:hint="default" w:ascii="黑体" w:hAnsi="宋体" w:eastAsia="黑体" w:cs="Times New Roman"/>
          <w:sz w:val="32"/>
          <w:szCs w:val="32"/>
          <w:highlight w:val="none"/>
          <w:lang w:val="en-US" w:eastAsia="zh-CN"/>
        </w:rPr>
        <w:t>五、存在主要问题</w:t>
      </w:r>
      <w:r>
        <w:rPr>
          <w:rFonts w:hint="eastAsia" w:ascii="黑体" w:hAnsi="宋体" w:eastAsia="黑体" w:cs="Times New Roman"/>
          <w:sz w:val="32"/>
          <w:szCs w:val="32"/>
          <w:highlight w:val="none"/>
          <w:lang w:val="en-US" w:eastAsia="zh-CN"/>
        </w:rPr>
        <w:t>。无。</w:t>
      </w:r>
    </w:p>
    <w:p w14:paraId="12349A8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sz w:val="32"/>
          <w:szCs w:val="32"/>
          <w:highlight w:val="none"/>
          <w:lang w:val="en-US" w:eastAsia="zh-CN"/>
        </w:rPr>
      </w:pPr>
      <w:r>
        <w:rPr>
          <w:rFonts w:hint="default" w:ascii="黑体" w:hAnsi="宋体" w:eastAsia="黑体" w:cs="Times New Roman"/>
          <w:sz w:val="32"/>
          <w:szCs w:val="32"/>
          <w:highlight w:val="none"/>
          <w:lang w:val="en-US" w:eastAsia="zh-CN"/>
        </w:rPr>
        <w:t>六、改进建议</w:t>
      </w:r>
      <w:r>
        <w:rPr>
          <w:rFonts w:hint="eastAsia" w:ascii="黑体" w:hAnsi="宋体" w:eastAsia="黑体" w:cs="Times New Roman"/>
          <w:sz w:val="32"/>
          <w:szCs w:val="32"/>
          <w:highlight w:val="none"/>
          <w:lang w:val="en-US" w:eastAsia="zh-CN"/>
        </w:rPr>
        <w:t>。无。</w:t>
      </w:r>
    </w:p>
    <w:p w14:paraId="016BC944">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7E14254E">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00396DD7">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47B2CFCD">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461BB336">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776CCDCA">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288EE530">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4AFA2E8C">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p w14:paraId="68939A86">
      <w:pPr>
        <w:widowControl w:val="0"/>
        <w:numPr>
          <w:ilvl w:val="0"/>
          <w:numId w:val="0"/>
        </w:numPr>
        <w:tabs>
          <w:tab w:val="left" w:pos="360"/>
        </w:tabs>
        <w:jc w:val="both"/>
        <w:rPr>
          <w:rFonts w:hint="eastAsia" w:ascii="黑体" w:hAnsi="宋体" w:eastAsia="黑体" w:cs="Times New Roman"/>
          <w:kern w:val="2"/>
          <w:sz w:val="32"/>
          <w:szCs w:val="32"/>
          <w:highlight w:val="none"/>
          <w:lang w:val="en-US" w:eastAsia="zh-CN" w:bidi="ar-SA"/>
        </w:rPr>
      </w:pP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C66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7D2AD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457AAFF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2C84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7E5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6BB0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default" w:ascii="宋体" w:hAnsi="宋体" w:eastAsia="宋体" w:cs="宋体"/>
                <w:i w:val="0"/>
                <w:color w:val="000000"/>
                <w:sz w:val="18"/>
                <w:szCs w:val="18"/>
                <w:u w:val="none"/>
                <w:lang w:val="en-US" w:eastAsia="zh-CN"/>
              </w:rPr>
              <w:t>全省低碳地热资源开发利用现场会经</w:t>
            </w:r>
            <w:r>
              <w:rPr>
                <w:rFonts w:hint="eastAsia" w:ascii="宋体" w:hAnsi="宋体" w:eastAsia="宋体" w:cs="宋体"/>
                <w:i w:val="0"/>
                <w:color w:val="000000"/>
                <w:sz w:val="18"/>
                <w:szCs w:val="18"/>
                <w:u w:val="none"/>
                <w:lang w:val="en-US" w:eastAsia="zh-CN"/>
              </w:rPr>
              <w:t>费</w:t>
            </w:r>
          </w:p>
        </w:tc>
      </w:tr>
      <w:tr w14:paraId="3BE8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F87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2B3F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区经信科技局</w:t>
            </w:r>
          </w:p>
        </w:tc>
      </w:tr>
      <w:tr w14:paraId="5E98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143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0E57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2587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341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B11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4AD7C6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C892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4C0A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DD6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2B3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D682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1A02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68F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FE7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A3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69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E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BC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5E19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76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743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8"/>
            </w:tblGrid>
            <w:tr w14:paraId="2C9B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5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D09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《全省低碳地热资源开发利用现场会方案》</w:t>
                  </w:r>
                </w:p>
              </w:tc>
            </w:tr>
          </w:tbl>
          <w:p w14:paraId="12040CB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3B98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59A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B27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38BB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全省低碳地热资源开发利用现场会</w:t>
            </w:r>
          </w:p>
        </w:tc>
      </w:tr>
      <w:tr w14:paraId="3BE9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914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373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9E4E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3901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715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155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FC59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2022年12月</w:t>
            </w:r>
          </w:p>
        </w:tc>
      </w:tr>
      <w:tr w14:paraId="3973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C21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5F9F29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0D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75EB4">
            <w:pPr>
              <w:keepNext w:val="0"/>
              <w:keepLines w:val="0"/>
              <w:pageBreakBefore w:val="0"/>
              <w:tabs>
                <w:tab w:val="left" w:pos="852"/>
              </w:tabs>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14.99</w:t>
            </w:r>
          </w:p>
        </w:tc>
      </w:tr>
      <w:tr w14:paraId="7830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D15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941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5EC1">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14.99</w:t>
            </w:r>
          </w:p>
        </w:tc>
      </w:tr>
      <w:tr w14:paraId="3834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054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26F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A3B01">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w:t>
            </w:r>
          </w:p>
        </w:tc>
      </w:tr>
      <w:tr w14:paraId="6A05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369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52B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D1F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C41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7CEE3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召开</w:t>
            </w:r>
            <w:r>
              <w:rPr>
                <w:rFonts w:hint="eastAsia" w:ascii="宋体" w:hAnsi="宋体" w:eastAsia="宋体" w:cs="宋体"/>
                <w:i w:val="0"/>
                <w:color w:val="000000"/>
                <w:sz w:val="18"/>
                <w:szCs w:val="18"/>
                <w:u w:val="none"/>
                <w:lang w:eastAsia="zh-CN"/>
              </w:rPr>
              <w:t>全省低碳地热资源开发利用现场会</w:t>
            </w:r>
          </w:p>
        </w:tc>
      </w:tr>
      <w:tr w14:paraId="52B1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FE079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96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9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8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B9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5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3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B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C5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205C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8C498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ADC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F8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78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p w14:paraId="35DA7343">
            <w:pPr>
              <w:widowControl w:val="0"/>
              <w:numPr>
                <w:ilvl w:val="0"/>
                <w:numId w:val="0"/>
              </w:numPr>
              <w:tabs>
                <w:tab w:val="left" w:pos="360"/>
              </w:tabs>
              <w:ind w:leftChars="0"/>
              <w:jc w:val="left"/>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邀请行业代表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C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2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51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38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B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20</w:t>
            </w:r>
          </w:p>
        </w:tc>
      </w:tr>
      <w:tr w14:paraId="7C95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89AE5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FB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5E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122">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邀请专家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F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95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0C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0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C4C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r>
      <w:tr w14:paraId="5C30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CB55E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A7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6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0E4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大会顺利举办                     </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2DB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3C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FC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B2F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C6F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完成</w:t>
            </w:r>
          </w:p>
        </w:tc>
      </w:tr>
      <w:tr w14:paraId="29AE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38A7C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CB6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E4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9E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完成时限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E5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1A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F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C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9E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2A16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F10A5B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439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00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39F033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EC0">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1F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D7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E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16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DD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p>
        </w:tc>
      </w:tr>
      <w:tr w14:paraId="6263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46EC8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07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3C9541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0107D1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B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提升企业创新能力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38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51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有效提升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0F1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CAE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A99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w:t>
            </w:r>
          </w:p>
        </w:tc>
      </w:tr>
      <w:tr w14:paraId="545D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DD6833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3D0F0D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692C32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3B29B1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7EA1D7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企业、群众满意率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1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3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0F3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BF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6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655F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87A9A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4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5E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1165FC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7B5E736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会议费用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9E0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188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14.99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37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3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29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14.99万元</w:t>
            </w:r>
          </w:p>
        </w:tc>
      </w:tr>
    </w:tbl>
    <w:p w14:paraId="53F84C3C">
      <w:pPr>
        <w:spacing w:line="600" w:lineRule="exact"/>
        <w:jc w:val="center"/>
        <w:outlineLvl w:val="0"/>
        <w:rPr>
          <w:rFonts w:hint="eastAsia" w:ascii="黑体" w:hAnsi="黑体" w:eastAsia="黑体"/>
          <w:color w:val="auto"/>
          <w:sz w:val="44"/>
          <w:szCs w:val="44"/>
          <w:highlight w:val="none"/>
        </w:rPr>
      </w:pPr>
    </w:p>
    <w:p w14:paraId="3C85484B">
      <w:pPr>
        <w:spacing w:line="600" w:lineRule="exact"/>
        <w:jc w:val="center"/>
        <w:outlineLvl w:val="0"/>
        <w:rPr>
          <w:rFonts w:hint="eastAsia" w:ascii="黑体" w:hAnsi="黑体" w:eastAsia="黑体"/>
          <w:color w:val="auto"/>
          <w:sz w:val="44"/>
          <w:szCs w:val="44"/>
          <w:highlight w:val="none"/>
        </w:rPr>
      </w:pPr>
    </w:p>
    <w:p w14:paraId="1C91A738">
      <w:pPr>
        <w:spacing w:line="600" w:lineRule="exact"/>
        <w:jc w:val="center"/>
        <w:outlineLvl w:val="0"/>
        <w:rPr>
          <w:rFonts w:hint="eastAsia" w:ascii="黑体" w:hAnsi="黑体" w:eastAsia="黑体"/>
          <w:color w:val="auto"/>
          <w:sz w:val="44"/>
          <w:szCs w:val="44"/>
          <w:highlight w:val="none"/>
        </w:rPr>
      </w:pPr>
    </w:p>
    <w:p w14:paraId="7581FA22">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bidi="ar-SA"/>
        </w:rPr>
      </w:pPr>
      <w:r>
        <w:rPr>
          <w:rFonts w:hint="default"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74E276FD">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仿宋" w:cs="Times New Roman"/>
          <w:color w:val="auto"/>
          <w:kern w:val="2"/>
          <w:sz w:val="32"/>
          <w:szCs w:val="32"/>
          <w:u w:val="none"/>
          <w:lang w:val="en-US" w:eastAsia="zh-CN" w:bidi="ar-SA"/>
        </w:rPr>
      </w:pPr>
      <w:r>
        <w:rPr>
          <w:rFonts w:hint="eastAsia" w:ascii="Times New Roman" w:hAnsi="Times New Roman" w:eastAsia="仿宋_GB2312" w:cs="Times New Roman"/>
          <w:kern w:val="2"/>
          <w:sz w:val="32"/>
          <w:szCs w:val="32"/>
          <w:lang w:val="en-US" w:eastAsia="zh-CN" w:bidi="ar-SA"/>
        </w:rPr>
        <w:t>（化工园区扩区调整工作经费）</w:t>
      </w:r>
    </w:p>
    <w:p w14:paraId="17DBF68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53E6E8A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18D0E95C">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（一）设立背景及基本情况。</w:t>
      </w:r>
      <w:r>
        <w:rPr>
          <w:rFonts w:hint="eastAsia" w:ascii="Times New Roman" w:hAnsi="Times New Roman" w:eastAsia="仿宋_GB2312" w:cs="Times New Roman"/>
          <w:kern w:val="2"/>
          <w:sz w:val="32"/>
          <w:szCs w:val="32"/>
          <w:lang w:val="en-US" w:eastAsia="zh-CN" w:bidi="ar-SA"/>
        </w:rPr>
        <w:t>为贯彻落实省委十二届二次全会明确“四化同步、城乡融合、五区共兴”总抓手，对全省经济社会发展作出系列新的重要部署，明确支持遂宁建设成渝中部现代化建设示范市和锂电之都，进一步提升遂宁在成渝地区双城经济圈建设中的战略定位;省委十二届三次全会明确大力实施“四化同步、城乡融合、五区共兴”发展战略，实施能源化工、先进材料等优势产业提质倍增行动。省市高位推动,遂宁市和甘孜州签署全面战略合作协议，共同构建锂电产业生态。遂宁安居化工园区作为区域经济发展的重要引擎，故遂宁安居化工园区扩区调整十分必要。</w:t>
      </w:r>
    </w:p>
    <w:p w14:paraId="634DF38C">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3月29日，经四川省经济和信息化厅、四川省发展和改革委员会、四川省自然资源厅、四川省生态环境厅、四川省水利厅和四川省应急管理厅六部门批准，遂宁安居化工园区被认定为四川省首批化工园区(即原认定遂宁安居化工园区)，主要发展新材料、能源化工两大主导产业。四至范围：北至顺安南路、南至滨江东路、西至滨江东路、东至遂内高速，总面积 243.7214 公顷。</w:t>
      </w:r>
    </w:p>
    <w:p w14:paraId="4AC41ADF">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为</w:t>
      </w:r>
      <w:r>
        <w:rPr>
          <w:rFonts w:hint="eastAsia" w:ascii="Times New Roman" w:hAnsi="Times New Roman" w:eastAsia="仿宋_GB2312" w:cs="Times New Roman"/>
          <w:kern w:val="2"/>
          <w:sz w:val="32"/>
          <w:szCs w:val="32"/>
          <w:lang w:val="en-US" w:eastAsia="zh-CN" w:bidi="ar-SA"/>
        </w:rPr>
        <w:t>了抢抓机遇、踔厉奋发、笃行不怠、高质量谱写安居区经济发展新篇章，开展遂宁安居区化工园区扩区调整工作，夯实化工园区平台建设，推动化工项目尽快落地建设。</w:t>
      </w:r>
    </w:p>
    <w:p w14:paraId="7D0E253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Times New Roman" w:hAnsi="Times New Roman" w:eastAsia="仿宋_GB2312" w:cs="Times New Roman"/>
          <w:kern w:val="2"/>
          <w:sz w:val="32"/>
          <w:szCs w:val="32"/>
          <w:lang w:val="en-US" w:eastAsia="zh-CN" w:bidi="ar-SA"/>
        </w:rPr>
        <w:t>项目预算资金7万元，主要用于遂宁安居化工园区扩区调整组卷资料费用。</w:t>
      </w:r>
    </w:p>
    <w:p w14:paraId="63CA0B5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（四）项目绩效目标设置。</w:t>
      </w:r>
      <w:r>
        <w:rPr>
          <w:rFonts w:hint="eastAsia" w:ascii="Times New Roman" w:hAnsi="Times New Roman" w:eastAsia="仿宋_GB2312" w:cs="Times New Roman"/>
          <w:kern w:val="2"/>
          <w:sz w:val="32"/>
          <w:szCs w:val="32"/>
          <w:lang w:val="en-US" w:eastAsia="zh-CN" w:bidi="ar-SA"/>
        </w:rPr>
        <w:t>2024年1月前完成化工园区扩区调整工作，增加遂宁安居化工园区扩区调整面积36公顷，新签约项目2个以上。</w:t>
      </w:r>
    </w:p>
    <w:p w14:paraId="16B0679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625C129F">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评价是按照遂宁安居化工园区扩区调整工作前期准备，工作开展情况，资料准备完善情况，工作完成情况及化工园区申报成功后对安居区未来经济发展等因素而开展。</w:t>
      </w:r>
    </w:p>
    <w:p w14:paraId="3934C520">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7BCB6A3C">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按照资金预算要求，项目于2024年1月前完成化工园区扩区调整工作，增加遂宁安居化工园区扩区调整面积36公顷，新签约项目2个以上，为安居区经济发展奠定了坚实的基础。</w:t>
      </w:r>
    </w:p>
    <w:p w14:paraId="2178A150">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r>
        <w:rPr>
          <w:rFonts w:hint="eastAsia" w:ascii="黑体" w:hAnsi="宋体" w:eastAsia="黑体" w:cs="Times New Roman"/>
          <w:color w:val="auto"/>
          <w:kern w:val="0"/>
          <w:position w:val="3"/>
          <w:sz w:val="32"/>
          <w:szCs w:val="32"/>
          <w:highlight w:val="none"/>
          <w:u w:val="none"/>
          <w:lang w:val="en-US" w:eastAsia="zh-CN" w:bidi="ar-SA"/>
        </w:rPr>
        <w:t>。</w:t>
      </w:r>
      <w:r>
        <w:rPr>
          <w:rFonts w:hint="eastAsia" w:ascii="Times New Roman" w:hAnsi="Times New Roman" w:eastAsia="仿宋_GB2312" w:cs="Times New Roman"/>
          <w:kern w:val="2"/>
          <w:sz w:val="32"/>
          <w:szCs w:val="32"/>
          <w:lang w:val="en-US" w:eastAsia="zh-CN" w:bidi="ar-SA"/>
        </w:rPr>
        <w:t>专项资金使用符合政策要求，绩效目标完成情况总体良好，资金分配与项目需求匹配，在推动扩区调整中发挥了重要作用。实现了预期效益，资金使用合规性、规范性得到有效保障。综合评分100分。</w:t>
      </w:r>
    </w:p>
    <w:p w14:paraId="1B900E9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r>
        <w:rPr>
          <w:rFonts w:hint="eastAsia" w:ascii="Times New Roman" w:hAnsi="Times New Roman" w:eastAsia="仿宋_GB2312" w:cs="Times New Roman"/>
          <w:kern w:val="2"/>
          <w:sz w:val="32"/>
          <w:szCs w:val="32"/>
          <w:lang w:val="en-US" w:eastAsia="zh-CN" w:bidi="ar-SA"/>
        </w:rPr>
        <w:t>暂无。</w:t>
      </w:r>
    </w:p>
    <w:p w14:paraId="001D09BA">
      <w:pPr>
        <w:widowControl/>
        <w:numPr>
          <w:ilvl w:val="0"/>
          <w:numId w:val="0"/>
        </w:numPr>
        <w:tabs>
          <w:tab w:val="left" w:pos="2160"/>
        </w:tabs>
        <w:spacing w:line="480" w:lineRule="auto"/>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r>
        <w:rPr>
          <w:rFonts w:hint="eastAsia" w:ascii="Times New Roman" w:hAnsi="Times New Roman" w:eastAsia="仿宋_GB2312" w:cs="Times New Roman"/>
          <w:kern w:val="2"/>
          <w:sz w:val="32"/>
          <w:szCs w:val="32"/>
          <w:lang w:val="en-US" w:eastAsia="zh-CN" w:bidi="ar-SA"/>
        </w:rPr>
        <w:t>持续加强化工园区管理，推动安居工业经济高质量发展。</w:t>
      </w:r>
    </w:p>
    <w:p w14:paraId="0541490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附表：专项资金绩效目标完成情况自评表</w:t>
      </w:r>
    </w:p>
    <w:p w14:paraId="0C81693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2BD2A0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63F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350557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4C6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B91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1BBB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遂宁安居化工园区扩区调整工作经费</w:t>
            </w:r>
          </w:p>
        </w:tc>
      </w:tr>
      <w:tr w14:paraId="49CD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69C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57C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区经信科技局</w:t>
            </w:r>
          </w:p>
        </w:tc>
      </w:tr>
      <w:tr w14:paraId="7EB4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D29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1DC5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w:t>
            </w:r>
          </w:p>
        </w:tc>
      </w:tr>
      <w:tr w14:paraId="1582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3F5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8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3BAF33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5B8A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52B1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97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05A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404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3B23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789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ECF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7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75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5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742C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DC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AE9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EC3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23F8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D05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D4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9D1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资料打印</w:t>
            </w:r>
          </w:p>
        </w:tc>
      </w:tr>
      <w:tr w14:paraId="450A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19C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DD3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B82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4ECD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E42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A68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DE57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2023年1月-2024年2月</w:t>
            </w:r>
          </w:p>
        </w:tc>
      </w:tr>
      <w:tr w14:paraId="2034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5A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1C0D64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A1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3AD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7万元</w:t>
            </w:r>
          </w:p>
        </w:tc>
      </w:tr>
      <w:tr w14:paraId="5C00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D1A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60E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E60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7万元</w:t>
            </w:r>
          </w:p>
        </w:tc>
      </w:tr>
      <w:tr w14:paraId="67F2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6DA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0D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3889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766D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EF5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AA3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342D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6F2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DE6E5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2024年1月完成化工园区扩区调整工作</w:t>
            </w:r>
          </w:p>
        </w:tc>
      </w:tr>
      <w:tr w14:paraId="39B4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C482A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BA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B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C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86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8D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4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0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51B3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0A0C83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59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77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AD7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增加扩区调整面积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F0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6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36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55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公顷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28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8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36</w:t>
            </w:r>
          </w:p>
        </w:tc>
      </w:tr>
      <w:tr w14:paraId="5527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67370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95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B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F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完成项目招引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DD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32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4A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8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1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2个</w:t>
            </w:r>
          </w:p>
        </w:tc>
      </w:tr>
      <w:tr w14:paraId="09DB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B45BC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8E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E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B9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完成实现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9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D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2024年1月</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B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8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13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已完成</w:t>
            </w:r>
          </w:p>
        </w:tc>
      </w:tr>
      <w:tr w14:paraId="6AC5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F214B8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ED3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38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74FD94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3CB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安居经济发展提到提升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A6F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F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4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1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B4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有效提升</w:t>
            </w:r>
          </w:p>
        </w:tc>
      </w:tr>
      <w:tr w14:paraId="0F28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96787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F2C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right w:val="single" w:color="000000" w:sz="4" w:space="0"/>
            </w:tcBorders>
            <w:shd w:val="clear" w:color="auto" w:fill="auto"/>
            <w:vAlign w:val="center"/>
          </w:tcPr>
          <w:p w14:paraId="31478D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5F5C1A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8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E8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766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6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A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2E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14:paraId="28DF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88711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16AF68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5377F5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74CFE6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18E187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36C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企业、群众满意率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6CC">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0BB">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A2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1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835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019A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BBD4C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9F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5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356CED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3DDB44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资料打印费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9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9E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C5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939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6B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r>
    </w:tbl>
    <w:p w14:paraId="410484FC">
      <w:pPr>
        <w:spacing w:line="600" w:lineRule="exact"/>
        <w:jc w:val="center"/>
        <w:outlineLvl w:val="0"/>
        <w:rPr>
          <w:rFonts w:hint="eastAsia" w:ascii="黑体" w:hAnsi="黑体" w:eastAsia="黑体"/>
          <w:color w:val="auto"/>
          <w:sz w:val="44"/>
          <w:szCs w:val="44"/>
          <w:highlight w:val="none"/>
        </w:rPr>
      </w:pPr>
    </w:p>
    <w:p w14:paraId="0DF5956E">
      <w:pPr>
        <w:spacing w:line="600" w:lineRule="exact"/>
        <w:jc w:val="center"/>
        <w:outlineLvl w:val="0"/>
        <w:rPr>
          <w:rFonts w:hint="eastAsia" w:ascii="黑体" w:hAnsi="黑体" w:eastAsia="黑体"/>
          <w:color w:val="auto"/>
          <w:sz w:val="44"/>
          <w:szCs w:val="44"/>
          <w:highlight w:val="none"/>
        </w:rPr>
      </w:pPr>
    </w:p>
    <w:p w14:paraId="40E22BFA">
      <w:pPr>
        <w:spacing w:line="600" w:lineRule="exact"/>
        <w:jc w:val="center"/>
        <w:outlineLvl w:val="0"/>
        <w:rPr>
          <w:rFonts w:hint="eastAsia" w:ascii="黑体" w:hAnsi="黑体" w:eastAsia="黑体"/>
          <w:color w:val="auto"/>
          <w:sz w:val="44"/>
          <w:szCs w:val="44"/>
          <w:highlight w:val="none"/>
        </w:rPr>
      </w:pPr>
    </w:p>
    <w:p w14:paraId="3B640415">
      <w:pPr>
        <w:spacing w:line="600" w:lineRule="exact"/>
        <w:jc w:val="center"/>
        <w:outlineLvl w:val="0"/>
        <w:rPr>
          <w:rFonts w:hint="eastAsia" w:ascii="黑体" w:hAnsi="黑体" w:eastAsia="黑体"/>
          <w:color w:val="auto"/>
          <w:sz w:val="44"/>
          <w:szCs w:val="44"/>
          <w:highlight w:val="none"/>
        </w:rPr>
      </w:pPr>
    </w:p>
    <w:p w14:paraId="2B14DDA6">
      <w:pPr>
        <w:tabs>
          <w:tab w:val="left" w:pos="3885"/>
        </w:tabs>
        <w:snapToGrid w:val="0"/>
        <w:spacing w:line="600" w:lineRule="exact"/>
        <w:jc w:val="center"/>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专项资金绩效自评报告</w:t>
      </w:r>
    </w:p>
    <w:p w14:paraId="11C4B0DB">
      <w:pPr>
        <w:tabs>
          <w:tab w:val="left" w:pos="3885"/>
        </w:tabs>
        <w:snapToGrid w:val="0"/>
        <w:spacing w:line="600" w:lineRule="exact"/>
        <w:jc w:val="center"/>
        <w:rPr>
          <w:rFonts w:ascii="Times New Roman" w:hAnsi="宋体" w:eastAsia="仿宋_GB2312" w:cs="Times New Roman"/>
          <w:sz w:val="32"/>
        </w:rPr>
      </w:pPr>
      <w:r>
        <w:rPr>
          <w:rFonts w:hint="eastAsia" w:ascii="Times New Roman" w:hAnsi="宋体" w:eastAsia="仿宋_GB2312" w:cs="Times New Roman"/>
          <w:sz w:val="32"/>
        </w:rPr>
        <w:t>（工业良好开局奖补资金）</w:t>
      </w:r>
    </w:p>
    <w:p w14:paraId="469F60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i w:val="0"/>
          <w:iCs w:val="0"/>
          <w:sz w:val="32"/>
          <w:szCs w:val="32"/>
          <w:highlight w:val="none"/>
          <w:lang w:val="zh-CN"/>
        </w:rPr>
      </w:pPr>
      <w:bookmarkStart w:id="192" w:name="_Toc11535_WPSOffice_Level2"/>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bookmarkEnd w:id="192"/>
    </w:p>
    <w:p w14:paraId="04D3DB0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eastAsia" w:ascii="Times New Roman" w:hAnsi="Times New Roman" w:eastAsia="仿宋_GB2312" w:cs="Times New Roman"/>
          <w:kern w:val="2"/>
          <w:sz w:val="32"/>
          <w:szCs w:val="32"/>
          <w:lang w:val="en-US" w:eastAsia="zh-CN" w:bidi="ar-SA"/>
        </w:rPr>
        <w:t>该项目主要是为了深入学习贯彻中央、省委经济工作会议精神，认真落实市委八届八次全会暨市委经济工作会议安排部署，坚持稳中求进工作总基调，聚焦工业提质扩量增效，推动全市工业经济实现良好开局。</w:t>
      </w:r>
    </w:p>
    <w:p w14:paraId="2A11AB5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kern w:val="2"/>
          <w:sz w:val="32"/>
          <w:szCs w:val="32"/>
          <w:lang w:val="en-US" w:eastAsia="zh-CN" w:bidi="ar-SA"/>
        </w:rPr>
        <w:t>支持企业开足马力生产，以电费奖补形式给予支持。</w:t>
      </w:r>
    </w:p>
    <w:p w14:paraId="09F0F26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Times New Roman"/>
          <w:kern w:val="2"/>
          <w:sz w:val="32"/>
          <w:szCs w:val="32"/>
          <w:lang w:val="zh-CN" w:eastAsia="zh-CN" w:bidi="ar-SA"/>
        </w:rPr>
        <w:t>全市预算</w:t>
      </w:r>
      <w:r>
        <w:rPr>
          <w:rFonts w:hint="eastAsia" w:ascii="Times New Roman" w:hAnsi="Times New Roman" w:eastAsia="仿宋_GB2312" w:cs="Times New Roman"/>
          <w:kern w:val="2"/>
          <w:sz w:val="32"/>
          <w:szCs w:val="32"/>
          <w:lang w:val="en-US" w:eastAsia="zh-CN" w:bidi="ar-SA"/>
        </w:rPr>
        <w:t>300万元，实际安排专项资金286.7万元，其中，我区戴帽安排奖补资金43.3万元。</w:t>
      </w:r>
    </w:p>
    <w:p w14:paraId="0052A88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kern w:val="2"/>
          <w:sz w:val="32"/>
          <w:szCs w:val="32"/>
          <w:lang w:val="zh-CN" w:eastAsia="zh-CN" w:bidi="ar-SA"/>
        </w:rPr>
        <w:t>该奖补资金主要是为了支持和鼓励春节期间企业开足马力生产</w:t>
      </w:r>
      <w:r>
        <w:rPr>
          <w:rFonts w:hint="eastAsia" w:ascii="Times New Roman" w:hAnsi="Times New Roman" w:eastAsia="仿宋_GB2312" w:cs="Times New Roman"/>
          <w:kern w:val="2"/>
          <w:sz w:val="32"/>
          <w:szCs w:val="32"/>
          <w:lang w:val="en-US" w:eastAsia="zh-CN" w:bidi="ar-SA"/>
        </w:rPr>
        <w:t>。</w:t>
      </w:r>
    </w:p>
    <w:p w14:paraId="0C66FD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黑体" w:cs="Times New Roman"/>
          <w:b w:val="0"/>
          <w:bCs w:val="0"/>
          <w:i w:val="0"/>
          <w:iCs w:val="0"/>
          <w:sz w:val="32"/>
          <w:szCs w:val="32"/>
          <w:highlight w:val="none"/>
          <w:lang w:eastAsia="zh-CN"/>
        </w:rPr>
      </w:pPr>
      <w:bookmarkStart w:id="193" w:name="_Toc27836_WPSOffice_Level2"/>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bookmarkEnd w:id="193"/>
    </w:p>
    <w:p w14:paraId="092D2E71">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Times New Roman"/>
          <w:kern w:val="2"/>
          <w:sz w:val="32"/>
          <w:szCs w:val="32"/>
          <w:lang w:val="zh-CN" w:eastAsia="zh-CN" w:bidi="ar-SA"/>
        </w:rPr>
        <w:t>通过绩效评价掌握产出效益是否达到预期目标，合理使用专项资金。</w:t>
      </w:r>
    </w:p>
    <w:p w14:paraId="1C0DB3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eastAsia" w:ascii="Times New Roman" w:hAnsi="Times New Roman" w:eastAsia="仿宋_GB2312" w:cs="Times New Roman"/>
          <w:kern w:val="2"/>
          <w:sz w:val="32"/>
          <w:szCs w:val="32"/>
          <w:lang w:val="zh-CN" w:eastAsia="zh-CN" w:bidi="ar-SA"/>
        </w:rPr>
        <w:t>根据</w:t>
      </w:r>
      <w:r>
        <w:rPr>
          <w:rFonts w:hint="eastAsia" w:ascii="Times New Roman" w:hAnsi="Times New Roman" w:eastAsia="仿宋_GB2312" w:cs="Times New Roman"/>
          <w:kern w:val="2"/>
          <w:sz w:val="32"/>
          <w:szCs w:val="32"/>
          <w:lang w:val="en-US" w:eastAsia="zh-CN" w:bidi="ar-SA"/>
        </w:rPr>
        <w:t>2024年一季度企业经济贡献情况开展评价情况，评价结论为资金安排合理。</w:t>
      </w:r>
    </w:p>
    <w:p w14:paraId="4CD874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ascii="Times New Roman" w:hAnsi="Times New Roman" w:eastAsia="仿宋_GB2312" w:cs="Times New Roman"/>
          <w:kern w:val="2"/>
          <w:sz w:val="32"/>
          <w:szCs w:val="32"/>
          <w:lang w:val="zh-CN" w:eastAsia="zh-CN" w:bidi="ar-SA"/>
        </w:rPr>
        <w:t>该项目采取戴帽企业全覆盖评价</w:t>
      </w:r>
      <w:r>
        <w:rPr>
          <w:rFonts w:hint="default" w:ascii="Times New Roman" w:hAnsi="Times New Roman" w:eastAsia="仿宋_GB2312" w:cs="Times New Roman"/>
          <w:kern w:val="2"/>
          <w:sz w:val="32"/>
          <w:szCs w:val="32"/>
          <w:lang w:val="zh-CN" w:eastAsia="zh-CN" w:bidi="ar-SA"/>
        </w:rPr>
        <w:t>。</w:t>
      </w:r>
    </w:p>
    <w:p w14:paraId="79883396">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kern w:val="2"/>
          <w:sz w:val="32"/>
          <w:szCs w:val="32"/>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0A101F59">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kern w:val="2"/>
          <w:sz w:val="32"/>
          <w:szCs w:val="32"/>
          <w:lang w:val="zh-CN" w:eastAsia="zh-CN" w:bidi="ar-SA"/>
        </w:rPr>
        <w:t>由业务分管领导和业务股室配合开展评价工作。</w:t>
      </w:r>
    </w:p>
    <w:p w14:paraId="008EBDCA">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bookmarkStart w:id="194" w:name="_Toc20743_WPSOffice_Level2"/>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bookmarkEnd w:id="194"/>
      <w:r>
        <w:rPr>
          <w:rFonts w:hint="eastAsia" w:ascii="Times New Roman" w:hAnsi="Times New Roman" w:eastAsia="黑体" w:cs="Times New Roman"/>
          <w:b w:val="0"/>
          <w:bCs w:val="0"/>
          <w:i w:val="0"/>
          <w:iCs w:val="0"/>
          <w:color w:val="auto"/>
          <w:sz w:val="32"/>
          <w:szCs w:val="32"/>
          <w:highlight w:val="none"/>
          <w:u w:val="none"/>
          <w:lang w:eastAsia="zh-CN"/>
        </w:rPr>
        <w:t>。</w:t>
      </w:r>
    </w:p>
    <w:p w14:paraId="62788600">
      <w:pPr>
        <w:keepNext w:val="0"/>
        <w:keepLines w:val="0"/>
        <w:pageBreakBefore w:val="0"/>
        <w:kinsoku/>
        <w:wordWrap/>
        <w:overflowPunct/>
        <w:topLinePunct w:val="0"/>
        <w:autoSpaceDE/>
        <w:autoSpaceDN/>
        <w:bidi w:val="0"/>
        <w:spacing w:line="560" w:lineRule="exact"/>
        <w:ind w:firstLine="640" w:firstLineChars="200"/>
        <w:jc w:val="both"/>
        <w:textAlignment w:val="auto"/>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6BC27CDB">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项目决策。</w:t>
      </w:r>
      <w:r>
        <w:rPr>
          <w:rFonts w:hint="eastAsia" w:ascii="Times New Roman" w:hAnsi="Times New Roman" w:eastAsia="仿宋_GB2312" w:cs="Times New Roman"/>
          <w:kern w:val="2"/>
          <w:sz w:val="32"/>
          <w:szCs w:val="32"/>
          <w:lang w:val="zh-CN" w:eastAsia="zh-CN" w:bidi="ar-SA"/>
        </w:rPr>
        <w:t>项目依据</w:t>
      </w:r>
      <w:r>
        <w:rPr>
          <w:rFonts w:hint="default" w:ascii="Times New Roman" w:hAnsi="Times New Roman" w:eastAsia="仿宋_GB2312" w:cs="Times New Roman"/>
          <w:kern w:val="2"/>
          <w:sz w:val="32"/>
          <w:szCs w:val="32"/>
          <w:lang w:val="zh-CN" w:eastAsia="zh-CN" w:bidi="ar-SA"/>
        </w:rPr>
        <w:t>《遂宁市人民政府办公室关于推动2024 年工业经济良好开局的通知》(遂府办函〔2024]4号)《遂宁市2024年工业经济良好开局政策奖补方案》</w:t>
      </w:r>
      <w:r>
        <w:rPr>
          <w:rFonts w:hint="eastAsia" w:ascii="Times New Roman" w:hAnsi="Times New Roman" w:eastAsia="仿宋_GB2312" w:cs="Times New Roman"/>
          <w:kern w:val="2"/>
          <w:sz w:val="32"/>
          <w:szCs w:val="32"/>
          <w:lang w:val="zh-CN" w:eastAsia="zh-CN" w:bidi="ar-SA"/>
        </w:rPr>
        <w:t>实施。</w:t>
      </w:r>
    </w:p>
    <w:p w14:paraId="370CE7A0">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项目管理。</w:t>
      </w:r>
      <w:r>
        <w:rPr>
          <w:rFonts w:hint="eastAsia" w:ascii="Times New Roman" w:hAnsi="Times New Roman" w:eastAsia="仿宋_GB2312" w:cs="Times New Roman"/>
          <w:kern w:val="2"/>
          <w:sz w:val="32"/>
          <w:szCs w:val="32"/>
          <w:lang w:val="zh-CN" w:eastAsia="zh-CN" w:bidi="ar-SA"/>
        </w:rPr>
        <w:t>项目严格按照专项资金使用要求及相关资金管理办法实施。</w:t>
      </w:r>
    </w:p>
    <w:p w14:paraId="5F0C6369">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3.项目实施。</w:t>
      </w:r>
      <w:r>
        <w:rPr>
          <w:rFonts w:hint="eastAsia" w:ascii="Times New Roman" w:hAnsi="Times New Roman" w:eastAsia="仿宋_GB2312" w:cs="Times New Roman"/>
          <w:kern w:val="2"/>
          <w:sz w:val="32"/>
          <w:szCs w:val="32"/>
          <w:lang w:val="en-US" w:eastAsia="zh-CN" w:bidi="ar-SA"/>
        </w:rPr>
        <w:t>实行专款专用</w:t>
      </w:r>
      <w:r>
        <w:rPr>
          <w:rFonts w:hint="default" w:ascii="Times New Roman" w:hAnsi="Times New Roman" w:eastAsia="仿宋_GB2312" w:cs="Times New Roman"/>
          <w:kern w:val="2"/>
          <w:sz w:val="32"/>
          <w:szCs w:val="32"/>
          <w:lang w:val="zh-CN" w:eastAsia="zh-CN" w:bidi="ar-SA"/>
        </w:rPr>
        <w:t>。</w:t>
      </w:r>
    </w:p>
    <w:p w14:paraId="68A3A725">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4.项目结果。经过对企业</w:t>
      </w:r>
      <w:r>
        <w:rPr>
          <w:rFonts w:hint="eastAsia" w:ascii="Times New Roman" w:hAnsi="Times New Roman" w:eastAsia="仿宋_GB2312" w:cs="Times New Roman"/>
          <w:kern w:val="2"/>
          <w:sz w:val="32"/>
          <w:szCs w:val="32"/>
          <w:lang w:val="en-US" w:eastAsia="zh-CN" w:bidi="ar-SA"/>
        </w:rPr>
        <w:t>一季度产值报送情况和用电情况监测</w:t>
      </w:r>
      <w:r>
        <w:rPr>
          <w:rFonts w:hint="default" w:ascii="Times New Roman" w:hAnsi="Times New Roman" w:eastAsia="仿宋_GB2312" w:cs="Times New Roman"/>
          <w:kern w:val="2"/>
          <w:sz w:val="32"/>
          <w:szCs w:val="32"/>
          <w:lang w:val="en-US" w:eastAsia="zh-CN" w:bidi="ar-SA"/>
        </w:rPr>
        <w:t>，进行自我评价，最终项目综合得分为100</w:t>
      </w:r>
      <w:r>
        <w:rPr>
          <w:rFonts w:hint="eastAsia" w:ascii="Times New Roman" w:hAnsi="Times New Roman" w:eastAsia="仿宋_GB2312" w:cs="Times New Roman"/>
          <w:kern w:val="2"/>
          <w:sz w:val="32"/>
          <w:szCs w:val="32"/>
          <w:lang w:val="en-US" w:eastAsia="zh-CN" w:bidi="ar-SA"/>
        </w:rPr>
        <w:t>分。</w:t>
      </w:r>
    </w:p>
    <w:p w14:paraId="2898E8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kern w:val="2"/>
          <w:sz w:val="32"/>
          <w:szCs w:val="32"/>
          <w:lang w:val="en-US" w:eastAsia="zh-CN" w:bidi="ar-SA"/>
        </w:rPr>
        <w:t>2024年一季度实现开门红，全区规上工业增加值增速高于全市平均水平，位居全市首位。</w:t>
      </w:r>
    </w:p>
    <w:p w14:paraId="12019114">
      <w:pPr>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bookmarkStart w:id="195" w:name="_Toc5275_WPSOffice_Level2"/>
      <w:r>
        <w:rPr>
          <w:rFonts w:hint="default" w:ascii="Times New Roman" w:hAnsi="Times New Roman" w:eastAsia="黑体" w:cs="Times New Roman"/>
          <w:b w:val="0"/>
          <w:bCs w:val="0"/>
          <w:i w:val="0"/>
          <w:iCs w:val="0"/>
          <w:color w:val="auto"/>
          <w:kern w:val="0"/>
          <w:sz w:val="32"/>
          <w:szCs w:val="32"/>
          <w:highlight w:val="none"/>
          <w:u w:val="none"/>
          <w:lang w:val="en-US" w:eastAsia="zh-CN" w:bidi="ar-SA"/>
        </w:rPr>
        <w:t>四、评价结论</w:t>
      </w:r>
      <w:bookmarkEnd w:id="195"/>
      <w:bookmarkStart w:id="196" w:name="_Toc10546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w:t>
      </w:r>
      <w:r>
        <w:rPr>
          <w:rFonts w:hint="default" w:ascii="Times New Roman" w:hAnsi="Times New Roman" w:eastAsia="仿宋_GB2312" w:cs="Times New Roman"/>
          <w:kern w:val="2"/>
          <w:sz w:val="32"/>
          <w:szCs w:val="32"/>
          <w:lang w:val="en-US" w:eastAsia="zh-CN" w:bidi="ar-SA"/>
        </w:rPr>
        <w:t>经过对企业</w:t>
      </w:r>
      <w:r>
        <w:rPr>
          <w:rFonts w:hint="eastAsia" w:ascii="Times New Roman" w:hAnsi="Times New Roman" w:eastAsia="仿宋_GB2312" w:cs="Times New Roman"/>
          <w:kern w:val="2"/>
          <w:sz w:val="32"/>
          <w:szCs w:val="32"/>
          <w:lang w:val="en-US" w:eastAsia="zh-CN" w:bidi="ar-SA"/>
        </w:rPr>
        <w:t>生产经营情况及对全市、全区实现良好开局贡献度</w:t>
      </w:r>
      <w:r>
        <w:rPr>
          <w:rFonts w:hint="default" w:ascii="Times New Roman" w:hAnsi="Times New Roman" w:eastAsia="仿宋_GB2312" w:cs="Times New Roman"/>
          <w:kern w:val="2"/>
          <w:sz w:val="32"/>
          <w:szCs w:val="32"/>
          <w:lang w:val="en-US" w:eastAsia="zh-CN" w:bidi="ar-SA"/>
        </w:rPr>
        <w:t>进行评价，</w:t>
      </w:r>
      <w:r>
        <w:rPr>
          <w:rFonts w:hint="eastAsia" w:ascii="Times New Roman" w:hAnsi="Times New Roman" w:eastAsia="仿宋_GB2312" w:cs="Times New Roman"/>
          <w:kern w:val="2"/>
          <w:sz w:val="32"/>
          <w:szCs w:val="32"/>
          <w:lang w:val="en-US" w:eastAsia="zh-CN" w:bidi="ar-SA"/>
        </w:rPr>
        <w:t>最终评价结论为项目达到预期目标，资金使用符合要求。</w:t>
      </w:r>
    </w:p>
    <w:p w14:paraId="3D8CD563">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i w:val="0"/>
          <w:iCs w:val="0"/>
          <w:color w:val="auto"/>
          <w:kern w:val="0"/>
          <w:sz w:val="32"/>
          <w:szCs w:val="32"/>
          <w:highlight w:val="none"/>
          <w:u w:val="none"/>
          <w:lang w:val="en-US" w:eastAsia="zh-CN" w:bidi="ar-SA"/>
        </w:rPr>
        <w:t>五、存在主要问题</w:t>
      </w:r>
      <w:bookmarkEnd w:id="196"/>
      <w:bookmarkStart w:id="197" w:name="_Toc31589_WPSOffice_Level2"/>
      <w:r>
        <w:rPr>
          <w:rFonts w:hint="eastAsia" w:ascii="Times New Roman" w:hAnsi="Times New Roman" w:eastAsia="黑体" w:cs="Times New Roman"/>
          <w:b w:val="0"/>
          <w:bCs w:val="0"/>
          <w:i w:val="0"/>
          <w:iCs w:val="0"/>
          <w:color w:val="auto"/>
          <w:kern w:val="0"/>
          <w:sz w:val="32"/>
          <w:szCs w:val="32"/>
          <w:highlight w:val="none"/>
          <w:u w:val="none"/>
          <w:lang w:val="en-US" w:eastAsia="zh-CN" w:bidi="ar-SA"/>
        </w:rPr>
        <w:t>。</w:t>
      </w:r>
      <w:r>
        <w:rPr>
          <w:rFonts w:hint="eastAsia" w:ascii="Times New Roman" w:hAnsi="Times New Roman" w:eastAsia="仿宋_GB2312" w:cs="Times New Roman"/>
          <w:kern w:val="2"/>
          <w:sz w:val="32"/>
          <w:szCs w:val="32"/>
          <w:lang w:val="en-US" w:eastAsia="zh-CN" w:bidi="ar-SA"/>
        </w:rPr>
        <w:t>暂无</w:t>
      </w:r>
    </w:p>
    <w:p w14:paraId="0B976B77">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Lines="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bookmarkEnd w:id="197"/>
      <w:r>
        <w:rPr>
          <w:rFonts w:hint="eastAsia" w:ascii="Times New Roman" w:hAnsi="Times New Roman" w:eastAsia="黑体" w:cs="Times New Roman"/>
          <w:b w:val="0"/>
          <w:bCs w:val="0"/>
          <w:i w:val="0"/>
          <w:iCs w:val="0"/>
          <w:color w:val="auto"/>
          <w:kern w:val="0"/>
          <w:position w:val="3"/>
          <w:sz w:val="32"/>
          <w:szCs w:val="32"/>
          <w:highlight w:val="none"/>
          <w:u w:val="none"/>
          <w:lang w:val="zh-CN" w:eastAsia="zh-CN" w:bidi="ar-SA"/>
        </w:rPr>
        <w:t>。</w:t>
      </w:r>
      <w:r>
        <w:rPr>
          <w:rFonts w:hint="eastAsia" w:ascii="Times New Roman" w:hAnsi="Times New Roman" w:eastAsia="仿宋_GB2312" w:cs="Times New Roman"/>
          <w:kern w:val="2"/>
          <w:sz w:val="32"/>
          <w:szCs w:val="32"/>
          <w:lang w:val="en-US" w:eastAsia="zh-CN" w:bidi="ar-SA"/>
        </w:rPr>
        <w:t>无</w:t>
      </w:r>
    </w:p>
    <w:p w14:paraId="444D5405">
      <w:pPr>
        <w:widowControl w:val="0"/>
        <w:ind w:firstLine="640" w:firstLineChars="200"/>
        <w:jc w:val="both"/>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附表：专项资金绩效目标完成情况自评表</w:t>
      </w:r>
    </w:p>
    <w:p w14:paraId="5F4C5FE0">
      <w:pPr>
        <w:rPr>
          <w:rFonts w:hint="eastAsia" w:ascii="Times New Roman" w:hAnsi="Times New Roman" w:eastAsia="宋体" w:cs="Times New Roman"/>
          <w:color w:val="000000"/>
          <w:kern w:val="0"/>
          <w:szCs w:val="32"/>
          <w:highlight w:val="none"/>
          <w:shd w:val="clear" w:color="auto" w:fill="FFFFFF"/>
          <w:lang w:val="en-US" w:eastAsia="zh-CN"/>
        </w:rPr>
      </w:pP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B73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71E243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334D18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p>
          <w:p w14:paraId="128FAE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27C72DD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439A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8EDEE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A0EAE40">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工业良好开局奖补资金</w:t>
            </w:r>
          </w:p>
        </w:tc>
      </w:tr>
      <w:tr w14:paraId="1440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3A55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C299E89">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区经信科技局</w:t>
            </w:r>
          </w:p>
        </w:tc>
      </w:tr>
      <w:tr w14:paraId="4ED0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908AB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BBD186F">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事后奖补</w:t>
            </w:r>
          </w:p>
        </w:tc>
      </w:tr>
      <w:tr w14:paraId="3E05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27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1F2EF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37DDA5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CB52316">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p>
        </w:tc>
      </w:tr>
      <w:tr w14:paraId="1EB9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D9C40">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A0FA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629C0E2">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p>
        </w:tc>
      </w:tr>
      <w:tr w14:paraId="6ED6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F0789">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D8C3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FFA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461D2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951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8030D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32C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2AB76">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2BDF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3AC3EBC">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r>
              <w:rPr>
                <w:rFonts w:hint="default" w:ascii="宋体" w:hAnsi="宋体" w:eastAsia="宋体" w:cs="宋体"/>
                <w:i w:val="0"/>
                <w:color w:val="000000"/>
                <w:sz w:val="18"/>
                <w:szCs w:val="18"/>
                <w:u w:val="none"/>
                <w:lang w:eastAsia="zh-CN"/>
              </w:rPr>
              <w:t>《遂宁市人民政府办公室关于推动2024 年工业经济良好开局的通知》(遂府办函〔2024]4号)《遂宁市2024年工业经济良好开局政策奖补方案》</w:t>
            </w:r>
            <w:r>
              <w:rPr>
                <w:rFonts w:hint="eastAsia" w:ascii="宋体" w:hAnsi="宋体" w:eastAsia="宋体" w:cs="宋体"/>
                <w:i w:val="0"/>
                <w:color w:val="000000"/>
                <w:sz w:val="18"/>
                <w:szCs w:val="18"/>
                <w:u w:val="none"/>
                <w:lang w:eastAsia="zh-CN"/>
              </w:rPr>
              <w:t>实施。</w:t>
            </w:r>
          </w:p>
        </w:tc>
      </w:tr>
      <w:tr w14:paraId="03B7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C6C3F">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2F6A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3004B9F">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对实现良好开局作出贡献的企业</w:t>
            </w:r>
          </w:p>
        </w:tc>
      </w:tr>
      <w:tr w14:paraId="453C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7F652">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9ADBC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ECC7573">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对2024年一季度累计营业收入超过1亿元、累计用电量超过50 万千瓦时的企业，按照一季度电费的 1%进行奖补，单个企业最高奖补金额不超过10万元。</w:t>
            </w:r>
          </w:p>
        </w:tc>
      </w:tr>
      <w:tr w14:paraId="23A0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2F503">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DB56E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5B83C00">
            <w:pPr>
              <w:keepNext w:val="0"/>
              <w:keepLines w:val="0"/>
              <w:pageBreakBefore w:val="0"/>
              <w:kinsoku/>
              <w:wordWrap/>
              <w:overflowPunct/>
              <w:topLinePunct w:val="0"/>
              <w:autoSpaceDE/>
              <w:autoSpaceDN/>
              <w:bidi w:val="0"/>
              <w:adjustRightInd/>
              <w:snapToGrid/>
              <w:spacing w:line="24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2024-2024</w:t>
            </w:r>
          </w:p>
        </w:tc>
      </w:tr>
      <w:tr w14:paraId="0B28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AF69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44CCC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77C1D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1AE2086">
            <w:pPr>
              <w:keepNext w:val="0"/>
              <w:keepLines w:val="0"/>
              <w:pageBreakBefore w:val="0"/>
              <w:kinsoku/>
              <w:wordWrap/>
              <w:overflowPunct/>
              <w:topLinePunct w:val="0"/>
              <w:autoSpaceDE/>
              <w:autoSpaceDN/>
              <w:bidi w:val="0"/>
              <w:adjustRightInd/>
              <w:snapToGrid/>
              <w:spacing w:line="24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43.3</w:t>
            </w:r>
          </w:p>
        </w:tc>
      </w:tr>
      <w:tr w14:paraId="6DC5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CB7785">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BB2F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60DA1B3">
            <w:pPr>
              <w:keepNext w:val="0"/>
              <w:keepLines w:val="0"/>
              <w:pageBreakBefore w:val="0"/>
              <w:kinsoku/>
              <w:wordWrap/>
              <w:overflowPunct/>
              <w:topLinePunct w:val="0"/>
              <w:autoSpaceDE/>
              <w:autoSpaceDN/>
              <w:bidi w:val="0"/>
              <w:adjustRightInd/>
              <w:snapToGrid/>
              <w:spacing w:line="24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43.3</w:t>
            </w:r>
          </w:p>
        </w:tc>
      </w:tr>
      <w:tr w14:paraId="6F10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F79B5">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2B872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D348B83">
            <w:pPr>
              <w:keepNext w:val="0"/>
              <w:keepLines w:val="0"/>
              <w:pageBreakBefore w:val="0"/>
              <w:kinsoku/>
              <w:wordWrap/>
              <w:overflowPunct/>
              <w:topLinePunct w:val="0"/>
              <w:autoSpaceDE/>
              <w:autoSpaceDN/>
              <w:bidi w:val="0"/>
              <w:adjustRightInd/>
              <w:snapToGrid/>
              <w:spacing w:line="240" w:lineRule="exact"/>
              <w:ind w:left="0" w:leftChars="0"/>
              <w:jc w:val="right"/>
              <w:rPr>
                <w:rFonts w:hint="eastAsia" w:ascii="宋体" w:hAnsi="宋体" w:eastAsia="宋体" w:cs="宋体"/>
                <w:i w:val="0"/>
                <w:color w:val="000000"/>
                <w:sz w:val="18"/>
                <w:szCs w:val="18"/>
                <w:u w:val="none"/>
              </w:rPr>
            </w:pPr>
          </w:p>
        </w:tc>
      </w:tr>
      <w:tr w14:paraId="7214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27B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E277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6F56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E3FE">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3224D37">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r>
      <w:tr w14:paraId="1465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50A521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D247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8CF1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6A96B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ECF8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A4E2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1361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707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4AA56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0C1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759A08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BE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431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6CC5CD2">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支持中小企业个数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40A68B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7A41AA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AF6041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CDA607">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56B3C6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r>
      <w:tr w14:paraId="2AAC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542A6E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A9E7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00B1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528D10C">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一季度规上工业增加值同比增速</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E9814B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237D08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3ED1D4B">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F85328D">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E4F4B30">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8.2</w:t>
            </w:r>
          </w:p>
        </w:tc>
      </w:tr>
      <w:tr w14:paraId="0D44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16D03E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1414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0CB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7413C63">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支持中小企业个数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F23960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C1D734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BEDC59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B6D9511">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6F7652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r>
      <w:tr w14:paraId="3F8F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742CBD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7A4E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83A1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AE2A28E">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一季度规上工业增加值同比增速</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B17FEE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048917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0DF850F">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3BDE72">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50181B6">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8.2</w:t>
            </w:r>
          </w:p>
        </w:tc>
      </w:tr>
      <w:tr w14:paraId="0265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C3B4BA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F63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39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FD4FA2A">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完成时限</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47786B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930E6E9">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546A6B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03D913">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9B86DA7">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2024年一季度</w:t>
            </w:r>
          </w:p>
        </w:tc>
      </w:tr>
      <w:tr w14:paraId="45DD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CEB874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3074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8BDB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4468637">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BD39A8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F4768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4508D65">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E2E4F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609708D">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25E7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E40204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AA4E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E6E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E405FBA">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8E62F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3C9E31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9B4B6C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B213F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F56C18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0912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E0EC5A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4F0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72D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625A88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749AC46">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一季度规上工业增加值同比增速排位全市第一方阵</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5C831E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D6D180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5473BA5">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E420C5E">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830E12F">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8.2</w:t>
            </w:r>
          </w:p>
        </w:tc>
      </w:tr>
      <w:tr w14:paraId="2BFC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56496A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C09D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7184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8F830C7">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AA23AB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6557A5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9A031B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D9765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2A2830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7548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04AB99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0155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right w:val="single" w:color="000000" w:sz="4" w:space="0"/>
            </w:tcBorders>
            <w:noWrap w:val="0"/>
            <w:vAlign w:val="center"/>
          </w:tcPr>
          <w:p w14:paraId="594C9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53C1E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29FD346">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一季度实现良好开局</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3DE401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91017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3668D5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5CB3851">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6ABB53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一季度实现开门红</w:t>
            </w:r>
          </w:p>
        </w:tc>
      </w:tr>
      <w:tr w14:paraId="4598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71C0CB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18030">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right w:val="single" w:color="000000" w:sz="4" w:space="0"/>
            </w:tcBorders>
            <w:noWrap w:val="0"/>
            <w:vAlign w:val="center"/>
          </w:tcPr>
          <w:p w14:paraId="737F588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426FD18">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2DC7EF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A6871BE">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2746CF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F8C7D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12258B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0B11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631D91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882C6">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5494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3968173">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C3B1F1C">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AEC342">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574700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F4B8CC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503F7F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p>
        </w:tc>
      </w:tr>
      <w:tr w14:paraId="01C6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4017E9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noWrap w:val="0"/>
            <w:vAlign w:val="center"/>
          </w:tcPr>
          <w:p w14:paraId="4FC78B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5F9CA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52865A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026C0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A347048">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企业满意率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4CC0A2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95E18B4">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CE6A7AA">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40CFF4">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5DF6541">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1AAE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C74819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37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EF01B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4FA22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noWrap w:val="0"/>
            <w:vAlign w:val="center"/>
          </w:tcPr>
          <w:p w14:paraId="148F7B2B">
            <w:pPr>
              <w:keepNext w:val="0"/>
              <w:keepLines w:val="0"/>
              <w:pageBreakBefore w:val="0"/>
              <w:kinsoku/>
              <w:wordWrap/>
              <w:overflowPunct/>
              <w:topLinePunct w:val="0"/>
              <w:autoSpaceDE/>
              <w:autoSpaceDN/>
              <w:bidi w:val="0"/>
              <w:adjustRightInd/>
              <w:snapToGrid/>
              <w:spacing w:line="24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奖补资金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040AD1">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7C2FA77">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43.3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120DEDF">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8C9906">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06BF76B">
            <w:pPr>
              <w:keepNext w:val="0"/>
              <w:keepLines w:val="0"/>
              <w:pageBreakBefore w:val="0"/>
              <w:kinsoku/>
              <w:wordWrap/>
              <w:overflowPunct/>
              <w:topLinePunct w:val="0"/>
              <w:autoSpaceDE/>
              <w:autoSpaceDN/>
              <w:bidi w:val="0"/>
              <w:adjustRightInd/>
              <w:snapToGrid/>
              <w:spacing w:line="24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43.3万元</w:t>
            </w:r>
          </w:p>
        </w:tc>
      </w:tr>
      <w:tr w14:paraId="67C8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79BE103">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2F0D8">
            <w:pPr>
              <w:keepNext w:val="0"/>
              <w:keepLines w:val="0"/>
              <w:pageBreakBefore w:val="0"/>
              <w:kinsoku/>
              <w:wordWrap/>
              <w:overflowPunct/>
              <w:topLinePunct w:val="0"/>
              <w:autoSpaceDE/>
              <w:autoSpaceDN/>
              <w:bidi w:val="0"/>
              <w:adjustRightInd/>
              <w:snapToGrid/>
              <w:spacing w:line="24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3A03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bottom w:val="single" w:color="000000" w:sz="4" w:space="0"/>
              <w:right w:val="single" w:color="000000" w:sz="4" w:space="0"/>
            </w:tcBorders>
            <w:noWrap w:val="0"/>
            <w:vAlign w:val="center"/>
          </w:tcPr>
          <w:p w14:paraId="5221B112">
            <w:pPr>
              <w:keepNext w:val="0"/>
              <w:keepLines w:val="0"/>
              <w:pageBreakBefore w:val="0"/>
              <w:kinsoku/>
              <w:wordWrap/>
              <w:overflowPunct/>
              <w:topLinePunct w:val="0"/>
              <w:autoSpaceDE/>
              <w:autoSpaceDN/>
              <w:bidi w:val="0"/>
              <w:adjustRightInd/>
              <w:snapToGrid/>
              <w:spacing w:line="24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87E4E38">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5D8D52B">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24B5F4">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57CCF7">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AE3229">
            <w:pPr>
              <w:keepNext w:val="0"/>
              <w:keepLines w:val="0"/>
              <w:pageBreakBefore w:val="0"/>
              <w:kinsoku/>
              <w:wordWrap/>
              <w:overflowPunct/>
              <w:topLinePunct w:val="0"/>
              <w:autoSpaceDE/>
              <w:autoSpaceDN/>
              <w:bidi w:val="0"/>
              <w:adjustRightInd/>
              <w:snapToGrid/>
              <w:spacing w:line="240" w:lineRule="exact"/>
              <w:ind w:left="0" w:leftChars="0"/>
              <w:jc w:val="center"/>
              <w:rPr>
                <w:rFonts w:hint="eastAsia" w:ascii="宋体" w:hAnsi="宋体" w:eastAsia="宋体" w:cs="宋体"/>
                <w:i w:val="0"/>
                <w:color w:val="000000"/>
                <w:sz w:val="18"/>
                <w:szCs w:val="18"/>
                <w:u w:val="none"/>
              </w:rPr>
            </w:pPr>
          </w:p>
        </w:tc>
      </w:tr>
    </w:tbl>
    <w:p w14:paraId="70CE723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2331552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（食品及特色消费品产业高质量发展激励资金）</w:t>
      </w:r>
    </w:p>
    <w:p w14:paraId="200852B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74A543A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Times New Roman" w:hAnsi="Times New Roman" w:eastAsia="仿宋_GB2312" w:cs="Times New Roman"/>
          <w:kern w:val="2"/>
          <w:sz w:val="32"/>
          <w:szCs w:val="32"/>
          <w:lang w:val="zh-CN" w:eastAsia="zh-CN" w:bidi="ar-SA"/>
        </w:rPr>
      </w:pPr>
      <w:r>
        <w:rPr>
          <w:rFonts w:hint="eastAsia" w:ascii="楷体_GB2312" w:hAnsi="宋体" w:eastAsia="楷体_GB2312" w:cs="Times New Roman"/>
          <w:b/>
          <w:color w:val="auto"/>
          <w:sz w:val="32"/>
          <w:szCs w:val="32"/>
          <w:highlight w:val="none"/>
          <w:u w:val="none"/>
          <w:lang w:val="zh-CN"/>
        </w:rPr>
        <w:t>（一）设立背景及基本情况。</w:t>
      </w:r>
      <w:r>
        <w:rPr>
          <w:rFonts w:hint="eastAsia" w:ascii="Times New Roman" w:hAnsi="Times New Roman" w:eastAsia="仿宋_GB2312" w:cs="Times New Roman"/>
          <w:kern w:val="2"/>
          <w:sz w:val="32"/>
          <w:szCs w:val="32"/>
          <w:lang w:val="en-US" w:eastAsia="zh-CN" w:bidi="ar-SA"/>
        </w:rPr>
        <w:t>加速建设西部地区特色休闲食品生产基地、打造全国最大的特色消费品生产基地</w:t>
      </w:r>
      <w:r>
        <w:rPr>
          <w:rFonts w:hint="eastAsia" w:ascii="Times New Roman" w:hAnsi="Times New Roman" w:eastAsia="仿宋_GB2312" w:cs="Times New Roman"/>
          <w:kern w:val="2"/>
          <w:sz w:val="32"/>
          <w:szCs w:val="32"/>
          <w:lang w:val="zh-CN" w:eastAsia="zh-CN" w:bidi="ar-SA"/>
        </w:rPr>
        <w:t>。</w:t>
      </w:r>
    </w:p>
    <w:p w14:paraId="143434F4">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仿宋_GB2312" w:cs="Times New Roman"/>
          <w:kern w:val="2"/>
          <w:sz w:val="32"/>
          <w:szCs w:val="32"/>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Times New Roman" w:hAnsi="Times New Roman" w:eastAsia="仿宋_GB2312" w:cs="Times New Roman"/>
          <w:kern w:val="2"/>
          <w:sz w:val="32"/>
          <w:szCs w:val="32"/>
          <w:lang w:val="en-US" w:eastAsia="zh-CN" w:bidi="ar-SA"/>
        </w:rPr>
        <w:t>推动安居区特色消费品产业高质量发展</w:t>
      </w:r>
      <w:r>
        <w:rPr>
          <w:rFonts w:hint="eastAsia" w:ascii="Times New Roman" w:hAnsi="Times New Roman" w:eastAsia="仿宋_GB2312" w:cs="Times New Roman"/>
          <w:kern w:val="2"/>
          <w:sz w:val="32"/>
          <w:szCs w:val="32"/>
          <w:lang w:val="zh-CN" w:eastAsia="zh-CN" w:bidi="ar-SA"/>
        </w:rPr>
        <w:t>。</w:t>
      </w:r>
    </w:p>
    <w:p w14:paraId="5A4E47E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Times New Roman" w:hAnsi="Times New Roman" w:eastAsia="仿宋_GB2312" w:cs="Times New Roman"/>
          <w:kern w:val="2"/>
          <w:sz w:val="32"/>
          <w:szCs w:val="32"/>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2"/>
          <w:sz w:val="32"/>
          <w:szCs w:val="32"/>
          <w:lang w:val="zh-CN" w:eastAsia="zh-CN" w:bidi="ar-SA"/>
        </w:rPr>
        <w:t>补助资金共</w:t>
      </w:r>
      <w:r>
        <w:rPr>
          <w:rFonts w:hint="eastAsia" w:ascii="Times New Roman" w:hAnsi="Times New Roman" w:eastAsia="仿宋_GB2312" w:cs="Times New Roman"/>
          <w:kern w:val="2"/>
          <w:sz w:val="32"/>
          <w:szCs w:val="32"/>
          <w:lang w:val="en-US" w:eastAsia="zh-CN" w:bidi="ar-SA"/>
        </w:rPr>
        <w:t>50万元，全部用于推动安居区特色消费品产业高质量发展</w:t>
      </w:r>
      <w:r>
        <w:rPr>
          <w:rFonts w:hint="eastAsia" w:ascii="Times New Roman" w:hAnsi="Times New Roman" w:eastAsia="仿宋_GB2312" w:cs="Times New Roman"/>
          <w:kern w:val="2"/>
          <w:sz w:val="32"/>
          <w:szCs w:val="32"/>
          <w:lang w:val="zh-CN" w:eastAsia="zh-CN" w:bidi="ar-SA"/>
        </w:rPr>
        <w:t>。</w:t>
      </w:r>
    </w:p>
    <w:p w14:paraId="4DC109F0">
      <w:pPr>
        <w:keepNext/>
        <w:keepLines/>
        <w:widowControl w:val="0"/>
        <w:spacing w:before="280" w:after="156" w:line="377" w:lineRule="auto"/>
        <w:jc w:val="left"/>
        <w:outlineLvl w:val="4"/>
        <w:rPr>
          <w:rFonts w:hint="default" w:ascii="Times New Roman" w:hAnsi="Times New Roman" w:eastAsia="仿宋" w:cs="Times New Roman"/>
          <w:b w:val="0"/>
          <w:color w:val="auto"/>
          <w:kern w:val="2"/>
          <w:sz w:val="32"/>
          <w:szCs w:val="32"/>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（四）项目绩效目标设置。</w:t>
      </w:r>
      <w:r>
        <w:rPr>
          <w:rFonts w:hint="eastAsia" w:ascii="Times New Roman" w:hAnsi="Times New Roman" w:eastAsia="仿宋_GB2312" w:cs="Times New Roman"/>
          <w:kern w:val="2"/>
          <w:sz w:val="32"/>
          <w:szCs w:val="32"/>
          <w:lang w:val="en-US" w:eastAsia="zh-CN" w:bidi="ar-SA"/>
        </w:rPr>
        <w:t>2024年，26家规上食品及特色消费品产业企业实现产值24.9亿元，同比增长19.2％</w:t>
      </w:r>
      <w:r>
        <w:rPr>
          <w:rFonts w:hint="eastAsia" w:ascii="Times New Roman" w:hAnsi="Times New Roman" w:eastAsia="仿宋_GB2312" w:cs="Times New Roman"/>
          <w:kern w:val="2"/>
          <w:sz w:val="32"/>
          <w:szCs w:val="32"/>
          <w:lang w:val="zh-CN" w:eastAsia="zh-CN" w:bidi="ar-SA"/>
        </w:rPr>
        <w:t>。</w:t>
      </w:r>
    </w:p>
    <w:p w14:paraId="6EA2DCF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2C5E8FE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color w:val="auto"/>
          <w:sz w:val="32"/>
          <w:szCs w:val="32"/>
          <w:highlight w:val="none"/>
          <w:u w:val="none"/>
          <w:lang w:val="zh-CN"/>
        </w:rPr>
        <w:t>（一）评价目的。</w:t>
      </w:r>
      <w:r>
        <w:rPr>
          <w:rFonts w:hint="default" w:ascii="Times New Roman" w:hAnsi="Times New Roman" w:eastAsia="仿宋_GB2312" w:cs="Times New Roman"/>
          <w:kern w:val="2"/>
          <w:sz w:val="32"/>
          <w:szCs w:val="32"/>
          <w:lang w:val="en-US" w:eastAsia="zh-CN" w:bidi="ar-SA"/>
        </w:rPr>
        <w:t>准确掌握</w:t>
      </w:r>
      <w:r>
        <w:rPr>
          <w:rFonts w:hint="eastAsia" w:ascii="Times New Roman" w:hAnsi="Times New Roman" w:eastAsia="仿宋_GB2312" w:cs="Times New Roman"/>
          <w:kern w:val="2"/>
          <w:sz w:val="32"/>
          <w:szCs w:val="32"/>
          <w:lang w:val="en-US" w:eastAsia="zh-CN" w:bidi="ar-SA"/>
        </w:rPr>
        <w:t>产业发展</w:t>
      </w:r>
      <w:r>
        <w:rPr>
          <w:rFonts w:hint="default" w:ascii="Times New Roman" w:hAnsi="Times New Roman" w:eastAsia="仿宋_GB2312" w:cs="Times New Roman"/>
          <w:kern w:val="2"/>
          <w:sz w:val="32"/>
          <w:szCs w:val="32"/>
          <w:lang w:val="en-US" w:eastAsia="zh-CN" w:bidi="ar-SA"/>
        </w:rPr>
        <w:t>生产经营性经济指标</w:t>
      </w:r>
      <w:r>
        <w:rPr>
          <w:rFonts w:hint="eastAsia" w:ascii="Times New Roman" w:hAnsi="Times New Roman" w:eastAsia="仿宋_GB2312" w:cs="Times New Roman"/>
          <w:kern w:val="2"/>
          <w:sz w:val="32"/>
          <w:szCs w:val="32"/>
          <w:lang w:val="en-US" w:eastAsia="zh-CN" w:bidi="ar-SA"/>
        </w:rPr>
        <w:t>。</w:t>
      </w:r>
    </w:p>
    <w:p w14:paraId="42E37B0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color w:val="auto"/>
          <w:sz w:val="32"/>
          <w:szCs w:val="32"/>
          <w:highlight w:val="none"/>
          <w:u w:val="none"/>
          <w:lang w:val="zh-CN"/>
        </w:rPr>
        <w:t>（二）预设问题及评价重点。</w:t>
      </w:r>
      <w:r>
        <w:rPr>
          <w:rFonts w:hint="eastAsia" w:ascii="Times New Roman" w:hAnsi="Times New Roman" w:eastAsia="仿宋_GB2312" w:cs="Times New Roman"/>
          <w:kern w:val="2"/>
          <w:sz w:val="32"/>
          <w:szCs w:val="32"/>
          <w:lang w:val="en-US" w:eastAsia="zh-CN" w:bidi="ar-SA"/>
        </w:rPr>
        <w:t>产业规模壮大。</w:t>
      </w:r>
    </w:p>
    <w:p w14:paraId="4DFF784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color w:val="auto"/>
          <w:sz w:val="32"/>
          <w:szCs w:val="32"/>
          <w:highlight w:val="none"/>
          <w:u w:val="none"/>
          <w:lang w:val="zh-CN"/>
        </w:rPr>
        <w:t>（三）评价选点。</w:t>
      </w:r>
      <w:r>
        <w:rPr>
          <w:rFonts w:hint="eastAsia" w:ascii="Times New Roman" w:hAnsi="Times New Roman" w:eastAsia="仿宋_GB2312" w:cs="Times New Roman"/>
          <w:kern w:val="2"/>
          <w:sz w:val="32"/>
          <w:szCs w:val="32"/>
          <w:lang w:val="en-US" w:eastAsia="zh-CN" w:bidi="ar-SA"/>
        </w:rPr>
        <w:t>无。</w:t>
      </w:r>
    </w:p>
    <w:p w14:paraId="5DB2C99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color w:val="auto"/>
          <w:sz w:val="32"/>
          <w:szCs w:val="32"/>
          <w:highlight w:val="none"/>
          <w:u w:val="none"/>
          <w:lang w:val="zh-CN"/>
        </w:rPr>
        <w:t>（四）评价方法。</w:t>
      </w:r>
      <w:r>
        <w:rPr>
          <w:rFonts w:hint="eastAsia" w:ascii="Times New Roman" w:hAnsi="Times New Roman" w:eastAsia="仿宋_GB2312" w:cs="Times New Roman"/>
          <w:kern w:val="2"/>
          <w:sz w:val="32"/>
          <w:szCs w:val="32"/>
          <w:lang w:val="en-US" w:eastAsia="zh-CN" w:bidi="ar-SA"/>
        </w:rPr>
        <w:t>单位自评法。</w:t>
      </w:r>
    </w:p>
    <w:p w14:paraId="309A904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_GB2312" w:hAnsi="宋体" w:eastAsia="楷体_GB2312" w:cs="Times New Roman"/>
          <w:b/>
          <w:color w:val="auto"/>
          <w:sz w:val="32"/>
          <w:szCs w:val="32"/>
          <w:highlight w:val="none"/>
          <w:u w:val="none"/>
          <w:lang w:val="zh-CN"/>
        </w:rPr>
        <w:t>（五）评价组织。</w:t>
      </w:r>
      <w:r>
        <w:rPr>
          <w:rFonts w:hint="default" w:ascii="Times New Roman" w:hAnsi="Times New Roman" w:eastAsia="仿宋_GB2312" w:cs="Times New Roman"/>
          <w:kern w:val="2"/>
          <w:sz w:val="32"/>
          <w:szCs w:val="32"/>
          <w:lang w:val="en-US" w:eastAsia="zh-CN" w:bidi="ar-SA"/>
        </w:rPr>
        <w:t>调阅统计库企业报表核查企业经营指标</w:t>
      </w:r>
      <w:r>
        <w:rPr>
          <w:rFonts w:hint="eastAsia" w:ascii="Times New Roman" w:hAnsi="Times New Roman" w:eastAsia="仿宋_GB2312" w:cs="Times New Roman"/>
          <w:kern w:val="2"/>
          <w:sz w:val="32"/>
          <w:szCs w:val="32"/>
          <w:lang w:val="en-US" w:eastAsia="zh-CN" w:bidi="ar-SA"/>
        </w:rPr>
        <w:t>。</w:t>
      </w:r>
    </w:p>
    <w:p w14:paraId="57F9376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4744CB7E">
      <w:pPr>
        <w:keepNext/>
        <w:keepLines/>
        <w:widowControl w:val="0"/>
        <w:spacing w:before="280" w:after="156" w:line="377" w:lineRule="auto"/>
        <w:jc w:val="left"/>
        <w:outlineLvl w:val="4"/>
        <w:rPr>
          <w:rFonts w:hint="default" w:ascii="Times New Roman" w:hAnsi="Times New Roman" w:eastAsia="仿宋_GB2312" w:cs="Times New Roman"/>
          <w:kern w:val="2"/>
          <w:sz w:val="32"/>
          <w:szCs w:val="32"/>
          <w:lang w:val="en-US" w:eastAsia="en-US" w:bidi="ar-SA"/>
        </w:rPr>
      </w:pPr>
      <w:r>
        <w:rPr>
          <w:rFonts w:hint="default" w:ascii="仿宋_GB2312" w:hAnsi="宋体" w:eastAsia="黑体" w:cs="Times New Roman"/>
          <w:b/>
          <w:color w:val="auto"/>
          <w:kern w:val="2"/>
          <w:sz w:val="32"/>
          <w:szCs w:val="32"/>
          <w:highlight w:val="none"/>
          <w:u w:val="none"/>
          <w:lang w:val="en-US" w:eastAsia="zh-CN" w:bidi="ar-SA"/>
          <w:woUserID w:val="1"/>
        </w:rPr>
        <w:t xml:space="preserve">   </w:t>
      </w:r>
      <w:r>
        <w:rPr>
          <w:rFonts w:hint="default" w:ascii="Times New Roman" w:hAnsi="Times New Roman" w:eastAsia="仿宋_GB2312" w:cs="Times New Roman"/>
          <w:kern w:val="2"/>
          <w:sz w:val="32"/>
          <w:szCs w:val="32"/>
          <w:lang w:val="en-US" w:eastAsia="en-US" w:bidi="ar-SA"/>
        </w:rPr>
        <w:t xml:space="preserve"> </w:t>
      </w:r>
      <w:r>
        <w:rPr>
          <w:rFonts w:hint="eastAsia" w:ascii="Times New Roman" w:hAnsi="Times New Roman" w:eastAsia="仿宋_GB2312" w:cs="Times New Roman"/>
          <w:kern w:val="2"/>
          <w:sz w:val="32"/>
          <w:szCs w:val="32"/>
          <w:lang w:val="en-US" w:eastAsia="zh-CN" w:bidi="ar-SA"/>
        </w:rPr>
        <w:t>2024年，26家规上食品及特色消费品产业企业实现产值24.9亿元，同比增长19.2％</w:t>
      </w:r>
      <w:r>
        <w:rPr>
          <w:rFonts w:hint="eastAsia" w:ascii="Times New Roman" w:hAnsi="Times New Roman" w:eastAsia="仿宋_GB2312" w:cs="Times New Roman"/>
          <w:kern w:val="2"/>
          <w:sz w:val="32"/>
          <w:szCs w:val="32"/>
          <w:lang w:val="zh-CN" w:eastAsia="zh-CN" w:bidi="ar-SA"/>
        </w:rPr>
        <w:t>。</w:t>
      </w:r>
    </w:p>
    <w:p w14:paraId="74E2562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r>
        <w:rPr>
          <w:rFonts w:hint="eastAsia" w:ascii="黑体" w:hAnsi="宋体" w:eastAsia="黑体" w:cs="Times New Roman"/>
          <w:color w:val="auto"/>
          <w:kern w:val="0"/>
          <w:position w:val="3"/>
          <w:sz w:val="32"/>
          <w:szCs w:val="32"/>
          <w:highlight w:val="none"/>
          <w:u w:val="none"/>
          <w:lang w:val="en-US" w:eastAsia="zh-CN" w:bidi="ar-SA"/>
        </w:rPr>
        <w:t>。</w:t>
      </w:r>
      <w:r>
        <w:rPr>
          <w:rFonts w:hint="default" w:ascii="Times New Roman" w:hAnsi="Times New Roman" w:eastAsia="仿宋_GB2312" w:cs="Times New Roman"/>
          <w:kern w:val="2"/>
          <w:sz w:val="32"/>
          <w:szCs w:val="32"/>
          <w:lang w:val="en-US" w:eastAsia="zh-CN" w:bidi="ar-SA"/>
        </w:rPr>
        <w:t>专项资金绩效良好，达到预期效果，综合得分100分</w:t>
      </w:r>
      <w:r>
        <w:rPr>
          <w:rFonts w:hint="eastAsia" w:ascii="Times New Roman" w:hAnsi="Times New Roman" w:eastAsia="仿宋_GB2312" w:cs="Times New Roman"/>
          <w:kern w:val="2"/>
          <w:sz w:val="32"/>
          <w:szCs w:val="32"/>
          <w:lang w:val="zh-CN" w:eastAsia="zh-CN" w:bidi="ar-SA"/>
        </w:rPr>
        <w:t>。</w:t>
      </w:r>
    </w:p>
    <w:p w14:paraId="2DB5F9C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r>
        <w:rPr>
          <w:rFonts w:hint="default" w:ascii="Times New Roman" w:hAnsi="Times New Roman" w:eastAsia="仿宋_GB2312" w:cs="Times New Roman"/>
          <w:kern w:val="2"/>
          <w:sz w:val="32"/>
          <w:szCs w:val="32"/>
          <w:lang w:val="en-US" w:eastAsia="zh-CN" w:bidi="ar-SA"/>
        </w:rPr>
        <w:t>企业对项目绩效评价方面了解程度不够深入</w:t>
      </w:r>
      <w:r>
        <w:rPr>
          <w:rFonts w:hint="eastAsia" w:ascii="Times New Roman" w:hAnsi="Times New Roman" w:eastAsia="仿宋_GB2312" w:cs="Times New Roman"/>
          <w:kern w:val="2"/>
          <w:sz w:val="32"/>
          <w:szCs w:val="32"/>
          <w:lang w:val="en-US" w:eastAsia="zh-CN" w:bidi="ar-SA"/>
        </w:rPr>
        <w:t>。</w:t>
      </w:r>
    </w:p>
    <w:p w14:paraId="5A10865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r>
        <w:rPr>
          <w:rFonts w:hint="default" w:ascii="Times New Roman" w:hAnsi="Times New Roman" w:eastAsia="仿宋_GB2312" w:cs="Times New Roman"/>
          <w:kern w:val="2"/>
          <w:sz w:val="32"/>
          <w:szCs w:val="32"/>
          <w:lang w:val="en-US" w:eastAsia="zh-CN" w:bidi="ar-SA"/>
        </w:rPr>
        <w:t>加大宣传力度，使企业充分认识到项目绩效评价工作的重要性和必要性，突显专项资金的使用效益</w:t>
      </w:r>
      <w:r>
        <w:rPr>
          <w:rFonts w:hint="eastAsia" w:ascii="Times New Roman" w:hAnsi="Times New Roman" w:eastAsia="仿宋_GB2312" w:cs="Times New Roman"/>
          <w:kern w:val="2"/>
          <w:sz w:val="32"/>
          <w:szCs w:val="32"/>
          <w:lang w:val="en-US" w:eastAsia="zh-CN" w:bidi="ar-SA"/>
        </w:rPr>
        <w:t>。</w:t>
      </w:r>
    </w:p>
    <w:p w14:paraId="59A66E33">
      <w:pPr>
        <w:keepNext/>
        <w:keepLines/>
        <w:widowControl w:val="0"/>
        <w:spacing w:before="280" w:after="156" w:line="377" w:lineRule="auto"/>
        <w:ind w:firstLine="640" w:firstLineChars="200"/>
        <w:jc w:val="left"/>
        <w:outlineLvl w:val="4"/>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附表：专项资金绩效目标完成情况自评表</w:t>
      </w:r>
    </w:p>
    <w:p w14:paraId="42A2BF6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357926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527"/>
        <w:gridCol w:w="912"/>
        <w:gridCol w:w="971"/>
        <w:gridCol w:w="1061"/>
        <w:gridCol w:w="938"/>
        <w:gridCol w:w="1841"/>
      </w:tblGrid>
      <w:tr w14:paraId="1A88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7CDC78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5A9F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FF0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B47D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食品及特色消费品产业高质量发展激励资金</w:t>
            </w:r>
          </w:p>
        </w:tc>
      </w:tr>
      <w:tr w14:paraId="08A2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27A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EC6D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6D38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E6E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FD59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5822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5B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C40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61ED04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C3A7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0BFC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577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753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91A7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5EB8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3E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2B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C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1B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DC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4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4829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D6E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A34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284C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6B28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C5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DA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327F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推动安居区特色消费品产业高质量发展</w:t>
            </w:r>
          </w:p>
        </w:tc>
      </w:tr>
      <w:tr w14:paraId="0CDC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67E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DF8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384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安居区特色消费品产业</w:t>
            </w:r>
          </w:p>
        </w:tc>
      </w:tr>
      <w:tr w14:paraId="1B6C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F85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D31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F2F2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w:t>
            </w:r>
          </w:p>
        </w:tc>
      </w:tr>
      <w:tr w14:paraId="7654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6D3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0B33AD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316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5FCD7">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r>
      <w:tr w14:paraId="58F3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672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2D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3C2D3">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r>
      <w:tr w14:paraId="10B9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528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F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63AB7">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27C8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C19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65FC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11E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7E0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2F78D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r>
      <w:tr w14:paraId="643D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92D9B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BD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59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6A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2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89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0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9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0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5AB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0DC85E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D0F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3D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CB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新增产值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C34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B6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E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亿元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1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DE8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34A9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DBC2B1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3A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E28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C3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A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0A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7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65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8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350F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A63D77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43B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7FB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13D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新增产值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8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A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24.9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A7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亿元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4A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B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314E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ED357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F3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CC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7F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2D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FB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89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4C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CE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2262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F44E94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8F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64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EBE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BA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E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CC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1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FA9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793D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D7241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A6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649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94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FC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E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01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0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D78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273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96DCD6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F1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D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FE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E1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C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7B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9C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CC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0B39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36F0F1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6E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30B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29BD3F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5D0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新增税收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4B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9D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B4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6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8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02E0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20EB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3D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3A7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E2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4BB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D5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96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7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1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104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0E1027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578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381737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372207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4447">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woUserID w:val="1"/>
              </w:rPr>
            </w:pPr>
            <w:r>
              <w:rPr>
                <w:rFonts w:hint="eastAsia" w:ascii="宋体" w:hAnsi="宋体" w:eastAsia="宋体" w:cs="宋体"/>
                <w:i w:val="0"/>
                <w:color w:val="000000"/>
                <w:sz w:val="18"/>
                <w:szCs w:val="18"/>
                <w:u w:val="none"/>
                <w:lang w:val="en-US" w:eastAsia="zh-CN"/>
                <w:woUserID w:val="1"/>
              </w:rPr>
              <w:t>新增就业人数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704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C6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6A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3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3A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68DD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18137F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E2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right w:val="single" w:color="000000" w:sz="4" w:space="0"/>
            </w:tcBorders>
            <w:shd w:val="clear" w:color="auto" w:fill="auto"/>
            <w:vAlign w:val="center"/>
          </w:tcPr>
          <w:p w14:paraId="111423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EB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CF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65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161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339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293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3EE7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674CA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2E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A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ED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A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4F4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BE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4D2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0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0FDB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0181E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16D574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00DAC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22EDD8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37EB33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3B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企业、群众满意率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C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5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95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9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8C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100%</w:t>
            </w:r>
          </w:p>
        </w:tc>
      </w:tr>
      <w:tr w14:paraId="40A9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99A93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07A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06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6A85E0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527" w:type="dxa"/>
            <w:tcBorders>
              <w:top w:val="single" w:color="000000" w:sz="4" w:space="0"/>
              <w:bottom w:val="single" w:color="000000" w:sz="4" w:space="0"/>
              <w:right w:val="single" w:color="000000" w:sz="4" w:space="0"/>
            </w:tcBorders>
            <w:shd w:val="clear" w:color="auto" w:fill="auto"/>
            <w:vAlign w:val="center"/>
          </w:tcPr>
          <w:p w14:paraId="7D034E0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补助资金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082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C1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0C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0D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91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r>
      <w:tr w14:paraId="25C2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D5E6B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23F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23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7" w:type="dxa"/>
            <w:tcBorders>
              <w:top w:val="single" w:color="000000" w:sz="4" w:space="0"/>
              <w:bottom w:val="single" w:color="000000" w:sz="4" w:space="0"/>
              <w:right w:val="single" w:color="000000" w:sz="4" w:space="0"/>
            </w:tcBorders>
            <w:shd w:val="clear" w:color="auto" w:fill="auto"/>
            <w:vAlign w:val="center"/>
          </w:tcPr>
          <w:p w14:paraId="3E31A97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5C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1A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63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AF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8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392A7565">
      <w:pPr>
        <w:spacing w:line="600" w:lineRule="exact"/>
        <w:jc w:val="center"/>
        <w:outlineLvl w:val="0"/>
        <w:rPr>
          <w:rFonts w:hint="eastAsia" w:ascii="黑体" w:hAnsi="黑体" w:eastAsia="黑体"/>
          <w:color w:val="auto"/>
          <w:sz w:val="44"/>
          <w:szCs w:val="44"/>
          <w:highlight w:val="none"/>
        </w:rPr>
      </w:pPr>
    </w:p>
    <w:p w14:paraId="680D288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bidi="ar-SA"/>
        </w:rPr>
      </w:pPr>
      <w:r>
        <w:rPr>
          <w:rFonts w:hint="default"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158BF34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（培训费）​</w:t>
      </w:r>
    </w:p>
    <w:p w14:paraId="4324B31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zh-CN" w:eastAsia="zh-CN"/>
        </w:rPr>
      </w:pPr>
      <w:r>
        <w:rPr>
          <w:rFonts w:hint="default" w:ascii="黑体" w:hAnsi="宋体" w:eastAsia="黑体" w:cs="Times New Roman"/>
          <w:b/>
          <w:bCs/>
          <w:sz w:val="32"/>
          <w:szCs w:val="32"/>
          <w:highlight w:val="none"/>
          <w:lang w:val="en-US" w:eastAsia="zh-CN"/>
        </w:rPr>
        <w:t>一、项目概况​</w:t>
      </w:r>
    </w:p>
    <w:p w14:paraId="66120D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kern w:val="2"/>
          <w:sz w:val="32"/>
          <w:szCs w:val="32"/>
          <w:lang w:val="zh-CN" w:eastAsia="zh-CN" w:bidi="ar-SA"/>
        </w:rPr>
      </w:pPr>
      <w:r>
        <w:rPr>
          <w:rFonts w:hint="default" w:ascii="楷体_GB2312" w:hAnsi="宋体" w:eastAsia="楷体_GB2312" w:cs="Times New Roman"/>
          <w:b w:val="0"/>
          <w:bCs/>
          <w:color w:val="auto"/>
          <w:sz w:val="32"/>
          <w:szCs w:val="32"/>
          <w:highlight w:val="none"/>
          <w:u w:val="none"/>
          <w:lang w:val="en-US" w:eastAsia="zh-CN"/>
        </w:rPr>
        <w:t>（一）设立背景及基本情况</w:t>
      </w:r>
      <w:r>
        <w:rPr>
          <w:rFonts w:hint="eastAsia" w:ascii="楷体_GB2312" w:hAnsi="宋体"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kern w:val="2"/>
          <w:sz w:val="32"/>
          <w:szCs w:val="32"/>
          <w:lang w:val="en-US" w:eastAsia="zh-CN" w:bidi="ar-SA"/>
        </w:rPr>
        <w:t>在国家大力倡导发展新质生产力、推动新型工业化高质量发展的战略背景下，为贯彻落实相关政策要求，提升地区工业领域从业人员专业能力，</w:t>
      </w:r>
      <w:r>
        <w:rPr>
          <w:rFonts w:hint="eastAsia" w:ascii="Times New Roman" w:hAnsi="Times New Roman" w:eastAsia="仿宋_GB2312" w:cs="Times New Roman"/>
          <w:kern w:val="2"/>
          <w:sz w:val="32"/>
          <w:szCs w:val="32"/>
          <w:lang w:val="en-US" w:eastAsia="zh-CN" w:bidi="ar-SA"/>
        </w:rPr>
        <w:t>根据区委组织部关于印发《安居区2024年党员干部教育培训计划》的通知（遂安委组通[2024]34号)文件安排我单位举办</w:t>
      </w:r>
      <w:r>
        <w:rPr>
          <w:rFonts w:hint="default" w:ascii="Times New Roman" w:hAnsi="Times New Roman" w:eastAsia="仿宋_GB2312" w:cs="Times New Roman"/>
          <w:kern w:val="2"/>
          <w:sz w:val="32"/>
          <w:szCs w:val="32"/>
          <w:lang w:val="en-US" w:eastAsia="zh-CN" w:bidi="ar-SA"/>
        </w:rPr>
        <w:t>“加快发展新质生产力 推动新型工业化高质量发展” 专题培训班项目，旨在通过专业培训，帮助学员掌握新质生产力内涵、新型工业化发展路径等知识。</w:t>
      </w:r>
      <w:r>
        <w:rPr>
          <w:rFonts w:hint="eastAsia" w:ascii="Times New Roman" w:hAnsi="Times New Roman" w:eastAsia="仿宋_GB2312" w:cs="Times New Roman"/>
          <w:kern w:val="2"/>
          <w:sz w:val="32"/>
          <w:szCs w:val="32"/>
          <w:lang w:val="en-US" w:eastAsia="zh-CN" w:bidi="ar-SA"/>
        </w:rPr>
        <w:t>我单位</w:t>
      </w:r>
      <w:r>
        <w:rPr>
          <w:rFonts w:hint="default" w:ascii="Times New Roman" w:hAnsi="Times New Roman" w:eastAsia="仿宋_GB2312" w:cs="Times New Roman"/>
          <w:kern w:val="2"/>
          <w:sz w:val="32"/>
          <w:szCs w:val="32"/>
          <w:lang w:val="en-US" w:eastAsia="zh-CN" w:bidi="ar-SA"/>
        </w:rPr>
        <w:t>主要职能包括统筹地区工业发展规划、推动产业升级等工作，具备组织实施该培训项目的专业能力与管理经验。项目主要内容为邀请行业专家开展专题授课，涵盖新质生产力理论、新型工业化实践案例、产业融合创新等课程。</w:t>
      </w:r>
    </w:p>
    <w:p w14:paraId="3EF03A0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kern w:val="2"/>
          <w:sz w:val="32"/>
          <w:szCs w:val="32"/>
          <w:lang w:val="zh-CN" w:eastAsia="zh-CN" w:bidi="ar-SA"/>
        </w:rPr>
      </w:pPr>
      <w:r>
        <w:rPr>
          <w:rFonts w:hint="default" w:ascii="楷体_GB2312" w:hAnsi="宋体" w:eastAsia="楷体_GB2312" w:cs="Times New Roman"/>
          <w:b w:val="0"/>
          <w:bCs/>
          <w:color w:val="auto"/>
          <w:sz w:val="32"/>
          <w:szCs w:val="32"/>
          <w:highlight w:val="none"/>
          <w:u w:val="none"/>
          <w:lang w:val="en-US" w:eastAsia="zh-CN"/>
        </w:rPr>
        <w:t>（二）实施目的及支持方向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kern w:val="2"/>
          <w:sz w:val="32"/>
          <w:szCs w:val="32"/>
          <w:lang w:val="en-US" w:eastAsia="zh-CN" w:bidi="ar-SA"/>
        </w:rPr>
        <w:t>项目依据</w:t>
      </w:r>
      <w:r>
        <w:rPr>
          <w:rFonts w:hint="eastAsia" w:ascii="Times New Roman" w:hAnsi="Times New Roman" w:eastAsia="仿宋_GB2312" w:cs="Times New Roman"/>
          <w:kern w:val="2"/>
          <w:sz w:val="32"/>
          <w:szCs w:val="32"/>
          <w:lang w:val="en-US" w:eastAsia="zh-CN" w:bidi="ar-SA"/>
        </w:rPr>
        <w:t>遂安财行【2018】6号文件</w:t>
      </w:r>
      <w:r>
        <w:rPr>
          <w:rFonts w:hint="default" w:ascii="Times New Roman" w:hAnsi="Times New Roman" w:eastAsia="仿宋_GB2312" w:cs="Times New Roman"/>
          <w:kern w:val="2"/>
          <w:sz w:val="32"/>
          <w:szCs w:val="32"/>
          <w:lang w:val="en-US" w:eastAsia="zh-CN" w:bidi="ar-SA"/>
        </w:rPr>
        <w:t>进行资金管理，该办法对资金使用范围、审批流程、监督检查等作出明确规定。项目实施目的是通过系统培训，打造一支熟悉新型工业化发展趋势、具备实践操作能力的人才队伍，为地区新型工业化建设提供智力支持。​</w:t>
      </w:r>
    </w:p>
    <w:p w14:paraId="02E7F3A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主要工作任务包括制定培训方案、邀请优质师资、组织学员参训、保障培训后勤等。项目支持方向聚焦工业领域专业人才培养，助力地区工业经济转型升级，推动新型工业化高质量发展。​</w:t>
      </w:r>
    </w:p>
    <w:p w14:paraId="5C6536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kern w:val="2"/>
          <w:sz w:val="32"/>
          <w:szCs w:val="32"/>
          <w:lang w:val="en-US" w:eastAsia="zh-CN" w:bidi="ar-SA"/>
        </w:rPr>
      </w:pPr>
      <w:r>
        <w:rPr>
          <w:rFonts w:hint="default" w:ascii="楷体_GB2312" w:hAnsi="宋体" w:eastAsia="楷体_GB2312" w:cs="Times New Roman"/>
          <w:b w:val="0"/>
          <w:bCs/>
          <w:color w:val="auto"/>
          <w:sz w:val="32"/>
          <w:szCs w:val="32"/>
          <w:highlight w:val="none"/>
          <w:u w:val="none"/>
          <w:lang w:val="en-US" w:eastAsia="zh-CN"/>
        </w:rPr>
        <w:t>（三）预算安排及分配管理</w:t>
      </w:r>
      <w:r>
        <w:rPr>
          <w:rFonts w:hint="eastAsia" w:ascii="楷体_GB2312" w:hAnsi="宋体"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kern w:val="2"/>
          <w:sz w:val="32"/>
          <w:szCs w:val="32"/>
          <w:lang w:val="en-US" w:eastAsia="zh-CN" w:bidi="ar-SA"/>
        </w:rPr>
        <w:t>项目预算安排 6 万元专项资金，全部用于培训班费用支出。资金分配遵循 “专款专用、重点保障” 原则，综合考虑培训规模、课程设置、师资要求等因素。</w:t>
      </w:r>
    </w:p>
    <w:p w14:paraId="2281FE0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kern w:val="2"/>
          <w:sz w:val="32"/>
          <w:szCs w:val="32"/>
          <w:lang w:val="zh-CN" w:eastAsia="zh-CN" w:bidi="ar-SA"/>
        </w:rPr>
      </w:pPr>
      <w:r>
        <w:rPr>
          <w:rFonts w:hint="default" w:ascii="楷体_GB2312" w:hAnsi="宋体" w:eastAsia="楷体_GB2312" w:cs="Times New Roman"/>
          <w:b w:val="0"/>
          <w:bCs/>
          <w:color w:val="auto"/>
          <w:sz w:val="32"/>
          <w:szCs w:val="32"/>
          <w:highlight w:val="none"/>
          <w:u w:val="none"/>
          <w:lang w:val="en-US" w:eastAsia="zh-CN"/>
        </w:rPr>
        <w:t>（四）项目绩效目标设置</w:t>
      </w:r>
      <w:r>
        <w:rPr>
          <w:rFonts w:hint="eastAsia" w:ascii="楷体_GB2312" w:hAnsi="宋体"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kern w:val="2"/>
          <w:sz w:val="32"/>
          <w:szCs w:val="32"/>
          <w:lang w:val="en-US" w:eastAsia="zh-CN" w:bidi="ar-SA"/>
        </w:rPr>
        <w:t>项目整体绩效目标为全面提升参训人员对新质生产力和新型工业化的认知与实践能力，推动地区新型工业化高质量发展。区域绩效目标是为本地工业企业、相关管理部门培养专业人才，助力区域产业升级。具体绩效目标包括：开展培训课程</w:t>
      </w:r>
      <w:r>
        <w:rPr>
          <w:rFonts w:hint="eastAsia" w:ascii="Times New Roman" w:hAnsi="Times New Roman" w:eastAsia="仿宋_GB2312" w:cs="Times New Roman"/>
          <w:kern w:val="2"/>
          <w:sz w:val="32"/>
          <w:szCs w:val="32"/>
          <w:lang w:val="en-US" w:eastAsia="zh-CN" w:bidi="ar-SA"/>
        </w:rPr>
        <w:t>6天</w:t>
      </w:r>
      <w:r>
        <w:rPr>
          <w:rFonts w:hint="default" w:ascii="Times New Roman" w:hAnsi="Times New Roman" w:eastAsia="仿宋_GB2312" w:cs="Times New Roman"/>
          <w:kern w:val="2"/>
          <w:sz w:val="32"/>
          <w:szCs w:val="32"/>
          <w:lang w:val="en-US" w:eastAsia="zh-CN" w:bidi="ar-SA"/>
        </w:rPr>
        <w:t xml:space="preserve">，培训学员 </w:t>
      </w:r>
      <w:r>
        <w:rPr>
          <w:rFonts w:hint="eastAsia" w:ascii="Times New Roman" w:hAnsi="Times New Roman" w:eastAsia="仿宋_GB2312" w:cs="Times New Roman"/>
          <w:kern w:val="2"/>
          <w:sz w:val="32"/>
          <w:szCs w:val="32"/>
          <w:lang w:val="en-US" w:eastAsia="zh-CN" w:bidi="ar-SA"/>
        </w:rPr>
        <w:t>50余</w:t>
      </w:r>
      <w:r>
        <w:rPr>
          <w:rFonts w:hint="default" w:ascii="Times New Roman" w:hAnsi="Times New Roman" w:eastAsia="仿宋_GB2312" w:cs="Times New Roman"/>
          <w:kern w:val="2"/>
          <w:sz w:val="32"/>
          <w:szCs w:val="32"/>
          <w:lang w:val="en-US" w:eastAsia="zh-CN" w:bidi="ar-SA"/>
        </w:rPr>
        <w:t>人次；学员对培训内容满意度达</w:t>
      </w:r>
      <w:r>
        <w:rPr>
          <w:rFonts w:hint="eastAsia"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t>% 以上；推动参训人员将所学知识应用于工作，实现地区新型工业化项目推进效率提升 15%。​</w:t>
      </w:r>
    </w:p>
    <w:p w14:paraId="596F207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项目自评工作由</w:t>
      </w:r>
      <w:r>
        <w:rPr>
          <w:rFonts w:hint="eastAsia" w:ascii="Times New Roman" w:hAnsi="Times New Roman" w:eastAsia="仿宋_GB2312" w:cs="Times New Roman"/>
          <w:kern w:val="2"/>
          <w:sz w:val="32"/>
          <w:szCs w:val="32"/>
          <w:lang w:val="en-US" w:eastAsia="zh-CN" w:bidi="ar-SA"/>
        </w:rPr>
        <w:t>具体业务</w:t>
      </w:r>
      <w:r>
        <w:rPr>
          <w:rFonts w:hint="default" w:ascii="Times New Roman" w:hAnsi="Times New Roman" w:eastAsia="仿宋_GB2312" w:cs="Times New Roman"/>
          <w:kern w:val="2"/>
          <w:sz w:val="32"/>
          <w:szCs w:val="32"/>
          <w:lang w:val="en-US" w:eastAsia="zh-CN" w:bidi="ar-SA"/>
        </w:rPr>
        <w:t>部门联合成立自评小组，依据绩效评价指标体系，对项目资金使用、实施过程及效果进行全面评估。​</w:t>
      </w:r>
    </w:p>
    <w:p w14:paraId="2D54E47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zh-CN" w:eastAsia="zh-CN"/>
        </w:rPr>
      </w:pPr>
      <w:r>
        <w:rPr>
          <w:rFonts w:hint="default" w:ascii="黑体" w:hAnsi="宋体" w:eastAsia="黑体" w:cs="Times New Roman"/>
          <w:b/>
          <w:bCs/>
          <w:sz w:val="32"/>
          <w:szCs w:val="32"/>
          <w:highlight w:val="none"/>
          <w:lang w:val="en-US" w:eastAsia="zh-CN"/>
        </w:rPr>
        <w:t>二、评价实施​</w:t>
      </w:r>
    </w:p>
    <w:p w14:paraId="47C7008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（一）评价目的​</w:t>
      </w:r>
    </w:p>
    <w:p w14:paraId="61924C2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通过项目绩效自评，全面了解 6 万元培训费专项资金的使用效益，评估培训项目是否达到预期目标，发现项目实施过程中存在的问题，为后续优化培训项目、提高资金使用效率提供依据，确保专项资金切实发挥推动新型工业化发展的作用。​</w:t>
      </w:r>
    </w:p>
    <w:p w14:paraId="088C96F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（二）预设问题及评价重点​</w:t>
      </w:r>
    </w:p>
    <w:p w14:paraId="73B537A4">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预设问题包括资金使用是否合规、培训内容是否满足实际需求、培训效果是否显著等。评价重点围绕资金支出使用全过程及其实施效果，依据绩效评价指标体系，对项目决策、管理、实施、结果等方面进行综合评价和判断，重点关注资金分配合理性、培训目标完成度、学员满意度等指标。​</w:t>
      </w:r>
    </w:p>
    <w:p w14:paraId="35ED2FC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（三）评价选点​</w:t>
      </w:r>
    </w:p>
    <w:p w14:paraId="6930ADB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项目绩效自评采用全面评价方式，对培训班所有课程、参训学员进行覆盖，确保评价结果全面、客观反映项目实际情况。同时，选取部分学员进行深入访谈，了解其对培训内容、师资水平、组织管理等方面的具体反馈。​</w:t>
      </w:r>
    </w:p>
    <w:p w14:paraId="7E45FF4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（四）评价方法​</w:t>
      </w:r>
    </w:p>
    <w:p w14:paraId="014AC3BD">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kern w:val="2"/>
          <w:sz w:val="32"/>
          <w:szCs w:val="32"/>
          <w:lang w:val="en-US" w:eastAsia="zh-CN" w:bidi="ar-SA"/>
        </w:rPr>
        <w:t>综合采用多种评价方法：单位自评法，由项目实施部门对项目实施情况进行自我评估；实地勘察法，对培训场地、设备使用情况进行实地查看；问卷调查法，设计问卷对参训学员进行满意度调查；座谈调研法，组织学员、授课教师开展座谈会，收集各方意见和建议；成本效益分析法，对比培训投入与产出效益，评估资金使用效率。​</w:t>
      </w:r>
    </w:p>
    <w:p w14:paraId="3099D02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（五）评价组织​</w:t>
      </w:r>
    </w:p>
    <w:p w14:paraId="116C8E58">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评价组由单位</w:t>
      </w:r>
      <w:r>
        <w:rPr>
          <w:rFonts w:hint="eastAsia" w:ascii="Times New Roman" w:hAnsi="Times New Roman" w:eastAsia="仿宋_GB2312" w:cs="Times New Roman"/>
          <w:kern w:val="2"/>
          <w:sz w:val="32"/>
          <w:szCs w:val="32"/>
          <w:lang w:val="en-US" w:eastAsia="zh-CN" w:bidi="ar-SA"/>
        </w:rPr>
        <w:t>业务分管领导</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财务及</w:t>
      </w:r>
      <w:r>
        <w:rPr>
          <w:rFonts w:hint="default" w:ascii="Times New Roman" w:hAnsi="Times New Roman" w:eastAsia="仿宋_GB2312" w:cs="Times New Roman"/>
          <w:kern w:val="2"/>
          <w:sz w:val="32"/>
          <w:szCs w:val="32"/>
          <w:lang w:val="en-US" w:eastAsia="zh-CN" w:bidi="ar-SA"/>
        </w:rPr>
        <w:t>培训</w:t>
      </w:r>
      <w:r>
        <w:rPr>
          <w:rFonts w:hint="eastAsia" w:ascii="Times New Roman" w:hAnsi="Times New Roman" w:eastAsia="仿宋_GB2312" w:cs="Times New Roman"/>
          <w:kern w:val="2"/>
          <w:sz w:val="32"/>
          <w:szCs w:val="32"/>
          <w:lang w:val="en-US" w:eastAsia="zh-CN" w:bidi="ar-SA"/>
        </w:rPr>
        <w:t>负责人</w:t>
      </w:r>
      <w:r>
        <w:rPr>
          <w:rFonts w:hint="default" w:ascii="Times New Roman" w:hAnsi="Times New Roman" w:eastAsia="仿宋_GB2312" w:cs="Times New Roman"/>
          <w:kern w:val="2"/>
          <w:sz w:val="32"/>
          <w:szCs w:val="32"/>
          <w:lang w:val="en-US" w:eastAsia="zh-CN" w:bidi="ar-SA"/>
        </w:rPr>
        <w:t>组成。财务人员负责审核资金使用合规性、预算执行情况；培训</w:t>
      </w:r>
      <w:r>
        <w:rPr>
          <w:rFonts w:hint="eastAsia" w:ascii="Times New Roman" w:hAnsi="Times New Roman" w:eastAsia="仿宋_GB2312" w:cs="Times New Roman"/>
          <w:kern w:val="2"/>
          <w:sz w:val="32"/>
          <w:szCs w:val="32"/>
          <w:lang w:val="en-US" w:eastAsia="zh-CN" w:bidi="ar-SA"/>
        </w:rPr>
        <w:t>负责</w:t>
      </w:r>
      <w:r>
        <w:rPr>
          <w:rFonts w:hint="default" w:ascii="Times New Roman" w:hAnsi="Times New Roman" w:eastAsia="仿宋_GB2312" w:cs="Times New Roman"/>
          <w:kern w:val="2"/>
          <w:sz w:val="32"/>
          <w:szCs w:val="32"/>
          <w:lang w:val="en-US" w:eastAsia="zh-CN" w:bidi="ar-SA"/>
        </w:rPr>
        <w:t>人负责评估培训项目实施过程、目标完成情况及培训效果。评价组人员分工明确，相互协作，确保评价工作顺利开展。​</w:t>
      </w:r>
    </w:p>
    <w:p w14:paraId="3EACDFB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zh-CN" w:eastAsia="zh-CN"/>
        </w:rPr>
      </w:pPr>
      <w:r>
        <w:rPr>
          <w:rFonts w:hint="default" w:ascii="黑体" w:hAnsi="宋体" w:eastAsia="黑体" w:cs="Times New Roman"/>
          <w:b/>
          <w:bCs/>
          <w:sz w:val="32"/>
          <w:szCs w:val="32"/>
          <w:highlight w:val="none"/>
          <w:lang w:val="en-US" w:eastAsia="zh-CN"/>
        </w:rPr>
        <w:t>三、绩效分析​</w:t>
      </w:r>
    </w:p>
    <w:p w14:paraId="7587884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（一）通用指标绩效分析​</w:t>
      </w:r>
    </w:p>
    <w:p w14:paraId="344650CC">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项目决策：项目立项依据充分，严格按照相关政策法规申报，决策程序规范。在规划论证方面，结合地区新型工业化发展需求制定培训方案，课程设置科学合理，资金投向明确，聚焦工业人才培养，决策合理性较高。​</w:t>
      </w:r>
    </w:p>
    <w:p w14:paraId="606C9FE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项目管理：制定了完善的培训专项资金管理办法，制度办法健全。资金分配严格按照预算执行，遵循既定原则，分配管理规范。建立了绩效监管机制，定期对项目资金使用和实施情况进行检查，确保项目顺利推进。​</w:t>
      </w:r>
    </w:p>
    <w:p w14:paraId="1A4D0DC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CN" w:eastAsia="zh-CN" w:bidi="ar-SA"/>
        </w:rPr>
        <w:t>项目实施：截至评价时，项目预算执行率 100%，资金使用严格按照预算分配执行，无挪用、挤占现象，各项费用支出均有合法票据支撑，资金使用合规。​</w:t>
      </w:r>
    </w:p>
    <w:p w14:paraId="0B8F986F">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zh-CN" w:eastAsia="zh-CN" w:bidi="ar-SA"/>
        </w:rPr>
        <w:t>项目结果：培训课程完成率 100%，实际培训学员</w:t>
      </w:r>
      <w:r>
        <w:rPr>
          <w:rFonts w:hint="eastAsia" w:ascii="Times New Roman" w:hAnsi="Times New Roman" w:eastAsia="仿宋_GB2312" w:cs="Times New Roman"/>
          <w:kern w:val="2"/>
          <w:sz w:val="32"/>
          <w:szCs w:val="32"/>
          <w:lang w:val="en-US" w:eastAsia="zh-CN" w:bidi="ar-SA"/>
        </w:rPr>
        <w:t>50余</w:t>
      </w:r>
      <w:r>
        <w:rPr>
          <w:rFonts w:hint="default" w:ascii="Times New Roman" w:hAnsi="Times New Roman" w:eastAsia="仿宋_GB2312" w:cs="Times New Roman"/>
          <w:kern w:val="2"/>
          <w:sz w:val="32"/>
          <w:szCs w:val="32"/>
          <w:lang w:val="zh-CN" w:eastAsia="zh-CN" w:bidi="ar-SA"/>
        </w:rPr>
        <w:t>人次，超额完成目标；培训按时完成，达到完成时效要求。但部分学员对培训内容的应用效果尚未充分显现，目标完成度存在一定提升空间。​</w:t>
      </w:r>
    </w:p>
    <w:p w14:paraId="7D6FD16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zh-CN" w:eastAsia="zh-CN"/>
        </w:rPr>
      </w:pPr>
      <w:r>
        <w:rPr>
          <w:rFonts w:hint="default" w:ascii="楷体_GB2312" w:hAnsi="宋体" w:eastAsia="楷体_GB2312" w:cs="Times New Roman"/>
          <w:b w:val="0"/>
          <w:bCs/>
          <w:color w:val="auto"/>
          <w:sz w:val="32"/>
          <w:szCs w:val="32"/>
          <w:highlight w:val="none"/>
          <w:u w:val="none"/>
          <w:lang w:val="en-US" w:eastAsia="zh-CN"/>
        </w:rPr>
        <w:t>（二）专用指标绩效分析​</w:t>
      </w:r>
    </w:p>
    <w:p w14:paraId="266CA990">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本项目属于产业发展类，具体分析如下：​</w:t>
      </w:r>
    </w:p>
    <w:p w14:paraId="6170FB8C">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符合性：培训内容紧密围绕新质生产力和新型工业化主题，与地区产业发展需求高度契合，能够有效提升学员专业能力，助力产业升级。​</w:t>
      </w:r>
    </w:p>
    <w:p w14:paraId="22A2E79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成长性：通过培训，学员对新型工业化发展趋势有了更深入了解，为地区工业经济发展储备了人才，对产业长期发展具有积极促进作用，成长性良好。​</w:t>
      </w:r>
    </w:p>
    <w:p w14:paraId="36B40243">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CN" w:eastAsia="zh-CN" w:bidi="ar-SA"/>
        </w:rPr>
        <w:t>经济性：经初步估算，培训后部分学员将所学知识应用于工作，预计</w:t>
      </w:r>
      <w:r>
        <w:rPr>
          <w:rFonts w:hint="eastAsia" w:ascii="Times New Roman" w:hAnsi="Times New Roman" w:eastAsia="仿宋_GB2312" w:cs="Times New Roman"/>
          <w:kern w:val="2"/>
          <w:sz w:val="32"/>
          <w:szCs w:val="32"/>
          <w:lang w:val="en-US" w:eastAsia="zh-CN" w:bidi="ar-SA"/>
        </w:rPr>
        <w:t>能为</w:t>
      </w:r>
      <w:r>
        <w:rPr>
          <w:rFonts w:hint="default" w:ascii="Times New Roman" w:hAnsi="Times New Roman" w:eastAsia="仿宋_GB2312" w:cs="Times New Roman"/>
          <w:kern w:val="2"/>
          <w:sz w:val="32"/>
          <w:szCs w:val="32"/>
          <w:lang w:val="zh-CN" w:eastAsia="zh-CN" w:bidi="ar-SA"/>
        </w:rPr>
        <w:t>新型工业化项目</w:t>
      </w:r>
      <w:r>
        <w:rPr>
          <w:rFonts w:hint="eastAsia" w:ascii="Times New Roman" w:hAnsi="Times New Roman" w:eastAsia="仿宋_GB2312" w:cs="Times New Roman"/>
          <w:kern w:val="2"/>
          <w:sz w:val="32"/>
          <w:szCs w:val="32"/>
          <w:lang w:val="en-US" w:eastAsia="zh-CN" w:bidi="ar-SA"/>
        </w:rPr>
        <w:t>助力</w:t>
      </w:r>
      <w:r>
        <w:rPr>
          <w:rFonts w:hint="default" w:ascii="Times New Roman" w:hAnsi="Times New Roman" w:eastAsia="仿宋_GB2312" w:cs="Times New Roman"/>
          <w:kern w:val="2"/>
          <w:sz w:val="32"/>
          <w:szCs w:val="32"/>
          <w:lang w:val="zh-CN" w:eastAsia="zh-CN" w:bidi="ar-SA"/>
        </w:rPr>
        <w:t>，带动产业新增</w:t>
      </w:r>
      <w:r>
        <w:rPr>
          <w:rFonts w:hint="eastAsia" w:ascii="Times New Roman" w:hAnsi="Times New Roman" w:eastAsia="仿宋_GB2312" w:cs="Times New Roman"/>
          <w:kern w:val="2"/>
          <w:sz w:val="32"/>
          <w:szCs w:val="32"/>
          <w:lang w:val="en-US" w:eastAsia="zh-CN" w:bidi="ar-SA"/>
        </w:rPr>
        <w:t>一定的</w:t>
      </w:r>
      <w:r>
        <w:rPr>
          <w:rFonts w:hint="default" w:ascii="Times New Roman" w:hAnsi="Times New Roman" w:eastAsia="仿宋_GB2312" w:cs="Times New Roman"/>
          <w:kern w:val="2"/>
          <w:sz w:val="32"/>
          <w:szCs w:val="32"/>
          <w:lang w:val="zh-CN" w:eastAsia="zh-CN" w:bidi="ar-SA"/>
        </w:rPr>
        <w:t>经济效益。​</w:t>
      </w:r>
    </w:p>
    <w:p w14:paraId="0D7B3F9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楷体_GB2312" w:hAnsi="宋体" w:eastAsia="楷体_GB2312" w:cs="Times New Roman"/>
          <w:b w:val="0"/>
          <w:bCs/>
          <w:color w:val="auto"/>
          <w:sz w:val="32"/>
          <w:szCs w:val="32"/>
          <w:highlight w:val="none"/>
          <w:u w:val="none"/>
          <w:lang w:val="en-US" w:eastAsia="zh-CN"/>
        </w:rPr>
      </w:pPr>
      <w:r>
        <w:rPr>
          <w:rFonts w:hint="default" w:ascii="楷体_GB2312" w:hAnsi="宋体" w:eastAsia="楷体_GB2312" w:cs="Times New Roman"/>
          <w:b w:val="0"/>
          <w:bCs/>
          <w:color w:val="auto"/>
          <w:sz w:val="32"/>
          <w:szCs w:val="32"/>
          <w:highlight w:val="none"/>
          <w:u w:val="none"/>
          <w:lang w:val="en-US" w:eastAsia="zh-CN"/>
        </w:rPr>
        <w:t>（三）个性指标绩效分析​</w:t>
      </w:r>
    </w:p>
    <w:p w14:paraId="4A49A38F">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设定 “学员知识应用案例数量” 作为个性指标，培训结束后，收集到学员应用所学知识解决实际工作问题的案例 </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个，反映出部分学员能够将培训知识有效应用于实践，但案例数量与预期目标相比仍有差距。</w:t>
      </w:r>
    </w:p>
    <w:p w14:paraId="73FE9A6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zh-CN" w:eastAsia="zh-CN"/>
        </w:rPr>
      </w:pPr>
      <w:r>
        <w:rPr>
          <w:rFonts w:hint="default" w:ascii="黑体" w:hAnsi="宋体" w:eastAsia="黑体" w:cs="Times New Roman"/>
          <w:b/>
          <w:bCs/>
          <w:sz w:val="32"/>
          <w:szCs w:val="32"/>
          <w:highlight w:val="none"/>
          <w:lang w:val="en-US" w:eastAsia="zh-CN"/>
        </w:rPr>
        <w:t>四、评价结论​</w:t>
      </w:r>
    </w:p>
    <w:p w14:paraId="12A4A5B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 xml:space="preserve">经综合评价，本项目绩效自评总分为 </w:t>
      </w:r>
      <w:r>
        <w:rPr>
          <w:rFonts w:hint="eastAsia" w:ascii="Times New Roman" w:hAnsi="Times New Roman" w:eastAsia="仿宋_GB2312" w:cs="Times New Roman"/>
          <w:kern w:val="2"/>
          <w:sz w:val="32"/>
          <w:szCs w:val="32"/>
          <w:lang w:val="en-US" w:eastAsia="zh-CN" w:bidi="ar-SA"/>
        </w:rPr>
        <w:t>90</w:t>
      </w:r>
      <w:r>
        <w:rPr>
          <w:rFonts w:hint="default" w:ascii="Times New Roman" w:hAnsi="Times New Roman" w:eastAsia="仿宋_GB2312" w:cs="Times New Roman"/>
          <w:kern w:val="2"/>
          <w:sz w:val="32"/>
          <w:szCs w:val="32"/>
          <w:lang w:val="en-US" w:eastAsia="zh-CN" w:bidi="ar-SA"/>
        </w:rPr>
        <w:t xml:space="preserve"> 分。项目实施过程中，资金使用规范，培训课程顺利开展，完成目标</w:t>
      </w:r>
      <w:r>
        <w:rPr>
          <w:rFonts w:hint="eastAsia" w:ascii="Times New Roman" w:hAnsi="Times New Roman" w:eastAsia="仿宋_GB2312" w:cs="Times New Roman"/>
          <w:kern w:val="2"/>
          <w:sz w:val="32"/>
          <w:szCs w:val="32"/>
          <w:lang w:val="en-US" w:eastAsia="zh-CN" w:bidi="ar-SA"/>
        </w:rPr>
        <w:t>既定目标</w:t>
      </w:r>
      <w:r>
        <w:rPr>
          <w:rFonts w:hint="default" w:ascii="Times New Roman" w:hAnsi="Times New Roman" w:eastAsia="仿宋_GB2312" w:cs="Times New Roman"/>
          <w:kern w:val="2"/>
          <w:sz w:val="32"/>
          <w:szCs w:val="32"/>
          <w:lang w:val="en-US" w:eastAsia="zh-CN" w:bidi="ar-SA"/>
        </w:rPr>
        <w:t>，对地区新型工业化发展起到了积极推动作用。但在培训内容与实际应用结合、培训效果长期跟踪等方面仍存在不足，需进一步改进和完善。​</w:t>
      </w:r>
    </w:p>
    <w:p w14:paraId="7674306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en-US" w:eastAsia="zh-CN"/>
        </w:rPr>
      </w:pPr>
      <w:r>
        <w:rPr>
          <w:rFonts w:hint="default" w:ascii="黑体" w:hAnsi="宋体" w:eastAsia="黑体" w:cs="Times New Roman"/>
          <w:b/>
          <w:bCs/>
          <w:sz w:val="32"/>
          <w:szCs w:val="32"/>
          <w:highlight w:val="none"/>
          <w:lang w:val="en-US" w:eastAsia="zh-CN"/>
        </w:rPr>
        <w:t>五、存在主要问题​</w:t>
      </w:r>
    </w:p>
    <w:p w14:paraId="6AF4777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 w:cs="Times New Roman"/>
          <w:color w:val="auto"/>
          <w:sz w:val="32"/>
          <w:szCs w:val="32"/>
          <w:lang w:val="zh-CN" w:eastAsia="zh-CN"/>
        </w:rPr>
      </w:pPr>
      <w:r>
        <w:rPr>
          <w:rFonts w:hint="default" w:ascii="Times New Roman" w:hAnsi="Times New Roman" w:eastAsia="仿宋_GB2312" w:cs="Times New Roman"/>
          <w:kern w:val="2"/>
          <w:sz w:val="32"/>
          <w:szCs w:val="32"/>
          <w:lang w:val="zh-CN" w:eastAsia="zh-CN" w:bidi="ar-SA"/>
        </w:rPr>
        <w:t>培训内容与本地新型工业化实际项目结合不够紧密，导致部分学员在知识应用时存在困难，影响培训效果转化。​</w:t>
      </w:r>
    </w:p>
    <w:p w14:paraId="3616891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黑体" w:hAnsi="宋体" w:eastAsia="黑体" w:cs="Times New Roman"/>
          <w:b/>
          <w:bCs/>
          <w:sz w:val="32"/>
          <w:szCs w:val="32"/>
          <w:highlight w:val="none"/>
          <w:lang w:val="en-US" w:eastAsia="zh-CN"/>
        </w:rPr>
      </w:pPr>
      <w:r>
        <w:rPr>
          <w:rFonts w:hint="default" w:ascii="黑体" w:hAnsi="宋体" w:eastAsia="黑体" w:cs="Times New Roman"/>
          <w:b/>
          <w:bCs/>
          <w:sz w:val="32"/>
          <w:szCs w:val="32"/>
          <w:highlight w:val="none"/>
          <w:lang w:val="en-US" w:eastAsia="zh-CN"/>
        </w:rPr>
        <w:t>六、改进建议​</w:t>
      </w:r>
    </w:p>
    <w:p w14:paraId="1370CCE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加强培训项目管理，引入更多互动性强、实践操作丰富的培训方式，如小组研讨、实地考察、模拟项目等，提高学员参与度和学习积极性。同时，加强与授课教师沟通，确保教学方式符合学员需求，提升培训效果。</w:t>
      </w:r>
    </w:p>
    <w:p w14:paraId="3460DE08">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附表：专项资金绩效目标完成情况自评表</w:t>
      </w:r>
    </w:p>
    <w:p w14:paraId="02A72342">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0EC9E97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1203"/>
        <w:gridCol w:w="742"/>
        <w:gridCol w:w="1025"/>
        <w:gridCol w:w="1841"/>
      </w:tblGrid>
      <w:tr w14:paraId="0247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03588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77A7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B4F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72F9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培训费</w:t>
            </w:r>
          </w:p>
        </w:tc>
      </w:tr>
      <w:tr w14:paraId="487B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1A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A0C83">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5C8C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05D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8F45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6DF0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1FE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9F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B3C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5B96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E3A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083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9E12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sz w:val="18"/>
                <w:szCs w:val="18"/>
                <w:lang w:val="en-US" w:eastAsia="zh-CN"/>
              </w:rPr>
              <w:t>遂安财行【2018】6号</w:t>
            </w:r>
          </w:p>
        </w:tc>
      </w:tr>
      <w:tr w14:paraId="36EF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B0E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28F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F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FD8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2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C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0480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384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360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E7B6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sz w:val="18"/>
                <w:szCs w:val="18"/>
                <w:lang w:val="en-US" w:eastAsia="zh-CN"/>
              </w:rPr>
              <w:t>遂安委组通[2024]34号</w:t>
            </w:r>
          </w:p>
        </w:tc>
      </w:tr>
      <w:tr w14:paraId="04BA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E8B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F16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535C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sz w:val="18"/>
                <w:szCs w:val="18"/>
                <w:lang w:val="en-US" w:eastAsia="zh-CN"/>
              </w:rPr>
              <w:t>遂宁市安居</w:t>
            </w:r>
            <w:r>
              <w:rPr>
                <w:rFonts w:hint="default" w:ascii="宋体" w:hAnsi="宋体" w:eastAsia="宋体" w:cs="宋体"/>
                <w:sz w:val="18"/>
                <w:szCs w:val="18"/>
              </w:rPr>
              <w:t>区</w:t>
            </w:r>
            <w:r>
              <w:rPr>
                <w:rFonts w:hint="eastAsia" w:ascii="宋体" w:hAnsi="宋体" w:eastAsia="宋体" w:cs="宋体"/>
                <w:sz w:val="18"/>
                <w:szCs w:val="18"/>
                <w:lang w:val="en-US" w:eastAsia="zh-CN"/>
              </w:rPr>
              <w:t>“</w:t>
            </w:r>
            <w:r>
              <w:rPr>
                <w:rFonts w:hint="eastAsia" w:ascii="宋体" w:hAnsi="宋体" w:eastAsia="宋体" w:cs="宋体"/>
                <w:sz w:val="18"/>
                <w:szCs w:val="18"/>
                <w:lang w:val="zh-CN" w:eastAsia="zh-CN"/>
              </w:rPr>
              <w:t>加快发展新质生产力</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zh-CN" w:eastAsia="zh-CN"/>
              </w:rPr>
              <w:t>推动新型工业化高质量发展”</w:t>
            </w:r>
            <w:r>
              <w:rPr>
                <w:rFonts w:hint="eastAsia" w:ascii="宋体" w:hAnsi="宋体" w:eastAsia="宋体" w:cs="宋体"/>
                <w:sz w:val="18"/>
                <w:szCs w:val="18"/>
                <w:lang w:eastAsia="zh-CN"/>
              </w:rPr>
              <w:t>专题培训班。</w:t>
            </w:r>
          </w:p>
        </w:tc>
      </w:tr>
      <w:tr w14:paraId="0743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3C4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810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8120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p>
        </w:tc>
      </w:tr>
      <w:tr w14:paraId="3BCC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702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C44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5800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2024.07-2024.08</w:t>
            </w:r>
          </w:p>
        </w:tc>
      </w:tr>
      <w:tr w14:paraId="2F58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E42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68999E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6D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6D666">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r>
      <w:tr w14:paraId="2FBE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652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F1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A7CD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r>
      <w:tr w14:paraId="2CD2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C35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277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076B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432B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26C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0C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5719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4B2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15AF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组织50余人，参加培训班，全</w:t>
            </w:r>
            <w:r>
              <w:rPr>
                <w:rFonts w:hint="default" w:ascii="宋体" w:hAnsi="宋体" w:eastAsia="宋体" w:cs="宋体"/>
                <w:i w:val="0"/>
                <w:color w:val="000000"/>
                <w:kern w:val="0"/>
                <w:sz w:val="18"/>
                <w:szCs w:val="18"/>
                <w:u w:val="none"/>
                <w:lang w:val="en-US" w:eastAsia="zh-CN" w:bidi="ar"/>
              </w:rPr>
              <w:t>面提升参训人员对新质生产力和新型工业化的认知与实践能力，推动地区新型工业化高质量发展。</w:t>
            </w:r>
          </w:p>
        </w:tc>
      </w:tr>
      <w:tr w14:paraId="2980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654CDD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45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80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7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92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6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6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F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70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3E7F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7339C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7C1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C2F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801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培训学员</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BC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65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A5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80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FF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w:t>
            </w:r>
          </w:p>
        </w:tc>
      </w:tr>
      <w:tr w14:paraId="38E3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66E9E6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C4A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8B3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99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C21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B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959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天</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9AE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9F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r>
      <w:tr w14:paraId="0D03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144C8D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FEC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61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ABA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培训学员</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6C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5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科技创新知识得到有效提升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D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CD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369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360" w:firstLineChars="200"/>
              <w:contextualSpacing/>
              <w:jc w:val="center"/>
              <w:textAlignment w:val="auto"/>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335C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10DD5B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454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126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04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2D5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E4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0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442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A1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76E7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5697B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000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A63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D6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3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6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2024.07</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862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B3D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01B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2024.07</w:t>
            </w:r>
          </w:p>
        </w:tc>
      </w:tr>
      <w:tr w14:paraId="7AFA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2093A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CF3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9BD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A6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21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D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BC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5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00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12B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6F5A6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B7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9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A9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A4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61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B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7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C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2C2E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2E8A8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C3C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DEE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经济效益</w:t>
            </w:r>
          </w:p>
          <w:p w14:paraId="4792079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899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学员将</w:t>
            </w:r>
            <w:r>
              <w:rPr>
                <w:rFonts w:hint="default" w:ascii="宋体" w:hAnsi="宋体" w:eastAsia="宋体" w:cs="宋体"/>
                <w:i w:val="0"/>
                <w:color w:val="000000"/>
                <w:sz w:val="18"/>
                <w:szCs w:val="18"/>
                <w:u w:val="none"/>
                <w:lang w:val="zh-CN" w:eastAsia="zh-CN"/>
              </w:rPr>
              <w:t>所学知识应用于</w:t>
            </w:r>
            <w:r>
              <w:rPr>
                <w:rFonts w:hint="eastAsia" w:ascii="宋体" w:hAnsi="宋体" w:eastAsia="宋体" w:cs="宋体"/>
                <w:i w:val="0"/>
                <w:color w:val="000000"/>
                <w:sz w:val="18"/>
                <w:szCs w:val="18"/>
                <w:u w:val="none"/>
                <w:lang w:val="en-US" w:eastAsia="zh-CN"/>
              </w:rPr>
              <w:t>本职</w:t>
            </w:r>
            <w:r>
              <w:rPr>
                <w:rFonts w:hint="default" w:ascii="宋体" w:hAnsi="宋体" w:eastAsia="宋体" w:cs="宋体"/>
                <w:i w:val="0"/>
                <w:color w:val="000000"/>
                <w:sz w:val="18"/>
                <w:szCs w:val="18"/>
                <w:u w:val="none"/>
                <w:lang w:val="zh-CN" w:eastAsia="zh-CN"/>
              </w:rPr>
              <w:t>工作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0E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81B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得到一定帮助</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CC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62A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A1F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F7A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1828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36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AF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CF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E32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5C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3BE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1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BA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BED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20427A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60E85E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6D63E8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1F8973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365031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727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学员满意率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54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8FB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6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BFB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EEE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6DB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1A7BA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686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0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23C984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62B496E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培训资金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F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CD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FB7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9C5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D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8.78</w:t>
            </w:r>
          </w:p>
        </w:tc>
      </w:tr>
      <w:tr w14:paraId="3D70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2E1D6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A6F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7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bottom w:val="single" w:color="000000" w:sz="4" w:space="0"/>
              <w:right w:val="single" w:color="000000" w:sz="4" w:space="0"/>
            </w:tcBorders>
            <w:shd w:val="clear" w:color="auto" w:fill="auto"/>
            <w:vAlign w:val="center"/>
          </w:tcPr>
          <w:p w14:paraId="5C8E2D8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F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A7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69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46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6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129E58BD">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default" w:ascii="方正小标宋简体" w:hAnsi="方正小标宋简体" w:eastAsia="方正小标宋简体" w:cs="方正小标宋简体"/>
          <w:color w:val="auto"/>
          <w:kern w:val="2"/>
          <w:sz w:val="44"/>
          <w:szCs w:val="44"/>
          <w:highlight w:val="none"/>
          <w:lang w:val="en-US" w:eastAsia="zh-CN"/>
        </w:rPr>
        <w:t>专项资金绩效自评报告</w:t>
      </w:r>
    </w:p>
    <w:p w14:paraId="767B9BEA">
      <w:pPr>
        <w:pStyle w:val="4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（《四川经济日报》相关经费）​</w:t>
      </w:r>
    </w:p>
    <w:p w14:paraId="5D0B665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zh-CN"/>
        </w:rPr>
      </w:pPr>
      <w:r>
        <w:rPr>
          <w:rFonts w:hint="default" w:ascii="黑体" w:hAnsi="宋体" w:eastAsia="黑体" w:cs="Times New Roman"/>
          <w:sz w:val="32"/>
          <w:szCs w:val="32"/>
          <w:highlight w:val="none"/>
          <w:lang w:val="en-US" w:eastAsia="zh-CN"/>
        </w:rPr>
        <w:t>一、项目概况​</w:t>
      </w:r>
    </w:p>
    <w:p w14:paraId="24772238">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（一）设立背景及基本情况​</w:t>
      </w:r>
    </w:p>
    <w:p w14:paraId="5188AD2D">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在新时代经济高质量发展背景下，为区域经济发展营造良好舆论环境，</w:t>
      </w:r>
      <w:r>
        <w:rPr>
          <w:rFonts w:hint="eastAsia" w:ascii="Times New Roman" w:hAnsi="Times New Roman" w:eastAsia="仿宋_GB2312" w:cs="Times New Roman"/>
          <w:color w:val="auto"/>
          <w:kern w:val="2"/>
          <w:sz w:val="32"/>
          <w:szCs w:val="32"/>
          <w:lang w:val="en-US" w:eastAsia="zh-CN" w:bidi="ar-SA"/>
        </w:rPr>
        <w:t>确需订阅</w:t>
      </w:r>
      <w:r>
        <w:rPr>
          <w:rFonts w:hint="default" w:ascii="Times New Roman" w:hAnsi="Times New Roman" w:eastAsia="仿宋_GB2312" w:cs="Times New Roman"/>
          <w:color w:val="auto"/>
          <w:kern w:val="2"/>
          <w:sz w:val="32"/>
          <w:szCs w:val="32"/>
          <w:lang w:val="en-US" w:eastAsia="zh-CN" w:bidi="ar-SA"/>
        </w:rPr>
        <w:t>《四川经济日报》。项目立项依据四川省关于加强经济新闻宣传工作的政策要求，以及报社自身在经济信息传播、政策解读等方面的职能定位。资金申报严格遵循财政专项资金管理相关规定，确保资金使用规范合理。​</w:t>
      </w:r>
    </w:p>
    <w:p w14:paraId="12BADB9E">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（二）实施目的及支持方向​</w:t>
      </w:r>
    </w:p>
    <w:p w14:paraId="4DC9F38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为规范项目资金使用，</w:t>
      </w:r>
      <w:r>
        <w:rPr>
          <w:rFonts w:hint="eastAsia" w:ascii="Times New Roman" w:hAnsi="Times New Roman" w:eastAsia="仿宋_GB2312" w:cs="Times New Roman"/>
          <w:color w:val="auto"/>
          <w:kern w:val="2"/>
          <w:sz w:val="32"/>
          <w:szCs w:val="32"/>
          <w:lang w:val="en-US" w:eastAsia="zh-CN" w:bidi="ar-SA"/>
        </w:rPr>
        <w:t>通过订阅</w:t>
      </w:r>
      <w:r>
        <w:rPr>
          <w:rFonts w:hint="default" w:ascii="Times New Roman" w:hAnsi="Times New Roman" w:eastAsia="仿宋_GB2312" w:cs="Times New Roman"/>
          <w:color w:val="auto"/>
          <w:kern w:val="2"/>
          <w:sz w:val="32"/>
          <w:szCs w:val="32"/>
          <w:lang w:val="en-US" w:eastAsia="zh-CN" w:bidi="ar-SA"/>
        </w:rPr>
        <w:t>《四川经济日报》</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项及时准确</w:t>
      </w:r>
      <w:r>
        <w:rPr>
          <w:rFonts w:hint="eastAsia" w:ascii="Times New Roman" w:hAnsi="Times New Roman" w:eastAsia="仿宋_GB2312" w:cs="Times New Roman"/>
          <w:color w:val="auto"/>
          <w:kern w:val="2"/>
          <w:sz w:val="32"/>
          <w:szCs w:val="32"/>
          <w:lang w:val="en-US" w:eastAsia="zh-CN" w:bidi="ar-SA"/>
        </w:rPr>
        <w:t>了解</w:t>
      </w:r>
      <w:r>
        <w:rPr>
          <w:rFonts w:hint="default" w:ascii="Times New Roman" w:hAnsi="Times New Roman" w:eastAsia="仿宋_GB2312" w:cs="Times New Roman"/>
          <w:color w:val="auto"/>
          <w:kern w:val="2"/>
          <w:sz w:val="32"/>
          <w:szCs w:val="32"/>
          <w:lang w:val="en-US" w:eastAsia="zh-CN" w:bidi="ar-SA"/>
        </w:rPr>
        <w:t>四川经济政策、产业动态、企业发展等信息</w:t>
      </w:r>
      <w:r>
        <w:rPr>
          <w:rFonts w:hint="eastAsia" w:ascii="Times New Roman" w:hAnsi="Times New Roman" w:eastAsia="仿宋_GB2312" w:cs="Times New Roman"/>
          <w:color w:val="auto"/>
          <w:kern w:val="2"/>
          <w:sz w:val="32"/>
          <w:szCs w:val="32"/>
          <w:lang w:val="en-US" w:eastAsia="zh-CN" w:bidi="ar-SA"/>
        </w:rPr>
        <w:t>。</w:t>
      </w:r>
    </w:p>
    <w:p w14:paraId="730D0EE4">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（三）预算安排及分配管理​</w:t>
      </w:r>
    </w:p>
    <w:p w14:paraId="117E8A44">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项目预算安排 14.4 万元，</w:t>
      </w:r>
      <w:r>
        <w:rPr>
          <w:rFonts w:hint="eastAsia" w:ascii="Times New Roman" w:hAnsi="Times New Roman" w:eastAsia="仿宋_GB2312" w:cs="Times New Roman"/>
          <w:color w:val="auto"/>
          <w:kern w:val="2"/>
          <w:sz w:val="32"/>
          <w:szCs w:val="32"/>
          <w:lang w:val="en-US" w:eastAsia="zh-CN" w:bidi="ar-SA"/>
        </w:rPr>
        <w:t>用于订阅2023年至2024年</w:t>
      </w:r>
      <w:r>
        <w:rPr>
          <w:rFonts w:hint="default" w:ascii="Times New Roman" w:hAnsi="Times New Roman" w:eastAsia="仿宋_GB2312" w:cs="Times New Roman"/>
          <w:color w:val="auto"/>
          <w:kern w:val="2"/>
          <w:sz w:val="32"/>
          <w:szCs w:val="32"/>
          <w:lang w:val="en-US" w:eastAsia="zh-CN" w:bidi="ar-SA"/>
        </w:rPr>
        <w:t>《四川经济日报》</w:t>
      </w:r>
      <w:r>
        <w:rPr>
          <w:rFonts w:hint="eastAsia" w:ascii="Times New Roman" w:hAnsi="Times New Roman" w:eastAsia="仿宋_GB2312" w:cs="Times New Roman"/>
          <w:color w:val="auto"/>
          <w:kern w:val="2"/>
          <w:sz w:val="32"/>
          <w:szCs w:val="32"/>
          <w:lang w:val="en-US" w:eastAsia="zh-CN" w:bidi="ar-SA"/>
        </w:rPr>
        <w:t>共计400份，每份360元。</w:t>
      </w:r>
    </w:p>
    <w:p w14:paraId="3EA59DE3">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（四）项目绩效目标设置​</w:t>
      </w:r>
    </w:p>
    <w:p w14:paraId="15EDEB42">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项目整体绩效目标为《四川经济日报》在四川省内经济领域的舆论引导力与传播影响力，</w:t>
      </w:r>
      <w:r>
        <w:rPr>
          <w:rFonts w:hint="eastAsia" w:ascii="Times New Roman" w:hAnsi="Times New Roman" w:eastAsia="仿宋_GB2312" w:cs="Times New Roman"/>
          <w:color w:val="auto"/>
          <w:kern w:val="2"/>
          <w:sz w:val="32"/>
          <w:szCs w:val="32"/>
          <w:lang w:val="en-US" w:eastAsia="zh-CN" w:bidi="ar-SA"/>
        </w:rPr>
        <w:t>了解</w:t>
      </w:r>
      <w:r>
        <w:rPr>
          <w:rFonts w:hint="default" w:ascii="Times New Roman" w:hAnsi="Times New Roman" w:eastAsia="仿宋_GB2312" w:cs="Times New Roman"/>
          <w:color w:val="auto"/>
          <w:kern w:val="2"/>
          <w:sz w:val="32"/>
          <w:szCs w:val="32"/>
          <w:lang w:val="en-US" w:eastAsia="zh-CN" w:bidi="ar-SA"/>
        </w:rPr>
        <w:t>四川各地区经济发展动态宣传</w:t>
      </w:r>
      <w:r>
        <w:rPr>
          <w:rFonts w:hint="eastAsia" w:ascii="Times New Roman" w:hAnsi="Times New Roman" w:eastAsia="仿宋_GB2312" w:cs="Times New Roman"/>
          <w:color w:val="auto"/>
          <w:kern w:val="2"/>
          <w:sz w:val="32"/>
          <w:szCs w:val="32"/>
          <w:lang w:val="en-US" w:eastAsia="zh-CN" w:bidi="ar-SA"/>
        </w:rPr>
        <w:t>。</w:t>
      </w:r>
    </w:p>
    <w:p w14:paraId="57A9A40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en-US" w:eastAsia="zh-CN"/>
        </w:rPr>
      </w:pPr>
      <w:r>
        <w:rPr>
          <w:rFonts w:hint="default" w:ascii="黑体" w:hAnsi="宋体" w:eastAsia="黑体" w:cs="Times New Roman"/>
          <w:sz w:val="32"/>
          <w:szCs w:val="32"/>
          <w:highlight w:val="none"/>
          <w:lang w:val="en-US" w:eastAsia="zh-CN"/>
        </w:rPr>
        <w:t>二、评价实施​</w:t>
      </w:r>
    </w:p>
    <w:p w14:paraId="16573B8B">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（一）评价目的​</w:t>
      </w:r>
    </w:p>
    <w:p w14:paraId="1AB9443E">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通过项目绩效自评，全面评估 14.4 万元专项资金在《四川经济日报》相关项目中的使用效率与效果，检验项目是否达成预期绩效目标，总结项目实施过程中的经验与不足，为后续项目资金申请、预算调整、业务优化提供科学依据，进一步提升报社经济新闻宣传工作质量与水平。​</w:t>
      </w:r>
    </w:p>
    <w:p w14:paraId="55F3606E">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（二）预设问题及评价重点​</w:t>
      </w:r>
    </w:p>
    <w:p w14:paraId="2547AD61">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预设问题包括资金使用是否规范合理、是否达到预期效果、绩效目标是否全部完成等。评价重点围绕资金支出使用全过程及其实施效果，按照绩效评价指标体系，对项目决策的科学性、项目管理的规范性、项目实施的有效性以及项目结果的达成度进行综合评价和判断。​</w:t>
      </w:r>
    </w:p>
    <w:p w14:paraId="4E83190A">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（三）评价选点​</w:t>
      </w:r>
    </w:p>
    <w:p w14:paraId="4A5EA559">
      <w:pPr>
        <w:keepNext w:val="0"/>
        <w:keepLines w:val="0"/>
        <w:widowControl/>
        <w:suppressLineNumbers w:val="0"/>
        <w:shd w:val="clear" w:fill="FFFFFF"/>
        <w:spacing w:before="120" w:beforeAutospacing="0" w:after="120" w:afterAutospacing="0" w:line="23" w:lineRule="atLeast"/>
        <w:ind w:left="0" w:firstLine="640" w:firstLineChars="200"/>
        <w:jc w:val="left"/>
        <w:rPr>
          <w:rFonts w:hint="default" w:ascii="Segoe UI" w:hAnsi="Segoe UI" w:eastAsia="Segoe UI" w:cs="Segoe UI"/>
          <w:i w:val="0"/>
          <w:iCs w:val="0"/>
          <w:caps w:val="0"/>
          <w:spacing w:val="0"/>
          <w:sz w:val="24"/>
          <w:szCs w:val="24"/>
        </w:rPr>
      </w:pPr>
      <w:r>
        <w:rPr>
          <w:rFonts w:hint="default" w:ascii="Times New Roman" w:hAnsi="Times New Roman" w:eastAsia="仿宋_GB2312" w:cs="Times New Roman"/>
          <w:color w:val="auto"/>
          <w:kern w:val="2"/>
          <w:sz w:val="32"/>
          <w:szCs w:val="32"/>
          <w:lang w:val="en-US" w:eastAsia="zh-CN" w:bidi="ar-SA"/>
        </w:rPr>
        <w:t>项目绩效自评</w:t>
      </w:r>
      <w:r>
        <w:rPr>
          <w:rFonts w:hint="eastAsia" w:ascii="Times New Roman" w:hAnsi="Times New Roman" w:eastAsia="仿宋_GB2312" w:cs="Times New Roman"/>
          <w:color w:val="auto"/>
          <w:kern w:val="2"/>
          <w:sz w:val="32"/>
          <w:szCs w:val="32"/>
          <w:lang w:val="en-US" w:eastAsia="zh-CN" w:bidi="ar-SA"/>
        </w:rPr>
        <w:t>抽样选点，是否运用《四川经济日报》作为载体，对我区经济发展进行推广宣传</w:t>
      </w:r>
      <w:r>
        <w:rPr>
          <w:rFonts w:hint="default" w:ascii="Times New Roman" w:hAnsi="Times New Roman" w:eastAsia="仿宋_GB2312" w:cs="Times New Roman"/>
          <w:color w:val="auto"/>
          <w:kern w:val="2"/>
          <w:sz w:val="32"/>
          <w:szCs w:val="32"/>
          <w:lang w:val="en-US" w:eastAsia="zh-CN" w:bidi="ar-SA"/>
        </w:rPr>
        <w:t>。</w:t>
      </w:r>
      <w:r>
        <w:rPr>
          <w:rFonts w:hint="default" w:ascii="Segoe UI" w:hAnsi="Segoe UI" w:eastAsia="Segoe UI" w:cs="Segoe UI"/>
          <w:i w:val="0"/>
          <w:iCs w:val="0"/>
          <w:caps w:val="0"/>
          <w:spacing w:val="0"/>
          <w:kern w:val="0"/>
          <w:sz w:val="24"/>
          <w:szCs w:val="24"/>
          <w:shd w:val="clear" w:fill="FFFFFF"/>
          <w:lang w:val="en-US" w:eastAsia="zh-CN" w:bidi="ar"/>
        </w:rPr>
        <w:t>​</w:t>
      </w:r>
    </w:p>
    <w:p w14:paraId="28EE752B">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（四）评价方法​</w:t>
      </w:r>
    </w:p>
    <w:p w14:paraId="2C37FE44">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采用多种评价方法收集相关材料和开展具体评价。</w:t>
      </w:r>
    </w:p>
    <w:p w14:paraId="188C0B79">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（五）评价组织​</w:t>
      </w:r>
    </w:p>
    <w:p w14:paraId="607098D7">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评价组</w:t>
      </w:r>
      <w:r>
        <w:rPr>
          <w:rFonts w:hint="eastAsia" w:ascii="Times New Roman" w:hAnsi="Times New Roman" w:eastAsia="仿宋_GB2312" w:cs="Times New Roman"/>
          <w:color w:val="auto"/>
          <w:kern w:val="2"/>
          <w:sz w:val="32"/>
          <w:szCs w:val="32"/>
          <w:lang w:val="en-US" w:eastAsia="zh-CN" w:bidi="ar-SA"/>
        </w:rPr>
        <w:t>由业务分管领导、财务负责人、具体经办人</w:t>
      </w:r>
      <w:r>
        <w:rPr>
          <w:rFonts w:hint="default" w:ascii="Times New Roman" w:hAnsi="Times New Roman" w:eastAsia="仿宋_GB2312" w:cs="Times New Roman"/>
          <w:color w:val="auto"/>
          <w:kern w:val="2"/>
          <w:sz w:val="32"/>
          <w:szCs w:val="32"/>
          <w:lang w:val="en-US" w:eastAsia="zh-CN" w:bidi="ar-SA"/>
        </w:rPr>
        <w:t>组成。各成员职责明确，协同合作完成项目绩效自评工作。​</w:t>
      </w:r>
    </w:p>
    <w:p w14:paraId="6CFC826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黑体" w:hAnsi="宋体" w:eastAsia="黑体" w:cs="Times New Roman"/>
          <w:sz w:val="32"/>
          <w:szCs w:val="32"/>
          <w:highlight w:val="none"/>
          <w:lang w:val="en-US" w:eastAsia="zh-CN"/>
        </w:rPr>
      </w:pPr>
      <w:r>
        <w:rPr>
          <w:rFonts w:hint="default" w:ascii="黑体" w:hAnsi="宋体" w:eastAsia="黑体" w:cs="Times New Roman"/>
          <w:sz w:val="32"/>
          <w:szCs w:val="32"/>
          <w:highlight w:val="none"/>
          <w:lang w:val="en-US" w:eastAsia="zh-CN"/>
        </w:rPr>
        <w:t>三、绩效分析​</w:t>
      </w:r>
    </w:p>
    <w:p w14:paraId="07701ADE">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（一）通用指标绩效分析​</w:t>
      </w:r>
    </w:p>
    <w:p w14:paraId="754879A8">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项目决策：项目立项严格遵循政策要求，决策程序规范，对项目开展进行了充分的规划论证，明确了资金投向与使用范围。​</w:t>
      </w:r>
    </w:p>
    <w:p w14:paraId="46B7B3CF">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项目管理：</w:t>
      </w:r>
      <w:r>
        <w:rPr>
          <w:rFonts w:hint="eastAsia" w:ascii="Times New Roman" w:hAnsi="Times New Roman" w:eastAsia="仿宋_GB2312" w:cs="Times New Roman"/>
          <w:color w:val="auto"/>
          <w:kern w:val="2"/>
          <w:sz w:val="32"/>
          <w:szCs w:val="32"/>
          <w:lang w:val="en-US" w:eastAsia="zh-CN" w:bidi="ar-SA"/>
        </w:rPr>
        <w:t>做到专款专用。</w:t>
      </w:r>
    </w:p>
    <w:p w14:paraId="6F9850C0">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项目实施：资金使用符合规定用途，审批流程规范</w:t>
      </w:r>
      <w:r>
        <w:rPr>
          <w:rFonts w:hint="eastAsia" w:ascii="Times New Roman" w:hAnsi="Times New Roman" w:eastAsia="仿宋_GB2312" w:cs="Times New Roman"/>
          <w:color w:val="auto"/>
          <w:kern w:val="2"/>
          <w:sz w:val="32"/>
          <w:szCs w:val="32"/>
          <w:lang w:val="en-US" w:eastAsia="zh-CN" w:bidi="ar-SA"/>
        </w:rPr>
        <w:t>。</w:t>
      </w:r>
    </w:p>
    <w:p w14:paraId="713326FD">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项目结果：</w:t>
      </w:r>
      <w:r>
        <w:rPr>
          <w:rFonts w:hint="eastAsia" w:ascii="Times New Roman" w:hAnsi="Times New Roman" w:eastAsia="仿宋_GB2312" w:cs="Times New Roman"/>
          <w:color w:val="auto"/>
          <w:kern w:val="2"/>
          <w:sz w:val="32"/>
          <w:szCs w:val="32"/>
          <w:lang w:val="en-US" w:eastAsia="zh-CN" w:bidi="ar-SA"/>
        </w:rPr>
        <w:t>完成订阅报纸数量400份</w:t>
      </w:r>
      <w:r>
        <w:rPr>
          <w:rFonts w:hint="default" w:ascii="Times New Roman" w:hAnsi="Times New Roman" w:eastAsia="仿宋_GB2312" w:cs="Times New Roman"/>
          <w:color w:val="auto"/>
          <w:kern w:val="2"/>
          <w:sz w:val="32"/>
          <w:szCs w:val="32"/>
          <w:lang w:val="en-US" w:eastAsia="zh-CN" w:bidi="ar-SA"/>
        </w:rPr>
        <w:t>。​</w:t>
      </w:r>
    </w:p>
    <w:p w14:paraId="580F0D9C">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（二）专用指标绩效分析​</w:t>
      </w:r>
    </w:p>
    <w:p w14:paraId="1CCC6661">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《四川经济日报》相关经费项目属于行政运转类，围绕用途合规性、程序合规性、标准合规性进行绩效分析。</w:t>
      </w:r>
    </w:p>
    <w:p w14:paraId="03FED350">
      <w:pPr>
        <w:pStyle w:val="4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楷体_GB2312" w:hAnsi="宋体" w:eastAsia="楷体_GB2312" w:cs="Times New Roman"/>
          <w:b w:val="0"/>
          <w:bCs/>
          <w:color w:val="auto"/>
          <w:kern w:val="2"/>
          <w:sz w:val="32"/>
          <w:szCs w:val="32"/>
          <w:highlight w:val="none"/>
          <w:u w:val="none"/>
          <w:lang w:val="zh-CN" w:eastAsia="zh-CN" w:bidi="ar-SA"/>
        </w:rPr>
      </w:pPr>
      <w:r>
        <w:rPr>
          <w:rFonts w:hint="default" w:ascii="楷体_GB2312" w:hAnsi="宋体" w:eastAsia="楷体_GB2312" w:cs="Times New Roman"/>
          <w:b w:val="0"/>
          <w:bCs/>
          <w:color w:val="auto"/>
          <w:kern w:val="2"/>
          <w:sz w:val="32"/>
          <w:szCs w:val="32"/>
          <w:highlight w:val="none"/>
          <w:u w:val="none"/>
          <w:lang w:val="en-US" w:eastAsia="zh-CN" w:bidi="ar-SA"/>
        </w:rPr>
        <w:t>（三）个性指标绩效分析​</w:t>
      </w:r>
    </w:p>
    <w:p w14:paraId="6FE17566">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读者满意度：通过问卷调查收集读者对报纸及新媒体内容、版面设计、更新频率等方面的满意度。调查显示，读者满意度</w:t>
      </w:r>
      <w:r>
        <w:rPr>
          <w:rFonts w:hint="eastAsia" w:ascii="Times New Roman" w:hAnsi="Times New Roman" w:eastAsia="仿宋_GB2312" w:cs="Times New Roman"/>
          <w:color w:val="auto"/>
          <w:kern w:val="2"/>
          <w:sz w:val="32"/>
          <w:szCs w:val="32"/>
          <w:lang w:val="en-US" w:eastAsia="zh-CN" w:bidi="ar-SA"/>
        </w:rPr>
        <w:t>一般，现在读者一般选择电子期刊，纸质类的市场占有率较低。</w:t>
      </w:r>
    </w:p>
    <w:p w14:paraId="156C4F2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黑体" w:hAnsi="宋体" w:eastAsia="黑体" w:cs="Times New Roman"/>
          <w:sz w:val="32"/>
          <w:szCs w:val="32"/>
          <w:highlight w:val="none"/>
          <w:lang w:val="en-US" w:eastAsia="zh-CN"/>
        </w:rPr>
        <w:t>四、评价结论</w:t>
      </w:r>
      <w:r>
        <w:rPr>
          <w:rFonts w:hint="eastAsia" w:ascii="黑体" w:hAnsi="宋体" w:eastAsia="黑体" w:cs="Times New Roman"/>
          <w:sz w:val="32"/>
          <w:szCs w:val="32"/>
          <w:highlight w:val="none"/>
          <w:lang w:val="en-US" w:eastAsia="zh-CN"/>
        </w:rPr>
        <w:t>。</w:t>
      </w:r>
      <w:r>
        <w:rPr>
          <w:rFonts w:hint="default" w:ascii="Times New Roman" w:hAnsi="Times New Roman" w:eastAsia="仿宋" w:cs="Times New Roman"/>
          <w:color w:val="auto"/>
          <w:sz w:val="32"/>
          <w:szCs w:val="32"/>
          <w:lang w:val="en-US" w:eastAsia="zh-CN"/>
        </w:rPr>
        <w:t xml:space="preserve">经综合评价，专项资金绩效自评总分为 </w:t>
      </w:r>
      <w:r>
        <w:rPr>
          <w:rFonts w:hint="eastAsia" w:ascii="Times New Roman" w:hAnsi="Times New Roman" w:eastAsia="仿宋" w:cs="Times New Roman"/>
          <w:color w:val="auto"/>
          <w:sz w:val="32"/>
          <w:szCs w:val="32"/>
          <w:lang w:val="en-US" w:eastAsia="zh-CN"/>
        </w:rPr>
        <w:t>90</w:t>
      </w:r>
      <w:r>
        <w:rPr>
          <w:rFonts w:hint="default" w:ascii="Times New Roman" w:hAnsi="Times New Roman" w:eastAsia="仿宋" w:cs="Times New Roman"/>
          <w:color w:val="auto"/>
          <w:sz w:val="32"/>
          <w:szCs w:val="32"/>
          <w:lang w:val="en-US" w:eastAsia="zh-CN"/>
        </w:rPr>
        <w:t xml:space="preserve"> 分。</w:t>
      </w:r>
    </w:p>
    <w:p w14:paraId="0B66429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黑体" w:hAnsi="宋体" w:eastAsia="黑体" w:cs="Times New Roman"/>
          <w:sz w:val="32"/>
          <w:szCs w:val="32"/>
          <w:highlight w:val="none"/>
          <w:lang w:val="en-US" w:eastAsia="zh-CN"/>
        </w:rPr>
        <w:t>五、存在主要问题</w:t>
      </w:r>
      <w:r>
        <w:rPr>
          <w:rFonts w:hint="eastAsia" w:ascii="黑体" w:hAnsi="宋体" w:eastAsia="黑体" w:cs="Times New Roman"/>
          <w:sz w:val="32"/>
          <w:szCs w:val="32"/>
          <w:highlight w:val="none"/>
          <w:lang w:val="en-US" w:eastAsia="zh-CN"/>
        </w:rPr>
        <w:t>。</w:t>
      </w:r>
      <w:r>
        <w:rPr>
          <w:rFonts w:hint="eastAsia" w:ascii="Times New Roman" w:hAnsi="Times New Roman" w:eastAsia="仿宋_GB2312" w:cs="Times New Roman"/>
          <w:color w:val="auto"/>
          <w:kern w:val="2"/>
          <w:sz w:val="32"/>
          <w:szCs w:val="32"/>
          <w:lang w:val="en-US" w:eastAsia="zh-CN" w:bidi="ar-SA"/>
        </w:rPr>
        <w:t>纸质期刊受欢迎程度薄弱。</w:t>
      </w:r>
    </w:p>
    <w:p w14:paraId="344FCEC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黑体" w:hAnsi="宋体" w:eastAsia="黑体" w:cs="Times New Roman"/>
          <w:sz w:val="32"/>
          <w:szCs w:val="32"/>
          <w:highlight w:val="none"/>
          <w:lang w:val="en-US" w:eastAsia="zh-CN"/>
        </w:rPr>
        <w:t>六、改进建议</w:t>
      </w:r>
      <w:r>
        <w:rPr>
          <w:rFonts w:hint="eastAsia" w:ascii="黑体" w:hAnsi="宋体" w:eastAsia="黑体" w:cs="Times New Roman"/>
          <w:sz w:val="32"/>
          <w:szCs w:val="32"/>
          <w:highlight w:val="none"/>
          <w:lang w:val="en-US" w:eastAsia="zh-CN"/>
        </w:rPr>
        <w:t>。</w:t>
      </w:r>
      <w:r>
        <w:rPr>
          <w:rFonts w:hint="eastAsia" w:ascii="Times New Roman" w:hAnsi="Times New Roman" w:eastAsia="仿宋_GB2312" w:cs="Times New Roman"/>
          <w:color w:val="auto"/>
          <w:kern w:val="2"/>
          <w:sz w:val="32"/>
          <w:szCs w:val="32"/>
          <w:lang w:val="en-US" w:eastAsia="zh-CN" w:bidi="ar-SA"/>
        </w:rPr>
        <w:t>抓住读者心理，让其选择纸质期刊实现有效阅读。</w:t>
      </w:r>
    </w:p>
    <w:p w14:paraId="4A093128">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14C4E3DB">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35EE2642">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4460D138">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5D7FB1DA">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44E88365">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3E9FA787">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707FA445">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56F7477E">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p w14:paraId="39020172">
      <w:pPr>
        <w:pStyle w:val="8"/>
        <w:widowControl w:val="0"/>
        <w:numPr>
          <w:ilvl w:val="0"/>
          <w:numId w:val="0"/>
        </w:numPr>
        <w:jc w:val="both"/>
        <w:rPr>
          <w:rFonts w:hint="eastAsia" w:ascii="Times New Roman" w:hAnsi="Times New Roman" w:eastAsia="仿宋" w:cs="Times New Roman"/>
          <w:color w:val="auto"/>
          <w:sz w:val="32"/>
          <w:szCs w:val="32"/>
          <w:lang w:val="en-US" w:eastAsia="zh-CN"/>
        </w:rPr>
      </w:pP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1203"/>
        <w:gridCol w:w="742"/>
        <w:gridCol w:w="1025"/>
        <w:gridCol w:w="1841"/>
      </w:tblGrid>
      <w:tr w14:paraId="4124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8CE2B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40D43D9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2523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FF3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B602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default" w:ascii="宋体" w:hAnsi="宋体" w:eastAsia="宋体" w:cs="宋体"/>
                <w:i w:val="0"/>
                <w:color w:val="000000"/>
                <w:sz w:val="18"/>
                <w:szCs w:val="18"/>
                <w:u w:val="none"/>
                <w:lang w:val="en-US" w:eastAsia="zh-CN"/>
              </w:rPr>
              <w:t>《四川经济日报》相关经费</w:t>
            </w:r>
          </w:p>
        </w:tc>
      </w:tr>
      <w:tr w14:paraId="0787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63F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9786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06C6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AA0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5BA1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1C13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DB2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C54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A4D1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7F72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95E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314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C96FE">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113F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4CC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A4E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F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1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27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hint="default" w:ascii="Wingdings 2" w:hAnsi="Wingdings 2" w:eastAsia="Wingdings 2" w:cs="Wingdings 2"/>
                <w:i w:val="0"/>
                <w:color w:val="000000"/>
                <w:kern w:val="0"/>
                <w:sz w:val="18"/>
                <w:szCs w:val="18"/>
                <w:u w:val="none"/>
                <w:lang w:val="en-US" w:eastAsia="zh-CN" w:bidi="ar"/>
              </w:rPr>
              <w:t>项目法</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B1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52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4FE8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2D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C5B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5E74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送批件编号：(2024)1135号</w:t>
            </w:r>
          </w:p>
        </w:tc>
      </w:tr>
      <w:tr w14:paraId="2BF5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102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ED8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00BB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征订2023年-2024年</w:t>
            </w:r>
            <w:r>
              <w:rPr>
                <w:rFonts w:hint="default" w:ascii="宋体" w:hAnsi="宋体" w:eastAsia="宋体" w:cs="宋体"/>
                <w:i w:val="0"/>
                <w:color w:val="000000"/>
                <w:sz w:val="18"/>
                <w:szCs w:val="18"/>
                <w:u w:val="none"/>
                <w:lang w:val="en-US" w:eastAsia="zh-CN"/>
              </w:rPr>
              <w:t>《四川经济日报》</w:t>
            </w:r>
            <w:r>
              <w:rPr>
                <w:rFonts w:hint="eastAsia" w:ascii="宋体" w:hAnsi="宋体" w:eastAsia="宋体" w:cs="宋体"/>
                <w:i w:val="0"/>
                <w:color w:val="000000"/>
                <w:sz w:val="18"/>
                <w:szCs w:val="18"/>
                <w:u w:val="none"/>
                <w:lang w:val="en-US" w:eastAsia="zh-CN"/>
              </w:rPr>
              <w:t>费用</w:t>
            </w:r>
          </w:p>
        </w:tc>
      </w:tr>
      <w:tr w14:paraId="7F6B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72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09F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EE4C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遂工业办【2022】26号、遂工业办【2023】17号</w:t>
            </w:r>
          </w:p>
        </w:tc>
      </w:tr>
      <w:tr w14:paraId="0918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C36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A88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2D1B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2023.01-2024.12</w:t>
            </w:r>
          </w:p>
        </w:tc>
      </w:tr>
      <w:tr w14:paraId="73B5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E7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47ADA4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DF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89C39">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14.4</w:t>
            </w:r>
          </w:p>
        </w:tc>
      </w:tr>
      <w:tr w14:paraId="31A6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57B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C37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FA344">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14.4</w:t>
            </w:r>
          </w:p>
        </w:tc>
      </w:tr>
      <w:tr w14:paraId="0AC4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EE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D68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9381D">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5C60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6FB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6459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605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A81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6588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完成2023年-2024年征订400份的任务</w:t>
            </w:r>
          </w:p>
        </w:tc>
      </w:tr>
      <w:tr w14:paraId="171F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212AC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7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4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9B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51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6A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E8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D6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C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67E4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2F138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3C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6FC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DFA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征订</w:t>
            </w:r>
            <w:r>
              <w:rPr>
                <w:rFonts w:hint="default" w:ascii="宋体" w:hAnsi="宋体" w:eastAsia="宋体" w:cs="宋体"/>
                <w:i w:val="0"/>
                <w:color w:val="000000"/>
                <w:sz w:val="18"/>
                <w:szCs w:val="18"/>
                <w:u w:val="none"/>
                <w:lang w:val="en-US" w:eastAsia="zh-CN"/>
              </w:rPr>
              <w:t>《四川经济日报》</w:t>
            </w:r>
            <w:r>
              <w:rPr>
                <w:rFonts w:hint="eastAsia" w:ascii="宋体" w:hAnsi="宋体" w:eastAsia="宋体" w:cs="宋体"/>
                <w:i w:val="0"/>
                <w:color w:val="000000"/>
                <w:sz w:val="18"/>
                <w:szCs w:val="18"/>
                <w:u w:val="none"/>
                <w:lang w:val="en-US" w:eastAsia="zh-CN"/>
              </w:rPr>
              <w:t>份数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B1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eastAsia="zh-CN"/>
              </w:rPr>
            </w:pPr>
            <w:r>
              <w:rPr>
                <w:rFonts w:hint="eastAsia" w:ascii="Arial" w:hAnsi="Arial" w:eastAsia="宋体" w:cs="Arial"/>
                <w:i w:val="0"/>
                <w:color w:val="000000"/>
                <w:sz w:val="18"/>
                <w:szCs w:val="18"/>
                <w:u w:val="none"/>
                <w:lang w:val="en-US" w:eastAsia="zh-CN"/>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0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9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份</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5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9C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400</w:t>
            </w:r>
          </w:p>
        </w:tc>
      </w:tr>
      <w:tr w14:paraId="46AE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48A474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94A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784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C0E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4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DFC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84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5B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B1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r>
      <w:tr w14:paraId="604F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5730D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5B5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A0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26A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征订</w:t>
            </w:r>
            <w:r>
              <w:rPr>
                <w:rFonts w:hint="default" w:ascii="宋体" w:hAnsi="宋体" w:eastAsia="宋体" w:cs="宋体"/>
                <w:i w:val="0"/>
                <w:color w:val="000000"/>
                <w:sz w:val="18"/>
                <w:szCs w:val="18"/>
                <w:u w:val="none"/>
                <w:lang w:val="en-US" w:eastAsia="zh-CN"/>
              </w:rPr>
              <w:t>《四川经济日报》</w:t>
            </w:r>
            <w:r>
              <w:rPr>
                <w:rFonts w:hint="eastAsia" w:ascii="宋体" w:hAnsi="宋体" w:eastAsia="宋体" w:cs="宋体"/>
                <w:i w:val="0"/>
                <w:color w:val="000000"/>
                <w:sz w:val="18"/>
                <w:szCs w:val="18"/>
                <w:u w:val="none"/>
                <w:lang w:val="en-US" w:eastAsia="zh-CN"/>
              </w:rPr>
              <w:t>份数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D3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A8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AB2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份</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2B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A62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360" w:firstLineChars="200"/>
              <w:contextualSpacing/>
              <w:jc w:val="center"/>
              <w:textAlignment w:val="auto"/>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400</w:t>
            </w:r>
          </w:p>
        </w:tc>
      </w:tr>
      <w:tr w14:paraId="3FB2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8B1EA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BEB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F8D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0DA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A73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C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DE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0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E5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94C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9C22CA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92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233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52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征订年限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BEB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46B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2023-2024</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0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F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F5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4827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807DA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3A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0B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D60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1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24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94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AF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261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1563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1B5992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A8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08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B59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8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DD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3F7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4D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367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8B4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08654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867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9BFB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社会效益</w:t>
            </w:r>
          </w:p>
          <w:p w14:paraId="76E2A14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9457">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企业把握四川经济走向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43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E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得到一定帮助</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483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960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C7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5C85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E716BA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6B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B1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0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4ED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A2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78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3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76D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7183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2CF08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4A5865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013D87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7F1E0B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49C437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E5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企业满意率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8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22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A44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D34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23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5562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BC98A3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7FC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FF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005E1B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738DC06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征订费用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24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16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14.4</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8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6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E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14.4</w:t>
            </w:r>
          </w:p>
        </w:tc>
      </w:tr>
      <w:tr w14:paraId="616E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996C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060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3D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12" w:type="dxa"/>
            <w:tcBorders>
              <w:top w:val="single" w:color="000000" w:sz="4" w:space="0"/>
              <w:bottom w:val="single" w:color="000000" w:sz="4" w:space="0"/>
              <w:right w:val="single" w:color="000000" w:sz="4" w:space="0"/>
            </w:tcBorders>
            <w:shd w:val="clear" w:color="auto" w:fill="auto"/>
            <w:vAlign w:val="center"/>
          </w:tcPr>
          <w:p w14:paraId="11A97F6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3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315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1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B1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BDC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1E32CA8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3E1BFB1E">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eastAsia="宋体" w:cs="Times New Roman"/>
          <w:color w:val="auto"/>
          <w:kern w:val="2"/>
          <w:sz w:val="32"/>
          <w:szCs w:val="32"/>
          <w:highlight w:val="none"/>
          <w:lang w:val="zh-CN" w:eastAsia="zh-CN" w:bidi="ar-SA"/>
        </w:rPr>
      </w:pPr>
      <w:r>
        <w:rPr>
          <w:rFonts w:hint="eastAsia" w:ascii="Times New Roman" w:hAnsi="Times New Roman" w:eastAsia="仿宋" w:cs="Times New Roman"/>
          <w:color w:val="auto"/>
          <w:kern w:val="2"/>
          <w:sz w:val="32"/>
          <w:szCs w:val="32"/>
          <w:lang w:val="en-US" w:eastAsia="zh-CN" w:bidi="ar-SA"/>
        </w:rPr>
        <w:t>（新型工业化政策相关资金）</w:t>
      </w:r>
    </w:p>
    <w:p w14:paraId="2DEC8E4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5A6A1CDF">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 w:cs="Times New Roman"/>
          <w:color w:val="auto"/>
          <w:sz w:val="32"/>
          <w:szCs w:val="32"/>
          <w:lang w:val="en-US" w:eastAsia="zh-CN"/>
        </w:rPr>
      </w:pPr>
      <w:r>
        <w:rPr>
          <w:rFonts w:hint="eastAsia" w:ascii="楷体_GB2312" w:hAnsi="宋体" w:eastAsia="楷体_GB2312" w:cs="Times New Roman"/>
          <w:b w:val="0"/>
          <w:bCs/>
          <w:color w:val="auto"/>
          <w:sz w:val="32"/>
          <w:szCs w:val="32"/>
          <w:highlight w:val="none"/>
          <w:u w:val="none"/>
          <w:lang w:val="zh-CN"/>
        </w:rPr>
        <w:t>（一）设立背景及基本情况。</w:t>
      </w:r>
      <w:r>
        <w:rPr>
          <w:rFonts w:hint="eastAsia" w:ascii="Times New Roman" w:hAnsi="Times New Roman" w:eastAsia="仿宋_GB2312" w:cs="Times New Roman"/>
          <w:color w:val="auto"/>
          <w:kern w:val="2"/>
          <w:sz w:val="32"/>
          <w:szCs w:val="32"/>
          <w:lang w:val="en-US" w:eastAsia="zh-CN" w:bidi="ar-SA"/>
        </w:rPr>
        <w:t>符合《遂宁市人民政府关于印发〈遂宁市推进新型工业化促进制造业高质量发展的若干政策〉的通知》（遂府规〔2023〕3号）、《遂宁市人民政府关于印发〈遂宁市支持绿色低碳优势产业高质量发展若干政策〉的通知》（遂府发〔2022〕1号，第4项—5项、第8项—12项）、《遂宁市人民政府办公室关于印发〈遂宁市支持数字经济产业发展六条措施〉的通知》（遂府办规〔2022〕6号，第1项—2项）、《遂宁市人民政府关于印发〈遂宁市促进民营经济高质量发展十条措施〉的通知》（遂府规〔2023〕4号）等文件奖补条件，由市级财政奖补的企业和园区。单项奖补标准可根据申报情况，报市政府决定调整。申报重大产业项目建设奖补政策，要符合我市“3+3+3”产业相关规划和《遂宁市“产业园区全面升级”对标竞进行动实施方案》（遂委办发〔2022〕2号）中的产业园区产业优化布局（主导产业目录）我区</w:t>
      </w:r>
      <w:r>
        <w:rPr>
          <w:rFonts w:hint="eastAsia" w:ascii="Times New Roman" w:hAnsi="Times New Roman" w:eastAsia="仿宋" w:cs="Times New Roman"/>
          <w:color w:val="auto"/>
          <w:sz w:val="32"/>
          <w:szCs w:val="32"/>
          <w:lang w:val="en-US" w:eastAsia="zh-CN"/>
        </w:rPr>
        <w:t>组织安居经济开发区管理委员会、四川江淮、四川力扬等13家符合条件的园区和企业，涉及6个方面进行申报2023年度市级新型工业化奖补资金共计244.8万元。</w:t>
      </w:r>
    </w:p>
    <w:p w14:paraId="569A459D">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楷体_GB2312" w:hAnsi="宋体" w:eastAsia="楷体_GB2312" w:cs="Times New Roman"/>
          <w:b w:val="0"/>
          <w:bCs/>
          <w:color w:val="auto"/>
          <w:sz w:val="32"/>
          <w:szCs w:val="32"/>
          <w:highlight w:val="none"/>
          <w:u w:val="none"/>
          <w:lang w:val="en-US" w:eastAsia="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lang w:val="en-US" w:eastAsia="zh-CN" w:bidi="ar-SA"/>
        </w:rPr>
        <w:t>遂宁市经济和信息化局关于印发《遂宁市工业发展项目资金管理办法(试行)》的通知（遂经信〔2022〕17号），市经信局和市财政局联合发布申报通知后，由企业自主进行申报，项目资金主要目的是提振企业发展信心、推进新型工业化、促进工业经济高质量发展的重要措施</w:t>
      </w:r>
      <w:r>
        <w:rPr>
          <w:rFonts w:hint="eastAsia" w:ascii="Times New Roman" w:hAnsi="Times New Roman" w:eastAsia="仿宋_GB2312" w:cs="Times New Roman"/>
          <w:color w:val="auto"/>
          <w:kern w:val="2"/>
          <w:sz w:val="32"/>
          <w:szCs w:val="32"/>
          <w:lang w:val="zh-CN" w:eastAsia="zh-CN" w:bidi="ar-SA"/>
        </w:rPr>
        <w:t>，</w:t>
      </w:r>
      <w:r>
        <w:rPr>
          <w:rFonts w:hint="eastAsia" w:ascii="Times New Roman" w:hAnsi="Times New Roman" w:eastAsia="仿宋_GB2312" w:cs="Times New Roman"/>
          <w:color w:val="auto"/>
          <w:kern w:val="2"/>
          <w:sz w:val="32"/>
          <w:szCs w:val="32"/>
          <w:lang w:val="en-US" w:eastAsia="zh-CN" w:bidi="ar-SA"/>
        </w:rPr>
        <w:t>奖励资金主要用于支持做强特色产业集群、加快数字化转型步伐等15个方面。</w:t>
      </w:r>
    </w:p>
    <w:p w14:paraId="4B21C5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en-US"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Times New Roman" w:hAnsi="Times New Roman" w:eastAsia="仿宋_GB2312" w:cs="Times New Roman"/>
          <w:color w:val="auto"/>
          <w:kern w:val="2"/>
          <w:sz w:val="32"/>
          <w:szCs w:val="32"/>
          <w:lang w:val="en-US" w:eastAsia="zh-CN" w:bidi="ar-SA"/>
        </w:rPr>
        <w:t>奖励资金预算根据企业申报情况，组织开展了财政能力承受评估，经评估，市政府能够保障奖励资金拨付。奖励资金分配是按照《若干政策》要求，共计涉及13家园区和企业，涉及资金244.8万元。</w:t>
      </w:r>
    </w:p>
    <w:p w14:paraId="78B15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（四）项目绩效目标设置。</w:t>
      </w:r>
      <w:r>
        <w:rPr>
          <w:rFonts w:hint="eastAsia" w:ascii="Times New Roman" w:hAnsi="Times New Roman" w:eastAsia="仿宋_GB2312" w:cs="Times New Roman"/>
          <w:color w:val="auto"/>
          <w:kern w:val="2"/>
          <w:sz w:val="32"/>
          <w:szCs w:val="32"/>
          <w:lang w:val="en-US" w:eastAsia="zh-CN" w:bidi="ar-SA"/>
        </w:rPr>
        <w:t>项目整体目标是为了推动是提振企业发展信心、推进新型工业化、项目落地，实现产业智能化、高端化、绿色化发展，推动产业升级、效率提升促进工业经济高质量发展的重要措施优质。</w:t>
      </w:r>
    </w:p>
    <w:p w14:paraId="1B31F05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24BBD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（一）评价目的。</w:t>
      </w:r>
      <w:r>
        <w:rPr>
          <w:rFonts w:hint="eastAsia" w:ascii="Times New Roman" w:hAnsi="Times New Roman" w:eastAsia="仿宋_GB2312" w:cs="Times New Roman"/>
          <w:color w:val="auto"/>
          <w:kern w:val="2"/>
          <w:sz w:val="32"/>
          <w:szCs w:val="32"/>
          <w:lang w:val="en-US" w:eastAsia="zh-CN" w:bidi="ar-SA"/>
        </w:rPr>
        <w:t>充分发挥政策资金的激励导向作用，推进新型工业化转型升级和高质量发展。</w:t>
      </w:r>
    </w:p>
    <w:p w14:paraId="37F37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（二）预设问题及评价重点。</w:t>
      </w:r>
      <w:r>
        <w:rPr>
          <w:rFonts w:hint="eastAsia" w:ascii="Times New Roman" w:hAnsi="Times New Roman" w:eastAsia="仿宋_GB2312" w:cs="Times New Roman"/>
          <w:color w:val="auto"/>
          <w:kern w:val="2"/>
          <w:sz w:val="32"/>
          <w:szCs w:val="32"/>
          <w:lang w:val="zh-CN" w:eastAsia="zh-CN" w:bidi="ar-SA"/>
        </w:rPr>
        <w:t>按照绩效评价指标体系，对资金支出使用全过程及实施效果进行综合评价和判断。重点关注资金分配是否符合相关规</w:t>
      </w:r>
      <w:r>
        <w:rPr>
          <w:rFonts w:hint="eastAsia" w:ascii="Times New Roman" w:hAnsi="Times New Roman" w:eastAsia="仿宋_GB2312" w:cs="Times New Roman"/>
          <w:color w:val="auto"/>
          <w:kern w:val="2"/>
          <w:sz w:val="32"/>
          <w:szCs w:val="32"/>
          <w:lang w:val="en-US" w:eastAsia="zh-CN" w:bidi="ar-SA"/>
        </w:rPr>
        <w:t>定。</w:t>
      </w:r>
    </w:p>
    <w:p w14:paraId="4F69407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auto"/>
          <w:kern w:val="2"/>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rPr>
        <w:t>（三）评价选点。</w:t>
      </w:r>
      <w:r>
        <w:rPr>
          <w:rFonts w:hint="eastAsia" w:ascii="Times New Roman" w:hAnsi="Times New Roman" w:eastAsia="仿宋_GB2312" w:cs="Times New Roman"/>
          <w:color w:val="auto"/>
          <w:kern w:val="2"/>
          <w:sz w:val="32"/>
          <w:szCs w:val="32"/>
          <w:lang w:val="zh-CN" w:eastAsia="zh-CN" w:bidi="ar-SA"/>
        </w:rPr>
        <w:t>本次点位评价综合考虑资金量、覆盖情况以及可能存在的问题等因素，结合关于项目选点相关要求，</w:t>
      </w:r>
      <w:r>
        <w:rPr>
          <w:rFonts w:hint="eastAsia" w:ascii="Times New Roman" w:hAnsi="Times New Roman" w:eastAsia="仿宋_GB2312" w:cs="Times New Roman"/>
          <w:color w:val="auto"/>
          <w:kern w:val="2"/>
          <w:sz w:val="32"/>
          <w:szCs w:val="32"/>
          <w:lang w:val="en-US" w:eastAsia="zh-CN" w:bidi="ar-SA"/>
        </w:rPr>
        <w:t>我局共计选择了四川江淮、四川力扬、四川裕能等8个点位。</w:t>
      </w:r>
    </w:p>
    <w:p w14:paraId="1FCBE27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（四）评价方法。</w:t>
      </w:r>
      <w:r>
        <w:rPr>
          <w:rFonts w:hint="eastAsia" w:ascii="Times New Roman" w:hAnsi="Times New Roman" w:eastAsia="仿宋_GB2312" w:cs="Times New Roman"/>
          <w:color w:val="auto"/>
          <w:kern w:val="2"/>
          <w:sz w:val="32"/>
          <w:szCs w:val="32"/>
          <w:lang w:val="en-US" w:eastAsia="zh-CN" w:bidi="ar-SA"/>
        </w:rPr>
        <w:t>采用</w:t>
      </w:r>
      <w:r>
        <w:rPr>
          <w:rFonts w:hint="default" w:ascii="Times New Roman" w:hAnsi="Times New Roman" w:eastAsia="仿宋_GB2312" w:cs="Times New Roman"/>
          <w:color w:val="auto"/>
          <w:kern w:val="2"/>
          <w:sz w:val="32"/>
          <w:szCs w:val="32"/>
          <w:lang w:val="en-US" w:eastAsia="zh-CN" w:bidi="ar-SA"/>
        </w:rPr>
        <w:t>单位自评法</w:t>
      </w:r>
      <w:r>
        <w:rPr>
          <w:rFonts w:hint="eastAsia" w:ascii="Times New Roman" w:hAnsi="Times New Roman" w:eastAsia="仿宋_GB2312" w:cs="Times New Roman"/>
          <w:color w:val="auto"/>
          <w:kern w:val="2"/>
          <w:sz w:val="32"/>
          <w:szCs w:val="32"/>
          <w:lang w:val="en-US" w:eastAsia="zh-CN" w:bidi="ar-SA"/>
        </w:rPr>
        <w:t>。</w:t>
      </w:r>
    </w:p>
    <w:p w14:paraId="23095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Times New Roman" w:hAnsi="Times New Roman" w:eastAsia="仿宋_GB2312" w:cs="Times New Roman"/>
          <w:color w:val="auto"/>
          <w:kern w:val="2"/>
          <w:sz w:val="32"/>
          <w:szCs w:val="32"/>
          <w:lang w:val="en-US" w:eastAsia="zh-CN" w:bidi="ar-SA"/>
        </w:rPr>
      </w:pPr>
      <w:r>
        <w:rPr>
          <w:rFonts w:hint="eastAsia" w:ascii="楷体_GB2312" w:hAnsi="宋体" w:eastAsia="楷体_GB2312" w:cs="Times New Roman"/>
          <w:b w:val="0"/>
          <w:bCs/>
          <w:color w:val="auto"/>
          <w:kern w:val="2"/>
          <w:sz w:val="32"/>
          <w:szCs w:val="32"/>
          <w:highlight w:val="none"/>
          <w:u w:val="none"/>
          <w:lang w:val="zh-CN" w:eastAsia="zh-CN" w:bidi="ar-SA"/>
        </w:rPr>
        <w:t>（五）评价组织。</w:t>
      </w:r>
      <w:r>
        <w:rPr>
          <w:rFonts w:hint="eastAsia" w:ascii="Times New Roman" w:hAnsi="Times New Roman" w:eastAsia="仿宋_GB2312" w:cs="Times New Roman"/>
          <w:color w:val="auto"/>
          <w:kern w:val="2"/>
          <w:sz w:val="32"/>
          <w:szCs w:val="32"/>
          <w:lang w:val="en-US" w:eastAsia="zh-CN" w:bidi="ar-SA"/>
        </w:rPr>
        <w:t>我局</w:t>
      </w:r>
      <w:r>
        <w:rPr>
          <w:rFonts w:hint="default" w:ascii="Times New Roman" w:hAnsi="Times New Roman" w:eastAsia="仿宋_GB2312" w:cs="Times New Roman"/>
          <w:color w:val="auto"/>
          <w:kern w:val="2"/>
          <w:sz w:val="32"/>
          <w:szCs w:val="32"/>
          <w:lang w:val="zh-CN" w:eastAsia="zh-CN" w:bidi="ar-SA"/>
        </w:rPr>
        <w:t>绩效自评由</w:t>
      </w:r>
      <w:r>
        <w:rPr>
          <w:rFonts w:hint="eastAsia" w:ascii="Times New Roman" w:hAnsi="Times New Roman" w:eastAsia="仿宋_GB2312" w:cs="Times New Roman"/>
          <w:color w:val="auto"/>
          <w:kern w:val="2"/>
          <w:sz w:val="32"/>
          <w:szCs w:val="32"/>
          <w:lang w:val="en-US" w:eastAsia="zh-CN" w:bidi="ar-SA"/>
        </w:rPr>
        <w:t>综合股</w:t>
      </w:r>
      <w:r>
        <w:rPr>
          <w:rFonts w:hint="default" w:ascii="Times New Roman" w:hAnsi="Times New Roman" w:eastAsia="仿宋_GB2312" w:cs="Times New Roman"/>
          <w:color w:val="auto"/>
          <w:kern w:val="2"/>
          <w:sz w:val="32"/>
          <w:szCs w:val="32"/>
          <w:lang w:val="zh-CN" w:eastAsia="zh-CN" w:bidi="ar-SA"/>
        </w:rPr>
        <w:t>牵头，主要负责确定自评重点、自评选点、自评方式方法；本次绩效自评的主要工作程序包括：开展专题布置、收集整理自评资料、汇总撰写绩效自评报告等。</w:t>
      </w:r>
    </w:p>
    <w:p w14:paraId="46C9B5B8">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28DE1D14">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楷体_GB2312" w:hAnsi="宋体" w:eastAsia="楷体_GB2312" w:cs="Times New Roman"/>
          <w:b w:val="0"/>
          <w:bCs/>
          <w:color w:val="auto"/>
          <w:sz w:val="32"/>
          <w:szCs w:val="32"/>
          <w:highlight w:val="none"/>
          <w:u w:val="none"/>
          <w:lang w:val="zh-CN"/>
        </w:rPr>
        <w:t>绩效分析</w:t>
      </w:r>
    </w:p>
    <w:p w14:paraId="42969C0F">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1. 项目决策。奖励资金设立经过事前评估，符合专项资金设立的基本规范和程序要求，项目的设立与市局的职责相符，属于公共财政支持范围，项目设立程序严密。</w:t>
      </w:r>
    </w:p>
    <w:p w14:paraId="6AF96B1F">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 项目管理。按照《若干政策》要求，明确了资金使用范围、预算管理及绩效管理等要求，项目管理制度建立较完善。</w:t>
      </w:r>
    </w:p>
    <w:p w14:paraId="3EDF1A42">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 项目实施。2023年市级推进新型工业化促进制造业高质量发展奖励资金支付总体较为规范，2023年市级推进新型工业化促进制造业高质量发展奖励资金针对我区预算额度为244.8万元，累计支付244.8万元，预算执行进度为100%。</w:t>
      </w:r>
    </w:p>
    <w:p w14:paraId="7036E1BB">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 项目结果。2023年市级推进新型工业化促进制造业高质量发展奖励资金共计补助企业13家，项目均完成实施，完成计划产出数量指标100%。</w:t>
      </w:r>
    </w:p>
    <w:p w14:paraId="773FAB6E">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楷体_GB2312" w:hAnsi="宋体" w:eastAsia="楷体_GB2312" w:cs="Times New Roman"/>
          <w:b w:val="0"/>
          <w:bCs/>
          <w:color w:val="auto"/>
          <w:sz w:val="32"/>
          <w:szCs w:val="32"/>
          <w:highlight w:val="none"/>
          <w:u w:val="none"/>
          <w:lang w:val="zh-CN"/>
        </w:rPr>
        <w:t>绩效分析</w:t>
      </w:r>
    </w:p>
    <w:p w14:paraId="46640CF8">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产业发展。2023年市级推进新型工业化促进制造业高质量发展奖励资金8家企业成功申报强化绿色发展导向，1家企业完成搭建科技创新平台，3家企业加大企业培育力度，1家企业,加强质量品牌建设，2家企业提升金融服务质效，2家企业优化企业服务平台，积极推动了全市工业高质量发展2023年市级推进新型工业化促进制造业高质量发展奖励资金共涉及企业13家，企业满意度100%。项目建设均完工，奖励资金均到位。资金拨付合法合规，符合专项资金设立的基本规范和程序要求。</w:t>
      </w:r>
    </w:p>
    <w:p w14:paraId="5DFD6BB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 w:cs="Times New Roman"/>
          <w:color w:val="auto"/>
          <w:sz w:val="32"/>
          <w:szCs w:val="32"/>
          <w:lang w:val="en-US" w:eastAsia="zh-CN"/>
        </w:rPr>
      </w:pPr>
      <w:r>
        <w:rPr>
          <w:rFonts w:hint="eastAsia" w:ascii="楷体_GB2312" w:hAnsi="宋体" w:eastAsia="楷体_GB2312" w:cs="Times New Roman"/>
          <w:b w:val="0"/>
          <w:bCs/>
          <w:color w:val="auto"/>
          <w:sz w:val="32"/>
          <w:szCs w:val="32"/>
          <w:highlight w:val="none"/>
          <w:u w:val="none"/>
          <w:lang w:val="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楷体_GB2312" w:hAnsi="宋体" w:eastAsia="楷体_GB2312" w:cs="Times New Roman"/>
          <w:b w:val="0"/>
          <w:bCs/>
          <w:color w:val="auto"/>
          <w:sz w:val="32"/>
          <w:szCs w:val="32"/>
          <w:highlight w:val="none"/>
          <w:u w:val="none"/>
          <w:lang w:val="zh-CN"/>
        </w:rPr>
        <w:t>绩效分析。</w:t>
      </w:r>
      <w:r>
        <w:rPr>
          <w:rFonts w:hint="eastAsia" w:ascii="Times New Roman" w:hAnsi="Times New Roman" w:eastAsia="仿宋" w:cs="Times New Roman"/>
          <w:color w:val="auto"/>
          <w:sz w:val="32"/>
          <w:szCs w:val="32"/>
          <w:lang w:val="en-US" w:eastAsia="zh-CN"/>
        </w:rPr>
        <w:t>计划新增3家省级“专精特新”企业，完成率100%，计划完成( GB/T23001-2017）贯标评定认证4家，完成率100%。</w:t>
      </w:r>
    </w:p>
    <w:p w14:paraId="2773157B">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2CF42BA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jc w:val="both"/>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经评价，</w:t>
      </w:r>
      <w:r>
        <w:rPr>
          <w:rFonts w:hint="eastAsia" w:ascii="Times New Roman" w:hAnsi="Times New Roman" w:eastAsia="仿宋" w:cs="Times New Roman"/>
          <w:color w:val="auto"/>
          <w:sz w:val="32"/>
          <w:szCs w:val="32"/>
          <w:lang w:val="en-US" w:eastAsia="zh-CN"/>
        </w:rPr>
        <w:t>2023年市级推进新型工业化促进制造业高质量发展奖励资金</w:t>
      </w:r>
      <w:r>
        <w:rPr>
          <w:rFonts w:hint="default" w:ascii="Times New Roman" w:hAnsi="Times New Roman" w:eastAsia="仿宋" w:cs="Times New Roman"/>
          <w:color w:val="auto"/>
          <w:sz w:val="32"/>
          <w:szCs w:val="32"/>
          <w:lang w:val="en-US" w:eastAsia="zh-CN"/>
        </w:rPr>
        <w:t>绩效自评结果“</w:t>
      </w:r>
      <w:r>
        <w:rPr>
          <w:rFonts w:hint="eastAsia" w:ascii="Times New Roman" w:hAnsi="Times New Roman" w:eastAsia="仿宋" w:cs="Times New Roman"/>
          <w:color w:val="auto"/>
          <w:sz w:val="32"/>
          <w:szCs w:val="32"/>
          <w:lang w:val="en-US" w:eastAsia="zh-CN"/>
        </w:rPr>
        <w:t>优</w:t>
      </w:r>
      <w:r>
        <w:rPr>
          <w:rFonts w:hint="default" w:ascii="Times New Roman" w:hAnsi="Times New Roman" w:eastAsia="仿宋" w:cs="Times New Roman"/>
          <w:color w:val="auto"/>
          <w:sz w:val="32"/>
          <w:szCs w:val="32"/>
          <w:lang w:val="en-US" w:eastAsia="zh-CN"/>
        </w:rPr>
        <w:t>”，得分为</w:t>
      </w:r>
      <w:r>
        <w:rPr>
          <w:rFonts w:hint="eastAsia"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lang w:val="en-US" w:eastAsia="zh-CN"/>
        </w:rPr>
        <w:t>分。总体上看，</w:t>
      </w:r>
      <w:r>
        <w:rPr>
          <w:rFonts w:hint="eastAsia" w:ascii="Times New Roman" w:hAnsi="Times New Roman" w:eastAsia="仿宋" w:cs="Times New Roman"/>
          <w:color w:val="auto"/>
          <w:sz w:val="32"/>
          <w:szCs w:val="32"/>
          <w:lang w:val="en-US" w:eastAsia="zh-CN"/>
        </w:rPr>
        <w:t>奖励资金</w:t>
      </w:r>
      <w:r>
        <w:rPr>
          <w:rFonts w:hint="default" w:ascii="Times New Roman" w:hAnsi="Times New Roman" w:eastAsia="仿宋" w:cs="Times New Roman"/>
          <w:color w:val="auto"/>
          <w:sz w:val="32"/>
          <w:szCs w:val="32"/>
          <w:lang w:val="en-US" w:eastAsia="zh-CN"/>
        </w:rPr>
        <w:t>设立依据充分、规划合理、资金投向明确，项目目标清晰，实施结果与规划基本一致，受益</w:t>
      </w:r>
      <w:r>
        <w:rPr>
          <w:rFonts w:hint="eastAsia" w:ascii="Times New Roman" w:hAnsi="Times New Roman" w:eastAsia="仿宋" w:cs="Times New Roman"/>
          <w:color w:val="auto"/>
          <w:sz w:val="32"/>
          <w:szCs w:val="32"/>
          <w:lang w:val="en-US" w:eastAsia="zh-CN"/>
        </w:rPr>
        <w:t>企业</w:t>
      </w:r>
      <w:r>
        <w:rPr>
          <w:rFonts w:hint="default" w:ascii="Times New Roman" w:hAnsi="Times New Roman" w:eastAsia="仿宋" w:cs="Times New Roman"/>
          <w:color w:val="auto"/>
          <w:sz w:val="32"/>
          <w:szCs w:val="32"/>
          <w:lang w:val="en-US" w:eastAsia="zh-CN"/>
        </w:rPr>
        <w:t>满意度高。通过项目实施，有效</w:t>
      </w:r>
      <w:r>
        <w:rPr>
          <w:rFonts w:hint="eastAsia" w:ascii="Times New Roman" w:hAnsi="Times New Roman" w:eastAsia="仿宋" w:cs="Times New Roman"/>
          <w:color w:val="auto"/>
          <w:sz w:val="32"/>
          <w:szCs w:val="32"/>
          <w:lang w:val="en-US" w:eastAsia="zh-CN"/>
        </w:rPr>
        <w:t>的推动了产业发展</w:t>
      </w:r>
      <w:r>
        <w:rPr>
          <w:rFonts w:hint="default" w:ascii="Times New Roman" w:hAnsi="Times New Roman" w:eastAsia="仿宋" w:cs="Times New Roman"/>
          <w:color w:val="auto"/>
          <w:sz w:val="32"/>
          <w:szCs w:val="32"/>
          <w:lang w:val="en-US" w:eastAsia="zh-CN"/>
        </w:rPr>
        <w:t>。</w:t>
      </w:r>
    </w:p>
    <w:p w14:paraId="143E9B1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 w:cs="Times New Roman"/>
          <w:color w:val="auto"/>
          <w:kern w:val="0"/>
          <w:position w:val="3"/>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r>
        <w:rPr>
          <w:rFonts w:hint="eastAsia" w:ascii="Times New Roman" w:hAnsi="Times New Roman" w:eastAsia="仿宋" w:cs="Times New Roman"/>
          <w:color w:val="auto"/>
          <w:kern w:val="0"/>
          <w:position w:val="3"/>
          <w:sz w:val="32"/>
          <w:szCs w:val="32"/>
          <w:lang w:val="en-US" w:eastAsia="zh-CN" w:bidi="ar-SA"/>
        </w:rPr>
        <w:t>一是宣传力度不够，企业对项目绩效评价方面了解程度不够深入，开展自评工作时无系统的工作方法；二是缺乏专业人才队伍，项目绩效评价工作方面知识了解程度不深，专业性不强。</w:t>
      </w:r>
    </w:p>
    <w:p w14:paraId="099B087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 w:cs="Times New Roman"/>
          <w:color w:val="auto"/>
          <w:kern w:val="0"/>
          <w:position w:val="3"/>
          <w:sz w:val="32"/>
          <w:szCs w:val="32"/>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r>
        <w:rPr>
          <w:rFonts w:hint="eastAsia" w:ascii="Times New Roman" w:hAnsi="Times New Roman" w:eastAsia="仿宋" w:cs="Times New Roman"/>
          <w:color w:val="auto"/>
          <w:kern w:val="0"/>
          <w:position w:val="3"/>
          <w:sz w:val="32"/>
          <w:szCs w:val="32"/>
          <w:lang w:val="en-US" w:eastAsia="zh-CN" w:bidi="ar-SA"/>
        </w:rPr>
        <w:t>一是加大宣传力度，使企业充分认识到项目绩效评价工作的重要性和必要性，突显专项资金的使用效益；二是加强项目绩效工作培训，提升工作队伍的业务能力，更好地指导企业、服务企业。</w:t>
      </w:r>
    </w:p>
    <w:p w14:paraId="69F5FB64">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附表：专项资金绩效目标完成情况自评表</w:t>
      </w:r>
    </w:p>
    <w:p w14:paraId="5033916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59E23F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p w14:paraId="24D28E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bl>
      <w:tblPr>
        <w:tblStyle w:val="21"/>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52"/>
        <w:gridCol w:w="1081"/>
        <w:gridCol w:w="1250"/>
        <w:gridCol w:w="942"/>
        <w:gridCol w:w="1497"/>
        <w:gridCol w:w="971"/>
        <w:gridCol w:w="1061"/>
        <w:gridCol w:w="938"/>
        <w:gridCol w:w="1841"/>
      </w:tblGrid>
      <w:tr w14:paraId="3A67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0" w:hRule="atLeast"/>
          <w:jc w:val="center"/>
        </w:trPr>
        <w:tc>
          <w:tcPr>
            <w:tcW w:w="3925" w:type="dxa"/>
            <w:gridSpan w:val="4"/>
            <w:shd w:val="clear" w:color="auto" w:fill="FEFEFE"/>
            <w:vAlign w:val="center"/>
          </w:tcPr>
          <w:p w14:paraId="0DDDC4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308" w:type="dxa"/>
            <w:gridSpan w:val="5"/>
            <w:shd w:val="clear" w:color="auto" w:fill="F0F0F0"/>
            <w:vAlign w:val="center"/>
          </w:tcPr>
          <w:p w14:paraId="2D39E4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新型工业化政策相关资金</w:t>
            </w:r>
          </w:p>
        </w:tc>
      </w:tr>
      <w:tr w14:paraId="09C7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jc w:val="center"/>
        </w:trPr>
        <w:tc>
          <w:tcPr>
            <w:tcW w:w="3925" w:type="dxa"/>
            <w:gridSpan w:val="4"/>
            <w:shd w:val="clear" w:color="auto" w:fill="FEFEFE"/>
            <w:vAlign w:val="center"/>
          </w:tcPr>
          <w:p w14:paraId="0392C7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6308" w:type="dxa"/>
            <w:gridSpan w:val="5"/>
            <w:shd w:val="clear" w:color="auto" w:fill="F0F0F0"/>
            <w:vAlign w:val="center"/>
          </w:tcPr>
          <w:p w14:paraId="0A1DCE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区经信科技局</w:t>
            </w:r>
          </w:p>
        </w:tc>
      </w:tr>
      <w:tr w14:paraId="4180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3925" w:type="dxa"/>
            <w:gridSpan w:val="4"/>
            <w:shd w:val="clear" w:color="auto" w:fill="FEFEFE"/>
            <w:vAlign w:val="center"/>
          </w:tcPr>
          <w:p w14:paraId="588CC8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6308" w:type="dxa"/>
            <w:gridSpan w:val="5"/>
            <w:shd w:val="clear" w:color="auto" w:fill="F0F0F0"/>
            <w:vAlign w:val="center"/>
          </w:tcPr>
          <w:p w14:paraId="58F317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产业发展类</w:t>
            </w:r>
          </w:p>
        </w:tc>
      </w:tr>
      <w:tr w14:paraId="1F11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0" w:hRule="atLeast"/>
          <w:jc w:val="center"/>
        </w:trPr>
        <w:tc>
          <w:tcPr>
            <w:tcW w:w="652" w:type="dxa"/>
            <w:vMerge w:val="restart"/>
            <w:shd w:val="clear" w:color="auto" w:fill="FEFEFE"/>
            <w:vAlign w:val="center"/>
          </w:tcPr>
          <w:p w14:paraId="52C38F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273" w:type="dxa"/>
            <w:gridSpan w:val="3"/>
            <w:shd w:val="clear" w:color="auto" w:fill="F0F0F0"/>
            <w:vAlign w:val="center"/>
          </w:tcPr>
          <w:p w14:paraId="06A2CF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2E501D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6308" w:type="dxa"/>
            <w:gridSpan w:val="5"/>
            <w:shd w:val="clear" w:color="auto" w:fill="FEFEFE"/>
            <w:vAlign w:val="center"/>
          </w:tcPr>
          <w:p w14:paraId="01DFB6A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遂府规〔2023〕3号</w:t>
            </w:r>
          </w:p>
        </w:tc>
      </w:tr>
      <w:tr w14:paraId="142A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652" w:type="dxa"/>
            <w:vMerge w:val="continue"/>
            <w:shd w:val="clear" w:color="auto" w:fill="FEFEFE"/>
            <w:vAlign w:val="center"/>
          </w:tcPr>
          <w:p w14:paraId="28313CB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7B60C5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6308" w:type="dxa"/>
            <w:gridSpan w:val="5"/>
            <w:shd w:val="clear" w:color="auto" w:fill="FEFEFE"/>
            <w:vAlign w:val="center"/>
          </w:tcPr>
          <w:p w14:paraId="59B8754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遂经信〔2022〕17号</w:t>
            </w:r>
          </w:p>
        </w:tc>
      </w:tr>
      <w:tr w14:paraId="75A2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2F27011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307054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497" w:type="dxa"/>
            <w:shd w:val="clear" w:color="auto" w:fill="FEFEFE"/>
            <w:vAlign w:val="center"/>
          </w:tcPr>
          <w:p w14:paraId="6F7BFF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shd w:val="clear" w:color="auto" w:fill="F0F0F0"/>
            <w:vAlign w:val="center"/>
          </w:tcPr>
          <w:p w14:paraId="0B25D3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shd w:val="clear" w:color="auto" w:fill="FEFEFE"/>
            <w:vAlign w:val="center"/>
          </w:tcPr>
          <w:p w14:paraId="5BDD39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841" w:type="dxa"/>
            <w:shd w:val="clear" w:color="auto" w:fill="F0F0F0"/>
            <w:vAlign w:val="center"/>
          </w:tcPr>
          <w:p w14:paraId="36EF52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因素法与项目法相结合</w:t>
            </w:r>
          </w:p>
        </w:tc>
      </w:tr>
      <w:tr w14:paraId="28C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652" w:type="dxa"/>
            <w:vMerge w:val="continue"/>
            <w:shd w:val="clear" w:color="auto" w:fill="FEFEFE"/>
            <w:vAlign w:val="center"/>
          </w:tcPr>
          <w:p w14:paraId="43C7806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2AB0C8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6308" w:type="dxa"/>
            <w:gridSpan w:val="5"/>
            <w:shd w:val="clear" w:color="auto" w:fill="FEFEFE"/>
            <w:vAlign w:val="center"/>
          </w:tcPr>
          <w:p w14:paraId="37F5F5D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遂宁市人民政府关于印发〈遂宁市推进新型工业化促进制造业高质量发展的若干政策〉的通知》（遂府规〔2023〕3号）、《遂宁市人民政府关于印发〈遂宁市支持绿色低碳优势产业高质量发展若干政策〉的通知》（遂府发〔2022〕1号，第4项—5项、第8项—12项）、《遂宁市人民政府办公室关于印发〈遂宁市支持数字经济产业发展六条措施〉的通知》（遂府办规〔2022〕6号，第1项—2项）、《遂宁市人民政府关于印发〈遂宁市促进民营经济高质量发展十条措施〉的通知》（遂府规〔2023〕4号）等文件奖补条件，由市级财政奖补的企业和园区。</w:t>
            </w:r>
          </w:p>
        </w:tc>
      </w:tr>
      <w:tr w14:paraId="2C6A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jc w:val="center"/>
        </w:trPr>
        <w:tc>
          <w:tcPr>
            <w:tcW w:w="652" w:type="dxa"/>
            <w:vMerge w:val="continue"/>
            <w:shd w:val="clear" w:color="auto" w:fill="FEFEFE"/>
            <w:vAlign w:val="center"/>
          </w:tcPr>
          <w:p w14:paraId="1DC288B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51A3F7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6308" w:type="dxa"/>
            <w:gridSpan w:val="5"/>
            <w:shd w:val="clear" w:color="auto" w:fill="FEFEFE"/>
            <w:vAlign w:val="center"/>
          </w:tcPr>
          <w:p w14:paraId="36EC552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仿宋_GB2312" w:cs="Times New Roman"/>
                <w:color w:val="000000"/>
                <w:sz w:val="18"/>
                <w:szCs w:val="18"/>
                <w:lang w:val="en-US" w:eastAsia="zh-CN"/>
              </w:rPr>
            </w:pPr>
            <w:r>
              <w:rPr>
                <w:rFonts w:hint="eastAsia" w:ascii="宋体" w:hAnsi="宋体" w:eastAsia="宋体" w:cs="宋体"/>
                <w:i w:val="0"/>
                <w:color w:val="000000"/>
                <w:sz w:val="18"/>
                <w:szCs w:val="18"/>
                <w:u w:val="none"/>
                <w:lang w:val="en-US" w:eastAsia="zh-CN"/>
              </w:rPr>
              <w:t>全市工业企业</w:t>
            </w:r>
          </w:p>
        </w:tc>
      </w:tr>
      <w:tr w14:paraId="451F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652" w:type="dxa"/>
            <w:vMerge w:val="continue"/>
            <w:shd w:val="clear" w:color="auto" w:fill="FEFEFE"/>
            <w:vAlign w:val="center"/>
          </w:tcPr>
          <w:p w14:paraId="773CEE0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11FBBC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6308" w:type="dxa"/>
            <w:gridSpan w:val="5"/>
            <w:shd w:val="clear" w:color="auto" w:fill="FEFEFE"/>
            <w:vAlign w:val="center"/>
          </w:tcPr>
          <w:p w14:paraId="7CE50EF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仿宋_GB2312" w:cs="Times New Roman"/>
                <w:color w:val="000000"/>
                <w:sz w:val="18"/>
                <w:szCs w:val="18"/>
                <w:lang w:val="en-US" w:eastAsia="zh-CN"/>
              </w:rPr>
            </w:pPr>
            <w:r>
              <w:rPr>
                <w:rFonts w:hint="eastAsia" w:ascii="宋体" w:hAnsi="宋体" w:eastAsia="宋体" w:cs="宋体"/>
                <w:i w:val="0"/>
                <w:color w:val="000000"/>
                <w:sz w:val="18"/>
                <w:szCs w:val="18"/>
                <w:u w:val="none"/>
                <w:lang w:val="en-US" w:eastAsia="zh-CN"/>
              </w:rPr>
              <w:t>符合遂宁市人民政府关于印发〈遂宁市推进新型工业化促进制造业高质量发展的若干政策〉的通知》（遂府规〔2023〕3号）、《遂宁市人民政府关于印发〈遂宁市支持绿色低碳优势产业高质量发展若干政策〉的通知》（遂府发〔2022〕1号，第4项—5项、第8项—12项）、《遂宁市人民政府办公室关于印发〈遂宁市支持数字经济产业发展六条措施〉的通知》（遂府办规〔2022〕6号，第1项—2项）、《遂宁市人民政府关于印发〈遂宁市促进民营经济高质量发展十条措施〉的通知》（遂府规〔2023〕4号）等文件奖补条件。</w:t>
            </w:r>
          </w:p>
        </w:tc>
      </w:tr>
      <w:tr w14:paraId="1889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jc w:val="center"/>
        </w:trPr>
        <w:tc>
          <w:tcPr>
            <w:tcW w:w="652" w:type="dxa"/>
            <w:vMerge w:val="continue"/>
            <w:shd w:val="clear" w:color="auto" w:fill="FEFEFE"/>
            <w:vAlign w:val="center"/>
          </w:tcPr>
          <w:p w14:paraId="42E6475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273" w:type="dxa"/>
            <w:gridSpan w:val="3"/>
            <w:shd w:val="clear" w:color="auto" w:fill="F0F0F0"/>
            <w:vAlign w:val="center"/>
          </w:tcPr>
          <w:p w14:paraId="01C844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6308" w:type="dxa"/>
            <w:gridSpan w:val="5"/>
            <w:shd w:val="clear" w:color="auto" w:fill="FEFEFE"/>
            <w:vAlign w:val="center"/>
          </w:tcPr>
          <w:p w14:paraId="5CE86D5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2023年1月-2023年12月</w:t>
            </w:r>
          </w:p>
        </w:tc>
      </w:tr>
      <w:tr w14:paraId="7520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restart"/>
            <w:shd w:val="clear" w:color="auto" w:fill="FEFEFE"/>
            <w:vAlign w:val="center"/>
          </w:tcPr>
          <w:p w14:paraId="5C64D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00B9F5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192" w:type="dxa"/>
            <w:gridSpan w:val="2"/>
            <w:shd w:val="clear" w:color="auto" w:fill="F0F0F0"/>
            <w:vAlign w:val="center"/>
          </w:tcPr>
          <w:p w14:paraId="7884E0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6308" w:type="dxa"/>
            <w:gridSpan w:val="5"/>
            <w:shd w:val="clear" w:color="auto" w:fill="FEFEFE"/>
            <w:vAlign w:val="center"/>
          </w:tcPr>
          <w:p w14:paraId="691F9C9A">
            <w:pPr>
              <w:keepNext w:val="0"/>
              <w:keepLines w:val="0"/>
              <w:pageBreakBefore w:val="0"/>
              <w:tabs>
                <w:tab w:val="left" w:pos="350"/>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244.8万元</w:t>
            </w:r>
          </w:p>
        </w:tc>
      </w:tr>
      <w:tr w14:paraId="1F3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FEFEFE"/>
            <w:vAlign w:val="center"/>
          </w:tcPr>
          <w:p w14:paraId="0025E5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2" w:type="dxa"/>
            <w:gridSpan w:val="2"/>
            <w:shd w:val="clear" w:color="auto" w:fill="F0F0F0"/>
            <w:vAlign w:val="center"/>
          </w:tcPr>
          <w:p w14:paraId="421641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6308" w:type="dxa"/>
            <w:gridSpan w:val="5"/>
            <w:shd w:val="clear" w:color="auto" w:fill="FEFEFE"/>
            <w:vAlign w:val="center"/>
          </w:tcPr>
          <w:p w14:paraId="4B9AAA3D">
            <w:pPr>
              <w:keepNext w:val="0"/>
              <w:keepLines w:val="0"/>
              <w:pageBreakBefore w:val="0"/>
              <w:tabs>
                <w:tab w:val="left" w:pos="590"/>
              </w:tabs>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244.8万元</w:t>
            </w:r>
          </w:p>
        </w:tc>
      </w:tr>
      <w:tr w14:paraId="7058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FEFEFE"/>
            <w:vAlign w:val="center"/>
          </w:tcPr>
          <w:p w14:paraId="219BC48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192" w:type="dxa"/>
            <w:gridSpan w:val="2"/>
            <w:shd w:val="clear" w:color="auto" w:fill="F0F0F0"/>
            <w:vAlign w:val="center"/>
          </w:tcPr>
          <w:p w14:paraId="3A69B8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6308" w:type="dxa"/>
            <w:gridSpan w:val="5"/>
            <w:shd w:val="clear" w:color="auto" w:fill="FEFEFE"/>
            <w:vAlign w:val="center"/>
          </w:tcPr>
          <w:p w14:paraId="3381A38B">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18C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FEFEFE"/>
            <w:vAlign w:val="center"/>
          </w:tcPr>
          <w:p w14:paraId="21BF2A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shd w:val="clear" w:color="auto" w:fill="F0F0F0"/>
            <w:vAlign w:val="center"/>
          </w:tcPr>
          <w:p w14:paraId="78F8EB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644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 w:hRule="atLeast"/>
          <w:jc w:val="center"/>
        </w:trPr>
        <w:tc>
          <w:tcPr>
            <w:tcW w:w="652" w:type="dxa"/>
            <w:vMerge w:val="continue"/>
            <w:shd w:val="clear" w:color="auto" w:fill="FEFEFE"/>
            <w:vAlign w:val="center"/>
          </w:tcPr>
          <w:p w14:paraId="12B6F6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shd w:val="clear" w:color="auto" w:fill="F0F0F0"/>
            <w:vAlign w:val="center"/>
          </w:tcPr>
          <w:p w14:paraId="5C60664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推进新型工业化促进制造业高质量发展</w:t>
            </w:r>
          </w:p>
        </w:tc>
      </w:tr>
      <w:tr w14:paraId="2740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FEFEFE"/>
            <w:vAlign w:val="center"/>
          </w:tcPr>
          <w:p w14:paraId="773384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shd w:val="clear" w:color="auto" w:fill="F0F0F0"/>
            <w:vAlign w:val="center"/>
          </w:tcPr>
          <w:p w14:paraId="22D34D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shd w:val="clear" w:color="auto" w:fill="FEFEFE"/>
            <w:vAlign w:val="center"/>
          </w:tcPr>
          <w:p w14:paraId="44291F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42" w:type="dxa"/>
            <w:shd w:val="clear" w:color="auto" w:fill="F0F0F0"/>
            <w:vAlign w:val="center"/>
          </w:tcPr>
          <w:p w14:paraId="025ED7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497" w:type="dxa"/>
            <w:shd w:val="clear" w:color="auto" w:fill="FEFEFE"/>
            <w:vAlign w:val="center"/>
          </w:tcPr>
          <w:p w14:paraId="6F6570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shd w:val="clear" w:color="auto" w:fill="F0F0F0"/>
            <w:vAlign w:val="center"/>
          </w:tcPr>
          <w:p w14:paraId="53FBE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shd w:val="clear" w:color="auto" w:fill="FEFEFE"/>
            <w:vAlign w:val="center"/>
          </w:tcPr>
          <w:p w14:paraId="5EFA6D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shd w:val="clear" w:color="auto" w:fill="F0F0F0"/>
            <w:vAlign w:val="center"/>
          </w:tcPr>
          <w:p w14:paraId="31F46B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shd w:val="clear" w:color="auto" w:fill="FEFEFE"/>
            <w:vAlign w:val="center"/>
          </w:tcPr>
          <w:p w14:paraId="21BCEA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539B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517030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shd w:val="clear" w:color="auto" w:fill="F0F0F0"/>
            <w:vAlign w:val="center"/>
          </w:tcPr>
          <w:p w14:paraId="7B108D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shd w:val="clear" w:color="auto" w:fill="FEFEFE"/>
            <w:vAlign w:val="center"/>
          </w:tcPr>
          <w:p w14:paraId="53A042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42" w:type="dxa"/>
            <w:shd w:val="clear" w:color="auto" w:fill="F0F0F0"/>
            <w:vAlign w:val="center"/>
          </w:tcPr>
          <w:p w14:paraId="561240E8">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补助企业数量</w:t>
            </w:r>
          </w:p>
        </w:tc>
        <w:tc>
          <w:tcPr>
            <w:tcW w:w="1497" w:type="dxa"/>
            <w:shd w:val="clear" w:color="auto" w:fill="FEFEFE"/>
            <w:vAlign w:val="center"/>
          </w:tcPr>
          <w:p w14:paraId="43FA416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971" w:type="dxa"/>
            <w:shd w:val="clear" w:color="auto" w:fill="F0F0F0"/>
            <w:vAlign w:val="center"/>
          </w:tcPr>
          <w:p w14:paraId="5C009C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61" w:type="dxa"/>
            <w:shd w:val="clear" w:color="auto" w:fill="FEFEFE"/>
            <w:vAlign w:val="center"/>
          </w:tcPr>
          <w:p w14:paraId="4970F97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家</w:t>
            </w:r>
          </w:p>
        </w:tc>
        <w:tc>
          <w:tcPr>
            <w:tcW w:w="938" w:type="dxa"/>
            <w:shd w:val="clear" w:color="auto" w:fill="F0F0F0"/>
            <w:vAlign w:val="center"/>
          </w:tcPr>
          <w:p w14:paraId="3223E1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shd w:val="clear" w:color="auto" w:fill="FEFEFE"/>
            <w:vAlign w:val="center"/>
          </w:tcPr>
          <w:p w14:paraId="40DFCE3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r>
      <w:tr w14:paraId="7859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47E6FBA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02D328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shd w:val="clear" w:color="auto" w:fill="FEFEFE"/>
            <w:vAlign w:val="center"/>
          </w:tcPr>
          <w:p w14:paraId="7CF9D62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42" w:type="dxa"/>
            <w:shd w:val="clear" w:color="auto" w:fill="F0F0F0"/>
            <w:vAlign w:val="center"/>
          </w:tcPr>
          <w:p w14:paraId="09C33FF7">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奖补资金</w:t>
            </w:r>
          </w:p>
        </w:tc>
        <w:tc>
          <w:tcPr>
            <w:tcW w:w="1497" w:type="dxa"/>
            <w:shd w:val="clear" w:color="auto" w:fill="FEFEFE"/>
            <w:vAlign w:val="center"/>
          </w:tcPr>
          <w:p w14:paraId="544735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971" w:type="dxa"/>
            <w:shd w:val="clear" w:color="auto" w:fill="F0F0F0"/>
            <w:vAlign w:val="center"/>
          </w:tcPr>
          <w:p w14:paraId="7750957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200</w:t>
            </w:r>
          </w:p>
        </w:tc>
        <w:tc>
          <w:tcPr>
            <w:tcW w:w="1061" w:type="dxa"/>
            <w:shd w:val="clear" w:color="auto" w:fill="FEFEFE"/>
            <w:vAlign w:val="center"/>
          </w:tcPr>
          <w:p w14:paraId="3FECD0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shd w:val="clear" w:color="auto" w:fill="F0F0F0"/>
            <w:vAlign w:val="center"/>
          </w:tcPr>
          <w:p w14:paraId="773CC7B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shd w:val="clear" w:color="auto" w:fill="FEFEFE"/>
            <w:vAlign w:val="center"/>
          </w:tcPr>
          <w:p w14:paraId="54CD578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244.8</w:t>
            </w:r>
          </w:p>
        </w:tc>
      </w:tr>
      <w:tr w14:paraId="0AAA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690306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2AF55A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shd w:val="clear" w:color="auto" w:fill="FEFEFE"/>
            <w:vAlign w:val="center"/>
          </w:tcPr>
          <w:p w14:paraId="1E2FDA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42" w:type="dxa"/>
            <w:shd w:val="clear" w:color="auto" w:fill="F0F0F0"/>
            <w:vAlign w:val="center"/>
          </w:tcPr>
          <w:p w14:paraId="37603D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新增3家省级“专精特新”企业</w:t>
            </w:r>
          </w:p>
        </w:tc>
        <w:tc>
          <w:tcPr>
            <w:tcW w:w="1497" w:type="dxa"/>
            <w:shd w:val="clear" w:color="auto" w:fill="FEFEFE"/>
            <w:vAlign w:val="center"/>
          </w:tcPr>
          <w:p w14:paraId="29C406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971" w:type="dxa"/>
            <w:shd w:val="clear" w:color="auto" w:fill="F0F0F0"/>
            <w:vAlign w:val="center"/>
          </w:tcPr>
          <w:p w14:paraId="5CF6D54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061" w:type="dxa"/>
            <w:shd w:val="clear" w:color="auto" w:fill="FEFEFE"/>
            <w:vAlign w:val="center"/>
          </w:tcPr>
          <w:p w14:paraId="1934BA8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家</w:t>
            </w:r>
          </w:p>
        </w:tc>
        <w:tc>
          <w:tcPr>
            <w:tcW w:w="938" w:type="dxa"/>
            <w:shd w:val="clear" w:color="auto" w:fill="F0F0F0"/>
            <w:vAlign w:val="center"/>
          </w:tcPr>
          <w:p w14:paraId="7E64153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shd w:val="clear" w:color="auto" w:fill="FEFEFE"/>
            <w:vAlign w:val="center"/>
          </w:tcPr>
          <w:p w14:paraId="7A2ED6B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r>
      <w:tr w14:paraId="1A8C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4B4AB5C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3FAEA08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shd w:val="clear" w:color="auto" w:fill="FEFEFE"/>
            <w:vAlign w:val="center"/>
          </w:tcPr>
          <w:p w14:paraId="1717A8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42" w:type="dxa"/>
            <w:shd w:val="clear" w:color="auto" w:fill="F0F0F0"/>
            <w:vAlign w:val="center"/>
          </w:tcPr>
          <w:p w14:paraId="77BB68C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奖补资金</w:t>
            </w:r>
          </w:p>
        </w:tc>
        <w:tc>
          <w:tcPr>
            <w:tcW w:w="1497" w:type="dxa"/>
            <w:shd w:val="clear" w:color="auto" w:fill="FEFEFE"/>
            <w:vAlign w:val="center"/>
          </w:tcPr>
          <w:p w14:paraId="4E017D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971" w:type="dxa"/>
            <w:shd w:val="clear" w:color="auto" w:fill="F0F0F0"/>
            <w:vAlign w:val="center"/>
          </w:tcPr>
          <w:p w14:paraId="6A60BBE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200</w:t>
            </w:r>
          </w:p>
        </w:tc>
        <w:tc>
          <w:tcPr>
            <w:tcW w:w="1061" w:type="dxa"/>
            <w:shd w:val="clear" w:color="auto" w:fill="FEFEFE"/>
            <w:vAlign w:val="center"/>
          </w:tcPr>
          <w:p w14:paraId="29E7899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万元</w:t>
            </w:r>
          </w:p>
        </w:tc>
        <w:tc>
          <w:tcPr>
            <w:tcW w:w="938" w:type="dxa"/>
            <w:shd w:val="clear" w:color="auto" w:fill="F0F0F0"/>
            <w:vAlign w:val="center"/>
          </w:tcPr>
          <w:p w14:paraId="478AC0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1841" w:type="dxa"/>
            <w:shd w:val="clear" w:color="auto" w:fill="FEFEFE"/>
            <w:vAlign w:val="center"/>
          </w:tcPr>
          <w:p w14:paraId="246670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244.8</w:t>
            </w:r>
          </w:p>
        </w:tc>
      </w:tr>
      <w:tr w14:paraId="37C4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25B4F3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080614C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shd w:val="clear" w:color="auto" w:fill="FEFEFE"/>
            <w:vAlign w:val="center"/>
          </w:tcPr>
          <w:p w14:paraId="605384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42" w:type="dxa"/>
            <w:shd w:val="clear" w:color="auto" w:fill="F0F0F0"/>
            <w:vAlign w:val="center"/>
          </w:tcPr>
          <w:p w14:paraId="2690EDB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资金拨付到企业时间</w:t>
            </w:r>
          </w:p>
        </w:tc>
        <w:tc>
          <w:tcPr>
            <w:tcW w:w="1497" w:type="dxa"/>
            <w:shd w:val="clear" w:color="auto" w:fill="FEFEFE"/>
            <w:vAlign w:val="center"/>
          </w:tcPr>
          <w:p w14:paraId="70DCD56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shd w:val="clear" w:color="auto" w:fill="F0F0F0"/>
            <w:vAlign w:val="center"/>
          </w:tcPr>
          <w:p w14:paraId="18ABD77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2024年12月前完成</w:t>
            </w:r>
          </w:p>
        </w:tc>
        <w:tc>
          <w:tcPr>
            <w:tcW w:w="1061" w:type="dxa"/>
            <w:shd w:val="clear" w:color="auto" w:fill="FEFEFE"/>
            <w:vAlign w:val="center"/>
          </w:tcPr>
          <w:p w14:paraId="68877E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652653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shd w:val="clear" w:color="auto" w:fill="FEFEFE"/>
            <w:vAlign w:val="center"/>
          </w:tcPr>
          <w:p w14:paraId="264F21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已完成 </w:t>
            </w:r>
          </w:p>
        </w:tc>
      </w:tr>
      <w:tr w14:paraId="5668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678FF4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1EC3308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shd w:val="clear" w:color="auto" w:fill="FEFEFE"/>
            <w:vAlign w:val="center"/>
          </w:tcPr>
          <w:p w14:paraId="12B805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42" w:type="dxa"/>
            <w:shd w:val="clear" w:color="auto" w:fill="F0F0F0"/>
            <w:vAlign w:val="center"/>
          </w:tcPr>
          <w:p w14:paraId="5FD6B30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17A1D5A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4CCD24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488AAE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1240A0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76EFAA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51E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02B194E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604F471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shd w:val="clear" w:color="auto" w:fill="FEFEFE"/>
            <w:vAlign w:val="center"/>
          </w:tcPr>
          <w:p w14:paraId="59E2C0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shd w:val="clear" w:color="auto" w:fill="F0F0F0"/>
            <w:vAlign w:val="center"/>
          </w:tcPr>
          <w:p w14:paraId="3565B65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0D38906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2759C4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672BE3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137AA1A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2983623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28B3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78D1534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shd w:val="clear" w:color="auto" w:fill="F0F0F0"/>
            <w:vAlign w:val="center"/>
          </w:tcPr>
          <w:p w14:paraId="1C586F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shd w:val="clear" w:color="auto" w:fill="FEFEFE"/>
            <w:vAlign w:val="center"/>
          </w:tcPr>
          <w:p w14:paraId="665ABC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6404F0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942" w:type="dxa"/>
            <w:shd w:val="clear" w:color="auto" w:fill="F0F0F0"/>
            <w:vAlign w:val="center"/>
          </w:tcPr>
          <w:p w14:paraId="112E58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提升金融服务质效</w:t>
            </w:r>
          </w:p>
        </w:tc>
        <w:tc>
          <w:tcPr>
            <w:tcW w:w="1497" w:type="dxa"/>
            <w:shd w:val="clear" w:color="auto" w:fill="FEFEFE"/>
            <w:vAlign w:val="center"/>
          </w:tcPr>
          <w:p w14:paraId="6B9CC85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shd w:val="clear" w:color="auto" w:fill="F0F0F0"/>
            <w:vAlign w:val="center"/>
          </w:tcPr>
          <w:p w14:paraId="5F3544D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得到提升</w:t>
            </w:r>
          </w:p>
        </w:tc>
        <w:tc>
          <w:tcPr>
            <w:tcW w:w="1061" w:type="dxa"/>
            <w:shd w:val="clear" w:color="auto" w:fill="FEFEFE"/>
            <w:vAlign w:val="center"/>
          </w:tcPr>
          <w:p w14:paraId="0AD11AA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5A733AC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396C33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2145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324D0C3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73383B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shd w:val="clear" w:color="auto" w:fill="FEFEFE"/>
            <w:vAlign w:val="center"/>
          </w:tcPr>
          <w:p w14:paraId="21987E3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42" w:type="dxa"/>
            <w:shd w:val="clear" w:color="auto" w:fill="F0F0F0"/>
            <w:vAlign w:val="center"/>
          </w:tcPr>
          <w:p w14:paraId="0DC6C23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35B0D5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13ABBA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2DBC7A7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6DB954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5B32F8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47F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07A8C91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3F18A6F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shd w:val="clear" w:color="auto" w:fill="FEFEFE"/>
            <w:vAlign w:val="center"/>
          </w:tcPr>
          <w:p w14:paraId="631FE2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574B3E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942" w:type="dxa"/>
            <w:shd w:val="clear" w:color="auto" w:fill="F0F0F0"/>
            <w:vAlign w:val="center"/>
          </w:tcPr>
          <w:p w14:paraId="2E8DDB0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338015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6D9C64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746A00D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09E575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0DE2B7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0D30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775BB98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356417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shd w:val="clear" w:color="auto" w:fill="FEFEFE"/>
            <w:vAlign w:val="center"/>
          </w:tcPr>
          <w:p w14:paraId="6E4AE85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42" w:type="dxa"/>
            <w:shd w:val="clear" w:color="auto" w:fill="F0F0F0"/>
            <w:vAlign w:val="center"/>
          </w:tcPr>
          <w:p w14:paraId="67F1402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79760B4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335328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6674D8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05FD66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2B768F3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78B2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2C3D5C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560A1B4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shd w:val="clear" w:color="auto" w:fill="FEFEFE"/>
            <w:vAlign w:val="center"/>
          </w:tcPr>
          <w:p w14:paraId="501759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shd w:val="clear" w:color="auto" w:fill="F0F0F0"/>
            <w:vAlign w:val="center"/>
          </w:tcPr>
          <w:p w14:paraId="37B2A6C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2F4952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56F444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0655B5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19B948F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3A44B20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165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6C2C8D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shd w:val="clear" w:color="auto" w:fill="F0F0F0"/>
            <w:vAlign w:val="center"/>
          </w:tcPr>
          <w:p w14:paraId="7A8D33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1BFDE8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shd w:val="clear" w:color="auto" w:fill="FEFEFE"/>
            <w:vAlign w:val="center"/>
          </w:tcPr>
          <w:p w14:paraId="34553C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026B32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942" w:type="dxa"/>
            <w:shd w:val="clear" w:color="auto" w:fill="F0F0F0"/>
            <w:vAlign w:val="center"/>
          </w:tcPr>
          <w:p w14:paraId="0C291F1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企业满意率</w:t>
            </w:r>
          </w:p>
        </w:tc>
        <w:tc>
          <w:tcPr>
            <w:tcW w:w="1497" w:type="dxa"/>
            <w:shd w:val="clear" w:color="auto" w:fill="FEFEFE"/>
            <w:vAlign w:val="center"/>
          </w:tcPr>
          <w:p w14:paraId="0DA91D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default" w:ascii="Arial" w:hAnsi="Arial" w:eastAsia="宋体" w:cs="Arial"/>
                <w:i w:val="0"/>
                <w:color w:val="000000"/>
                <w:sz w:val="18"/>
                <w:szCs w:val="18"/>
                <w:u w:val="none"/>
              </w:rPr>
              <w:t>≥</w:t>
            </w:r>
          </w:p>
        </w:tc>
        <w:tc>
          <w:tcPr>
            <w:tcW w:w="971" w:type="dxa"/>
            <w:shd w:val="clear" w:color="auto" w:fill="F0F0F0"/>
            <w:vAlign w:val="center"/>
          </w:tcPr>
          <w:p w14:paraId="13F972B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1061" w:type="dxa"/>
            <w:shd w:val="clear" w:color="auto" w:fill="FEFEFE"/>
            <w:vAlign w:val="center"/>
          </w:tcPr>
          <w:p w14:paraId="4FCC09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shd w:val="clear" w:color="auto" w:fill="F0F0F0"/>
            <w:vAlign w:val="center"/>
          </w:tcPr>
          <w:p w14:paraId="5E6E4D3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shd w:val="clear" w:color="auto" w:fill="FEFEFE"/>
            <w:vAlign w:val="center"/>
          </w:tcPr>
          <w:p w14:paraId="6D70E18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123F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1412327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shd w:val="clear" w:color="auto" w:fill="F0F0F0"/>
            <w:vAlign w:val="center"/>
          </w:tcPr>
          <w:p w14:paraId="0C81CB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shd w:val="clear" w:color="auto" w:fill="FEFEFE"/>
            <w:vAlign w:val="center"/>
          </w:tcPr>
          <w:p w14:paraId="665BA4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2BD053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942" w:type="dxa"/>
            <w:shd w:val="clear" w:color="auto" w:fill="F0F0F0"/>
            <w:vAlign w:val="center"/>
          </w:tcPr>
          <w:p w14:paraId="5619A63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奖补资金</w:t>
            </w:r>
          </w:p>
        </w:tc>
        <w:tc>
          <w:tcPr>
            <w:tcW w:w="1497" w:type="dxa"/>
            <w:shd w:val="clear" w:color="auto" w:fill="FEFEFE"/>
            <w:vAlign w:val="center"/>
          </w:tcPr>
          <w:p w14:paraId="6972DA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default" w:ascii="Arial" w:hAnsi="Arial" w:eastAsia="宋体" w:cs="Arial"/>
                <w:i w:val="0"/>
                <w:color w:val="000000"/>
                <w:sz w:val="18"/>
                <w:szCs w:val="18"/>
                <w:u w:val="none"/>
              </w:rPr>
              <w:t>≥</w:t>
            </w:r>
          </w:p>
        </w:tc>
        <w:tc>
          <w:tcPr>
            <w:tcW w:w="971" w:type="dxa"/>
            <w:shd w:val="clear" w:color="auto" w:fill="F0F0F0"/>
            <w:vAlign w:val="center"/>
          </w:tcPr>
          <w:p w14:paraId="398B246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200</w:t>
            </w:r>
          </w:p>
        </w:tc>
        <w:tc>
          <w:tcPr>
            <w:tcW w:w="1061" w:type="dxa"/>
            <w:shd w:val="clear" w:color="auto" w:fill="FEFEFE"/>
            <w:vAlign w:val="center"/>
          </w:tcPr>
          <w:p w14:paraId="5A4BCA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万元</w:t>
            </w:r>
          </w:p>
        </w:tc>
        <w:tc>
          <w:tcPr>
            <w:tcW w:w="938" w:type="dxa"/>
            <w:shd w:val="clear" w:color="auto" w:fill="F0F0F0"/>
            <w:vAlign w:val="center"/>
          </w:tcPr>
          <w:p w14:paraId="5B97296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10</w:t>
            </w:r>
          </w:p>
        </w:tc>
        <w:tc>
          <w:tcPr>
            <w:tcW w:w="1841" w:type="dxa"/>
            <w:shd w:val="clear" w:color="auto" w:fill="FEFEFE"/>
            <w:vAlign w:val="center"/>
          </w:tcPr>
          <w:p w14:paraId="46278EC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244.8</w:t>
            </w:r>
          </w:p>
        </w:tc>
      </w:tr>
      <w:tr w14:paraId="6135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FEFEFE"/>
            <w:vAlign w:val="center"/>
          </w:tcPr>
          <w:p w14:paraId="1110483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shd w:val="clear" w:color="auto" w:fill="F0F0F0"/>
            <w:vAlign w:val="center"/>
          </w:tcPr>
          <w:p w14:paraId="64246DD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250" w:type="dxa"/>
            <w:shd w:val="clear" w:color="auto" w:fill="FEFEFE"/>
            <w:vAlign w:val="center"/>
          </w:tcPr>
          <w:p w14:paraId="2432AC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shd w:val="clear" w:color="auto" w:fill="F0F0F0"/>
            <w:vAlign w:val="center"/>
          </w:tcPr>
          <w:p w14:paraId="31B78F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497" w:type="dxa"/>
            <w:shd w:val="clear" w:color="auto" w:fill="FEFEFE"/>
            <w:vAlign w:val="center"/>
          </w:tcPr>
          <w:p w14:paraId="20404DC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shd w:val="clear" w:color="auto" w:fill="F0F0F0"/>
            <w:vAlign w:val="center"/>
          </w:tcPr>
          <w:p w14:paraId="64F850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shd w:val="clear" w:color="auto" w:fill="FEFEFE"/>
            <w:vAlign w:val="center"/>
          </w:tcPr>
          <w:p w14:paraId="3542669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shd w:val="clear" w:color="auto" w:fill="F0F0F0"/>
            <w:vAlign w:val="center"/>
          </w:tcPr>
          <w:p w14:paraId="099CDD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shd w:val="clear" w:color="auto" w:fill="FEFEFE"/>
            <w:vAlign w:val="center"/>
          </w:tcPr>
          <w:p w14:paraId="0400666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5157079A">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18"/>
          <w:szCs w:val="18"/>
          <w:highlight w:val="none"/>
          <w:lang w:val="en-US" w:eastAsia="zh-CN" w:bidi="ar-SA"/>
        </w:rPr>
      </w:pPr>
    </w:p>
    <w:p w14:paraId="331EA312">
      <w:pPr>
        <w:spacing w:line="600" w:lineRule="exact"/>
        <w:jc w:val="center"/>
        <w:outlineLvl w:val="0"/>
        <w:rPr>
          <w:rFonts w:hint="eastAsia" w:ascii="黑体" w:hAnsi="黑体" w:eastAsia="黑体"/>
          <w:color w:val="auto"/>
          <w:sz w:val="44"/>
          <w:szCs w:val="44"/>
          <w:highlight w:val="none"/>
        </w:rPr>
      </w:pPr>
    </w:p>
    <w:p w14:paraId="2DD185F0">
      <w:pPr>
        <w:spacing w:line="600" w:lineRule="exact"/>
        <w:jc w:val="center"/>
        <w:outlineLvl w:val="0"/>
        <w:rPr>
          <w:rFonts w:hint="eastAsia" w:ascii="黑体" w:hAnsi="黑体" w:eastAsia="黑体"/>
          <w:color w:val="auto"/>
          <w:sz w:val="44"/>
          <w:szCs w:val="44"/>
          <w:highlight w:val="none"/>
        </w:rPr>
      </w:pPr>
    </w:p>
    <w:p w14:paraId="2F942CAF">
      <w:pPr>
        <w:spacing w:line="600" w:lineRule="exact"/>
        <w:jc w:val="center"/>
        <w:outlineLvl w:val="0"/>
        <w:rPr>
          <w:rFonts w:hint="eastAsia" w:ascii="黑体" w:hAnsi="黑体" w:eastAsia="黑体"/>
          <w:color w:val="auto"/>
          <w:sz w:val="44"/>
          <w:szCs w:val="44"/>
          <w:highlight w:val="none"/>
        </w:rPr>
      </w:pPr>
    </w:p>
    <w:p w14:paraId="2DC7DDFB">
      <w:pPr>
        <w:spacing w:line="600" w:lineRule="exact"/>
        <w:jc w:val="center"/>
        <w:outlineLvl w:val="0"/>
        <w:rPr>
          <w:rFonts w:hint="eastAsia" w:ascii="黑体" w:hAnsi="黑体" w:eastAsia="黑体"/>
          <w:color w:val="auto"/>
          <w:sz w:val="44"/>
          <w:szCs w:val="44"/>
          <w:highlight w:val="none"/>
        </w:rPr>
      </w:pPr>
    </w:p>
    <w:p w14:paraId="53247845">
      <w:pPr>
        <w:spacing w:line="600" w:lineRule="exact"/>
        <w:jc w:val="center"/>
        <w:outlineLvl w:val="0"/>
        <w:rPr>
          <w:rFonts w:hint="eastAsia" w:ascii="黑体" w:hAnsi="黑体" w:eastAsia="黑体"/>
          <w:color w:val="auto"/>
          <w:sz w:val="44"/>
          <w:szCs w:val="44"/>
          <w:highlight w:val="none"/>
        </w:rPr>
      </w:pPr>
    </w:p>
    <w:p w14:paraId="692926E7">
      <w:pPr>
        <w:spacing w:line="600" w:lineRule="exact"/>
        <w:jc w:val="center"/>
        <w:outlineLvl w:val="0"/>
        <w:rPr>
          <w:rFonts w:hint="eastAsia" w:ascii="黑体" w:hAnsi="黑体" w:eastAsia="黑体"/>
          <w:color w:val="auto"/>
          <w:sz w:val="44"/>
          <w:szCs w:val="44"/>
          <w:highlight w:val="none"/>
        </w:rPr>
      </w:pPr>
    </w:p>
    <w:p w14:paraId="69188102">
      <w:pPr>
        <w:spacing w:line="600" w:lineRule="exact"/>
        <w:jc w:val="center"/>
        <w:outlineLvl w:val="0"/>
        <w:rPr>
          <w:rFonts w:hint="eastAsia" w:ascii="黑体" w:hAnsi="黑体" w:eastAsia="黑体"/>
          <w:color w:val="auto"/>
          <w:sz w:val="44"/>
          <w:szCs w:val="44"/>
          <w:highlight w:val="none"/>
        </w:rPr>
      </w:pPr>
    </w:p>
    <w:p w14:paraId="1301ED94">
      <w:pPr>
        <w:spacing w:line="600" w:lineRule="exact"/>
        <w:jc w:val="center"/>
        <w:outlineLvl w:val="0"/>
        <w:rPr>
          <w:rFonts w:hint="eastAsia" w:ascii="黑体" w:hAnsi="黑体" w:eastAsia="黑体"/>
          <w:color w:val="auto"/>
          <w:sz w:val="44"/>
          <w:szCs w:val="44"/>
          <w:highlight w:val="none"/>
        </w:rPr>
      </w:pPr>
    </w:p>
    <w:p w14:paraId="4F8F5972">
      <w:pPr>
        <w:spacing w:line="600" w:lineRule="exact"/>
        <w:jc w:val="center"/>
        <w:outlineLvl w:val="0"/>
        <w:rPr>
          <w:rFonts w:hint="eastAsia" w:ascii="黑体" w:hAnsi="黑体" w:eastAsia="黑体"/>
          <w:color w:val="auto"/>
          <w:sz w:val="44"/>
          <w:szCs w:val="44"/>
          <w:highlight w:val="none"/>
        </w:rPr>
      </w:pPr>
    </w:p>
    <w:p w14:paraId="424B0694">
      <w:pPr>
        <w:spacing w:line="600" w:lineRule="exact"/>
        <w:jc w:val="center"/>
        <w:outlineLvl w:val="0"/>
        <w:rPr>
          <w:rFonts w:hint="eastAsia" w:ascii="黑体" w:hAnsi="黑体" w:eastAsia="黑体"/>
          <w:color w:val="auto"/>
          <w:sz w:val="44"/>
          <w:szCs w:val="44"/>
          <w:highlight w:val="none"/>
        </w:rPr>
      </w:pPr>
    </w:p>
    <w:p w14:paraId="4DA4BAE2">
      <w:pPr>
        <w:spacing w:line="600" w:lineRule="exact"/>
        <w:jc w:val="center"/>
        <w:outlineLvl w:val="0"/>
        <w:rPr>
          <w:rFonts w:hint="eastAsia" w:ascii="黑体" w:hAnsi="黑体" w:eastAsia="黑体"/>
          <w:color w:val="auto"/>
          <w:sz w:val="44"/>
          <w:szCs w:val="44"/>
          <w:highlight w:val="none"/>
        </w:rPr>
      </w:pPr>
    </w:p>
    <w:p w14:paraId="13B2D48C">
      <w:pPr>
        <w:spacing w:line="600" w:lineRule="exact"/>
        <w:jc w:val="center"/>
        <w:outlineLvl w:val="0"/>
        <w:rPr>
          <w:rFonts w:hint="eastAsia" w:ascii="黑体" w:hAnsi="黑体" w:eastAsia="黑体"/>
          <w:color w:val="auto"/>
          <w:sz w:val="44"/>
          <w:szCs w:val="44"/>
          <w:highlight w:val="none"/>
        </w:rPr>
      </w:pPr>
    </w:p>
    <w:p w14:paraId="1F3A884F">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55AE77E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（人才发展专项资金）</w:t>
      </w:r>
    </w:p>
    <w:p w14:paraId="41F96CC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0B6504CD">
      <w:pPr>
        <w:spacing w:line="560"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根据《“安居百名精英选育计划”实施办法》（</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遂安人才〔201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号），</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开展</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川中明珠计划安居专项本土培育项目</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评选工作</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p>
    <w:p w14:paraId="18DF9AA7">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根据《遂宁市安居区深入实施人才强区战略的九条措施》（遂安人才〔2021〕2号）</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文件精神，</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表扬“十三五”以来为安居经济社会发展做出突出贡献的创新创业领军人才典型</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w:t>
      </w:r>
    </w:p>
    <w:p w14:paraId="16ADD86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川中明珠计划安居专项本土培育项目入选者项目支持资金（人才发展专项经费）14万元。</w:t>
      </w:r>
    </w:p>
    <w:p w14:paraId="1AC61C32">
      <w:pPr>
        <w:spacing w:line="560" w:lineRule="exact"/>
        <w:ind w:firstLine="640" w:firstLineChars="200"/>
        <w:rPr>
          <w:rFonts w:hint="eastAsia"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（四）项目绩效目标设置</w:t>
      </w:r>
    </w:p>
    <w:p w14:paraId="07F3871C">
      <w:pPr>
        <w:spacing w:line="560"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坚持公开、公平、公正、竞争、择优原则；坚持科学人才观，不唯国籍、不唯学历、不唯职称、不唯资历、不唯身份，以</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“突出贡献”</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论人才；</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坚持注重代表性和界别行业的广泛性、平衡性；坚持注重典型性、先进性、时代性；坚持</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向“3+2”</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现代工业</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产业、科技创新成果转化领域、基层一线倾斜，注重业内认同和社会认可</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p>
    <w:p w14:paraId="1AC1292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对申报人的事迹材料、专业技术专长证件、已获得荣誉等材料进行把关、审核。</w:t>
      </w:r>
    </w:p>
    <w:p w14:paraId="437DD4A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集体讨论，对推荐人选提出综合评价认定意见，主要指推荐人的社会认可度和影响力、创新创造力以及对安居经济社会发展的推动作用等。</w:t>
      </w:r>
    </w:p>
    <w:p w14:paraId="0280BC6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0D3AB244">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（一）评价目的。</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通过绩效评价掌握产出效益是否达到预期目标，合理使用专项资金。</w:t>
      </w:r>
    </w:p>
    <w:p w14:paraId="048CD36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（二）预设问题及评价重点。</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预设问题包括资金使用是否合规、项目实施是否达到预期效果、人才政策是否满足实际需求等。评价重点围绕资金支出使用全过程及其实施效果，如资金分配的合理性、预算执行的进度、人才引进和培养的质量、人才对经济社会发展的贡献等。</w:t>
      </w:r>
    </w:p>
    <w:p w14:paraId="74C8EE3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eastAsia="zh-CN"/>
        </w:rPr>
        <w:t>（三）评价选点。</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项目绩效自评</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根据各人才填报的项目任务书进行全面评价</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14:paraId="5109688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（四）评价方法。</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采用问卷调查法和座谈调研法，收集人才、用人单位及相关部门的意见和建议。</w:t>
      </w:r>
    </w:p>
    <w:p w14:paraId="08C27495">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（五）评价组织。</w:t>
      </w:r>
      <w:r>
        <w:rPr>
          <w:rFonts w:hint="default" w:ascii="仿宋_GB2312" w:hAnsi="仿宋_GB2312" w:eastAsia="仿宋_GB2312" w:cs="仿宋_GB2312"/>
          <w:color w:val="auto"/>
          <w:kern w:val="0"/>
          <w:sz w:val="32"/>
          <w:szCs w:val="32"/>
          <w:highlight w:val="none"/>
          <w:u w:val="none"/>
          <w:shd w:val="clear" w:color="auto" w:fill="FFFFFF"/>
          <w:lang w:val="zh-CN" w:eastAsia="zh-CN" w:bidi="ar-SA"/>
        </w:rPr>
        <w:t>由业务分管领导和业务股室配合开展评价工作。</w:t>
      </w:r>
    </w:p>
    <w:p w14:paraId="604A943F">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p>
    <w:p w14:paraId="4FFCE500">
      <w:pPr>
        <w:keepNext w:val="0"/>
        <w:keepLines w:val="0"/>
        <w:pageBreakBefore w:val="0"/>
        <w:widowControl w:val="0"/>
        <w:kinsoku/>
        <w:wordWrap/>
        <w:overflowPunct/>
        <w:topLinePunct w:val="0"/>
        <w:autoSpaceDE/>
        <w:autoSpaceDN/>
        <w:bidi w:val="0"/>
        <w:spacing w:line="560" w:lineRule="exact"/>
        <w:ind w:firstLine="640"/>
        <w:jc w:val="both"/>
        <w:textAlignment w:val="auto"/>
        <w:outlineLvl w:val="9"/>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eastAsia="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楷体_GB2312" w:hAnsi="宋体" w:eastAsia="楷体_GB2312" w:cs="Times New Roman"/>
          <w:b w:val="0"/>
          <w:bCs/>
          <w:color w:val="auto"/>
          <w:sz w:val="32"/>
          <w:szCs w:val="32"/>
          <w:highlight w:val="none"/>
          <w:u w:val="none"/>
          <w:lang w:val="zh-CN" w:eastAsia="zh-CN"/>
        </w:rPr>
        <w:t>绩效分析</w:t>
      </w:r>
    </w:p>
    <w:p w14:paraId="04AFE51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default" w:ascii="仿宋_GB2312" w:hAnsi="仿宋_GB2312" w:eastAsia="仿宋_GB2312" w:cs="仿宋_GB2312"/>
          <w:color w:val="auto"/>
          <w:kern w:val="0"/>
          <w:sz w:val="32"/>
          <w:szCs w:val="32"/>
          <w:highlight w:val="none"/>
          <w:u w:val="none"/>
          <w:shd w:val="clear" w:color="auto" w:fill="FFFFFF"/>
          <w:lang w:val="en-US" w:eastAsia="zh-CN" w:bidi="ar-SA"/>
        </w:rPr>
        <w:t>1.项目决策。</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《遂宁市安居区深入实施人才强区战略的九条措施》（遂安人才〔2021〕2号）</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文件精神以及区委人才工作领导小组审定的《关于开展遂宁市安居区“琼江领军人才”评选工作的建议方案》。</w:t>
      </w:r>
    </w:p>
    <w:p w14:paraId="4B9E54C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bidi="ar-SA"/>
        </w:rPr>
      </w:pPr>
      <w:r>
        <w:rPr>
          <w:rFonts w:hint="default" w:ascii="仿宋_GB2312" w:hAnsi="仿宋_GB2312" w:eastAsia="仿宋_GB2312" w:cs="仿宋_GB2312"/>
          <w:color w:val="auto"/>
          <w:kern w:val="0"/>
          <w:sz w:val="32"/>
          <w:szCs w:val="32"/>
          <w:highlight w:val="none"/>
          <w:u w:val="none"/>
          <w:shd w:val="clear" w:color="auto" w:fill="FFFFFF"/>
          <w:lang w:val="en-US" w:eastAsia="zh-CN" w:bidi="ar-SA"/>
        </w:rPr>
        <w:t>2.项目管理。</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项目严格按照专项资金使用要求及相关资金管理办法实施。</w:t>
      </w:r>
    </w:p>
    <w:p w14:paraId="45C2FF0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bidi="ar-SA"/>
        </w:rPr>
      </w:pPr>
      <w:r>
        <w:rPr>
          <w:rFonts w:hint="default" w:ascii="仿宋_GB2312" w:hAnsi="仿宋_GB2312" w:eastAsia="仿宋_GB2312" w:cs="仿宋_GB2312"/>
          <w:color w:val="auto"/>
          <w:kern w:val="0"/>
          <w:sz w:val="32"/>
          <w:szCs w:val="32"/>
          <w:highlight w:val="none"/>
          <w:u w:val="none"/>
          <w:shd w:val="clear" w:color="auto" w:fill="FFFFFF"/>
          <w:lang w:val="en-US" w:eastAsia="zh-CN" w:bidi="ar-SA"/>
        </w:rPr>
        <w:t>3.项目实施。</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预算执行进度基本符合预期，资金使用合规，</w:t>
      </w:r>
    </w:p>
    <w:p w14:paraId="5417A6E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u w:val="none"/>
          <w:shd w:val="clear" w:color="auto" w:fill="FFFFFF"/>
          <w:lang w:val="en-US" w:eastAsia="zh-CN" w:bidi="ar-SA"/>
        </w:rPr>
        <w:t>4.项目结果。</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在人才引进和培养数量方面基本完成目标，但在人才质量提升和人才对产业发展的贡献方面，与预期目标仍有一定差距，完成时效基本达标。</w:t>
      </w:r>
    </w:p>
    <w:p w14:paraId="54F8992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楷体_GB2312" w:hAnsi="宋体" w:eastAsia="楷体_GB2312" w:cs="Times New Roman"/>
          <w:b w:val="0"/>
          <w:bCs/>
          <w:color w:val="auto"/>
          <w:sz w:val="32"/>
          <w:szCs w:val="32"/>
          <w:highlight w:val="none"/>
          <w:u w:val="none"/>
          <w:lang w:val="zh-CN" w:eastAsia="zh-CN"/>
        </w:rPr>
        <w:t>绩效分析。</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引进和培养的人才在产业发展方面具有较高的符合性，部分人才推动了企业技术创新和产业升级，成长性良好，但在经济效益方面，由于产业培育周期较长，尚未完全体现出显著的经济效益。</w:t>
      </w:r>
    </w:p>
    <w:p w14:paraId="031F9BB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楷体_GB2312" w:hAnsi="宋体" w:eastAsia="楷体_GB2312" w:cs="Times New Roman"/>
          <w:b w:val="0"/>
          <w:bCs/>
          <w:color w:val="auto"/>
          <w:sz w:val="32"/>
          <w:szCs w:val="32"/>
          <w:highlight w:val="none"/>
          <w:u w:val="none"/>
          <w:lang w:val="zh-CN" w:eastAsia="zh-CN"/>
        </w:rPr>
        <w:t>绩效分析。</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根据项目个性自行设定部分指标，反映该项指标执行完成情况。</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人才培训覆盖率较低，组织了多场管理能力培训活动，但仍有部分人才因工作繁忙等原因未能参加培训。</w:t>
      </w:r>
    </w:p>
    <w:p w14:paraId="6F8ED980">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43B5CB9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评选出的人才，在我区经济建设、社会发展等领域均发挥了先锋作用、作出了突出贡献，综合评价得95分。</w:t>
      </w:r>
    </w:p>
    <w:p w14:paraId="0E06AE4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r>
        <w:rPr>
          <w:rFonts w:hint="eastAsia" w:ascii="仿宋_GB2312" w:hAnsi="仿宋_GB2312" w:eastAsia="仿宋_GB2312" w:cs="仿宋_GB2312"/>
          <w:color w:val="auto"/>
          <w:kern w:val="0"/>
          <w:sz w:val="32"/>
          <w:szCs w:val="32"/>
          <w:highlight w:val="none"/>
          <w:u w:val="none"/>
          <w:shd w:val="clear" w:color="auto" w:fill="FFFFFF"/>
          <w:lang w:val="en-US" w:eastAsia="en-US" w:bidi="ar-SA"/>
        </w:rPr>
        <w:t>资金使用效率有待提高，部分项目资金拨付延迟，影响项目进度。</w:t>
      </w:r>
      <w:r>
        <w:rPr>
          <w:rFonts w:hint="default" w:ascii="仿宋_GB2312" w:hAnsi="仿宋_GB2312" w:eastAsia="仿宋_GB2312" w:cs="仿宋_GB2312"/>
          <w:color w:val="auto"/>
          <w:kern w:val="0"/>
          <w:sz w:val="32"/>
          <w:szCs w:val="32"/>
          <w:highlight w:val="none"/>
          <w:u w:val="none"/>
          <w:shd w:val="clear" w:color="auto" w:fill="FFFFFF"/>
          <w:lang w:val="en-US" w:eastAsia="en-US" w:bidi="ar-SA"/>
        </w:rPr>
        <w:t>人才与产业融合度不够，部分引进和培养的人才未能充分发挥作用，对产业发展的贡献未达到预期。人才服务保障体系不够完善，在人才住房、子女教育等方面还存在一些问题，导致人才流失风险较高。</w:t>
      </w:r>
    </w:p>
    <w:p w14:paraId="70559AC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一是</w:t>
      </w:r>
      <w:r>
        <w:rPr>
          <w:rFonts w:hint="default" w:ascii="仿宋_GB2312" w:hAnsi="仿宋_GB2312" w:eastAsia="仿宋_GB2312" w:cs="仿宋_GB2312"/>
          <w:color w:val="auto"/>
          <w:kern w:val="0"/>
          <w:sz w:val="32"/>
          <w:szCs w:val="32"/>
          <w:highlight w:val="none"/>
          <w:u w:val="none"/>
          <w:shd w:val="clear" w:color="auto" w:fill="FFFFFF"/>
          <w:lang w:val="en-US" w:eastAsia="en-US" w:bidi="ar-SA"/>
        </w:rPr>
        <w:t>优化预算编制流程，加强预算执行监控，建立资金预警机制，及时发现和解决资金拨付延迟问题，提高资金使用效率。</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二是</w:t>
      </w:r>
      <w:r>
        <w:rPr>
          <w:rFonts w:hint="default" w:ascii="仿宋_GB2312" w:hAnsi="仿宋_GB2312" w:eastAsia="仿宋_GB2312" w:cs="仿宋_GB2312"/>
          <w:color w:val="auto"/>
          <w:kern w:val="0"/>
          <w:sz w:val="32"/>
          <w:szCs w:val="32"/>
          <w:highlight w:val="none"/>
          <w:u w:val="none"/>
          <w:shd w:val="clear" w:color="auto" w:fill="FFFFFF"/>
          <w:lang w:val="en-US" w:eastAsia="en-US" w:bidi="ar-SA"/>
        </w:rPr>
        <w:t>制定更加精准的人才产业对接政策，根据产业需求引进和培养人才，加强人才与企业的合作，促进人才在产业发展中充分发挥作用。完善人才服务保障政策，加大人才住房建设力度，协调解决人才子女教育问题，增强人才归属感。</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三是</w:t>
      </w:r>
      <w:r>
        <w:rPr>
          <w:rFonts w:hint="default" w:ascii="仿宋_GB2312" w:hAnsi="仿宋_GB2312" w:eastAsia="仿宋_GB2312" w:cs="仿宋_GB2312"/>
          <w:color w:val="auto"/>
          <w:kern w:val="0"/>
          <w:sz w:val="32"/>
          <w:szCs w:val="32"/>
          <w:highlight w:val="none"/>
          <w:u w:val="none"/>
          <w:shd w:val="clear" w:color="auto" w:fill="FFFFFF"/>
          <w:lang w:val="en-US" w:eastAsia="en-US" w:bidi="ar-SA"/>
        </w:rPr>
        <w:t>加强项目管理，明确各部门职责，优化工作流程，提高沟通效率。建立健全项目成果转化管理机制，搭建成果转化平台，提供技术、资金等支持，推动人才项目成果转化。</w:t>
      </w:r>
    </w:p>
    <w:p w14:paraId="7D35778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附表：专项资金绩效目标完成情况自评表</w:t>
      </w:r>
    </w:p>
    <w:p w14:paraId="582145AE">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005B04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黑体" w:hAnsi="黑体" w:eastAsia="黑体" w:cs="黑体"/>
          <w:b w:val="0"/>
          <w:bCs w:val="0"/>
          <w:color w:val="auto"/>
          <w:kern w:val="0"/>
          <w:sz w:val="32"/>
          <w:szCs w:val="32"/>
          <w:highlight w:val="none"/>
          <w:u w:val="none"/>
          <w:shd w:val="clear" w:color="auto" w:fill="FFFFFF"/>
          <w:lang w:val="en-US"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337"/>
        <w:gridCol w:w="1755"/>
        <w:gridCol w:w="597"/>
        <w:gridCol w:w="971"/>
        <w:gridCol w:w="1061"/>
        <w:gridCol w:w="938"/>
        <w:gridCol w:w="1841"/>
      </w:tblGrid>
      <w:tr w14:paraId="65CF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85B13C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3044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4717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2CED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人才发展专项资金</w:t>
            </w:r>
          </w:p>
        </w:tc>
      </w:tr>
      <w:tr w14:paraId="600A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363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E34F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404D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061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D3B5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176D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1C4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ED9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0780BB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54E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4F7E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8B9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575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85CA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color w:val="auto"/>
                <w:kern w:val="0"/>
                <w:sz w:val="18"/>
                <w:szCs w:val="18"/>
                <w:highlight w:val="none"/>
                <w:u w:val="none"/>
                <w:shd w:val="clear" w:color="auto" w:fill="FFFFFF"/>
                <w:lang w:val="en-US" w:eastAsia="zh-CN"/>
              </w:rPr>
              <w:t>（遂安人才〔2021〕2号）</w:t>
            </w:r>
          </w:p>
        </w:tc>
      </w:tr>
      <w:tr w14:paraId="325F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D3E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48F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3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FE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highlight w:val="none"/>
                <w:u w:val="none"/>
                <w:shd w:val="clear" w:color="auto" w:fill="FFFFFF"/>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9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AB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£因素法与项目法相结合</w:t>
            </w:r>
          </w:p>
        </w:tc>
      </w:tr>
      <w:tr w14:paraId="6CFA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CD1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841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E09A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color w:val="auto"/>
                <w:kern w:val="0"/>
                <w:sz w:val="18"/>
                <w:szCs w:val="18"/>
                <w:highlight w:val="none"/>
                <w:u w:val="none"/>
                <w:shd w:val="clear" w:color="auto" w:fill="FFFFFF"/>
                <w:lang w:val="en-US" w:eastAsia="zh-CN"/>
              </w:rPr>
              <w:t>《“安居百名精英选育计划”实施办法》（</w:t>
            </w:r>
            <w:r>
              <w:rPr>
                <w:rFonts w:hint="eastAsia" w:ascii="宋体" w:hAnsi="宋体" w:eastAsia="宋体" w:cs="宋体"/>
                <w:color w:val="auto"/>
                <w:kern w:val="0"/>
                <w:sz w:val="18"/>
                <w:szCs w:val="18"/>
                <w:highlight w:val="none"/>
                <w:u w:val="none"/>
                <w:shd w:val="clear" w:color="auto" w:fill="FFFFFF"/>
                <w:lang w:val="zh-CN"/>
              </w:rPr>
              <w:t>遂安人才〔201</w:t>
            </w:r>
            <w:r>
              <w:rPr>
                <w:rFonts w:hint="eastAsia" w:ascii="宋体" w:hAnsi="宋体" w:eastAsia="宋体" w:cs="宋体"/>
                <w:color w:val="auto"/>
                <w:kern w:val="0"/>
                <w:sz w:val="18"/>
                <w:szCs w:val="18"/>
                <w:highlight w:val="none"/>
                <w:u w:val="none"/>
                <w:shd w:val="clear" w:color="auto" w:fill="FFFFFF"/>
                <w:lang w:val="en-US" w:eastAsia="zh-CN"/>
              </w:rPr>
              <w:t>9</w:t>
            </w:r>
            <w:r>
              <w:rPr>
                <w:rFonts w:hint="eastAsia" w:ascii="宋体" w:hAnsi="宋体" w:eastAsia="宋体" w:cs="宋体"/>
                <w:color w:val="auto"/>
                <w:kern w:val="0"/>
                <w:sz w:val="18"/>
                <w:szCs w:val="18"/>
                <w:highlight w:val="none"/>
                <w:u w:val="none"/>
                <w:shd w:val="clear" w:color="auto" w:fill="FFFFFF"/>
                <w:lang w:val="zh-CN"/>
              </w:rPr>
              <w:t>〕</w:t>
            </w:r>
            <w:r>
              <w:rPr>
                <w:rFonts w:hint="eastAsia" w:ascii="宋体" w:hAnsi="宋体" w:eastAsia="宋体" w:cs="宋体"/>
                <w:color w:val="auto"/>
                <w:kern w:val="0"/>
                <w:sz w:val="18"/>
                <w:szCs w:val="18"/>
                <w:highlight w:val="none"/>
                <w:u w:val="none"/>
                <w:shd w:val="clear" w:color="auto" w:fill="FFFFFF"/>
                <w:lang w:val="en-US" w:eastAsia="zh-CN"/>
              </w:rPr>
              <w:t>1</w:t>
            </w:r>
            <w:r>
              <w:rPr>
                <w:rFonts w:hint="eastAsia" w:ascii="宋体" w:hAnsi="宋体" w:eastAsia="宋体" w:cs="宋体"/>
                <w:color w:val="auto"/>
                <w:kern w:val="0"/>
                <w:sz w:val="18"/>
                <w:szCs w:val="18"/>
                <w:highlight w:val="none"/>
                <w:u w:val="none"/>
                <w:shd w:val="clear" w:color="auto" w:fill="FFFFFF"/>
                <w:lang w:val="zh-CN"/>
              </w:rPr>
              <w:t>号</w:t>
            </w:r>
            <w:r>
              <w:rPr>
                <w:rFonts w:hint="eastAsia" w:ascii="宋体" w:hAnsi="宋体" w:eastAsia="宋体" w:cs="宋体"/>
                <w:color w:val="auto"/>
                <w:kern w:val="0"/>
                <w:sz w:val="18"/>
                <w:szCs w:val="18"/>
                <w:highlight w:val="none"/>
                <w:u w:val="none"/>
                <w:shd w:val="clear" w:color="auto" w:fill="FFFFFF"/>
                <w:lang w:val="zh-CN" w:eastAsia="zh-CN"/>
              </w:rPr>
              <w:t>）</w:t>
            </w:r>
          </w:p>
        </w:tc>
      </w:tr>
      <w:tr w14:paraId="05D6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E22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BAF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8F3D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川中明珠计划安居专项本土培育项目入选者</w:t>
            </w:r>
          </w:p>
        </w:tc>
      </w:tr>
      <w:tr w14:paraId="28AF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176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A91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1B42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r>
              <w:rPr>
                <w:rFonts w:hint="eastAsia" w:ascii="宋体" w:hAnsi="宋体" w:eastAsia="宋体" w:cs="宋体"/>
                <w:b w:val="0"/>
                <w:bCs w:val="0"/>
                <w:i w:val="0"/>
                <w:iCs w:val="0"/>
                <w:kern w:val="0"/>
                <w:position w:val="0"/>
                <w:sz w:val="18"/>
                <w:szCs w:val="18"/>
                <w:highlight w:val="none"/>
                <w:lang w:val="en-US" w:eastAsia="zh-CN" w:bidi="ar-SA"/>
              </w:rPr>
              <w:t>《关于开展遂宁市安居区“琼江领军人才”评选工作的建议方案》</w:t>
            </w:r>
          </w:p>
        </w:tc>
      </w:tr>
      <w:tr w14:paraId="5414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B24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26E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6FF13">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2023年</w:t>
            </w:r>
          </w:p>
        </w:tc>
      </w:tr>
      <w:tr w14:paraId="3C74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92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04C26C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EE3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66382">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w:t>
            </w:r>
          </w:p>
        </w:tc>
      </w:tr>
      <w:tr w14:paraId="5DA7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67B3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9D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3DAB2">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w:t>
            </w:r>
          </w:p>
        </w:tc>
      </w:tr>
      <w:tr w14:paraId="7456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711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97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4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E9271">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1897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D92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仿宋_GB2312" w:cs="Times New Roman"/>
                <w:sz w:val="18"/>
                <w:szCs w:val="18"/>
                <w:lang w:val="en-US" w:eastAsia="zh-CN"/>
              </w:rPr>
            </w:pPr>
            <w:r>
              <w:rPr>
                <w:rFonts w:hint="eastAsia"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371D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12D5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18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7E5BD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评选“双创”精英、管理精英各4名</w:t>
            </w:r>
          </w:p>
        </w:tc>
      </w:tr>
      <w:tr w14:paraId="535E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40B6C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83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FC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8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EB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3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B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2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2E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4864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AB3E22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E26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FF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F7B2">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评选“双创”精英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5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C5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030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C10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3BD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r>
      <w:tr w14:paraId="7E7B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FB7E8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7A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100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06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评选管理精英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0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0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739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r>
      <w:tr w14:paraId="7C9C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88407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56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9F1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90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评选“双创”精英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A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4F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D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F4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0D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r>
      <w:tr w14:paraId="5EF2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BB3850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C51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08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CF1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评选管理精英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D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E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8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8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744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r>
      <w:tr w14:paraId="10A4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3044D0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98F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32B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C8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完成时限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A8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D4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2024年4月</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31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8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E34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2024年9月</w:t>
            </w:r>
          </w:p>
        </w:tc>
      </w:tr>
      <w:tr w14:paraId="6118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36021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4D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908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2CD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0B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353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4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8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47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749E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4D1D6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CD8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5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3A5">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82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02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55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1E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085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r>
      <w:tr w14:paraId="57D1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7CB0D5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898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763455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46C65C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CC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CE8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E2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15E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3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5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9A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5C4E17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5A0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right w:val="single" w:color="000000" w:sz="4" w:space="0"/>
            </w:tcBorders>
            <w:shd w:val="clear" w:color="auto" w:fill="auto"/>
            <w:vAlign w:val="center"/>
          </w:tcPr>
          <w:p w14:paraId="6BDC88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1C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D62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A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25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E1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D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24AF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8FA2D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B5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6F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持续性影响指标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CE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强化人才招引和培养</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8F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69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有效提升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2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E1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BE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77DB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52D8C4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6088DD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79C3AF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337" w:type="dxa"/>
            <w:tcBorders>
              <w:top w:val="single" w:color="000000" w:sz="4" w:space="0"/>
              <w:left w:val="single" w:color="000000" w:sz="4" w:space="0"/>
              <w:right w:val="single" w:color="000000" w:sz="4" w:space="0"/>
            </w:tcBorders>
            <w:shd w:val="clear" w:color="auto" w:fill="auto"/>
            <w:vAlign w:val="center"/>
          </w:tcPr>
          <w:p w14:paraId="780F7E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5AB21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46C">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企业满意率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90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9C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FF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B8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9A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57BC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1F22A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278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6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410BF8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755" w:type="dxa"/>
            <w:tcBorders>
              <w:top w:val="single" w:color="000000" w:sz="4" w:space="0"/>
              <w:bottom w:val="single" w:color="000000" w:sz="4" w:space="0"/>
              <w:right w:val="single" w:color="000000" w:sz="4" w:space="0"/>
            </w:tcBorders>
            <w:shd w:val="clear" w:color="auto" w:fill="auto"/>
            <w:vAlign w:val="center"/>
          </w:tcPr>
          <w:p w14:paraId="67FBEA5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项目资金安排</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4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3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E1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8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5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14</w:t>
            </w:r>
          </w:p>
        </w:tc>
      </w:tr>
      <w:tr w14:paraId="1952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BE839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EC4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2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55" w:type="dxa"/>
            <w:tcBorders>
              <w:top w:val="single" w:color="000000" w:sz="4" w:space="0"/>
              <w:bottom w:val="single" w:color="000000" w:sz="4" w:space="0"/>
              <w:right w:val="single" w:color="000000" w:sz="4" w:space="0"/>
            </w:tcBorders>
            <w:shd w:val="clear" w:color="auto" w:fill="auto"/>
            <w:vAlign w:val="center"/>
          </w:tcPr>
          <w:p w14:paraId="48F3EBB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8B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BCD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DA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2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7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4C00A593">
      <w:pPr>
        <w:spacing w:line="600" w:lineRule="exact"/>
        <w:jc w:val="center"/>
        <w:outlineLvl w:val="0"/>
        <w:rPr>
          <w:rFonts w:hint="eastAsia" w:ascii="黑体" w:hAnsi="黑体" w:eastAsia="黑体"/>
          <w:color w:val="auto"/>
          <w:sz w:val="44"/>
          <w:szCs w:val="44"/>
          <w:highlight w:val="none"/>
        </w:rPr>
      </w:pPr>
    </w:p>
    <w:p w14:paraId="3B1A3C42">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37D8B979">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（项目争取前期工作经费）</w:t>
      </w:r>
    </w:p>
    <w:p w14:paraId="00B110F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4830FDE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为</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确保项目顺利推进，为后续实施奠定坚实基础。项目前期工作涵盖项目可行性研究报告编制、立项申报材料准备、专家论证、方案设计等关键环节。</w:t>
      </w:r>
    </w:p>
    <w:p w14:paraId="33F168A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专项资金主要用于支付咨询服务费、资料收集费、专家评审费等费用。</w:t>
      </w:r>
    </w:p>
    <w:p w14:paraId="21831576">
      <w:pPr>
        <w:keepNext w:val="0"/>
        <w:keepLines w:val="0"/>
        <w:widowControl/>
        <w:suppressLineNumbers w:val="0"/>
        <w:shd w:val="clear" w:fill="FFFFFF"/>
        <w:spacing w:before="120" w:beforeAutospacing="0" w:after="120" w:afterAutospacing="0" w:line="23" w:lineRule="atLeast"/>
        <w:ind w:left="0"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项目预算安排</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资金5万元</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由</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区财政</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全额拨付。资金实行专款专用，明确资金使用范围、审批流程及监督机制，确保每笔资金合理合规支出。​</w:t>
      </w:r>
    </w:p>
    <w:p w14:paraId="055E3632">
      <w:pPr>
        <w:keepNext w:val="0"/>
        <w:keepLines w:val="0"/>
        <w:widowControl/>
        <w:suppressLineNumbers w:val="0"/>
        <w:shd w:val="clear" w:fill="FFFFFF"/>
        <w:spacing w:before="120" w:beforeAutospacing="0" w:after="120" w:afterAutospacing="0" w:line="23" w:lineRule="atLeast"/>
        <w:ind w:left="0" w:firstLine="640" w:firstLineChars="200"/>
        <w:jc w:val="left"/>
        <w:rPr>
          <w:rFonts w:hint="default"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eastAsia="zh-CN"/>
        </w:rPr>
        <w:t>（四）项目绩效目标设置。</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整体目标：完成项目全流程前期筹备，形成具备可行性、科学性的项目方案，为项目立项及实施提供坚实依据。自评工作开展：成立由项目负责人、财务人员、业务骨干组成的自评小组，对照绩效目标，通过资料审查、数据核对、现场查验等方式开展全面自评。</w:t>
      </w:r>
    </w:p>
    <w:p w14:paraId="4E2FB06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73B5819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rPr>
        <w:t>（一）评价目的。</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通过绩效自评，全面评估专项资金使用效率、前期工作成果质量及目标达成情况，总结经验教训，为后续项目管理优化、资金精准分配提供决策依据。</w:t>
      </w:r>
    </w:p>
    <w:p w14:paraId="46534EC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rPr>
        <w:t>（二）预设问题及评价重点。</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预设问题包括资金使用是否合规、前期工作成果是否达标、绩效目标是否实现等。评价重点围绕资金管理规范性、项目产出数量与质量、社会效益预期达成等内容，依据绩效评价指标体系开展综合判断。</w:t>
      </w:r>
    </w:p>
    <w:p w14:paraId="7AD7AE2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val="0"/>
          <w:bCs/>
          <w:color w:val="auto"/>
          <w:sz w:val="32"/>
          <w:szCs w:val="32"/>
          <w:highlight w:val="none"/>
          <w:u w:val="none"/>
          <w:lang w:val="zh-CN"/>
        </w:rPr>
        <w:t>（三）评价选点。</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由于项目前期工作具有整体性，本次评价对可行性研究报告编制、专家论证会议、立项申报材料准备等全流程环节进行 100% 覆盖检查，确保评价结果全面准确。</w:t>
      </w:r>
    </w:p>
    <w:p w14:paraId="48400C9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rPr>
        <w:t>（四）评价方法。</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根据项目情况和评价重点，用来收集相关材料和开展具体评价的方法。包括：采用成本效益分析法、标杆管理法、案卷研究法、单位自评法、实地勘察法、问卷调查法、座谈调研法等多种方法。</w:t>
      </w:r>
    </w:p>
    <w:p w14:paraId="000EF57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楷体_GB2312" w:hAnsi="宋体" w:eastAsia="楷体_GB2312" w:cs="Times New Roman"/>
          <w:b w:val="0"/>
          <w:bCs/>
          <w:color w:val="auto"/>
          <w:sz w:val="32"/>
          <w:szCs w:val="32"/>
          <w:highlight w:val="none"/>
          <w:u w:val="none"/>
          <w:lang w:val="zh-CN"/>
        </w:rPr>
        <w:t>（五）评价组织。</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成立由 3 人组成的评价组，其中项目负责人负责整体协调与评价结果审核；财务人员负责资金使用情况核查；业务骨干负责项目实施过程及成果评估，明确分工，确保评价工作有序开展。</w:t>
      </w:r>
    </w:p>
    <w:p w14:paraId="7544410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6F4C312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w:t>
      </w:r>
      <w:r>
        <w:rPr>
          <w:rFonts w:hint="eastAsia"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zh-CN" w:eastAsia="zh-CN"/>
        </w:rPr>
        <w:t>预算绩效评价指标体系“</w:t>
      </w:r>
      <w:r>
        <w:rPr>
          <w:rFonts w:hint="eastAsia" w:ascii="Times New Roman" w:hAnsi="Times New Roman" w:eastAsia="仿宋_GB2312" w:cs="Times New Roman"/>
          <w:sz w:val="32"/>
          <w:szCs w:val="32"/>
          <w:lang w:val="zh-CN" w:eastAsia="zh-CN"/>
        </w:rPr>
        <w:t>通用指标</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“专用指标”“个性指标”</w:t>
      </w:r>
      <w:r>
        <w:rPr>
          <w:rFonts w:hint="default" w:ascii="Times New Roman" w:hAnsi="Times New Roman" w:eastAsia="仿宋_GB2312" w:cs="Times New Roman"/>
          <w:sz w:val="32"/>
          <w:szCs w:val="32"/>
          <w:lang w:val="zh-CN" w:eastAsia="zh-CN"/>
        </w:rPr>
        <w:t>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eastAsia" w:ascii="Times New Roman" w:hAnsi="Times New Roman" w:eastAsia="仿宋_GB2312" w:cs="Times New Roman"/>
          <w:sz w:val="32"/>
          <w:szCs w:val="32"/>
          <w:lang w:val="en-US" w:eastAsia="zh-CN"/>
        </w:rPr>
        <w:t>。</w:t>
      </w:r>
    </w:p>
    <w:p w14:paraId="3D45FEF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楷体_GB2312" w:hAnsi="宋体" w:eastAsia="楷体_GB2312" w:cs="Times New Roman"/>
          <w:b w:val="0"/>
          <w:bCs/>
          <w:color w:val="auto"/>
          <w:sz w:val="32"/>
          <w:szCs w:val="32"/>
          <w:highlight w:val="none"/>
          <w:u w:val="none"/>
          <w:lang w:val="en-US" w:eastAsia="zh-CN"/>
        </w:rPr>
      </w:pPr>
      <w:r>
        <w:rPr>
          <w:rFonts w:hint="eastAsia" w:ascii="楷体_GB2312" w:hAnsi="宋体" w:eastAsia="楷体_GB2312" w:cs="Times New Roman"/>
          <w:b w:val="0"/>
          <w:bCs/>
          <w:color w:val="auto"/>
          <w:sz w:val="32"/>
          <w:szCs w:val="32"/>
          <w:highlight w:val="none"/>
          <w:u w:val="none"/>
          <w:lang w:val="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楷体_GB2312" w:hAnsi="宋体" w:eastAsia="楷体_GB2312" w:cs="Times New Roman"/>
          <w:b w:val="0"/>
          <w:bCs/>
          <w:color w:val="auto"/>
          <w:sz w:val="32"/>
          <w:szCs w:val="32"/>
          <w:highlight w:val="none"/>
          <w:u w:val="none"/>
          <w:lang w:val="zh-CN"/>
        </w:rPr>
        <w:t>绩效分析</w:t>
      </w:r>
    </w:p>
    <w:p w14:paraId="1906CEE3">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1.项目决策。</w:t>
      </w:r>
      <w:r>
        <w:rPr>
          <w:rFonts w:hint="default" w:ascii="仿宋_GB2312" w:hAnsi="仿宋_GB2312" w:eastAsia="仿宋_GB2312" w:cs="仿宋_GB2312"/>
          <w:color w:val="auto"/>
          <w:kern w:val="0"/>
          <w:sz w:val="32"/>
          <w:szCs w:val="32"/>
          <w:highlight w:val="none"/>
          <w:u w:val="none"/>
          <w:shd w:val="clear" w:color="auto" w:fill="FFFFFF"/>
          <w:lang w:val="zh-CN" w:eastAsia="zh-CN" w:bidi="ar-SA"/>
        </w:rPr>
        <w:t>立项依据充分，符合</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前期工作目标</w:t>
      </w:r>
      <w:r>
        <w:rPr>
          <w:rFonts w:hint="default" w:ascii="仿宋_GB2312" w:hAnsi="仿宋_GB2312" w:eastAsia="仿宋_GB2312" w:cs="仿宋_GB2312"/>
          <w:color w:val="auto"/>
          <w:kern w:val="0"/>
          <w:sz w:val="32"/>
          <w:szCs w:val="32"/>
          <w:highlight w:val="none"/>
          <w:u w:val="none"/>
          <w:shd w:val="clear" w:color="auto" w:fill="FFFFFF"/>
          <w:lang w:val="zh-CN" w:eastAsia="zh-CN" w:bidi="ar-SA"/>
        </w:rPr>
        <w:t>要求；决策程序规范，经内部会议审议通过；资金投向精准匹配项目前期工作需求。</w:t>
      </w:r>
    </w:p>
    <w:p w14:paraId="28D9BDC2">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2.项目管理。制定专项管理办法，资金分配合理；建立绩效跟踪机制，定期检查工作进度。</w:t>
      </w:r>
    </w:p>
    <w:p w14:paraId="2C73B297">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3.项目实施。预算执行率100%，资金使用符合规定范围，审批流程完备。</w:t>
      </w:r>
    </w:p>
    <w:p w14:paraId="40E434FC">
      <w:pPr>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4.项目结果。全部完成既定产出目标。</w:t>
      </w:r>
    </w:p>
    <w:p w14:paraId="0A5CC25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楷体_GB2312" w:hAnsi="宋体" w:eastAsia="楷体_GB2312" w:cs="Times New Roman"/>
          <w:b w:val="0"/>
          <w:bCs/>
          <w:color w:val="auto"/>
          <w:sz w:val="32"/>
          <w:szCs w:val="32"/>
          <w:highlight w:val="none"/>
          <w:u w:val="none"/>
          <w:lang w:val="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楷体_GB2312" w:hAnsi="宋体" w:eastAsia="楷体_GB2312" w:cs="Times New Roman"/>
          <w:b w:val="0"/>
          <w:bCs/>
          <w:color w:val="auto"/>
          <w:sz w:val="32"/>
          <w:szCs w:val="32"/>
          <w:highlight w:val="none"/>
          <w:u w:val="none"/>
          <w:lang w:val="zh-CN"/>
        </w:rPr>
        <w:t>绩效分析。</w:t>
      </w:r>
      <w:r>
        <w:rPr>
          <w:rFonts w:hint="eastAsia" w:ascii="Times New Roman" w:hAnsi="Times New Roman" w:eastAsia="仿宋_GB2312" w:cs="Times New Roman"/>
          <w:color w:val="auto"/>
          <w:sz w:val="32"/>
          <w:szCs w:val="32"/>
          <w:lang w:val="zh-CN" w:eastAsia="zh-CN"/>
        </w:rPr>
        <w:t>本项目属于</w:t>
      </w:r>
      <w:r>
        <w:rPr>
          <w:rFonts w:hint="eastAsia" w:ascii="Times New Roman" w:hAnsi="Times New Roman" w:eastAsia="仿宋_GB2312" w:cs="Times New Roman"/>
          <w:color w:val="auto"/>
          <w:sz w:val="32"/>
          <w:szCs w:val="32"/>
          <w:lang w:val="en-US" w:eastAsia="zh-CN"/>
        </w:rPr>
        <w:t>产业发展</w:t>
      </w:r>
      <w:r>
        <w:rPr>
          <w:rFonts w:hint="eastAsia" w:ascii="Times New Roman" w:hAnsi="Times New Roman" w:eastAsia="仿宋_GB2312" w:cs="Times New Roman"/>
          <w:color w:val="auto"/>
          <w:sz w:val="32"/>
          <w:szCs w:val="32"/>
          <w:lang w:val="zh-CN" w:eastAsia="zh-CN"/>
        </w:rPr>
        <w:t>类，重点围绕项目前期成果对后续实施的支撑作用进行分析。可行性研究报告通过专家评审，立项申报材料顺利提交，为项目实施提供了科学依据。</w:t>
      </w:r>
    </w:p>
    <w:p w14:paraId="27A78F4E">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3823945C">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color w:val="auto"/>
          <w:kern w:val="2"/>
          <w:position w:val="0"/>
          <w:sz w:val="32"/>
          <w:szCs w:val="32"/>
          <w:lang w:val="zh-CN" w:eastAsia="zh-CN" w:bidi="ar-SA"/>
        </w:rPr>
      </w:pPr>
      <w:r>
        <w:rPr>
          <w:rFonts w:hint="eastAsia" w:ascii="Times New Roman" w:hAnsi="Times New Roman" w:eastAsia="仿宋_GB2312" w:cs="Times New Roman"/>
          <w:color w:val="auto"/>
          <w:kern w:val="2"/>
          <w:position w:val="0"/>
          <w:sz w:val="32"/>
          <w:szCs w:val="32"/>
          <w:lang w:val="zh-CN" w:eastAsia="zh-CN" w:bidi="ar-SA"/>
        </w:rPr>
        <w:t>经综合评定，本项目绩效自评总分为</w:t>
      </w:r>
      <w:r>
        <w:rPr>
          <w:rFonts w:hint="eastAsia" w:ascii="Times New Roman" w:hAnsi="Times New Roman" w:eastAsia="仿宋_GB2312" w:cs="Times New Roman"/>
          <w:color w:val="auto"/>
          <w:kern w:val="2"/>
          <w:position w:val="0"/>
          <w:sz w:val="32"/>
          <w:szCs w:val="32"/>
          <w:lang w:val="en-US" w:eastAsia="zh-CN" w:bidi="ar-SA"/>
        </w:rPr>
        <w:t>95</w:t>
      </w:r>
      <w:r>
        <w:rPr>
          <w:rFonts w:hint="eastAsia" w:ascii="Times New Roman" w:hAnsi="Times New Roman" w:eastAsia="仿宋_GB2312" w:cs="Times New Roman"/>
          <w:color w:val="auto"/>
          <w:kern w:val="2"/>
          <w:position w:val="0"/>
          <w:sz w:val="32"/>
          <w:szCs w:val="32"/>
          <w:lang w:val="zh-CN" w:eastAsia="zh-CN" w:bidi="ar-SA"/>
        </w:rPr>
        <w:t xml:space="preserve"> 分，项目前期工作经费专项资金使用规范，绩效目标全面达成，前期工作成果质量较高，为项目后续实施奠定了坚实基础，项目实施情况良好。</w:t>
      </w:r>
    </w:p>
    <w:p w14:paraId="720DCD3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r>
        <w:rPr>
          <w:rFonts w:hint="eastAsia" w:ascii="Times New Roman" w:hAnsi="Times New Roman" w:eastAsia="仿宋_GB2312" w:cs="Times New Roman"/>
          <w:color w:val="auto"/>
          <w:kern w:val="2"/>
          <w:position w:val="0"/>
          <w:sz w:val="32"/>
          <w:szCs w:val="32"/>
          <w:lang w:val="zh-CN" w:eastAsia="zh-CN" w:bidi="ar-SA"/>
        </w:rPr>
        <w:t>资料收集过程中，部分数据获取难度较大，影响工作效率。</w:t>
      </w:r>
    </w:p>
    <w:p w14:paraId="1FF7C28F">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color w:val="auto"/>
          <w:kern w:val="2"/>
          <w:position w:val="0"/>
          <w:sz w:val="32"/>
          <w:szCs w:val="32"/>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r>
        <w:rPr>
          <w:rFonts w:hint="eastAsia" w:ascii="黑体" w:hAnsi="宋体" w:eastAsia="仿宋_GB2312" w:cs="Times New Roman"/>
          <w:color w:val="auto"/>
          <w:kern w:val="0"/>
          <w:position w:val="3"/>
          <w:sz w:val="32"/>
          <w:szCs w:val="32"/>
          <w:highlight w:val="none"/>
          <w:u w:val="none"/>
          <w:lang w:val="zh-CN" w:eastAsia="zh-CN" w:bidi="ar-SA"/>
        </w:rPr>
        <w:t>。</w:t>
      </w:r>
      <w:r>
        <w:rPr>
          <w:rFonts w:hint="eastAsia" w:ascii="Times New Roman" w:hAnsi="Times New Roman" w:eastAsia="仿宋_GB2312" w:cs="Times New Roman"/>
          <w:color w:val="auto"/>
          <w:kern w:val="2"/>
          <w:position w:val="0"/>
          <w:sz w:val="32"/>
          <w:szCs w:val="32"/>
          <w:lang w:val="zh-CN" w:eastAsia="zh-CN" w:bidi="ar-SA"/>
        </w:rPr>
        <w:t>提前制定详细的数据收集计划，加强与相关部门沟通协作，提高资料收集效率。</w:t>
      </w:r>
    </w:p>
    <w:p w14:paraId="35A5B820">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en-US" w:eastAsia="zh-CN" w:bidi="ar-SA"/>
        </w:rPr>
        <w:t>附表：专项资金绩效目标完成情况自评表</w:t>
      </w:r>
    </w:p>
    <w:p w14:paraId="15022B33">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1EF2EE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647"/>
        <w:gridCol w:w="792"/>
        <w:gridCol w:w="971"/>
        <w:gridCol w:w="1061"/>
        <w:gridCol w:w="938"/>
        <w:gridCol w:w="1841"/>
      </w:tblGrid>
      <w:tr w14:paraId="3A73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0FADE1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0B77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F90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4036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项目争取前期工作经费</w:t>
            </w:r>
          </w:p>
        </w:tc>
      </w:tr>
      <w:tr w14:paraId="77C0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2FD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D1FA5">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7B4E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740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B4B9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产业发展类</w:t>
            </w:r>
          </w:p>
        </w:tc>
      </w:tr>
      <w:tr w14:paraId="12B4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45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706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48C149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F246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w:t>
            </w:r>
          </w:p>
        </w:tc>
      </w:tr>
      <w:tr w14:paraId="74D9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3BD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025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2072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w:t>
            </w:r>
          </w:p>
        </w:tc>
      </w:tr>
      <w:tr w14:paraId="06CD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AF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ABD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5C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6C9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83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sym w:font="Wingdings 2" w:char="0052"/>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A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05F4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BE8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08A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4586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w:t>
            </w:r>
          </w:p>
        </w:tc>
      </w:tr>
      <w:tr w14:paraId="7877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0A7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8F3E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使用范围</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4BF0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zh-CN" w:eastAsia="zh-CN"/>
              </w:rPr>
            </w:pPr>
            <w:r>
              <w:rPr>
                <w:rFonts w:hint="eastAsia" w:ascii="宋体" w:hAnsi="宋体" w:eastAsia="宋体" w:cs="宋体"/>
                <w:i w:val="0"/>
                <w:color w:val="000000"/>
                <w:sz w:val="18"/>
                <w:szCs w:val="18"/>
                <w:u w:val="none"/>
                <w:lang w:val="zh-CN" w:eastAsia="zh-CN"/>
              </w:rPr>
              <w:t>主要用于支付咨询服务费、资料收集费、专家评审费等费用。</w:t>
            </w:r>
          </w:p>
          <w:p w14:paraId="4573B14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lang w:val="en-US" w:eastAsia="zh-CN"/>
              </w:rPr>
            </w:pPr>
          </w:p>
        </w:tc>
      </w:tr>
      <w:tr w14:paraId="1E83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9C23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AE1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EC00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根据项目开展情况</w:t>
            </w:r>
          </w:p>
        </w:tc>
      </w:tr>
      <w:tr w14:paraId="1018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E57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FED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F1A49">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w:t>
            </w:r>
          </w:p>
        </w:tc>
      </w:tr>
      <w:tr w14:paraId="2AD8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7EE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6DBDBE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6CC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1494C">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r>
      <w:tr w14:paraId="2EDA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F32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AFB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C9BB2">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r>
      <w:tr w14:paraId="6F19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6EF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C8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6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4131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5272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222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B0C2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46CA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719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FC135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积极推动天齐锂业尽快投产达效，全力推进佳威化学、宣和二期等20个在建项目建设，鼓励中遂净化、伯特利等8家企业技改扩能。</w:t>
            </w:r>
          </w:p>
        </w:tc>
      </w:tr>
      <w:tr w14:paraId="535C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7EFBC0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FA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D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8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C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7C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1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1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0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7AB3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42EAF5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6CD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87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3BF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服务规上工业企业</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86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B4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6B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6B4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仿宋_GB2312" w:cs="Times New Roman"/>
                <w:sz w:val="18"/>
                <w:szCs w:val="18"/>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65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78家</w:t>
            </w:r>
          </w:p>
        </w:tc>
      </w:tr>
      <w:tr w14:paraId="5DEB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3013C2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C3F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527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950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指导企业申报项目个数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31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24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68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9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9FB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8个</w:t>
            </w:r>
          </w:p>
        </w:tc>
      </w:tr>
      <w:tr w14:paraId="02E4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1B970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D4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489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375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争取无偿资金</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7E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397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6A3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E3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3D1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6222.8万元</w:t>
            </w:r>
          </w:p>
        </w:tc>
      </w:tr>
      <w:tr w14:paraId="14D5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AA9ADC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66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4C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3F1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F34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1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911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064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B0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3FEA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332C7E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C2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82F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333">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项目资金争取完成时间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F5D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F9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2024年12月前</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12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03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8A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已完成</w:t>
            </w:r>
          </w:p>
        </w:tc>
      </w:tr>
      <w:tr w14:paraId="17D2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0A72A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C9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A15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E2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36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A5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62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EB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75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12DA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AA1401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AB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E7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3F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242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F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0C4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A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91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0B2A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C8C0F0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27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0B5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经济效益</w:t>
            </w:r>
          </w:p>
          <w:p w14:paraId="4C812F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7C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提升企业产能</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D5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BA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持续提升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A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60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2F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持续提升</w:t>
            </w:r>
          </w:p>
        </w:tc>
      </w:tr>
      <w:tr w14:paraId="32F3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EDD9CE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8B7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AB5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CB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03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DB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03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0E2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342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FC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C104F1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115D59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25594C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4FBF2A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633DBD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A4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企业满意率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89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C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00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83C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1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6A96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A9D2FA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27E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8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经济成本</w:t>
            </w:r>
          </w:p>
          <w:p w14:paraId="70F123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647" w:type="dxa"/>
            <w:tcBorders>
              <w:top w:val="single" w:color="000000" w:sz="4" w:space="0"/>
              <w:bottom w:val="single" w:color="000000" w:sz="4" w:space="0"/>
              <w:right w:val="single" w:color="000000" w:sz="4" w:space="0"/>
            </w:tcBorders>
            <w:shd w:val="clear" w:color="auto" w:fill="auto"/>
            <w:vAlign w:val="center"/>
          </w:tcPr>
          <w:p w14:paraId="229D7000">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项目争取经费</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3C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A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3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C8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0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5万元</w:t>
            </w:r>
          </w:p>
        </w:tc>
      </w:tr>
      <w:tr w14:paraId="4174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BBB91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C04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6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47" w:type="dxa"/>
            <w:tcBorders>
              <w:top w:val="single" w:color="000000" w:sz="4" w:space="0"/>
              <w:bottom w:val="single" w:color="000000" w:sz="4" w:space="0"/>
              <w:right w:val="single" w:color="000000" w:sz="4" w:space="0"/>
            </w:tcBorders>
            <w:shd w:val="clear" w:color="auto" w:fill="auto"/>
            <w:vAlign w:val="center"/>
          </w:tcPr>
          <w:p w14:paraId="4F0FB0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49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0D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366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256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01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0F3C88A6">
      <w:pPr>
        <w:spacing w:line="600" w:lineRule="exact"/>
        <w:jc w:val="center"/>
        <w:outlineLvl w:val="0"/>
        <w:rPr>
          <w:rFonts w:hint="eastAsia" w:ascii="黑体" w:hAnsi="黑体" w:eastAsia="黑体"/>
          <w:color w:val="auto"/>
          <w:sz w:val="44"/>
          <w:szCs w:val="44"/>
          <w:highlight w:val="none"/>
        </w:rPr>
      </w:pPr>
    </w:p>
    <w:p w14:paraId="31204D0D">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67A33E5C">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rPr>
          <w:rFonts w:hint="eastAsia"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en-US" w:eastAsia="zh-CN" w:bidi="ar-SA"/>
        </w:rPr>
        <w:t>（白马110千伏变电站新建工程养老保险补偿费差口资金费用）</w:t>
      </w:r>
    </w:p>
    <w:p w14:paraId="17C0E9A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cs="Times New Roman"/>
          <w:sz w:val="32"/>
          <w:szCs w:val="32"/>
          <w:highlight w:val="none"/>
          <w:lang w:val="zh-CN"/>
        </w:rPr>
      </w:pPr>
      <w:r>
        <w:rPr>
          <w:rFonts w:hint="eastAsia" w:ascii="黑体" w:hAnsi="宋体" w:eastAsia="黑体" w:cs="Times New Roman"/>
          <w:sz w:val="32"/>
          <w:szCs w:val="32"/>
          <w:highlight w:val="none"/>
        </w:rPr>
        <w:t>一、</w:t>
      </w:r>
      <w:r>
        <w:rPr>
          <w:rFonts w:hint="eastAsia" w:ascii="黑体" w:hAnsi="宋体" w:eastAsia="黑体" w:cs="Times New Roman"/>
          <w:sz w:val="32"/>
          <w:szCs w:val="32"/>
          <w:highlight w:val="none"/>
          <w:lang w:val="zh-CN"/>
        </w:rPr>
        <w:t>项目概况</w:t>
      </w:r>
    </w:p>
    <w:p w14:paraId="7F2F27A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rPr>
        <w:t>（一）设立背景及基本情况</w:t>
      </w:r>
      <w:r>
        <w:rPr>
          <w:rFonts w:hint="eastAsia" w:ascii="楷体_GB2312" w:hAnsi="宋体" w:eastAsia="楷体_GB2312" w:cs="Times New Roman"/>
          <w:b w:val="0"/>
          <w:bCs/>
          <w:color w:val="auto"/>
          <w:sz w:val="32"/>
          <w:szCs w:val="32"/>
          <w:highlight w:val="none"/>
          <w:u w:val="none"/>
          <w:lang w:val="en-US" w:eastAsia="zh-CN"/>
        </w:rPr>
        <w:t>。</w:t>
      </w:r>
      <w:r>
        <w:rPr>
          <w:rFonts w:hint="eastAsia" w:ascii="Times New Roman" w:hAnsi="Times New Roman" w:eastAsia="仿宋_GB2312" w:cs="Times New Roman"/>
          <w:color w:val="auto"/>
          <w:kern w:val="2"/>
          <w:position w:val="0"/>
          <w:sz w:val="32"/>
          <w:szCs w:val="32"/>
          <w:lang w:val="zh-CN" w:eastAsia="zh-CN" w:bidi="ar-SA"/>
        </w:rPr>
        <w:t>白马</w:t>
      </w:r>
      <w:r>
        <w:rPr>
          <w:rFonts w:hint="eastAsia" w:ascii="Times New Roman" w:hAnsi="Times New Roman" w:eastAsia="仿宋_GB2312" w:cs="Times New Roman"/>
          <w:color w:val="auto"/>
          <w:kern w:val="2"/>
          <w:position w:val="0"/>
          <w:sz w:val="32"/>
          <w:szCs w:val="32"/>
          <w:lang w:val="en-US" w:eastAsia="zh-CN" w:bidi="ar-SA"/>
        </w:rPr>
        <w:t>110千伏变电站新建工程项目于2023年5月建成投运，按照协议及用地费用资金分配方案要求，明星电力与政府议定，参照同盟站测算缴存社会保障资金184.2万元，后根据区社保局《关于缴存白马110千伏输变电工程养老保险补偿费的函》,核算15人养老保险差口资金99.2万元。</w:t>
      </w:r>
    </w:p>
    <w:p w14:paraId="43153D85">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rPr>
        <w:t>（二）</w:t>
      </w:r>
      <w:r>
        <w:rPr>
          <w:rFonts w:hint="default" w:ascii="楷体_GB2312" w:hAnsi="宋体" w:eastAsia="楷体_GB2312" w:cs="Times New Roman"/>
          <w:b w:val="0"/>
          <w:bCs/>
          <w:color w:val="auto"/>
          <w:sz w:val="32"/>
          <w:szCs w:val="32"/>
          <w:highlight w:val="none"/>
          <w:u w:val="none"/>
          <w:lang w:val="en-US" w:eastAsia="zh-CN"/>
        </w:rPr>
        <w:t>实施目的及支持方向</w:t>
      </w:r>
      <w:r>
        <w:rPr>
          <w:rFonts w:hint="eastAsia" w:ascii="楷体_GB2312" w:hAnsi="宋体" w:eastAsia="楷体_GB2312" w:cs="Times New Roman"/>
          <w:b w:val="0"/>
          <w:bCs/>
          <w:color w:val="auto"/>
          <w:sz w:val="32"/>
          <w:szCs w:val="32"/>
          <w:highlight w:val="none"/>
          <w:u w:val="none"/>
          <w:lang w:val="en-US" w:eastAsia="zh-CN"/>
        </w:rPr>
        <w:t>。</w:t>
      </w:r>
      <w:r>
        <w:rPr>
          <w:rFonts w:hint="eastAsia" w:ascii="Times New Roman" w:hAnsi="Times New Roman" w:eastAsia="仿宋_GB2312" w:cs="Times New Roman"/>
          <w:color w:val="auto"/>
          <w:kern w:val="2"/>
          <w:position w:val="0"/>
          <w:sz w:val="32"/>
          <w:szCs w:val="32"/>
          <w:lang w:val="en-US" w:eastAsia="zh-CN" w:bidi="ar-SA"/>
        </w:rPr>
        <w:t>为妥善解决白马变电站建设征用土地，解决15名群众社保差口资金</w:t>
      </w:r>
      <w:r>
        <w:rPr>
          <w:rFonts w:hint="eastAsia" w:ascii="Times New Roman" w:hAnsi="Times New Roman" w:eastAsia="仿宋_GB2312" w:cs="Times New Roman"/>
          <w:color w:val="auto"/>
          <w:kern w:val="2"/>
          <w:position w:val="0"/>
          <w:sz w:val="32"/>
          <w:szCs w:val="32"/>
          <w:lang w:val="zh-CN" w:eastAsia="zh-CN" w:bidi="ar-SA"/>
        </w:rPr>
        <w:t>。</w:t>
      </w:r>
    </w:p>
    <w:p w14:paraId="0154FA9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default" w:ascii="楷体_GB2312" w:hAnsi="宋体" w:eastAsia="楷体_GB2312" w:cs="Times New Roman"/>
          <w:b w:val="0"/>
          <w:bCs/>
          <w:color w:val="auto"/>
          <w:sz w:val="32"/>
          <w:szCs w:val="32"/>
          <w:highlight w:val="none"/>
          <w:u w:val="none"/>
          <w:lang w:val="en-US" w:eastAsia="zh-CN"/>
        </w:rPr>
        <w:t>预算安排及分配管理</w:t>
      </w:r>
      <w:r>
        <w:rPr>
          <w:rFonts w:hint="eastAsia" w:ascii="楷体_GB2312" w:hAnsi="宋体" w:eastAsia="楷体_GB2312" w:cs="Times New Roman"/>
          <w:b w:val="0"/>
          <w:bCs/>
          <w:color w:val="auto"/>
          <w:sz w:val="32"/>
          <w:szCs w:val="32"/>
          <w:highlight w:val="none"/>
          <w:u w:val="none"/>
          <w:lang w:val="zh-CN" w:eastAsia="zh-CN"/>
        </w:rPr>
        <w:t>。</w:t>
      </w:r>
      <w:r>
        <w:rPr>
          <w:rFonts w:hint="eastAsia" w:ascii="Times New Roman" w:hAnsi="Times New Roman" w:eastAsia="仿宋_GB2312" w:cs="Times New Roman"/>
          <w:color w:val="auto"/>
          <w:kern w:val="2"/>
          <w:position w:val="0"/>
          <w:sz w:val="32"/>
          <w:szCs w:val="32"/>
          <w:lang w:val="zh-CN" w:eastAsia="zh-CN" w:bidi="ar-SA"/>
        </w:rPr>
        <w:t>预算安排资金</w:t>
      </w:r>
      <w:r>
        <w:rPr>
          <w:rFonts w:hint="eastAsia" w:ascii="Times New Roman" w:hAnsi="Times New Roman" w:eastAsia="仿宋_GB2312" w:cs="Times New Roman"/>
          <w:color w:val="auto"/>
          <w:kern w:val="2"/>
          <w:position w:val="0"/>
          <w:sz w:val="32"/>
          <w:szCs w:val="32"/>
          <w:lang w:val="en-US" w:eastAsia="zh-CN" w:bidi="ar-SA"/>
        </w:rPr>
        <w:t>99.2万元，主要用于15人养老保险资金差口。</w:t>
      </w:r>
    </w:p>
    <w:p w14:paraId="0054C5C6">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（四）项目绩效目标设置。</w:t>
      </w:r>
      <w:r>
        <w:rPr>
          <w:rFonts w:hint="eastAsia" w:ascii="Times New Roman" w:hAnsi="Times New Roman" w:eastAsia="仿宋_GB2312" w:cs="Times New Roman"/>
          <w:color w:val="auto"/>
          <w:kern w:val="2"/>
          <w:position w:val="0"/>
          <w:sz w:val="32"/>
          <w:szCs w:val="32"/>
          <w:lang w:val="zh-CN" w:eastAsia="zh-CN" w:bidi="ar-SA"/>
        </w:rPr>
        <w:t>项目绩效主要为妥善解决</w:t>
      </w:r>
      <w:r>
        <w:rPr>
          <w:rFonts w:hint="eastAsia" w:ascii="Times New Roman" w:hAnsi="Times New Roman" w:eastAsia="仿宋_GB2312" w:cs="Times New Roman"/>
          <w:color w:val="auto"/>
          <w:kern w:val="2"/>
          <w:position w:val="0"/>
          <w:sz w:val="32"/>
          <w:szCs w:val="32"/>
          <w:lang w:val="en-US" w:eastAsia="zh-CN" w:bidi="ar-SA"/>
        </w:rPr>
        <w:t>15名群众养老保险资金差口，有效解决群众信访事宜。</w:t>
      </w:r>
    </w:p>
    <w:p w14:paraId="5B91239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cs="Times New Roman"/>
          <w:sz w:val="32"/>
          <w:szCs w:val="32"/>
          <w:highlight w:val="none"/>
          <w:lang w:eastAsia="zh-CN"/>
        </w:rPr>
      </w:pPr>
      <w:r>
        <w:rPr>
          <w:rFonts w:hint="eastAsia" w:ascii="黑体" w:hAnsi="宋体" w:eastAsia="黑体" w:cs="Times New Roman"/>
          <w:sz w:val="32"/>
          <w:szCs w:val="32"/>
          <w:highlight w:val="none"/>
        </w:rPr>
        <w:t>二、</w:t>
      </w:r>
      <w:r>
        <w:rPr>
          <w:rFonts w:hint="eastAsia" w:ascii="黑体" w:hAnsi="宋体" w:eastAsia="黑体" w:cs="Times New Roman"/>
          <w:sz w:val="32"/>
          <w:szCs w:val="32"/>
          <w:highlight w:val="none"/>
          <w:lang w:eastAsia="zh-CN"/>
        </w:rPr>
        <w:t>评价实施</w:t>
      </w:r>
    </w:p>
    <w:p w14:paraId="61CE7FF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（一）评价目的。</w:t>
      </w:r>
      <w:r>
        <w:rPr>
          <w:rFonts w:hint="eastAsia" w:ascii="Times New Roman" w:hAnsi="Times New Roman" w:eastAsia="仿宋_GB2312" w:cs="Times New Roman"/>
          <w:color w:val="auto"/>
          <w:kern w:val="2"/>
          <w:position w:val="0"/>
          <w:sz w:val="32"/>
          <w:szCs w:val="32"/>
          <w:lang w:val="zh-CN" w:eastAsia="zh-CN" w:bidi="ar-SA"/>
        </w:rPr>
        <w:t>通过绩效评价掌握产出效益是否达到预期目标，合理使用专项资金。</w:t>
      </w:r>
    </w:p>
    <w:p w14:paraId="2F08897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（二）预设问题及评价重点。</w:t>
      </w:r>
      <w:r>
        <w:rPr>
          <w:rFonts w:hint="eastAsia" w:ascii="Times New Roman" w:hAnsi="Times New Roman" w:eastAsia="仿宋_GB2312" w:cs="Times New Roman"/>
          <w:color w:val="auto"/>
          <w:kern w:val="2"/>
          <w:position w:val="0"/>
          <w:sz w:val="32"/>
          <w:szCs w:val="32"/>
          <w:lang w:val="zh-CN" w:eastAsia="zh-CN" w:bidi="ar-SA"/>
        </w:rPr>
        <w:t>通过养老保险资金补差，有效解决群众遗留问题，达到预期效果。</w:t>
      </w:r>
    </w:p>
    <w:p w14:paraId="5712E87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（三）评价选点。</w:t>
      </w:r>
      <w:r>
        <w:rPr>
          <w:rFonts w:hint="eastAsia" w:ascii="Times New Roman" w:hAnsi="Times New Roman" w:eastAsia="仿宋_GB2312" w:cs="Times New Roman"/>
          <w:color w:val="auto"/>
          <w:kern w:val="2"/>
          <w:position w:val="0"/>
          <w:sz w:val="32"/>
          <w:szCs w:val="32"/>
          <w:lang w:val="zh-CN" w:eastAsia="zh-CN" w:bidi="ar-SA"/>
        </w:rPr>
        <w:t>项目绩效自评所抽样点位情况。</w:t>
      </w:r>
    </w:p>
    <w:p w14:paraId="56BDCC0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（四）评价方法。</w:t>
      </w:r>
      <w:r>
        <w:rPr>
          <w:rFonts w:hint="eastAsia" w:ascii="Times New Roman" w:hAnsi="Times New Roman" w:eastAsia="仿宋_GB2312" w:cs="Times New Roman"/>
          <w:color w:val="auto"/>
          <w:kern w:val="2"/>
          <w:position w:val="0"/>
          <w:sz w:val="32"/>
          <w:szCs w:val="32"/>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76D1D22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color w:val="auto"/>
          <w:kern w:val="2"/>
          <w:position w:val="0"/>
          <w:sz w:val="32"/>
          <w:szCs w:val="32"/>
          <w:lang w:val="zh-CN" w:eastAsia="zh-CN" w:bidi="ar-SA"/>
        </w:rPr>
      </w:pPr>
      <w:r>
        <w:rPr>
          <w:rFonts w:hint="eastAsia" w:ascii="楷体_GB2312" w:hAnsi="宋体" w:eastAsia="楷体_GB2312" w:cs="Times New Roman"/>
          <w:b w:val="0"/>
          <w:bCs/>
          <w:color w:val="auto"/>
          <w:sz w:val="32"/>
          <w:szCs w:val="32"/>
          <w:highlight w:val="none"/>
          <w:u w:val="none"/>
          <w:lang w:val="zh-CN" w:eastAsia="zh-CN"/>
        </w:rPr>
        <w:t>（五）评价组织。</w:t>
      </w:r>
      <w:r>
        <w:rPr>
          <w:rFonts w:hint="default" w:ascii="Times New Roman" w:hAnsi="Times New Roman" w:eastAsia="仿宋_GB2312" w:cs="Times New Roman"/>
          <w:color w:val="auto"/>
          <w:kern w:val="2"/>
          <w:position w:val="0"/>
          <w:sz w:val="32"/>
          <w:szCs w:val="32"/>
          <w:lang w:val="zh-CN" w:eastAsia="zh-CN" w:bidi="ar-SA"/>
        </w:rPr>
        <w:t>由业务分管领导和业务股室配合开展评价工作。</w:t>
      </w:r>
    </w:p>
    <w:p w14:paraId="04A1A0D6">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s="Times New Roman"/>
          <w:color w:val="auto"/>
          <w:sz w:val="32"/>
          <w:szCs w:val="32"/>
          <w:highlight w:val="none"/>
          <w:u w:val="none"/>
          <w:lang w:val="zh-CN"/>
        </w:rPr>
      </w:pPr>
      <w:r>
        <w:rPr>
          <w:rFonts w:hint="eastAsia" w:ascii="黑体" w:hAnsi="宋体" w:eastAsia="黑体" w:cs="Times New Roman"/>
          <w:color w:val="auto"/>
          <w:sz w:val="32"/>
          <w:szCs w:val="32"/>
          <w:highlight w:val="none"/>
          <w:u w:val="none"/>
        </w:rPr>
        <w:t>三、</w:t>
      </w:r>
      <w:r>
        <w:rPr>
          <w:rFonts w:hint="eastAsia" w:ascii="黑体" w:hAnsi="宋体" w:eastAsia="黑体" w:cs="Times New Roman"/>
          <w:color w:val="auto"/>
          <w:sz w:val="32"/>
          <w:szCs w:val="32"/>
          <w:highlight w:val="none"/>
          <w:u w:val="none"/>
          <w:lang w:eastAsia="zh-CN"/>
        </w:rPr>
        <w:t>绩效分析</w:t>
      </w:r>
      <w:r>
        <w:rPr>
          <w:rFonts w:hint="eastAsia" w:ascii="仿宋_GB2312" w:hAnsi="宋体" w:eastAsia="仿宋_GB2312" w:cs="Times New Roman"/>
          <w:color w:val="auto"/>
          <w:sz w:val="32"/>
          <w:szCs w:val="32"/>
          <w:highlight w:val="none"/>
          <w:u w:val="none"/>
          <w:lang w:val="zh-CN"/>
        </w:rPr>
        <w:tab/>
      </w:r>
    </w:p>
    <w:p w14:paraId="4362962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楷体_GB2312" w:hAnsi="宋体" w:eastAsia="楷体_GB2312" w:cs="Times New Roman"/>
          <w:b w:val="0"/>
          <w:bCs/>
          <w:color w:val="auto"/>
          <w:sz w:val="32"/>
          <w:szCs w:val="32"/>
          <w:highlight w:val="none"/>
          <w:u w:val="none"/>
          <w:lang w:val="zh-CN" w:eastAsia="zh-CN"/>
        </w:rPr>
      </w:pPr>
      <w:r>
        <w:rPr>
          <w:rFonts w:hint="eastAsia" w:ascii="楷体_GB2312" w:hAnsi="宋体" w:eastAsia="楷体_GB2312" w:cs="Times New Roman"/>
          <w:b w:val="0"/>
          <w:bCs/>
          <w:color w:val="auto"/>
          <w:sz w:val="32"/>
          <w:szCs w:val="32"/>
          <w:highlight w:val="none"/>
          <w:u w:val="none"/>
          <w:lang w:val="zh-CN" w:eastAsia="zh-CN"/>
        </w:rPr>
        <w:t>（一）</w:t>
      </w:r>
      <w:r>
        <w:rPr>
          <w:rFonts w:hint="eastAsia" w:ascii="楷体_GB2312" w:hAnsi="宋体" w:eastAsia="楷体_GB2312" w:cs="Times New Roman"/>
          <w:b w:val="0"/>
          <w:bCs/>
          <w:color w:val="auto"/>
          <w:sz w:val="32"/>
          <w:szCs w:val="32"/>
          <w:highlight w:val="none"/>
          <w:u w:val="none"/>
          <w:lang w:val="en-US" w:eastAsia="zh-CN"/>
        </w:rPr>
        <w:t>通用指标</w:t>
      </w:r>
      <w:r>
        <w:rPr>
          <w:rFonts w:hint="default" w:ascii="楷体_GB2312" w:hAnsi="宋体" w:eastAsia="楷体_GB2312" w:cs="Times New Roman"/>
          <w:b w:val="0"/>
          <w:bCs/>
          <w:color w:val="auto"/>
          <w:sz w:val="32"/>
          <w:szCs w:val="32"/>
          <w:highlight w:val="none"/>
          <w:u w:val="none"/>
          <w:lang w:val="zh-CN" w:eastAsia="zh-CN"/>
        </w:rPr>
        <w:t>绩效分析</w:t>
      </w:r>
    </w:p>
    <w:p w14:paraId="421F55A2">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auto"/>
          <w:kern w:val="2"/>
          <w:position w:val="0"/>
          <w:sz w:val="32"/>
          <w:szCs w:val="32"/>
          <w:lang w:val="zh-CN" w:eastAsia="zh-CN" w:bidi="ar-SA"/>
        </w:rPr>
      </w:pPr>
      <w:r>
        <w:rPr>
          <w:rFonts w:hint="eastAsia" w:ascii="Times New Roman" w:hAnsi="Times New Roman" w:eastAsia="仿宋_GB2312" w:cs="Times New Roman"/>
          <w:color w:val="auto"/>
          <w:kern w:val="2"/>
          <w:position w:val="0"/>
          <w:sz w:val="32"/>
          <w:szCs w:val="32"/>
          <w:lang w:val="en-US" w:eastAsia="zh-CN" w:bidi="ar-SA"/>
        </w:rPr>
        <w:t xml:space="preserve">1. </w:t>
      </w:r>
      <w:r>
        <w:rPr>
          <w:rFonts w:hint="eastAsia" w:ascii="Times New Roman" w:hAnsi="Times New Roman" w:eastAsia="仿宋_GB2312" w:cs="Times New Roman"/>
          <w:color w:val="auto"/>
          <w:kern w:val="2"/>
          <w:position w:val="0"/>
          <w:sz w:val="32"/>
          <w:szCs w:val="32"/>
          <w:lang w:val="zh-CN" w:eastAsia="zh-CN" w:bidi="ar-SA"/>
        </w:rPr>
        <w:t>项目决策。项目以正式文件请示报告，由区财政统筹安排资金。</w:t>
      </w:r>
    </w:p>
    <w:p w14:paraId="7DC78BA8">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color w:val="auto"/>
          <w:kern w:val="2"/>
          <w:position w:val="0"/>
          <w:sz w:val="32"/>
          <w:szCs w:val="32"/>
          <w:lang w:val="zh-CN" w:eastAsia="zh-CN" w:bidi="ar-SA"/>
        </w:rPr>
      </w:pPr>
      <w:r>
        <w:rPr>
          <w:rFonts w:hint="eastAsia" w:ascii="Times New Roman" w:hAnsi="Times New Roman" w:eastAsia="仿宋_GB2312" w:cs="Times New Roman"/>
          <w:color w:val="auto"/>
          <w:kern w:val="2"/>
          <w:position w:val="0"/>
          <w:sz w:val="32"/>
          <w:szCs w:val="32"/>
          <w:lang w:val="en-US" w:eastAsia="zh-CN" w:bidi="ar-SA"/>
        </w:rPr>
        <w:t xml:space="preserve">2. </w:t>
      </w:r>
      <w:r>
        <w:rPr>
          <w:rFonts w:hint="eastAsia" w:ascii="Times New Roman" w:hAnsi="Times New Roman" w:eastAsia="仿宋_GB2312" w:cs="Times New Roman"/>
          <w:color w:val="auto"/>
          <w:kern w:val="2"/>
          <w:position w:val="0"/>
          <w:sz w:val="32"/>
          <w:szCs w:val="32"/>
          <w:lang w:val="zh-CN" w:eastAsia="zh-CN" w:bidi="ar-SA"/>
        </w:rPr>
        <w:t>项目管理。项目严格按照专项资金使用要求及相关资金管理办法实施。</w:t>
      </w:r>
    </w:p>
    <w:p w14:paraId="3511257B">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color w:val="auto"/>
          <w:kern w:val="2"/>
          <w:position w:val="0"/>
          <w:sz w:val="32"/>
          <w:szCs w:val="32"/>
          <w:lang w:val="zh-CN" w:eastAsia="zh-CN" w:bidi="ar-SA"/>
        </w:rPr>
      </w:pPr>
      <w:r>
        <w:rPr>
          <w:rFonts w:hint="eastAsia" w:ascii="Times New Roman" w:hAnsi="Times New Roman" w:eastAsia="仿宋_GB2312" w:cs="Times New Roman"/>
          <w:color w:val="auto"/>
          <w:kern w:val="2"/>
          <w:position w:val="0"/>
          <w:sz w:val="32"/>
          <w:szCs w:val="32"/>
          <w:lang w:val="en-US" w:eastAsia="zh-CN" w:bidi="ar-SA"/>
        </w:rPr>
        <w:t>3. 项目实施。专款专用</w:t>
      </w:r>
      <w:r>
        <w:rPr>
          <w:rFonts w:hint="eastAsia" w:ascii="Times New Roman" w:hAnsi="Times New Roman" w:eastAsia="仿宋_GB2312" w:cs="Times New Roman"/>
          <w:color w:val="auto"/>
          <w:kern w:val="2"/>
          <w:position w:val="0"/>
          <w:sz w:val="32"/>
          <w:szCs w:val="32"/>
          <w:lang w:val="zh-CN" w:eastAsia="zh-CN" w:bidi="ar-SA"/>
        </w:rPr>
        <w:t>。</w:t>
      </w:r>
    </w:p>
    <w:p w14:paraId="0D80104A">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en-US" w:eastAsia="zh-CN" w:bidi="ar-SA"/>
        </w:rPr>
        <w:t>4. 项目结果。围绕</w:t>
      </w:r>
      <w:r>
        <w:rPr>
          <w:rFonts w:hint="eastAsia" w:ascii="Times New Roman" w:hAnsi="Times New Roman" w:eastAsia="仿宋_GB2312" w:cs="Times New Roman"/>
          <w:color w:val="auto"/>
          <w:kern w:val="2"/>
          <w:position w:val="0"/>
          <w:sz w:val="32"/>
          <w:szCs w:val="32"/>
          <w:lang w:val="zh-CN" w:eastAsia="zh-CN" w:bidi="ar-SA"/>
        </w:rPr>
        <w:t>目标完成、完成时效进行绩效分析，该项目自评</w:t>
      </w:r>
      <w:r>
        <w:rPr>
          <w:rFonts w:hint="eastAsia" w:ascii="Times New Roman" w:hAnsi="Times New Roman" w:eastAsia="仿宋_GB2312" w:cs="Times New Roman"/>
          <w:color w:val="auto"/>
          <w:kern w:val="2"/>
          <w:position w:val="0"/>
          <w:sz w:val="32"/>
          <w:szCs w:val="32"/>
          <w:lang w:val="en-US" w:eastAsia="zh-CN" w:bidi="ar-SA"/>
        </w:rPr>
        <w:t>100分</w:t>
      </w:r>
    </w:p>
    <w:p w14:paraId="65F8D54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仿宋_GB2312" w:cs="Times New Roman"/>
          <w:color w:val="auto"/>
          <w:kern w:val="2"/>
          <w:position w:val="0"/>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（二）</w:t>
      </w:r>
      <w:r>
        <w:rPr>
          <w:rFonts w:hint="eastAsia" w:ascii="楷体_GB2312" w:hAnsi="宋体" w:eastAsia="楷体_GB2312" w:cs="Times New Roman"/>
          <w:b w:val="0"/>
          <w:bCs/>
          <w:color w:val="auto"/>
          <w:sz w:val="32"/>
          <w:szCs w:val="32"/>
          <w:highlight w:val="none"/>
          <w:u w:val="none"/>
          <w:lang w:val="en-US" w:eastAsia="zh-CN"/>
        </w:rPr>
        <w:t>专用指标</w:t>
      </w:r>
      <w:r>
        <w:rPr>
          <w:rFonts w:hint="default" w:ascii="楷体_GB2312" w:hAnsi="宋体" w:eastAsia="楷体_GB2312" w:cs="Times New Roman"/>
          <w:b w:val="0"/>
          <w:bCs/>
          <w:color w:val="auto"/>
          <w:sz w:val="32"/>
          <w:szCs w:val="32"/>
          <w:highlight w:val="none"/>
          <w:u w:val="none"/>
          <w:lang w:val="zh-CN" w:eastAsia="zh-CN"/>
        </w:rPr>
        <w:t>绩效分析。</w:t>
      </w:r>
      <w:r>
        <w:rPr>
          <w:rFonts w:hint="eastAsia" w:ascii="Times New Roman" w:hAnsi="Times New Roman" w:eastAsia="仿宋_GB2312" w:cs="Times New Roman"/>
          <w:color w:val="auto"/>
          <w:kern w:val="2"/>
          <w:position w:val="0"/>
          <w:sz w:val="32"/>
          <w:szCs w:val="32"/>
          <w:lang w:val="zh-CN" w:eastAsia="zh-CN" w:bidi="ar-SA"/>
        </w:rPr>
        <w:t>该项资金有效解决了</w:t>
      </w:r>
      <w:r>
        <w:rPr>
          <w:rFonts w:hint="eastAsia" w:ascii="Times New Roman" w:hAnsi="Times New Roman" w:eastAsia="仿宋_GB2312" w:cs="Times New Roman"/>
          <w:color w:val="auto"/>
          <w:kern w:val="2"/>
          <w:position w:val="0"/>
          <w:sz w:val="32"/>
          <w:szCs w:val="32"/>
          <w:lang w:val="en-US" w:eastAsia="zh-CN" w:bidi="ar-SA"/>
        </w:rPr>
        <w:t>15名群众社保问题</w:t>
      </w:r>
      <w:r>
        <w:rPr>
          <w:rFonts w:hint="eastAsia" w:ascii="Times New Roman" w:hAnsi="Times New Roman" w:eastAsia="仿宋_GB2312" w:cs="Times New Roman"/>
          <w:color w:val="auto"/>
          <w:kern w:val="2"/>
          <w:position w:val="0"/>
          <w:sz w:val="32"/>
          <w:szCs w:val="32"/>
          <w:lang w:val="zh-CN" w:eastAsia="zh-CN" w:bidi="ar-SA"/>
        </w:rPr>
        <w:t>。</w:t>
      </w:r>
    </w:p>
    <w:p w14:paraId="4CB9DA35">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firstLineChars="200"/>
        <w:jc w:val="left"/>
        <w:textAlignment w:val="auto"/>
        <w:rPr>
          <w:rFonts w:hint="default" w:ascii="Times New Roman" w:hAnsi="Times New Roman" w:eastAsia="仿宋_GB2312" w:cs="Times New Roman"/>
          <w:color w:val="auto"/>
          <w:kern w:val="2"/>
          <w:position w:val="0"/>
          <w:sz w:val="32"/>
          <w:szCs w:val="32"/>
          <w:lang w:val="en-US" w:eastAsia="zh-CN" w:bidi="ar-SA"/>
        </w:rPr>
      </w:pPr>
      <w:r>
        <w:rPr>
          <w:rFonts w:hint="eastAsia" w:ascii="Times New Roman" w:hAnsi="Times New Roman" w:eastAsia="仿宋_GB2312" w:cs="Times New Roman"/>
          <w:color w:val="auto"/>
          <w:kern w:val="2"/>
          <w:position w:val="0"/>
          <w:sz w:val="32"/>
          <w:szCs w:val="32"/>
          <w:lang w:val="en-US" w:eastAsia="zh-CN" w:bidi="ar-SA"/>
        </w:rPr>
        <w:t xml:space="preserve">1. </w:t>
      </w:r>
      <w:r>
        <w:rPr>
          <w:rFonts w:hint="eastAsia" w:ascii="Times New Roman" w:hAnsi="Times New Roman" w:eastAsia="仿宋_GB2312" w:cs="Times New Roman"/>
          <w:color w:val="auto"/>
          <w:kern w:val="2"/>
          <w:position w:val="0"/>
          <w:sz w:val="32"/>
          <w:szCs w:val="32"/>
          <w:lang w:val="zh-CN" w:eastAsia="zh-CN" w:bidi="ar-SA"/>
        </w:rPr>
        <w:t>民生保障。该项目主要通过解决白马</w:t>
      </w:r>
      <w:r>
        <w:rPr>
          <w:rFonts w:hint="eastAsia" w:ascii="Times New Roman" w:hAnsi="Times New Roman" w:eastAsia="仿宋_GB2312" w:cs="Times New Roman"/>
          <w:color w:val="auto"/>
          <w:kern w:val="2"/>
          <w:position w:val="0"/>
          <w:sz w:val="32"/>
          <w:szCs w:val="32"/>
          <w:lang w:val="en-US" w:eastAsia="zh-CN" w:bidi="ar-SA"/>
        </w:rPr>
        <w:t>110站征地，群众养老保险差口资金99.2万元，</w:t>
      </w:r>
    </w:p>
    <w:p w14:paraId="5B6A129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Times New Roman" w:hAnsi="Times New Roman" w:eastAsia="仿宋_GB2312" w:cs="Times New Roman"/>
          <w:color w:val="auto"/>
          <w:kern w:val="2"/>
          <w:position w:val="0"/>
          <w:sz w:val="32"/>
          <w:szCs w:val="32"/>
          <w:lang w:val="en-US" w:eastAsia="zh-CN" w:bidi="ar-SA"/>
        </w:rPr>
      </w:pPr>
      <w:r>
        <w:rPr>
          <w:rFonts w:hint="eastAsia" w:ascii="楷体_GB2312" w:hAnsi="宋体" w:eastAsia="楷体_GB2312" w:cs="Times New Roman"/>
          <w:b w:val="0"/>
          <w:bCs/>
          <w:color w:val="auto"/>
          <w:sz w:val="32"/>
          <w:szCs w:val="32"/>
          <w:highlight w:val="none"/>
          <w:u w:val="none"/>
          <w:lang w:val="zh-CN" w:eastAsia="zh-CN"/>
        </w:rPr>
        <w:t>（三）</w:t>
      </w:r>
      <w:r>
        <w:rPr>
          <w:rFonts w:hint="eastAsia" w:ascii="楷体_GB2312" w:hAnsi="宋体" w:eastAsia="楷体_GB2312" w:cs="Times New Roman"/>
          <w:b w:val="0"/>
          <w:bCs/>
          <w:color w:val="auto"/>
          <w:sz w:val="32"/>
          <w:szCs w:val="32"/>
          <w:highlight w:val="none"/>
          <w:u w:val="none"/>
          <w:lang w:val="en-US" w:eastAsia="zh-CN"/>
        </w:rPr>
        <w:t>个性指标</w:t>
      </w:r>
      <w:r>
        <w:rPr>
          <w:rFonts w:hint="default" w:ascii="楷体_GB2312" w:hAnsi="宋体" w:eastAsia="楷体_GB2312" w:cs="Times New Roman"/>
          <w:b w:val="0"/>
          <w:bCs/>
          <w:color w:val="auto"/>
          <w:sz w:val="32"/>
          <w:szCs w:val="32"/>
          <w:highlight w:val="none"/>
          <w:u w:val="none"/>
          <w:lang w:val="zh-CN" w:eastAsia="zh-CN"/>
        </w:rPr>
        <w:t>绩效分析。</w:t>
      </w:r>
      <w:r>
        <w:rPr>
          <w:rFonts w:hint="eastAsia" w:ascii="Times New Roman" w:hAnsi="Times New Roman" w:eastAsia="仿宋_GB2312" w:cs="Times New Roman"/>
          <w:color w:val="auto"/>
          <w:kern w:val="2"/>
          <w:position w:val="0"/>
          <w:sz w:val="32"/>
          <w:szCs w:val="32"/>
          <w:lang w:val="zh-CN" w:eastAsia="zh-CN" w:bidi="ar-SA"/>
        </w:rPr>
        <w:t>根据项目个性自行设定部分指标，反映该项指标执行完成情况。</w:t>
      </w:r>
    </w:p>
    <w:p w14:paraId="5D60466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016DA151">
      <w:pPr>
        <w:keepNext w:val="0"/>
        <w:keepLines w:val="0"/>
        <w:widowControl w:val="0"/>
        <w:suppressLineNumbers w:val="0"/>
        <w:autoSpaceDE/>
        <w:autoSpaceDN/>
        <w:spacing w:before="0" w:beforeAutospacing="0" w:after="0" w:afterAutospacing="0" w:line="590" w:lineRule="exact"/>
        <w:ind w:left="0" w:right="0" w:firstLine="640" w:firstLineChars="0"/>
        <w:jc w:val="left"/>
        <w:outlineLvl w:val="9"/>
        <w:rPr>
          <w:rFonts w:hint="eastAsia" w:ascii="Times New Roman" w:hAnsi="Times New Roman" w:eastAsia="仿宋_GB2312" w:cs="Times New Roman"/>
          <w:b w:val="0"/>
          <w:bCs w:val="0"/>
          <w:color w:val="auto"/>
          <w:kern w:val="2"/>
          <w:sz w:val="32"/>
          <w:szCs w:val="32"/>
          <w:lang w:val="zh-CN"/>
        </w:rPr>
      </w:pPr>
      <w:r>
        <w:rPr>
          <w:rFonts w:hint="eastAsia" w:ascii="Times New Roman" w:hAnsi="Times New Roman" w:eastAsia="仿宋_GB2312" w:cs="Times New Roman"/>
          <w:b w:val="0"/>
          <w:bCs w:val="0"/>
          <w:i w:val="0"/>
          <w:iCs w:val="0"/>
          <w:color w:val="auto"/>
          <w:kern w:val="2"/>
          <w:sz w:val="32"/>
          <w:szCs w:val="32"/>
          <w:lang w:val="zh-CN" w:eastAsia="zh-CN" w:bidi="ar-SA"/>
        </w:rPr>
        <w:t>通过资金预算，有效解决15人养老保险差口资金问题，99.2万差口资金已完成拨付，群众社保差口资金问题已得到有效解决，群众满意率达100%。</w:t>
      </w:r>
    </w:p>
    <w:p w14:paraId="629C6961">
      <w:pPr>
        <w:keepNext w:val="0"/>
        <w:keepLines w:val="0"/>
        <w:pageBreakBefore w:val="0"/>
        <w:widowControl/>
        <w:numPr>
          <w:ilvl w:val="0"/>
          <w:numId w:val="8"/>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存在主要问题。无</w:t>
      </w:r>
    </w:p>
    <w:p w14:paraId="2F1AC58F">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Times New Roman"/>
          <w:color w:val="auto"/>
          <w:kern w:val="2"/>
          <w:position w:val="0"/>
          <w:sz w:val="32"/>
          <w:szCs w:val="32"/>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六、</w:t>
      </w:r>
      <w:r>
        <w:rPr>
          <w:rFonts w:hint="eastAsia" w:ascii="黑体" w:hAnsi="宋体" w:eastAsia="黑体" w:cs="Times New Roman"/>
          <w:color w:val="auto"/>
          <w:kern w:val="0"/>
          <w:position w:val="3"/>
          <w:sz w:val="32"/>
          <w:szCs w:val="32"/>
          <w:highlight w:val="none"/>
          <w:u w:val="none"/>
          <w:lang w:val="zh-CN" w:eastAsia="zh-CN" w:bidi="ar-SA"/>
        </w:rPr>
        <w:t>改进建议。</w:t>
      </w:r>
      <w:r>
        <w:rPr>
          <w:rFonts w:hint="eastAsia" w:ascii="Times New Roman" w:hAnsi="Times New Roman" w:eastAsia="仿宋_GB2312" w:cs="Times New Roman"/>
          <w:color w:val="auto"/>
          <w:kern w:val="2"/>
          <w:position w:val="0"/>
          <w:sz w:val="32"/>
          <w:szCs w:val="32"/>
          <w:lang w:val="en-US" w:eastAsia="zh-CN" w:bidi="ar-SA"/>
        </w:rPr>
        <w:t>在开展全区电网、电力设施项目建设，涉及征拆工作，要提前分析研判，精准核算资金，确保资金规范使用。</w:t>
      </w:r>
    </w:p>
    <w:p w14:paraId="150FA7C3">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附表：专项资金绩效目标完成情况自评表</w:t>
      </w:r>
    </w:p>
    <w:p w14:paraId="0A4A18A0">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zh-CN" w:eastAsia="zh-CN"/>
        </w:rPr>
        <w:br w:type="page"/>
      </w:r>
    </w:p>
    <w:p w14:paraId="23C6CA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p>
    <w:tbl>
      <w:tblPr>
        <w:tblStyle w:val="21"/>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458"/>
        <w:gridCol w:w="1104"/>
        <w:gridCol w:w="1127"/>
        <w:gridCol w:w="971"/>
        <w:gridCol w:w="1061"/>
        <w:gridCol w:w="938"/>
        <w:gridCol w:w="1841"/>
      </w:tblGrid>
      <w:tr w14:paraId="3630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FEAC6F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6A5B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87A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E7B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白马110千伏变电站新建工程养老保险补偿费差口资金费用</w:t>
            </w:r>
          </w:p>
        </w:tc>
      </w:tr>
      <w:tr w14:paraId="1009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9FE2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CA88E">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区经信科技局</w:t>
            </w:r>
          </w:p>
        </w:tc>
      </w:tr>
      <w:tr w14:paraId="38B5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49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4AAA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p>
        </w:tc>
      </w:tr>
      <w:tr w14:paraId="6ABD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A63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942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中长期规划（名称、文号，仅指</w:t>
            </w:r>
          </w:p>
          <w:p w14:paraId="1FA351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C1081">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15D0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7B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1E6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E4E3C">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514B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61A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9C7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2A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D3A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7C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D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18"/>
                <w:szCs w:val="18"/>
                <w:u w:val="none"/>
              </w:rPr>
            </w:pPr>
            <w:r>
              <w:rPr>
                <w:rFonts w:hint="default" w:ascii="Wingdings 2" w:hAnsi="Wingdings 2" w:eastAsia="Wingdings 2" w:cs="Wingdings 2"/>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因素法与项目法相结合</w:t>
            </w:r>
          </w:p>
        </w:tc>
      </w:tr>
      <w:tr w14:paraId="1F29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E17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CAC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FD8C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r>
      <w:tr w14:paraId="183E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98F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AA2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6347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养老保险资金补差</w:t>
            </w:r>
          </w:p>
        </w:tc>
      </w:tr>
      <w:tr w14:paraId="6D2C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8E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FA6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4B7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根据区社保局《关于缴存白马110千伏输变电工程养老保险补偿费的函》,重新核算15人养老保险差口资金99.2万元</w:t>
            </w:r>
          </w:p>
        </w:tc>
      </w:tr>
      <w:tr w14:paraId="2513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016B">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565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9E85F">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p>
        </w:tc>
      </w:tr>
      <w:tr w14:paraId="4926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4CC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项目资金</w:t>
            </w:r>
          </w:p>
          <w:p w14:paraId="529E4D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26E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4A4F3">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99.2</w:t>
            </w:r>
          </w:p>
        </w:tc>
      </w:tr>
      <w:tr w14:paraId="4F6F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91A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62A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C2EDB">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99.2</w:t>
            </w:r>
          </w:p>
        </w:tc>
      </w:tr>
      <w:tr w14:paraId="648D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828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097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6318C">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18"/>
                <w:szCs w:val="18"/>
                <w:u w:val="none"/>
              </w:rPr>
            </w:pPr>
          </w:p>
        </w:tc>
      </w:tr>
      <w:tr w14:paraId="5B79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CAD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仿宋_GB2312" w:cs="Times New Roman"/>
                <w:sz w:val="18"/>
                <w:szCs w:val="18"/>
                <w:lang w:val="en-US" w:eastAsia="zh-CN"/>
              </w:rPr>
            </w:pPr>
            <w:r>
              <w:rPr>
                <w:rFonts w:hint="eastAsia" w:ascii="宋体" w:hAnsi="宋体" w:eastAsia="宋体" w:cs="宋体"/>
                <w:i w:val="0"/>
                <w:color w:val="000000"/>
                <w:kern w:val="0"/>
                <w:sz w:val="18"/>
                <w:szCs w:val="18"/>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E7AA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w:t>
            </w:r>
          </w:p>
        </w:tc>
      </w:tr>
      <w:tr w14:paraId="77C3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9B4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26A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通过资金预算，有效解决15人养老保险差口资金问题</w:t>
            </w:r>
          </w:p>
        </w:tc>
      </w:tr>
      <w:tr w14:paraId="2B4E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441BF2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B4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0C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A2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E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74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8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C6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9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14:paraId="7E39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C906BB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525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9F5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023">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解决15人养老保险差口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C0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F97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19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9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0D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r>
      <w:tr w14:paraId="5F84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35CB6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E7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E9D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B9D">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解决15人养老保险差口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9D5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EC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8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r>
      <w:tr w14:paraId="675A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7E5E4D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A6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0E9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198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解决15人养老保险差口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A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48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F2D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F67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059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r>
      <w:tr w14:paraId="1574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269734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436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41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78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解决15人养老保险差口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3F6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99.2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7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4C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07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r>
      <w:tr w14:paraId="5843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3FEC00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24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DFB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686">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完成时限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FE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62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2023年5月</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9F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4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F0C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2024年10月</w:t>
            </w:r>
          </w:p>
        </w:tc>
      </w:tr>
      <w:tr w14:paraId="5504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D329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C92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70B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83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064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C78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41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5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346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1AA0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B53E7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3E6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D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C07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2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A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61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17E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E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r>
      <w:tr w14:paraId="6222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3248E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F04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restart"/>
            <w:tcBorders>
              <w:top w:val="single" w:color="000000" w:sz="4" w:space="0"/>
              <w:left w:val="single" w:color="000000" w:sz="4" w:space="0"/>
              <w:right w:val="single" w:color="000000" w:sz="4" w:space="0"/>
            </w:tcBorders>
            <w:shd w:val="clear" w:color="auto" w:fill="auto"/>
            <w:vAlign w:val="center"/>
          </w:tcPr>
          <w:p w14:paraId="4AE5C8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社会效益</w:t>
            </w:r>
          </w:p>
          <w:p w14:paraId="6331A7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14B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89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4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F94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B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C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54FA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990D3C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D92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vMerge w:val="continue"/>
            <w:tcBorders>
              <w:top w:val="single" w:color="000000" w:sz="4" w:space="0"/>
              <w:left w:val="single" w:color="000000" w:sz="4" w:space="0"/>
              <w:right w:val="single" w:color="000000" w:sz="4" w:space="0"/>
            </w:tcBorders>
            <w:shd w:val="clear" w:color="auto" w:fill="auto"/>
            <w:vAlign w:val="center"/>
          </w:tcPr>
          <w:p w14:paraId="6D4EC31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01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BAE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3B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472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BE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D0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4A97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5B5CC5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BC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9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持续性影响指标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90C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A116">
            <w:pPr>
              <w:keepNext w:val="0"/>
              <w:keepLines w:val="0"/>
              <w:pageBreakBefore w:val="0"/>
              <w:kinsoku/>
              <w:wordWrap/>
              <w:overflowPunct/>
              <w:topLinePunct w:val="0"/>
              <w:autoSpaceDE/>
              <w:autoSpaceDN/>
              <w:bidi w:val="0"/>
              <w:adjustRightInd/>
              <w:snapToGrid/>
              <w:spacing w:line="300" w:lineRule="exact"/>
              <w:ind w:left="0" w:leftChars="0"/>
              <w:jc w:val="both"/>
              <w:rPr>
                <w:rFonts w:hint="default" w:ascii="宋体" w:hAnsi="宋体" w:eastAsia="宋体" w:cs="宋体"/>
                <w:i w:val="0"/>
                <w:color w:val="000000"/>
                <w:sz w:val="18"/>
                <w:szCs w:val="18"/>
                <w:u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645">
            <w:pPr>
              <w:keepNext w:val="0"/>
              <w:keepLines w:val="0"/>
              <w:pageBreakBefore w:val="0"/>
              <w:kinsoku/>
              <w:wordWrap/>
              <w:overflowPunct/>
              <w:topLinePunct w:val="0"/>
              <w:autoSpaceDE/>
              <w:autoSpaceDN/>
              <w:bidi w:val="0"/>
              <w:adjustRightInd/>
              <w:snapToGrid/>
              <w:spacing w:line="300" w:lineRule="exact"/>
              <w:ind w:left="0" w:leftChars="0"/>
              <w:jc w:val="both"/>
              <w:rPr>
                <w:rFonts w:hint="default" w:ascii="宋体" w:hAnsi="宋体" w:eastAsia="宋体" w:cs="宋体"/>
                <w:i w:val="0"/>
                <w:color w:val="000000"/>
                <w:sz w:val="18"/>
                <w:szCs w:val="18"/>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45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B474">
            <w:pPr>
              <w:keepNext w:val="0"/>
              <w:keepLines w:val="0"/>
              <w:pageBreakBefore w:val="0"/>
              <w:kinsoku/>
              <w:wordWrap/>
              <w:overflowPunct/>
              <w:topLinePunct w:val="0"/>
              <w:autoSpaceDE/>
              <w:autoSpaceDN/>
              <w:bidi w:val="0"/>
              <w:adjustRightInd/>
              <w:snapToGrid/>
              <w:spacing w:line="300" w:lineRule="exact"/>
              <w:ind w:left="0" w:leftChars="0"/>
              <w:jc w:val="both"/>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73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1CB1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CD3EB5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132019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满意度</w:t>
            </w:r>
          </w:p>
          <w:p w14:paraId="45D58F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w:t>
            </w:r>
          </w:p>
        </w:tc>
        <w:tc>
          <w:tcPr>
            <w:tcW w:w="1458" w:type="dxa"/>
            <w:tcBorders>
              <w:top w:val="single" w:color="000000" w:sz="4" w:space="0"/>
              <w:left w:val="single" w:color="000000" w:sz="4" w:space="0"/>
              <w:right w:val="single" w:color="000000" w:sz="4" w:space="0"/>
            </w:tcBorders>
            <w:shd w:val="clear" w:color="auto" w:fill="auto"/>
            <w:vAlign w:val="center"/>
          </w:tcPr>
          <w:p w14:paraId="2B8C1C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服务对象</w:t>
            </w:r>
          </w:p>
          <w:p w14:paraId="19B531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B63A">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群从满意率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1C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8D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758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B8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A3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14:paraId="46E0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C31A6B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19B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A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18"/>
                <w:szCs w:val="18"/>
                <w:u w:val="none"/>
              </w:rPr>
            </w:pPr>
          </w:p>
        </w:tc>
        <w:tc>
          <w:tcPr>
            <w:tcW w:w="1104" w:type="dxa"/>
            <w:tcBorders>
              <w:top w:val="single" w:color="000000" w:sz="4" w:space="0"/>
              <w:bottom w:val="single" w:color="000000" w:sz="4" w:space="0"/>
              <w:right w:val="single" w:color="000000" w:sz="4" w:space="0"/>
            </w:tcBorders>
            <w:shd w:val="clear" w:color="auto" w:fill="auto"/>
            <w:vAlign w:val="center"/>
          </w:tcPr>
          <w:p w14:paraId="080A600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F7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104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FC0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83A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8"/>
                <w:szCs w:val="18"/>
                <w:u w:val="none"/>
                <w:lang w:val="en-US" w:eastAsia="zh-CN"/>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6EF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r w14:paraId="263A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2498B3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FA3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A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04" w:type="dxa"/>
            <w:tcBorders>
              <w:top w:val="single" w:color="000000" w:sz="4" w:space="0"/>
              <w:bottom w:val="single" w:color="000000" w:sz="4" w:space="0"/>
              <w:right w:val="single" w:color="000000" w:sz="4" w:space="0"/>
            </w:tcBorders>
            <w:shd w:val="clear" w:color="auto" w:fill="auto"/>
            <w:vAlign w:val="center"/>
          </w:tcPr>
          <w:p w14:paraId="59343FF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8EA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D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FF8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1C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1A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8"/>
                <w:szCs w:val="18"/>
                <w:u w:val="none"/>
              </w:rPr>
            </w:pPr>
          </w:p>
        </w:tc>
      </w:tr>
    </w:tbl>
    <w:p w14:paraId="190DE31D">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6"/>
          <w:rFonts w:hint="eastAsia" w:ascii="黑体" w:hAnsi="黑体" w:eastAsia="黑体"/>
          <w:b w:val="0"/>
          <w:color w:val="auto"/>
          <w:highlight w:val="none"/>
        </w:rPr>
        <w:t>五部分 附表</w:t>
      </w:r>
      <w:bookmarkEnd w:id="98"/>
      <w:bookmarkEnd w:id="109"/>
      <w:bookmarkEnd w:id="110"/>
      <w:bookmarkStart w:id="198" w:name="_Toc15396619"/>
    </w:p>
    <w:p w14:paraId="06A2CEEC">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199" w:name="_Toc14595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一、收入支出决算总表</w:t>
      </w:r>
      <w:bookmarkEnd w:id="198"/>
      <w:bookmarkEnd w:id="199"/>
    </w:p>
    <w:p w14:paraId="35130EBA">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00" w:name="_Toc15396620"/>
      <w:bookmarkStart w:id="201" w:name="_Toc2634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二、收入决算表</w:t>
      </w:r>
      <w:bookmarkEnd w:id="200"/>
      <w:bookmarkEnd w:id="201"/>
    </w:p>
    <w:p w14:paraId="6F10BFA0">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02" w:name="_Toc15396621"/>
      <w:bookmarkStart w:id="203" w:name="_Toc11578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三、支出决算表</w:t>
      </w:r>
      <w:bookmarkEnd w:id="202"/>
      <w:bookmarkEnd w:id="203"/>
    </w:p>
    <w:p w14:paraId="00160D4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04" w:name="_Toc30221_WPSOffice_Level2"/>
      <w:bookmarkStart w:id="205" w:name="_Toc15396622"/>
      <w:r>
        <w:rPr>
          <w:rFonts w:hint="eastAsia" w:ascii="Times New Roman" w:hAnsi="Times New Roman" w:eastAsia="仿宋_GB2312" w:cs="Times New Roman"/>
          <w:b w:val="0"/>
          <w:bCs w:val="0"/>
          <w:i w:val="0"/>
          <w:iCs w:val="0"/>
          <w:color w:val="auto"/>
          <w:kern w:val="2"/>
          <w:sz w:val="32"/>
          <w:szCs w:val="32"/>
          <w:highlight w:val="none"/>
          <w:lang w:val="en-US" w:eastAsia="zh-CN" w:bidi="ar-SA"/>
        </w:rPr>
        <w:t>四、财政拨款收入支出决算总表</w:t>
      </w:r>
      <w:bookmarkEnd w:id="204"/>
      <w:bookmarkEnd w:id="205"/>
    </w:p>
    <w:p w14:paraId="2E5B3DD2">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06" w:name="_Toc15396623"/>
      <w:bookmarkStart w:id="207" w:name="_Toc25822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五、财政拨款支出决算明细表</w:t>
      </w:r>
      <w:bookmarkEnd w:id="206"/>
      <w:bookmarkEnd w:id="207"/>
      <w:bookmarkStart w:id="208" w:name="_Toc15396624"/>
    </w:p>
    <w:p w14:paraId="7DE0B0A5">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09" w:name="_Toc25084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六、一般公共预算财政拨款支出决算表</w:t>
      </w:r>
      <w:bookmarkEnd w:id="208"/>
      <w:bookmarkEnd w:id="209"/>
    </w:p>
    <w:p w14:paraId="53BBE342">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10" w:name="_Toc23971_WPSOffice_Level2"/>
      <w:bookmarkStart w:id="211" w:name="_Toc15396625"/>
      <w:r>
        <w:rPr>
          <w:rFonts w:hint="eastAsia" w:ascii="Times New Roman" w:hAnsi="Times New Roman" w:eastAsia="仿宋_GB2312" w:cs="Times New Roman"/>
          <w:b w:val="0"/>
          <w:bCs w:val="0"/>
          <w:i w:val="0"/>
          <w:iCs w:val="0"/>
          <w:color w:val="auto"/>
          <w:kern w:val="2"/>
          <w:sz w:val="32"/>
          <w:szCs w:val="32"/>
          <w:highlight w:val="none"/>
          <w:lang w:val="en-US" w:eastAsia="zh-CN" w:bidi="ar-SA"/>
        </w:rPr>
        <w:t>七、一般公共预算财政拨款支出决算明细表</w:t>
      </w:r>
      <w:bookmarkEnd w:id="210"/>
      <w:bookmarkEnd w:id="211"/>
    </w:p>
    <w:p w14:paraId="6F46E918">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12" w:name="_Toc15396626"/>
      <w:bookmarkStart w:id="213" w:name="_Toc25246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八、一般公共预算财政拨款基本支出决算表</w:t>
      </w:r>
      <w:bookmarkEnd w:id="212"/>
      <w:bookmarkEnd w:id="213"/>
    </w:p>
    <w:p w14:paraId="23B4D291">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14" w:name="_Toc15396627"/>
      <w:bookmarkStart w:id="215" w:name="_Toc14599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九、一般公共预算财政拨款项目支出决算表</w:t>
      </w:r>
      <w:bookmarkEnd w:id="214"/>
      <w:bookmarkEnd w:id="215"/>
    </w:p>
    <w:p w14:paraId="74521169">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16" w:name="_Toc15396628"/>
      <w:bookmarkStart w:id="217" w:name="_Toc24107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w:t>
      </w:r>
      <w:bookmarkEnd w:id="216"/>
      <w:r>
        <w:rPr>
          <w:rFonts w:hint="eastAsia" w:ascii="Times New Roman" w:hAnsi="Times New Roman" w:eastAsia="仿宋_GB2312" w:cs="Times New Roman"/>
          <w:b w:val="0"/>
          <w:bCs w:val="0"/>
          <w:i w:val="0"/>
          <w:iCs w:val="0"/>
          <w:color w:val="auto"/>
          <w:kern w:val="2"/>
          <w:sz w:val="32"/>
          <w:szCs w:val="32"/>
          <w:highlight w:val="none"/>
          <w:lang w:val="en-US" w:eastAsia="zh-CN" w:bidi="ar-SA"/>
        </w:rPr>
        <w:t>政府性基金预算财政拨款收入支出决算表</w:t>
      </w:r>
      <w:bookmarkEnd w:id="217"/>
    </w:p>
    <w:p w14:paraId="641C80F4">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18" w:name="_Toc15396629"/>
      <w:bookmarkStart w:id="219" w:name="_Toc11350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十一、</w:t>
      </w:r>
      <w:bookmarkEnd w:id="218"/>
      <w:r>
        <w:rPr>
          <w:rFonts w:hint="eastAsia" w:ascii="Times New Roman" w:hAnsi="Times New Roman" w:eastAsia="仿宋_GB2312" w:cs="Times New Roman"/>
          <w:b w:val="0"/>
          <w:bCs w:val="0"/>
          <w:i w:val="0"/>
          <w:iCs w:val="0"/>
          <w:color w:val="auto"/>
          <w:kern w:val="2"/>
          <w:sz w:val="32"/>
          <w:szCs w:val="32"/>
          <w:highlight w:val="none"/>
          <w:lang w:val="en-US" w:eastAsia="zh-CN" w:bidi="ar-SA"/>
        </w:rPr>
        <w:t>国有资本经营预算财政拨款收入支出决算表</w:t>
      </w:r>
      <w:bookmarkEnd w:id="219"/>
    </w:p>
    <w:p w14:paraId="2832FDE1">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20" w:name="_Toc15396630"/>
      <w:bookmarkStart w:id="221" w:name="_Toc9473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十二、</w:t>
      </w:r>
      <w:bookmarkEnd w:id="220"/>
      <w:r>
        <w:rPr>
          <w:rFonts w:hint="eastAsia" w:ascii="Times New Roman" w:hAnsi="Times New Roman" w:eastAsia="仿宋_GB2312" w:cs="Times New Roman"/>
          <w:b w:val="0"/>
          <w:bCs w:val="0"/>
          <w:i w:val="0"/>
          <w:iCs w:val="0"/>
          <w:color w:val="auto"/>
          <w:kern w:val="2"/>
          <w:sz w:val="32"/>
          <w:szCs w:val="32"/>
          <w:highlight w:val="none"/>
          <w:lang w:val="en-US" w:eastAsia="zh-CN" w:bidi="ar-SA"/>
        </w:rPr>
        <w:t>国有资本经营预算财政拨款支出决算表</w:t>
      </w:r>
      <w:bookmarkEnd w:id="221"/>
    </w:p>
    <w:p w14:paraId="579C2989">
      <w:pPr>
        <w:pStyle w:val="6"/>
        <w:rPr>
          <w:rFonts w:hint="eastAsia" w:ascii="Times New Roman" w:hAnsi="Times New Roman" w:eastAsia="仿宋_GB2312" w:cs="Times New Roman"/>
          <w:b w:val="0"/>
          <w:bCs w:val="0"/>
          <w:i w:val="0"/>
          <w:iCs w:val="0"/>
          <w:color w:val="auto"/>
          <w:kern w:val="2"/>
          <w:sz w:val="32"/>
          <w:szCs w:val="32"/>
          <w:highlight w:val="none"/>
          <w:lang w:val="en-US" w:eastAsia="zh-CN" w:bidi="ar-SA"/>
        </w:rPr>
      </w:pPr>
      <w:bookmarkStart w:id="222" w:name="_Toc15396631"/>
      <w:bookmarkStart w:id="223" w:name="_Toc32168_WPSOffice_Level2"/>
      <w:r>
        <w:rPr>
          <w:rFonts w:hint="eastAsia" w:ascii="Times New Roman" w:hAnsi="Times New Roman" w:eastAsia="仿宋_GB2312" w:cs="Times New Roman"/>
          <w:b w:val="0"/>
          <w:bCs w:val="0"/>
          <w:i w:val="0"/>
          <w:iCs w:val="0"/>
          <w:color w:val="auto"/>
          <w:kern w:val="2"/>
          <w:sz w:val="32"/>
          <w:szCs w:val="32"/>
          <w:highlight w:val="none"/>
          <w:lang w:val="en-US" w:eastAsia="zh-CN" w:bidi="ar-SA"/>
        </w:rPr>
        <w:t>十三、</w:t>
      </w:r>
      <w:bookmarkEnd w:id="222"/>
      <w:r>
        <w:rPr>
          <w:rFonts w:hint="eastAsia" w:ascii="Times New Roman" w:hAnsi="Times New Roman" w:eastAsia="仿宋_GB2312" w:cs="Times New Roman"/>
          <w:b w:val="0"/>
          <w:bCs w:val="0"/>
          <w:i w:val="0"/>
          <w:iCs w:val="0"/>
          <w:color w:val="auto"/>
          <w:kern w:val="2"/>
          <w:sz w:val="32"/>
          <w:szCs w:val="32"/>
          <w:highlight w:val="none"/>
          <w:lang w:val="en-US" w:eastAsia="zh-CN" w:bidi="ar-SA"/>
        </w:rPr>
        <w:t>财政拨款“三公”经费支出决算表</w:t>
      </w:r>
      <w:bookmarkEnd w:id="223"/>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4705BA">
        <w:pPr>
          <w:pStyle w:val="16"/>
          <w:jc w:val="center"/>
        </w:pPr>
        <w:r>
          <w:fldChar w:fldCharType="begin"/>
        </w:r>
        <w:r>
          <w:instrText xml:space="preserve">PAGE   \* MERGEFORMAT</w:instrText>
        </w:r>
        <w:r>
          <w:fldChar w:fldCharType="separate"/>
        </w:r>
        <w:r>
          <w:rPr>
            <w:lang w:val="zh-CN"/>
          </w:rPr>
          <w:t>8</w:t>
        </w:r>
        <w:r>
          <w:fldChar w:fldCharType="end"/>
        </w:r>
      </w:p>
    </w:sdtContent>
  </w:sdt>
  <w:p w14:paraId="4A4C242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26C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6F4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390"/>
    </w:sdtPr>
    <w:sdtContent>
      <w:p w14:paraId="3F8955BE">
        <w:pPr>
          <w:pStyle w:val="16"/>
          <w:jc w:val="center"/>
        </w:pPr>
        <w:r>
          <w:fldChar w:fldCharType="begin"/>
        </w:r>
        <w:r>
          <w:instrText xml:space="preserve">PAGE   \* MERGEFORMAT</w:instrText>
        </w:r>
        <w:r>
          <w:fldChar w:fldCharType="separate"/>
        </w:r>
        <w:r>
          <w:rPr>
            <w:lang w:val="zh-CN"/>
          </w:rPr>
          <w:t>8</w:t>
        </w:r>
        <w:r>
          <w:fldChar w:fldCharType="end"/>
        </w:r>
      </w:p>
    </w:sdtContent>
  </w:sdt>
  <w:p w14:paraId="5156BC14">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813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92BD">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8C810"/>
    <w:multiLevelType w:val="singleLevel"/>
    <w:tmpl w:val="B278C810"/>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89D2AC"/>
    <w:multiLevelType w:val="singleLevel"/>
    <w:tmpl w:val="1689D2AC"/>
    <w:lvl w:ilvl="0" w:tentative="0">
      <w:start w:val="1"/>
      <w:numFmt w:val="decimal"/>
      <w:suff w:val="space"/>
      <w:lvlText w:val="%1."/>
      <w:lvlJc w:val="left"/>
    </w:lvl>
  </w:abstractNum>
  <w:abstractNum w:abstractNumId="5">
    <w:nsid w:val="5FDC7D8E"/>
    <w:multiLevelType w:val="singleLevel"/>
    <w:tmpl w:val="5FDC7D8E"/>
    <w:lvl w:ilvl="0" w:tentative="0">
      <w:start w:val="5"/>
      <w:numFmt w:val="chineseCounting"/>
      <w:suff w:val="nothing"/>
      <w:lvlText w:val="%1、"/>
      <w:lvlJc w:val="left"/>
      <w:rPr>
        <w:rFonts w:hint="eastAsia"/>
      </w:rPr>
    </w:lvl>
  </w:abstractNum>
  <w:abstractNum w:abstractNumId="6">
    <w:nsid w:val="68351AE4"/>
    <w:multiLevelType w:val="singleLevel"/>
    <w:tmpl w:val="68351AE4"/>
    <w:lvl w:ilvl="0" w:tentative="0">
      <w:start w:val="3"/>
      <w:numFmt w:val="chineseCounting"/>
      <w:suff w:val="nothing"/>
      <w:lvlText w:val="（%1）"/>
      <w:lvlJc w:val="left"/>
      <w:rPr>
        <w:rFonts w:hint="eastAsia"/>
      </w:rPr>
    </w:lvl>
  </w:abstractNum>
  <w:abstractNum w:abstractNumId="7">
    <w:nsid w:val="7212A1A7"/>
    <w:multiLevelType w:val="singleLevel"/>
    <w:tmpl w:val="7212A1A7"/>
    <w:lvl w:ilvl="0" w:tentative="0">
      <w:start w:val="1"/>
      <w:numFmt w:val="decimal"/>
      <w:pStyle w:val="8"/>
      <w:lvlText w:val="%1."/>
      <w:lvlJc w:val="left"/>
      <w:pPr>
        <w:tabs>
          <w:tab w:val="left" w:pos="360"/>
        </w:tabs>
        <w:ind w:left="360" w:hanging="360"/>
      </w:p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TRkZTM2YmM4MzVhYzhlZTk1MjY0OTcyODk0Y2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3E7"/>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9153D7"/>
    <w:rsid w:val="02143E91"/>
    <w:rsid w:val="024F4FE7"/>
    <w:rsid w:val="047307C6"/>
    <w:rsid w:val="04E01952"/>
    <w:rsid w:val="058E5F62"/>
    <w:rsid w:val="05C7421D"/>
    <w:rsid w:val="05DA764A"/>
    <w:rsid w:val="060E5298"/>
    <w:rsid w:val="066E0107"/>
    <w:rsid w:val="069A65B0"/>
    <w:rsid w:val="06A307B6"/>
    <w:rsid w:val="07996F6E"/>
    <w:rsid w:val="08AC6EC0"/>
    <w:rsid w:val="0A1B4D63"/>
    <w:rsid w:val="0A2032A3"/>
    <w:rsid w:val="0A3D4868"/>
    <w:rsid w:val="0A8E01DA"/>
    <w:rsid w:val="0AAC240E"/>
    <w:rsid w:val="0B852C60"/>
    <w:rsid w:val="0BCA35D7"/>
    <w:rsid w:val="0C071FC7"/>
    <w:rsid w:val="0CE96A67"/>
    <w:rsid w:val="0E365806"/>
    <w:rsid w:val="0E3E553D"/>
    <w:rsid w:val="0E4D19B8"/>
    <w:rsid w:val="0F060C97"/>
    <w:rsid w:val="0F98263C"/>
    <w:rsid w:val="101860EC"/>
    <w:rsid w:val="10865302"/>
    <w:rsid w:val="10BF041C"/>
    <w:rsid w:val="10C055FF"/>
    <w:rsid w:val="10D776C5"/>
    <w:rsid w:val="10FB40F0"/>
    <w:rsid w:val="118107EC"/>
    <w:rsid w:val="11E4222B"/>
    <w:rsid w:val="13202F6E"/>
    <w:rsid w:val="13552B3C"/>
    <w:rsid w:val="138744BE"/>
    <w:rsid w:val="13B95BA6"/>
    <w:rsid w:val="13D50BC4"/>
    <w:rsid w:val="14314331"/>
    <w:rsid w:val="14922675"/>
    <w:rsid w:val="14CB6334"/>
    <w:rsid w:val="15900BE4"/>
    <w:rsid w:val="168539DF"/>
    <w:rsid w:val="16BA71D4"/>
    <w:rsid w:val="16BB077B"/>
    <w:rsid w:val="16BB723D"/>
    <w:rsid w:val="16EC771E"/>
    <w:rsid w:val="16F72C63"/>
    <w:rsid w:val="17F66A50"/>
    <w:rsid w:val="18192EA8"/>
    <w:rsid w:val="19BF4D90"/>
    <w:rsid w:val="1A330456"/>
    <w:rsid w:val="1AE15229"/>
    <w:rsid w:val="1B193EF2"/>
    <w:rsid w:val="1B65180A"/>
    <w:rsid w:val="1B9E5812"/>
    <w:rsid w:val="1BE8440E"/>
    <w:rsid w:val="1C4C3A51"/>
    <w:rsid w:val="1C653580"/>
    <w:rsid w:val="1C7800ED"/>
    <w:rsid w:val="1CF6391A"/>
    <w:rsid w:val="1D155CEE"/>
    <w:rsid w:val="1DAC6B64"/>
    <w:rsid w:val="1DBA38E1"/>
    <w:rsid w:val="1E1541BB"/>
    <w:rsid w:val="1F443106"/>
    <w:rsid w:val="1F85520D"/>
    <w:rsid w:val="1FC50459"/>
    <w:rsid w:val="1FF35744"/>
    <w:rsid w:val="201C69A1"/>
    <w:rsid w:val="2099704A"/>
    <w:rsid w:val="20BD316F"/>
    <w:rsid w:val="218A7D24"/>
    <w:rsid w:val="21C173BB"/>
    <w:rsid w:val="21CA5B44"/>
    <w:rsid w:val="22247F41"/>
    <w:rsid w:val="22C95FAE"/>
    <w:rsid w:val="22FF7A6F"/>
    <w:rsid w:val="23860B96"/>
    <w:rsid w:val="240371BF"/>
    <w:rsid w:val="256929B0"/>
    <w:rsid w:val="258B383C"/>
    <w:rsid w:val="25FD7196"/>
    <w:rsid w:val="26396DF4"/>
    <w:rsid w:val="27162A41"/>
    <w:rsid w:val="275373CD"/>
    <w:rsid w:val="276A6CA2"/>
    <w:rsid w:val="288822B5"/>
    <w:rsid w:val="28C9093E"/>
    <w:rsid w:val="292537CB"/>
    <w:rsid w:val="293945A6"/>
    <w:rsid w:val="29724275"/>
    <w:rsid w:val="29DC5356"/>
    <w:rsid w:val="29FD04D3"/>
    <w:rsid w:val="2A094D30"/>
    <w:rsid w:val="2A2C3994"/>
    <w:rsid w:val="2A8D027E"/>
    <w:rsid w:val="2B1462F9"/>
    <w:rsid w:val="2BA4369C"/>
    <w:rsid w:val="2C155C0E"/>
    <w:rsid w:val="2C464AA5"/>
    <w:rsid w:val="2C656561"/>
    <w:rsid w:val="2C815051"/>
    <w:rsid w:val="2C8A61B5"/>
    <w:rsid w:val="2C9127F7"/>
    <w:rsid w:val="2D05244E"/>
    <w:rsid w:val="2D281A7E"/>
    <w:rsid w:val="2DD12D66"/>
    <w:rsid w:val="2DEA4E78"/>
    <w:rsid w:val="2DF04E50"/>
    <w:rsid w:val="2DFA1223"/>
    <w:rsid w:val="2E114AFB"/>
    <w:rsid w:val="2F040D46"/>
    <w:rsid w:val="2FC82A81"/>
    <w:rsid w:val="2FCE534B"/>
    <w:rsid w:val="30085C5E"/>
    <w:rsid w:val="30087CDE"/>
    <w:rsid w:val="304B42F4"/>
    <w:rsid w:val="31745184"/>
    <w:rsid w:val="319F7F4E"/>
    <w:rsid w:val="323142B4"/>
    <w:rsid w:val="327437BA"/>
    <w:rsid w:val="3304709D"/>
    <w:rsid w:val="33F90D73"/>
    <w:rsid w:val="34386AF2"/>
    <w:rsid w:val="35374E38"/>
    <w:rsid w:val="356579BA"/>
    <w:rsid w:val="357521EF"/>
    <w:rsid w:val="359F3E3B"/>
    <w:rsid w:val="35CF1B75"/>
    <w:rsid w:val="35ED5419"/>
    <w:rsid w:val="364D329B"/>
    <w:rsid w:val="36AA5135"/>
    <w:rsid w:val="376D39B2"/>
    <w:rsid w:val="37E16F03"/>
    <w:rsid w:val="38044D88"/>
    <w:rsid w:val="3808509B"/>
    <w:rsid w:val="386A68D5"/>
    <w:rsid w:val="387372B3"/>
    <w:rsid w:val="38966E4A"/>
    <w:rsid w:val="38D469F0"/>
    <w:rsid w:val="38ED4927"/>
    <w:rsid w:val="391E1E7A"/>
    <w:rsid w:val="3A0D1750"/>
    <w:rsid w:val="3AF10C6F"/>
    <w:rsid w:val="3B111BD5"/>
    <w:rsid w:val="3BBD6B91"/>
    <w:rsid w:val="3BC82C9D"/>
    <w:rsid w:val="3C776EAE"/>
    <w:rsid w:val="3CFF266B"/>
    <w:rsid w:val="3D115215"/>
    <w:rsid w:val="3D146CB9"/>
    <w:rsid w:val="3D98207C"/>
    <w:rsid w:val="3E2919ED"/>
    <w:rsid w:val="3E474F53"/>
    <w:rsid w:val="3E78745D"/>
    <w:rsid w:val="3E7E30EC"/>
    <w:rsid w:val="3E807271"/>
    <w:rsid w:val="3F42014B"/>
    <w:rsid w:val="3F4C24ED"/>
    <w:rsid w:val="40FA4E7B"/>
    <w:rsid w:val="41583A8E"/>
    <w:rsid w:val="41EC1418"/>
    <w:rsid w:val="41F0559B"/>
    <w:rsid w:val="422344B1"/>
    <w:rsid w:val="4226071D"/>
    <w:rsid w:val="43291F47"/>
    <w:rsid w:val="432E0383"/>
    <w:rsid w:val="4435789C"/>
    <w:rsid w:val="44A678F3"/>
    <w:rsid w:val="44E268DA"/>
    <w:rsid w:val="45346FE8"/>
    <w:rsid w:val="45D45A93"/>
    <w:rsid w:val="46A87268"/>
    <w:rsid w:val="474C77BA"/>
    <w:rsid w:val="477B414C"/>
    <w:rsid w:val="48637D2A"/>
    <w:rsid w:val="48A33CD3"/>
    <w:rsid w:val="48AA197C"/>
    <w:rsid w:val="48D24C1A"/>
    <w:rsid w:val="4931390E"/>
    <w:rsid w:val="49AA10E1"/>
    <w:rsid w:val="49EA4420"/>
    <w:rsid w:val="4A627F82"/>
    <w:rsid w:val="4A8C30E7"/>
    <w:rsid w:val="4B0E749A"/>
    <w:rsid w:val="4B4F25DA"/>
    <w:rsid w:val="4BE068DB"/>
    <w:rsid w:val="4CE6741A"/>
    <w:rsid w:val="4D196FC1"/>
    <w:rsid w:val="4D23033B"/>
    <w:rsid w:val="4D3061A0"/>
    <w:rsid w:val="4D577224"/>
    <w:rsid w:val="4E193025"/>
    <w:rsid w:val="4EAB630A"/>
    <w:rsid w:val="4ECE2238"/>
    <w:rsid w:val="4FCE5D4F"/>
    <w:rsid w:val="507C775A"/>
    <w:rsid w:val="508F79E5"/>
    <w:rsid w:val="51EE6435"/>
    <w:rsid w:val="524A01D7"/>
    <w:rsid w:val="5285323E"/>
    <w:rsid w:val="52A74E61"/>
    <w:rsid w:val="537E6D0A"/>
    <w:rsid w:val="53B176BB"/>
    <w:rsid w:val="54846587"/>
    <w:rsid w:val="552A3C28"/>
    <w:rsid w:val="556E5492"/>
    <w:rsid w:val="556F5ADF"/>
    <w:rsid w:val="55825281"/>
    <w:rsid w:val="55A41C2D"/>
    <w:rsid w:val="55FD2FCD"/>
    <w:rsid w:val="56184273"/>
    <w:rsid w:val="56895F7A"/>
    <w:rsid w:val="570A50BE"/>
    <w:rsid w:val="573214BA"/>
    <w:rsid w:val="5750692E"/>
    <w:rsid w:val="57A261D0"/>
    <w:rsid w:val="57D55782"/>
    <w:rsid w:val="58F3472F"/>
    <w:rsid w:val="599E246A"/>
    <w:rsid w:val="59BA7A3A"/>
    <w:rsid w:val="59FF2330"/>
    <w:rsid w:val="5A5908B7"/>
    <w:rsid w:val="5AF92295"/>
    <w:rsid w:val="5B865986"/>
    <w:rsid w:val="5B97385B"/>
    <w:rsid w:val="5C481930"/>
    <w:rsid w:val="5C591204"/>
    <w:rsid w:val="5CD718DA"/>
    <w:rsid w:val="5CD71FC4"/>
    <w:rsid w:val="5D402DB5"/>
    <w:rsid w:val="5DB222F6"/>
    <w:rsid w:val="5E2C6041"/>
    <w:rsid w:val="5F04214A"/>
    <w:rsid w:val="5F2C1418"/>
    <w:rsid w:val="60092169"/>
    <w:rsid w:val="6094289E"/>
    <w:rsid w:val="613C308B"/>
    <w:rsid w:val="61BB3496"/>
    <w:rsid w:val="61C80A51"/>
    <w:rsid w:val="61F90B4B"/>
    <w:rsid w:val="62135B4D"/>
    <w:rsid w:val="63D129E6"/>
    <w:rsid w:val="643D4528"/>
    <w:rsid w:val="64A55079"/>
    <w:rsid w:val="64F46001"/>
    <w:rsid w:val="65410A72"/>
    <w:rsid w:val="65982E30"/>
    <w:rsid w:val="660109D5"/>
    <w:rsid w:val="66CA3E37"/>
    <w:rsid w:val="67203A0F"/>
    <w:rsid w:val="67667E9A"/>
    <w:rsid w:val="677156E7"/>
    <w:rsid w:val="678549B4"/>
    <w:rsid w:val="67BE470C"/>
    <w:rsid w:val="68280B3E"/>
    <w:rsid w:val="6A1F47D6"/>
    <w:rsid w:val="6AB629CC"/>
    <w:rsid w:val="6B344F1C"/>
    <w:rsid w:val="6C4A05C8"/>
    <w:rsid w:val="6C5736D9"/>
    <w:rsid w:val="6D1D2E11"/>
    <w:rsid w:val="6D323B6A"/>
    <w:rsid w:val="6D5F15EB"/>
    <w:rsid w:val="6DD473F9"/>
    <w:rsid w:val="6E7E3605"/>
    <w:rsid w:val="6EE113A4"/>
    <w:rsid w:val="6EFE0A68"/>
    <w:rsid w:val="6FB878F0"/>
    <w:rsid w:val="6FF5CC65"/>
    <w:rsid w:val="714A3FC6"/>
    <w:rsid w:val="714C3F45"/>
    <w:rsid w:val="715C0E4B"/>
    <w:rsid w:val="71C63655"/>
    <w:rsid w:val="72734D90"/>
    <w:rsid w:val="731A06E8"/>
    <w:rsid w:val="73243F55"/>
    <w:rsid w:val="732921C8"/>
    <w:rsid w:val="732B7CB7"/>
    <w:rsid w:val="73442F7B"/>
    <w:rsid w:val="73AD73D5"/>
    <w:rsid w:val="73B6EB34"/>
    <w:rsid w:val="741817E0"/>
    <w:rsid w:val="744731E5"/>
    <w:rsid w:val="761967A1"/>
    <w:rsid w:val="76E3355F"/>
    <w:rsid w:val="778769C8"/>
    <w:rsid w:val="78455B48"/>
    <w:rsid w:val="78CC4502"/>
    <w:rsid w:val="79405BA0"/>
    <w:rsid w:val="79A14525"/>
    <w:rsid w:val="79A53C30"/>
    <w:rsid w:val="79BD42DD"/>
    <w:rsid w:val="79EE5BA4"/>
    <w:rsid w:val="7A586A0A"/>
    <w:rsid w:val="7A894339"/>
    <w:rsid w:val="7A97325F"/>
    <w:rsid w:val="7BDF704A"/>
    <w:rsid w:val="7C681483"/>
    <w:rsid w:val="7C974E2C"/>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index 5"/>
    <w:basedOn w:val="1"/>
    <w:next w:val="1"/>
    <w:qFormat/>
    <w:uiPriority w:val="0"/>
    <w:pPr>
      <w:ind w:firstLine="797" w:firstLineChars="249"/>
    </w:pPr>
    <w:rPr>
      <w:szCs w:val="22"/>
    </w:rPr>
  </w:style>
  <w:style w:type="paragraph" w:styleId="10">
    <w:name w:val="annotation text"/>
    <w:basedOn w:val="1"/>
    <w:semiHidden/>
    <w:unhideWhenUsed/>
    <w:qFormat/>
    <w:uiPriority w:val="99"/>
    <w:pPr>
      <w:jc w:val="left"/>
    </w:pPr>
  </w:style>
  <w:style w:type="paragraph" w:styleId="11">
    <w:name w:val="Salutation"/>
    <w:basedOn w:val="1"/>
    <w:next w:val="1"/>
    <w:qFormat/>
    <w:uiPriority w:val="99"/>
    <w:rPr>
      <w:rFonts w:ascii="Times New Roman" w:hAnsi="Times New Roman"/>
    </w:rPr>
  </w:style>
  <w:style w:type="paragraph" w:styleId="12">
    <w:name w:val="Body Text"/>
    <w:basedOn w:val="1"/>
    <w:link w:val="33"/>
    <w:qFormat/>
    <w:uiPriority w:val="99"/>
    <w:pPr>
      <w:spacing w:beforeLines="30"/>
    </w:pPr>
    <w:rPr>
      <w:rFonts w:ascii="仿宋_GB2312" w:eastAsia="仿宋_GB2312"/>
      <w:kern w:val="0"/>
      <w:sz w:val="30"/>
    </w:rPr>
  </w:style>
  <w:style w:type="paragraph" w:styleId="13">
    <w:name w:val="toc 3"/>
    <w:basedOn w:val="1"/>
    <w:next w:val="1"/>
    <w:unhideWhenUsed/>
    <w:qFormat/>
    <w:uiPriority w:val="39"/>
    <w:pPr>
      <w:tabs>
        <w:tab w:val="right" w:leader="dot" w:pos="8296"/>
      </w:tabs>
      <w:ind w:left="840" w:leftChars="400"/>
    </w:pPr>
  </w:style>
  <w:style w:type="paragraph" w:styleId="14">
    <w:name w:val="Plain Text"/>
    <w:basedOn w:val="1"/>
    <w:next w:val="11"/>
    <w:qFormat/>
    <w:uiPriority w:val="99"/>
    <w:rPr>
      <w:rFonts w:ascii="宋体" w:hAnsi="Courier New" w:cs="宋体"/>
      <w:sz w:val="32"/>
      <w:szCs w:val="32"/>
    </w:rPr>
  </w:style>
  <w:style w:type="paragraph" w:styleId="15">
    <w:name w:val="Balloon Text"/>
    <w:basedOn w:val="1"/>
    <w:link w:val="39"/>
    <w:semiHidden/>
    <w:unhideWhenUsed/>
    <w:qFormat/>
    <w:uiPriority w:val="99"/>
    <w:rPr>
      <w:sz w:val="18"/>
      <w:szCs w:val="18"/>
    </w:rPr>
  </w:style>
  <w:style w:type="paragraph" w:styleId="16">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仿宋_GB2312" w:cs="Times New Roman"/>
      <w:kern w:val="0"/>
      <w:sz w:val="24"/>
      <w:szCs w:val="24"/>
      <w:lang w:val="en-US" w:eastAsia="zh-CN" w:bidi="ar"/>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6">
    <w:name w:val="章标题"/>
    <w:basedOn w:val="1"/>
    <w:next w:val="27"/>
    <w:qFormat/>
    <w:uiPriority w:val="99"/>
    <w:pPr>
      <w:widowControl/>
      <w:spacing w:before="158" w:after="153" w:line="323" w:lineRule="atLeast"/>
      <w:ind w:right="-120"/>
      <w:jc w:val="center"/>
      <w:textAlignment w:val="baseline"/>
    </w:pPr>
    <w:rPr>
      <w:color w:val="FF0000"/>
      <w:sz w:val="18"/>
    </w:rPr>
  </w:style>
  <w:style w:type="paragraph" w:customStyle="1" w:styleId="27">
    <w:name w:val="节标题"/>
    <w:basedOn w:val="1"/>
    <w:next w:val="1"/>
    <w:qFormat/>
    <w:uiPriority w:val="99"/>
    <w:pPr>
      <w:widowControl/>
      <w:spacing w:line="289" w:lineRule="atLeast"/>
      <w:jc w:val="center"/>
      <w:textAlignment w:val="baseline"/>
    </w:pPr>
    <w:rPr>
      <w:color w:val="000000"/>
      <w:sz w:val="28"/>
    </w:rPr>
  </w:style>
  <w:style w:type="character" w:customStyle="1" w:styleId="28">
    <w:name w:val="Header Char"/>
    <w:basedOn w:val="22"/>
    <w:semiHidden/>
    <w:qFormat/>
    <w:uiPriority w:val="99"/>
    <w:rPr>
      <w:rFonts w:ascii="Times New Roman" w:hAnsi="Times New Roman"/>
      <w:sz w:val="18"/>
      <w:szCs w:val="18"/>
    </w:rPr>
  </w:style>
  <w:style w:type="character" w:customStyle="1" w:styleId="29">
    <w:name w:val="页眉 Char"/>
    <w:link w:val="17"/>
    <w:semiHidden/>
    <w:qFormat/>
    <w:locked/>
    <w:uiPriority w:val="99"/>
    <w:rPr>
      <w:sz w:val="18"/>
    </w:rPr>
  </w:style>
  <w:style w:type="character" w:customStyle="1" w:styleId="30">
    <w:name w:val="Footer Char"/>
    <w:basedOn w:val="22"/>
    <w:semiHidden/>
    <w:qFormat/>
    <w:uiPriority w:val="99"/>
    <w:rPr>
      <w:rFonts w:ascii="Times New Roman" w:hAnsi="Times New Roman"/>
      <w:sz w:val="18"/>
      <w:szCs w:val="18"/>
    </w:rPr>
  </w:style>
  <w:style w:type="character" w:customStyle="1" w:styleId="31">
    <w:name w:val="页脚 Char"/>
    <w:link w:val="16"/>
    <w:qFormat/>
    <w:locked/>
    <w:uiPriority w:val="99"/>
    <w:rPr>
      <w:sz w:val="18"/>
    </w:rPr>
  </w:style>
  <w:style w:type="character" w:customStyle="1" w:styleId="32">
    <w:name w:val="Body Text Char"/>
    <w:basedOn w:val="22"/>
    <w:semiHidden/>
    <w:qFormat/>
    <w:uiPriority w:val="99"/>
    <w:rPr>
      <w:rFonts w:ascii="Times New Roman" w:hAnsi="Times New Roman"/>
      <w:szCs w:val="24"/>
    </w:rPr>
  </w:style>
  <w:style w:type="character" w:customStyle="1" w:styleId="33">
    <w:name w:val="正文文本 Char"/>
    <w:link w:val="12"/>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2"/>
    <w:link w:val="5"/>
    <w:qFormat/>
    <w:uiPriority w:val="9"/>
    <w:rPr>
      <w:rFonts w:ascii="Times New Roman" w:hAnsi="Times New Roman"/>
      <w:b/>
      <w:bCs/>
      <w:kern w:val="44"/>
      <w:sz w:val="44"/>
      <w:szCs w:val="44"/>
    </w:rPr>
  </w:style>
  <w:style w:type="character" w:customStyle="1" w:styleId="37">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2"/>
    <w:link w:val="15"/>
    <w:semiHidden/>
    <w:qFormat/>
    <w:uiPriority w:val="99"/>
    <w:rPr>
      <w:rFonts w:ascii="Times New Roman" w:hAnsi="Times New Roman"/>
      <w:kern w:val="2"/>
      <w:sz w:val="18"/>
      <w:szCs w:val="18"/>
    </w:rPr>
  </w:style>
  <w:style w:type="character" w:customStyle="1" w:styleId="40">
    <w:name w:val="标题 3 Char"/>
    <w:basedOn w:val="22"/>
    <w:link w:val="7"/>
    <w:qFormat/>
    <w:uiPriority w:val="9"/>
    <w:rPr>
      <w:rFonts w:ascii="Times New Roman" w:hAnsi="Times New Roman"/>
      <w:b/>
      <w:bCs/>
      <w:kern w:val="2"/>
      <w:sz w:val="32"/>
      <w:szCs w:val="32"/>
    </w:rPr>
  </w:style>
  <w:style w:type="paragraph" w:customStyle="1" w:styleId="41">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常用样式（方正仿宋简）"/>
    <w:qFormat/>
    <w:uiPriority w:val="0"/>
    <w:pPr>
      <w:widowControl w:val="0"/>
      <w:spacing w:line="560" w:lineRule="exact"/>
      <w:ind w:firstLine="200" w:firstLineChars="200"/>
      <w:jc w:val="both"/>
    </w:pPr>
    <w:rPr>
      <w:rFonts w:ascii="Times New Roman" w:hAnsi="Times New Roman" w:eastAsia="方正仿宋简体" w:cs="Times New Roman"/>
      <w:b/>
      <w:kern w:val="2"/>
      <w:sz w:val="32"/>
      <w:lang w:val="en-US" w:eastAsia="zh-CN" w:bidi="ar-SA"/>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manualLayout>
          <c:xMode val="edge"/>
          <c:yMode val="edge"/>
          <c:x val="0.226904101186608"/>
          <c:y val="0.0139890710382514"/>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3393.81</c:v>
                </c:pt>
                <c:pt idx="1">
                  <c:v>3393.81</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5180.59</c:v>
                </c:pt>
                <c:pt idx="1">
                  <c:v>5180.59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6f28989-11ae-4c2a-af59-aff51e23859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manualLayout>
                  <c:x val="-0.0267607179194414"/>
                  <c:y val="-0.2033648412735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62395538684052"/>
                  <c:y val="0.003083218429651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0.9918</c:v>
                </c:pt>
                <c:pt idx="1">
                  <c:v>0.0082</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9c2c2e4-9386-44c9-bd5a-d79a274c8d2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2657490735839"/>
          <c:y val="0.0337134357957362"/>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558741281404801"/>
                  <c:y val="-0.01441015720680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04095607899903"/>
                  <c:y val="-0.180751118570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0.1349</c:v>
                </c:pt>
                <c:pt idx="1">
                  <c:v>0.8651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a4d7851-ed70-4d40-9152-db64363fc68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财政拨款收、支决算总计变动情况图</a:t>
            </a:r>
            <a:endParaRPr lang="zh-CN"/>
          </a:p>
        </c:rich>
      </c:tx>
      <c:layout>
        <c:manualLayout>
          <c:xMode val="edge"/>
          <c:yMode val="edge"/>
          <c:x val="0.144142702968801"/>
          <c:y val="0.0195119208277103"/>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3573.56</c:v>
                </c:pt>
                <c:pt idx="1">
                  <c:v>3573.56</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5180.59</c:v>
                </c:pt>
                <c:pt idx="1">
                  <c:v>5180.59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70eb41a-34f4-4283-992e-408af7a6cb76}"/>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0763614311704063"/>
          <c:y val="0.165665999555259"/>
          <c:w val="0.896955730745907"/>
          <c:h val="0.62228152101400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3365.82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4657.38</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400bed-8641-4999-a458-9bcef14d5f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525725334584055"/>
                  <c:y val="-0.02626294619394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35318633548677"/>
                  <c:y val="-0.143320130302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239575496688"/>
                  <c:y val="-0.1267954026272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5973343350756"/>
                  <c:y val="-0.04939494821694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41097636593604"/>
                  <c:y val="-0.29929124273320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21052631578947"/>
                      <c:h val="0.0828263921385119"/>
                    </c:manualLayout>
                  </c15:layout>
                </c:ext>
              </c:extLst>
            </c:dLbl>
            <c:dLbl>
              <c:idx val="5"/>
              <c:layout>
                <c:manualLayout>
                  <c:x val="-0.0561187112570024"/>
                  <c:y val="-0.0120337467426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813242388176412"/>
                  <c:y val="-0.01099207445187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c:v>
                </c:pt>
                <c:pt idx="1">
                  <c:v>科学技术</c:v>
                </c:pt>
                <c:pt idx="2">
                  <c:v>社会保障和就业</c:v>
                </c:pt>
                <c:pt idx="3">
                  <c:v>卫生健康</c:v>
                </c:pt>
                <c:pt idx="4">
                  <c:v>资源勘探工业信息等</c:v>
                </c:pt>
                <c:pt idx="5">
                  <c:v>商业服务等</c:v>
                </c:pt>
                <c:pt idx="6">
                  <c:v>住房保障</c:v>
                </c:pt>
              </c:strCache>
            </c:strRef>
          </c:cat>
          <c:val>
            <c:numRef>
              <c:f>Sheet1!$B$2:$B$8</c:f>
              <c:numCache>
                <c:formatCode>0.00%</c:formatCode>
                <c:ptCount val="7"/>
                <c:pt idx="0">
                  <c:v>0.0832</c:v>
                </c:pt>
                <c:pt idx="1">
                  <c:v>0.0546</c:v>
                </c:pt>
                <c:pt idx="2">
                  <c:v>0.0142</c:v>
                </c:pt>
                <c:pt idx="3">
                  <c:v>0.0054</c:v>
                </c:pt>
                <c:pt idx="4">
                  <c:v>0.6433</c:v>
                </c:pt>
                <c:pt idx="5">
                  <c:v>0.1922</c:v>
                </c:pt>
                <c:pt idx="6">
                  <c:v>0.0072</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18708104814138"/>
          <c:y val="0.3763933121019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8543069-5f2e-4cd9-8cc2-521a79c430c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8.20123028892184e-7"/>
                  <c:y val="-0.4386992599733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37290257951415"/>
          <c:y val="0.46428571428571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705f018-ebec-4025-b3b9-69097859af08}"/>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fd76b8-4626-4aa5-93db-66508112552c}"/>
        <w:style w:val=""/>
        <w:category>
          <w:name w:val="常规"/>
          <w:gallery w:val="placeholder"/>
        </w:category>
        <w:types>
          <w:type w:val="bbPlcHdr"/>
        </w:types>
        <w:behaviors>
          <w:behavior w:val="content"/>
        </w:behaviors>
        <w:description w:val=""/>
        <w:guid w:val="{5dfd76b8-4626-4aa5-93db-66508112552c}"/>
      </w:docPartPr>
      <w:docPartBody>
        <w:p w14:paraId="2554ABC8">
          <w:r>
            <w:rPr>
              <w:color w:val="808080"/>
            </w:rPr>
            <w:t>单击此处输入文字。</w:t>
          </w:r>
        </w:p>
      </w:docPartBody>
    </w:docPart>
    <w:docPart>
      <w:docPartPr>
        <w:name w:val="{7e353649-6c95-454b-bf88-183b1137979a}"/>
        <w:style w:val=""/>
        <w:category>
          <w:name w:val="常规"/>
          <w:gallery w:val="placeholder"/>
        </w:category>
        <w:types>
          <w:type w:val="bbPlcHdr"/>
        </w:types>
        <w:behaviors>
          <w:behavior w:val="content"/>
        </w:behaviors>
        <w:description w:val=""/>
        <w:guid w:val="{7e353649-6c95-454b-bf88-183b1137979a}"/>
      </w:docPartPr>
      <w:docPartBody>
        <w:p w14:paraId="3CDAAD17">
          <w:r>
            <w:rPr>
              <w:color w:val="808080"/>
            </w:rPr>
            <w:t>单击此处输入文字。</w:t>
          </w:r>
        </w:p>
      </w:docPartBody>
    </w:docPart>
    <w:docPart>
      <w:docPartPr>
        <w:name w:val="{61486634-c4ad-44bb-bd14-e7238655c749}"/>
        <w:style w:val=""/>
        <w:category>
          <w:name w:val="常规"/>
          <w:gallery w:val="placeholder"/>
        </w:category>
        <w:types>
          <w:type w:val="bbPlcHdr"/>
        </w:types>
        <w:behaviors>
          <w:behavior w:val="content"/>
        </w:behaviors>
        <w:description w:val=""/>
        <w:guid w:val="{61486634-c4ad-44bb-bd14-e7238655c749}"/>
      </w:docPartPr>
      <w:docPartBody>
        <w:p w14:paraId="454354F8">
          <w:r>
            <w:rPr>
              <w:color w:val="808080"/>
            </w:rPr>
            <w:t>单击此处输入文字。</w:t>
          </w:r>
        </w:p>
      </w:docPartBody>
    </w:docPart>
    <w:docPart>
      <w:docPartPr>
        <w:name w:val="{50b26c61-e8fd-4f1d-8fab-5b017522f070}"/>
        <w:style w:val=""/>
        <w:category>
          <w:name w:val="常规"/>
          <w:gallery w:val="placeholder"/>
        </w:category>
        <w:types>
          <w:type w:val="bbPlcHdr"/>
        </w:types>
        <w:behaviors>
          <w:behavior w:val="content"/>
        </w:behaviors>
        <w:description w:val=""/>
        <w:guid w:val="{50b26c61-e8fd-4f1d-8fab-5b017522f070}"/>
      </w:docPartPr>
      <w:docPartBody>
        <w:p w14:paraId="6BC6AA8E">
          <w:r>
            <w:rPr>
              <w:color w:val="808080"/>
            </w:rPr>
            <w:t>单击此处输入文字。</w:t>
          </w:r>
        </w:p>
      </w:docPartBody>
    </w:docPart>
    <w:docPart>
      <w:docPartPr>
        <w:name w:val="{11196882-56ba-44de-b3ed-a06f2b8b0caf}"/>
        <w:style w:val=""/>
        <w:category>
          <w:name w:val="常规"/>
          <w:gallery w:val="placeholder"/>
        </w:category>
        <w:types>
          <w:type w:val="bbPlcHdr"/>
        </w:types>
        <w:behaviors>
          <w:behavior w:val="content"/>
        </w:behaviors>
        <w:description w:val=""/>
        <w:guid w:val="{11196882-56ba-44de-b3ed-a06f2b8b0caf}"/>
      </w:docPartPr>
      <w:docPartBody>
        <w:p w14:paraId="72D3FEA0">
          <w:r>
            <w:rPr>
              <w:color w:val="808080"/>
            </w:rPr>
            <w:t>单击此处输入文字。</w:t>
          </w:r>
        </w:p>
      </w:docPartBody>
    </w:docPart>
    <w:docPart>
      <w:docPartPr>
        <w:name w:val="{a9d73a68-8f2b-481b-a02c-adfcf5875ad2}"/>
        <w:style w:val=""/>
        <w:category>
          <w:name w:val="常规"/>
          <w:gallery w:val="placeholder"/>
        </w:category>
        <w:types>
          <w:type w:val="bbPlcHdr"/>
        </w:types>
        <w:behaviors>
          <w:behavior w:val="content"/>
        </w:behaviors>
        <w:description w:val=""/>
        <w:guid w:val="{a9d73a68-8f2b-481b-a02c-adfcf5875ad2}"/>
      </w:docPartPr>
      <w:docPartBody>
        <w:p w14:paraId="52AAC47D">
          <w:r>
            <w:rPr>
              <w:color w:val="808080"/>
            </w:rPr>
            <w:t>单击此处输入文字。</w:t>
          </w:r>
        </w:p>
      </w:docPartBody>
    </w:docPart>
    <w:docPart>
      <w:docPartPr>
        <w:name w:val="{e3ce430b-7693-4b92-be07-4a19020aa853}"/>
        <w:style w:val=""/>
        <w:category>
          <w:name w:val="常规"/>
          <w:gallery w:val="placeholder"/>
        </w:category>
        <w:types>
          <w:type w:val="bbPlcHdr"/>
        </w:types>
        <w:behaviors>
          <w:behavior w:val="content"/>
        </w:behaviors>
        <w:description w:val=""/>
        <w:guid w:val="{e3ce430b-7693-4b92-be07-4a19020aa853}"/>
      </w:docPartPr>
      <w:docPartBody>
        <w:p w14:paraId="302ED063">
          <w:r>
            <w:rPr>
              <w:color w:val="808080"/>
            </w:rPr>
            <w:t>单击此处输入文字。</w:t>
          </w:r>
        </w:p>
      </w:docPartBody>
    </w:docPart>
    <w:docPart>
      <w:docPartPr>
        <w:name w:val="{9e500519-f6e4-4812-b762-6446b1af5123}"/>
        <w:style w:val=""/>
        <w:category>
          <w:name w:val="常规"/>
          <w:gallery w:val="placeholder"/>
        </w:category>
        <w:types>
          <w:type w:val="bbPlcHdr"/>
        </w:types>
        <w:behaviors>
          <w:behavior w:val="content"/>
        </w:behaviors>
        <w:description w:val=""/>
        <w:guid w:val="{9e500519-f6e4-4812-b762-6446b1af5123}"/>
      </w:docPartPr>
      <w:docPartBody>
        <w:p w14:paraId="75983395">
          <w:r>
            <w:rPr>
              <w:color w:val="808080"/>
            </w:rPr>
            <w:t>单击此处输入文字。</w:t>
          </w:r>
        </w:p>
      </w:docPartBody>
    </w:docPart>
    <w:docPart>
      <w:docPartPr>
        <w:name w:val="{8fde7cff-86fb-497a-bb86-7d1cda179f01}"/>
        <w:style w:val=""/>
        <w:category>
          <w:name w:val="常规"/>
          <w:gallery w:val="placeholder"/>
        </w:category>
        <w:types>
          <w:type w:val="bbPlcHdr"/>
        </w:types>
        <w:behaviors>
          <w:behavior w:val="content"/>
        </w:behaviors>
        <w:description w:val=""/>
        <w:guid w:val="{8fde7cff-86fb-497a-bb86-7d1cda179f01}"/>
      </w:docPartPr>
      <w:docPartBody>
        <w:p w14:paraId="50DF6028">
          <w:r>
            <w:rPr>
              <w:color w:val="808080"/>
            </w:rPr>
            <w:t>单击此处输入文字。</w:t>
          </w:r>
        </w:p>
      </w:docPartBody>
    </w:docPart>
    <w:docPart>
      <w:docPartPr>
        <w:name w:val="{73aac2b6-6990-4346-a771-29d169956820}"/>
        <w:style w:val=""/>
        <w:category>
          <w:name w:val="常规"/>
          <w:gallery w:val="placeholder"/>
        </w:category>
        <w:types>
          <w:type w:val="bbPlcHdr"/>
        </w:types>
        <w:behaviors>
          <w:behavior w:val="content"/>
        </w:behaviors>
        <w:description w:val=""/>
        <w:guid w:val="{73aac2b6-6990-4346-a771-29d169956820}"/>
      </w:docPartPr>
      <w:docPartBody>
        <w:p w14:paraId="66FDE1CB">
          <w:r>
            <w:rPr>
              <w:color w:val="808080"/>
            </w:rPr>
            <w:t>单击此处输入文字。</w:t>
          </w:r>
        </w:p>
      </w:docPartBody>
    </w:docPart>
    <w:docPart>
      <w:docPartPr>
        <w:name w:val="{74a87767-6dcd-4adf-bb1a-03ca5eae1b03}"/>
        <w:style w:val=""/>
        <w:category>
          <w:name w:val="常规"/>
          <w:gallery w:val="placeholder"/>
        </w:category>
        <w:types>
          <w:type w:val="bbPlcHdr"/>
        </w:types>
        <w:behaviors>
          <w:behavior w:val="content"/>
        </w:behaviors>
        <w:description w:val=""/>
        <w:guid w:val="{74a87767-6dcd-4adf-bb1a-03ca5eae1b03}"/>
      </w:docPartPr>
      <w:docPartBody>
        <w:p w14:paraId="48954F09">
          <w:r>
            <w:rPr>
              <w:color w:val="808080"/>
            </w:rPr>
            <w:t>单击此处输入文字。</w:t>
          </w:r>
        </w:p>
      </w:docPartBody>
    </w:docPart>
    <w:docPart>
      <w:docPartPr>
        <w:name w:val="{6bad6aaf-a1e0-4e58-b6d5-ee554b788cc2}"/>
        <w:style w:val=""/>
        <w:category>
          <w:name w:val="常规"/>
          <w:gallery w:val="placeholder"/>
        </w:category>
        <w:types>
          <w:type w:val="bbPlcHdr"/>
        </w:types>
        <w:behaviors>
          <w:behavior w:val="content"/>
        </w:behaviors>
        <w:description w:val=""/>
        <w:guid w:val="{6bad6aaf-a1e0-4e58-b6d5-ee554b788cc2}"/>
      </w:docPartPr>
      <w:docPartBody>
        <w:p w14:paraId="566F20F9">
          <w:r>
            <w:rPr>
              <w:color w:val="808080"/>
            </w:rPr>
            <w:t>单击此处输入文字。</w:t>
          </w:r>
        </w:p>
      </w:docPartBody>
    </w:docPart>
    <w:docPart>
      <w:docPartPr>
        <w:name w:val="{482b77f0-a5f0-4aa0-bf61-72977709ac24}"/>
        <w:style w:val=""/>
        <w:category>
          <w:name w:val="常规"/>
          <w:gallery w:val="placeholder"/>
        </w:category>
        <w:types>
          <w:type w:val="bbPlcHdr"/>
        </w:types>
        <w:behaviors>
          <w:behavior w:val="content"/>
        </w:behaviors>
        <w:description w:val=""/>
        <w:guid w:val="{482b77f0-a5f0-4aa0-bf61-72977709ac24}"/>
      </w:docPartPr>
      <w:docPartBody>
        <w:p w14:paraId="1950626A">
          <w:r>
            <w:rPr>
              <w:color w:val="808080"/>
            </w:rPr>
            <w:t>单击此处输入文字。</w:t>
          </w:r>
        </w:p>
      </w:docPartBody>
    </w:docPart>
    <w:docPart>
      <w:docPartPr>
        <w:name w:val="{44688222-3d5b-44c7-a831-6469b64c37f0}"/>
        <w:style w:val=""/>
        <w:category>
          <w:name w:val="常规"/>
          <w:gallery w:val="placeholder"/>
        </w:category>
        <w:types>
          <w:type w:val="bbPlcHdr"/>
        </w:types>
        <w:behaviors>
          <w:behavior w:val="content"/>
        </w:behaviors>
        <w:description w:val=""/>
        <w:guid w:val="{44688222-3d5b-44c7-a831-6469b64c37f0}"/>
      </w:docPartPr>
      <w:docPartBody>
        <w:p w14:paraId="22CEC265">
          <w:r>
            <w:rPr>
              <w:color w:val="808080"/>
            </w:rPr>
            <w:t>单击此处输入文字。</w:t>
          </w:r>
        </w:p>
      </w:docPartBody>
    </w:docPart>
    <w:docPart>
      <w:docPartPr>
        <w:name w:val="{50822c20-c112-455f-b4cf-59e492dbc625}"/>
        <w:style w:val=""/>
        <w:category>
          <w:name w:val="常规"/>
          <w:gallery w:val="placeholder"/>
        </w:category>
        <w:types>
          <w:type w:val="bbPlcHdr"/>
        </w:types>
        <w:behaviors>
          <w:behavior w:val="content"/>
        </w:behaviors>
        <w:description w:val=""/>
        <w:guid w:val="{50822c20-c112-455f-b4cf-59e492dbc625}"/>
      </w:docPartPr>
      <w:docPartBody>
        <w:p w14:paraId="0318C6C9">
          <w:r>
            <w:rPr>
              <w:color w:val="808080"/>
            </w:rPr>
            <w:t>单击此处输入文字。</w:t>
          </w:r>
        </w:p>
      </w:docPartBody>
    </w:docPart>
    <w:docPart>
      <w:docPartPr>
        <w:name w:val="{d85cd010-8b64-4d28-9094-f21269420d1f}"/>
        <w:style w:val=""/>
        <w:category>
          <w:name w:val="常规"/>
          <w:gallery w:val="placeholder"/>
        </w:category>
        <w:types>
          <w:type w:val="bbPlcHdr"/>
        </w:types>
        <w:behaviors>
          <w:behavior w:val="content"/>
        </w:behaviors>
        <w:description w:val=""/>
        <w:guid w:val="{d85cd010-8b64-4d28-9094-f21269420d1f}"/>
      </w:docPartPr>
      <w:docPartBody>
        <w:p w14:paraId="746E13FF">
          <w:r>
            <w:rPr>
              <w:color w:val="808080"/>
            </w:rPr>
            <w:t>单击此处输入文字。</w:t>
          </w:r>
        </w:p>
      </w:docPartBody>
    </w:docPart>
    <w:docPart>
      <w:docPartPr>
        <w:name w:val="{4aa9e0a8-0615-473b-b0f0-4327bc0ebe59}"/>
        <w:style w:val=""/>
        <w:category>
          <w:name w:val="常规"/>
          <w:gallery w:val="placeholder"/>
        </w:category>
        <w:types>
          <w:type w:val="bbPlcHdr"/>
        </w:types>
        <w:behaviors>
          <w:behavior w:val="content"/>
        </w:behaviors>
        <w:description w:val=""/>
        <w:guid w:val="{4aa9e0a8-0615-473b-b0f0-4327bc0ebe59}"/>
      </w:docPartPr>
      <w:docPartBody>
        <w:p w14:paraId="5DF4DC3C">
          <w:r>
            <w:rPr>
              <w:color w:val="808080"/>
            </w:rPr>
            <w:t>单击此处输入文字。</w:t>
          </w:r>
        </w:p>
      </w:docPartBody>
    </w:docPart>
    <w:docPart>
      <w:docPartPr>
        <w:name w:val="{89937d9a-4763-46a6-8c62-8459c755fe1c}"/>
        <w:style w:val=""/>
        <w:category>
          <w:name w:val="常规"/>
          <w:gallery w:val="placeholder"/>
        </w:category>
        <w:types>
          <w:type w:val="bbPlcHdr"/>
        </w:types>
        <w:behaviors>
          <w:behavior w:val="content"/>
        </w:behaviors>
        <w:description w:val=""/>
        <w:guid w:val="{89937d9a-4763-46a6-8c62-8459c755fe1c}"/>
      </w:docPartPr>
      <w:docPartBody>
        <w:p w14:paraId="2DF45F59">
          <w:r>
            <w:rPr>
              <w:color w:val="808080"/>
            </w:rPr>
            <w:t>单击此处输入文字。</w:t>
          </w:r>
        </w:p>
      </w:docPartBody>
    </w:docPart>
    <w:docPart>
      <w:docPartPr>
        <w:name w:val="{b7772c7f-4b0d-4dba-aae2-722eb2989407}"/>
        <w:style w:val=""/>
        <w:category>
          <w:name w:val="常规"/>
          <w:gallery w:val="placeholder"/>
        </w:category>
        <w:types>
          <w:type w:val="bbPlcHdr"/>
        </w:types>
        <w:behaviors>
          <w:behavior w:val="content"/>
        </w:behaviors>
        <w:description w:val=""/>
        <w:guid w:val="{b7772c7f-4b0d-4dba-aae2-722eb2989407}"/>
      </w:docPartPr>
      <w:docPartBody>
        <w:p w14:paraId="4676A53D">
          <w:r>
            <w:rPr>
              <w:color w:val="808080"/>
            </w:rPr>
            <w:t>单击此处输入文字。</w:t>
          </w:r>
        </w:p>
      </w:docPartBody>
    </w:docPart>
    <w:docPart>
      <w:docPartPr>
        <w:name w:val="{2a54899b-49cb-41e8-a22d-1f1f8d96758a}"/>
        <w:style w:val=""/>
        <w:category>
          <w:name w:val="常规"/>
          <w:gallery w:val="placeholder"/>
        </w:category>
        <w:types>
          <w:type w:val="bbPlcHdr"/>
        </w:types>
        <w:behaviors>
          <w:behavior w:val="content"/>
        </w:behaviors>
        <w:description w:val=""/>
        <w:guid w:val="{2a54899b-49cb-41e8-a22d-1f1f8d96758a}"/>
      </w:docPartPr>
      <w:docPartBody>
        <w:p w14:paraId="1779F73C">
          <w:r>
            <w:rPr>
              <w:color w:val="808080"/>
            </w:rPr>
            <w:t>单击此处输入文字。</w:t>
          </w:r>
        </w:p>
      </w:docPartBody>
    </w:docPart>
    <w:docPart>
      <w:docPartPr>
        <w:name w:val="{57473e07-57d3-462b-bafd-980783890ba0}"/>
        <w:style w:val=""/>
        <w:category>
          <w:name w:val="常规"/>
          <w:gallery w:val="placeholder"/>
        </w:category>
        <w:types>
          <w:type w:val="bbPlcHdr"/>
        </w:types>
        <w:behaviors>
          <w:behavior w:val="content"/>
        </w:behaviors>
        <w:description w:val=""/>
        <w:guid w:val="{57473e07-57d3-462b-bafd-980783890ba0}"/>
      </w:docPartPr>
      <w:docPartBody>
        <w:p w14:paraId="4268FAC5">
          <w:r>
            <w:rPr>
              <w:color w:val="808080"/>
            </w:rPr>
            <w:t>单击此处输入文字。</w:t>
          </w:r>
        </w:p>
      </w:docPartBody>
    </w:docPart>
    <w:docPart>
      <w:docPartPr>
        <w:name w:val="{45a7c4d9-bcf5-406b-b646-af7c11f2ff50}"/>
        <w:style w:val=""/>
        <w:category>
          <w:name w:val="常规"/>
          <w:gallery w:val="placeholder"/>
        </w:category>
        <w:types>
          <w:type w:val="bbPlcHdr"/>
        </w:types>
        <w:behaviors>
          <w:behavior w:val="content"/>
        </w:behaviors>
        <w:description w:val=""/>
        <w:guid w:val="{45a7c4d9-bcf5-406b-b646-af7c11f2ff50}"/>
      </w:docPartPr>
      <w:docPartBody>
        <w:p w14:paraId="06A04AA0">
          <w:r>
            <w:rPr>
              <w:color w:val="808080"/>
            </w:rPr>
            <w:t>单击此处输入文字。</w:t>
          </w:r>
        </w:p>
      </w:docPartBody>
    </w:docPart>
    <w:docPart>
      <w:docPartPr>
        <w:name w:val="{5db1bcd9-ccf3-49b9-85d6-8a3aa6065140}"/>
        <w:style w:val=""/>
        <w:category>
          <w:name w:val="常规"/>
          <w:gallery w:val="placeholder"/>
        </w:category>
        <w:types>
          <w:type w:val="bbPlcHdr"/>
        </w:types>
        <w:behaviors>
          <w:behavior w:val="content"/>
        </w:behaviors>
        <w:description w:val=""/>
        <w:guid w:val="{5db1bcd9-ccf3-49b9-85d6-8a3aa6065140}"/>
      </w:docPartPr>
      <w:docPartBody>
        <w:p w14:paraId="66AEAEE2">
          <w:r>
            <w:rPr>
              <w:color w:val="808080"/>
            </w:rPr>
            <w:t>单击此处输入文字。</w:t>
          </w:r>
        </w:p>
      </w:docPartBody>
    </w:docPart>
    <w:docPart>
      <w:docPartPr>
        <w:name w:val="{e67db335-0bab-4537-b171-243ad9861559}"/>
        <w:style w:val=""/>
        <w:category>
          <w:name w:val="常规"/>
          <w:gallery w:val="placeholder"/>
        </w:category>
        <w:types>
          <w:type w:val="bbPlcHdr"/>
        </w:types>
        <w:behaviors>
          <w:behavior w:val="content"/>
        </w:behaviors>
        <w:description w:val=""/>
        <w:guid w:val="{e67db335-0bab-4537-b171-243ad9861559}"/>
      </w:docPartPr>
      <w:docPartBody>
        <w:p w14:paraId="76EA73A6">
          <w:r>
            <w:rPr>
              <w:color w:val="808080"/>
            </w:rPr>
            <w:t>单击此处输入文字。</w:t>
          </w:r>
        </w:p>
      </w:docPartBody>
    </w:docPart>
    <w:docPart>
      <w:docPartPr>
        <w:name w:val="{1d662c63-fea3-41d4-ba34-3cf7359c957f}"/>
        <w:style w:val=""/>
        <w:category>
          <w:name w:val="常规"/>
          <w:gallery w:val="placeholder"/>
        </w:category>
        <w:types>
          <w:type w:val="bbPlcHdr"/>
        </w:types>
        <w:behaviors>
          <w:behavior w:val="content"/>
        </w:behaviors>
        <w:description w:val=""/>
        <w:guid w:val="{1d662c63-fea3-41d4-ba34-3cf7359c957f}"/>
      </w:docPartPr>
      <w:docPartBody>
        <w:p w14:paraId="121D4616">
          <w:r>
            <w:rPr>
              <w:color w:val="808080"/>
            </w:rPr>
            <w:t>单击此处输入文字。</w:t>
          </w:r>
        </w:p>
      </w:docPartBody>
    </w:docPart>
    <w:docPart>
      <w:docPartPr>
        <w:name w:val="{71d4f7f4-0060-40a5-aa10-334bce78f104}"/>
        <w:style w:val=""/>
        <w:category>
          <w:name w:val="常规"/>
          <w:gallery w:val="placeholder"/>
        </w:category>
        <w:types>
          <w:type w:val="bbPlcHdr"/>
        </w:types>
        <w:behaviors>
          <w:behavior w:val="content"/>
        </w:behaviors>
        <w:description w:val=""/>
        <w:guid w:val="{71d4f7f4-0060-40a5-aa10-334bce78f104}"/>
      </w:docPartPr>
      <w:docPartBody>
        <w:p w14:paraId="6E0E0892">
          <w:r>
            <w:rPr>
              <w:color w:val="808080"/>
            </w:rPr>
            <w:t>单击此处输入文字。</w:t>
          </w:r>
        </w:p>
      </w:docPartBody>
    </w:docPart>
    <w:docPart>
      <w:docPartPr>
        <w:name w:val="{32a833e0-2265-4b1b-99d4-96994e232be1}"/>
        <w:style w:val=""/>
        <w:category>
          <w:name w:val="常规"/>
          <w:gallery w:val="placeholder"/>
        </w:category>
        <w:types>
          <w:type w:val="bbPlcHdr"/>
        </w:types>
        <w:behaviors>
          <w:behavior w:val="content"/>
        </w:behaviors>
        <w:description w:val=""/>
        <w:guid w:val="{32a833e0-2265-4b1b-99d4-96994e232be1}"/>
      </w:docPartPr>
      <w:docPartBody>
        <w:p w14:paraId="6CE081C1">
          <w:r>
            <w:rPr>
              <w:color w:val="808080"/>
            </w:rPr>
            <w:t>单击此处输入文字。</w:t>
          </w:r>
        </w:p>
      </w:docPartBody>
    </w:docPart>
    <w:docPart>
      <w:docPartPr>
        <w:name w:val="{b65a98c0-0ee3-408f-8f58-ae19be37c210}"/>
        <w:style w:val=""/>
        <w:category>
          <w:name w:val="常规"/>
          <w:gallery w:val="placeholder"/>
        </w:category>
        <w:types>
          <w:type w:val="bbPlcHdr"/>
        </w:types>
        <w:behaviors>
          <w:behavior w:val="content"/>
        </w:behaviors>
        <w:description w:val=""/>
        <w:guid w:val="{b65a98c0-0ee3-408f-8f58-ae19be37c210}"/>
      </w:docPartPr>
      <w:docPartBody>
        <w:p w14:paraId="22FD8D6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115</Pages>
  <Words>11641</Words>
  <Characters>12481</Characters>
  <Lines>61</Lines>
  <Paragraphs>17</Paragraphs>
  <TotalTime>9</TotalTime>
  <ScaleCrop>false</ScaleCrop>
  <LinksUpToDate>false</LinksUpToDate>
  <CharactersWithSpaces>12757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2025-08-26T02:53:00Z</cp:lastPrinted>
  <dcterms:modified xsi:type="dcterms:W3CDTF">2025-10-15T08:55:03Z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A3D82B06649646E7B4F24F9568A8F3D5_12</vt:lpwstr>
  </property>
  <property fmtid="{D5CDD505-2E9C-101B-9397-08002B2CF9AE}" pid="4" name="KSOTemplateDocerSaveRecord">
    <vt:lpwstr>eyJoZGlkIjoiMjcwYjc0NzEyMzZlNTZmOWU5MGU4MTc5MzFmMjczNTkifQ==</vt:lpwstr>
  </property>
</Properties>
</file>