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C3F15">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83" w:name="_GoBack"/>
      <w:bookmarkEnd w:id="83"/>
      <w:bookmarkStart w:id="0" w:name="_Toc15377193"/>
      <w:bookmarkStart w:id="1" w:name="_Toc15396597"/>
      <w:bookmarkStart w:id="2" w:name="_Toc15306267"/>
      <w:bookmarkStart w:id="3" w:name="_Toc15377425"/>
      <w:bookmarkStart w:id="4" w:name="_Toc15396475"/>
      <w:bookmarkStart w:id="5" w:name="_Toc15378441"/>
    </w:p>
    <w:p w14:paraId="24F593B9">
      <w:pPr>
        <w:pStyle w:val="8"/>
        <w:rPr>
          <w:rFonts w:hint="eastAsia" w:ascii="Times New Roman" w:hAnsi="Times New Roman" w:eastAsia="方正小标宋简体" w:cs="Times New Roman"/>
          <w:color w:val="auto"/>
          <w:kern w:val="2"/>
          <w:sz w:val="72"/>
          <w:szCs w:val="72"/>
          <w:highlight w:val="none"/>
          <w:lang w:val="en-US" w:eastAsia="zh-CN" w:bidi="ar-SA"/>
        </w:rPr>
      </w:pPr>
    </w:p>
    <w:p w14:paraId="7FF5C6EE">
      <w:pPr>
        <w:pStyle w:val="8"/>
        <w:rPr>
          <w:rFonts w:hint="eastAsia" w:ascii="Times New Roman" w:hAnsi="Times New Roman" w:eastAsia="方正小标宋简体" w:cs="Times New Roman"/>
          <w:color w:val="auto"/>
          <w:kern w:val="2"/>
          <w:sz w:val="72"/>
          <w:szCs w:val="72"/>
          <w:highlight w:val="none"/>
          <w:lang w:val="en-US" w:eastAsia="zh-CN" w:bidi="ar-SA"/>
        </w:rPr>
      </w:pPr>
    </w:p>
    <w:p w14:paraId="51B790AE">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202</w:t>
      </w: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4</w:t>
      </w: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年度</w:t>
      </w:r>
    </w:p>
    <w:p w14:paraId="5CDE04C2">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中国共产党遂宁市安居区委员会党校</w:t>
      </w:r>
    </w:p>
    <w:p w14:paraId="385475DD">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部门决算</w:t>
      </w:r>
    </w:p>
    <w:p w14:paraId="6DE86AF9">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6461D2B2">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47961AAF">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439CFAA4">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6CC13425">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EE29089">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9557823">
      <w:pPr>
        <w:widowControl/>
        <w:jc w:val="center"/>
        <w:rPr>
          <w:rFonts w:ascii="Times New Roman" w:hAnsi="Times New Roman" w:eastAsia="黑体" w:cstheme="minorBidi"/>
          <w:color w:val="auto"/>
          <w:sz w:val="28"/>
          <w:szCs w:val="28"/>
          <w:highlight w:val="none"/>
        </w:rPr>
      </w:pPr>
    </w:p>
    <w:p w14:paraId="1F0FAB32">
      <w:pPr>
        <w:pStyle w:val="17"/>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20</w:t>
      </w:r>
      <w:r>
        <w:rPr>
          <w:rFonts w:hint="eastAsia" w:ascii="Times New Roman" w:hAnsi="Times New Roman" w:eastAsia="仿宋_GB2312" w:cs="仿宋_GB2312"/>
          <w:color w:val="auto"/>
          <w:sz w:val="32"/>
          <w:szCs w:val="32"/>
          <w:highlight w:val="none"/>
        </w:rPr>
        <w:t>日</w:t>
      </w:r>
    </w:p>
    <w:p w14:paraId="70FB09A8">
      <w:pPr>
        <w:rPr>
          <w:rFonts w:ascii="Times New Roman" w:hAnsi="Times New Roman"/>
          <w:color w:val="auto"/>
          <w:highlight w:val="none"/>
        </w:rPr>
      </w:pPr>
    </w:p>
    <w:sdt>
      <w:sdtPr>
        <w:rPr>
          <w:rFonts w:ascii="宋体" w:hAnsi="宋体" w:eastAsia="宋体" w:cs="Times New Roman"/>
          <w:kern w:val="2"/>
          <w:sz w:val="24"/>
          <w:szCs w:val="24"/>
          <w:lang w:val="en-US" w:eastAsia="zh-CN" w:bidi="ar-SA"/>
        </w:rPr>
        <w:id w:val="147475981"/>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14:paraId="494DD194">
          <w:pPr>
            <w:spacing w:before="0" w:beforeLines="0" w:after="0" w:afterLines="0" w:line="240" w:lineRule="auto"/>
            <w:ind w:left="0" w:leftChars="0" w:right="0" w:rightChars="0" w:firstLine="0" w:firstLineChars="0"/>
            <w:jc w:val="center"/>
            <w:rPr>
              <w:sz w:val="24"/>
              <w:szCs w:val="24"/>
            </w:rPr>
          </w:pPr>
        </w:p>
        <w:p w14:paraId="6A0B5F05">
          <w:pPr>
            <w:pStyle w:val="40"/>
            <w:tabs>
              <w:tab w:val="right" w:leader="dot" w:pos="8306"/>
            </w:tabs>
            <w:spacing w:line="360" w:lineRule="auto"/>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_Toc17254 </w:instrText>
          </w:r>
          <w:r>
            <w:rPr>
              <w:b/>
              <w:sz w:val="24"/>
              <w:szCs w:val="24"/>
            </w:rPr>
            <w:fldChar w:fldCharType="separate"/>
          </w:r>
          <w:r>
            <w:rPr>
              <w:rFonts w:hint="eastAsia" w:ascii="Times New Roman" w:hAnsi="Times New Roman" w:eastAsia="方正小标宋简体" w:cs="方正小标宋简体"/>
              <w:b/>
              <w:sz w:val="24"/>
              <w:szCs w:val="24"/>
              <w:highlight w:val="none"/>
            </w:rPr>
            <w:t>第一部分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bCs w:val="0"/>
              <w:sz w:val="24"/>
              <w:szCs w:val="24"/>
              <w:highlight w:val="none"/>
            </w:rPr>
            <w:t>部门概况</w:t>
          </w:r>
          <w:r>
            <w:rPr>
              <w:b/>
              <w:sz w:val="24"/>
              <w:szCs w:val="24"/>
            </w:rPr>
            <w:tab/>
          </w:r>
          <w:r>
            <w:rPr>
              <w:b/>
              <w:sz w:val="24"/>
              <w:szCs w:val="24"/>
            </w:rPr>
            <w:fldChar w:fldCharType="begin"/>
          </w:r>
          <w:r>
            <w:rPr>
              <w:b/>
              <w:sz w:val="24"/>
              <w:szCs w:val="24"/>
            </w:rPr>
            <w:instrText xml:space="preserve"> PAGEREF _Toc17254 \h </w:instrText>
          </w:r>
          <w:r>
            <w:rPr>
              <w:b/>
              <w:sz w:val="24"/>
              <w:szCs w:val="24"/>
            </w:rPr>
            <w:fldChar w:fldCharType="separate"/>
          </w:r>
          <w:r>
            <w:rPr>
              <w:b/>
              <w:sz w:val="24"/>
              <w:szCs w:val="24"/>
            </w:rPr>
            <w:t>- 1 -</w:t>
          </w:r>
          <w:r>
            <w:rPr>
              <w:b/>
              <w:sz w:val="24"/>
              <w:szCs w:val="24"/>
            </w:rPr>
            <w:fldChar w:fldCharType="end"/>
          </w:r>
          <w:r>
            <w:rPr>
              <w:b/>
              <w:sz w:val="24"/>
              <w:szCs w:val="24"/>
            </w:rPr>
            <w:fldChar w:fldCharType="end"/>
          </w:r>
        </w:p>
        <w:p w14:paraId="1445B51D">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_Toc12067 </w:instrText>
          </w:r>
          <w:r>
            <w:rPr>
              <w:sz w:val="24"/>
              <w:szCs w:val="24"/>
            </w:rPr>
            <w:fldChar w:fldCharType="separate"/>
          </w:r>
          <w:r>
            <w:rPr>
              <w:rFonts w:hint="eastAsia" w:ascii="Times New Roman" w:hAnsi="Times New Roman" w:eastAsia="黑体"/>
              <w:sz w:val="24"/>
              <w:szCs w:val="24"/>
              <w:highlight w:val="none"/>
            </w:rPr>
            <w:t>一、</w:t>
          </w:r>
          <w:r>
            <w:rPr>
              <w:rFonts w:hint="eastAsia" w:ascii="Times New Roman" w:hAnsi="Times New Roman"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_Toc12067 \h </w:instrText>
          </w:r>
          <w:r>
            <w:rPr>
              <w:sz w:val="24"/>
              <w:szCs w:val="24"/>
            </w:rPr>
            <w:fldChar w:fldCharType="separate"/>
          </w:r>
          <w:r>
            <w:rPr>
              <w:sz w:val="24"/>
              <w:szCs w:val="24"/>
            </w:rPr>
            <w:t>- 1 -</w:t>
          </w:r>
          <w:r>
            <w:rPr>
              <w:sz w:val="24"/>
              <w:szCs w:val="24"/>
            </w:rPr>
            <w:fldChar w:fldCharType="end"/>
          </w:r>
          <w:r>
            <w:rPr>
              <w:sz w:val="24"/>
              <w:szCs w:val="24"/>
            </w:rPr>
            <w:fldChar w:fldCharType="end"/>
          </w:r>
        </w:p>
        <w:p w14:paraId="21EA7E4F">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_Toc9967 </w:instrText>
          </w:r>
          <w:r>
            <w:rPr>
              <w:sz w:val="24"/>
              <w:szCs w:val="24"/>
            </w:rPr>
            <w:fldChar w:fldCharType="separate"/>
          </w:r>
          <w:r>
            <w:rPr>
              <w:rFonts w:hint="eastAsia" w:ascii="Times New Roman" w:hAnsi="Times New Roman" w:eastAsia="黑体"/>
              <w:sz w:val="24"/>
              <w:szCs w:val="24"/>
              <w:highlight w:val="none"/>
            </w:rPr>
            <w:t>二、机</w:t>
          </w:r>
          <w:r>
            <w:rPr>
              <w:rFonts w:hint="eastAsia" w:ascii="Times New Roman" w:hAnsi="Times New Roman" w:eastAsia="黑体"/>
              <w:bCs w:val="0"/>
              <w:sz w:val="24"/>
              <w:szCs w:val="24"/>
              <w:highlight w:val="none"/>
            </w:rPr>
            <w:t>构设置</w:t>
          </w:r>
          <w:r>
            <w:rPr>
              <w:sz w:val="24"/>
              <w:szCs w:val="24"/>
            </w:rPr>
            <w:tab/>
          </w:r>
          <w:r>
            <w:rPr>
              <w:sz w:val="24"/>
              <w:szCs w:val="24"/>
            </w:rPr>
            <w:fldChar w:fldCharType="begin"/>
          </w:r>
          <w:r>
            <w:rPr>
              <w:sz w:val="24"/>
              <w:szCs w:val="24"/>
            </w:rPr>
            <w:instrText xml:space="preserve"> PAGEREF _Toc9967 \h </w:instrText>
          </w:r>
          <w:r>
            <w:rPr>
              <w:sz w:val="24"/>
              <w:szCs w:val="24"/>
            </w:rPr>
            <w:fldChar w:fldCharType="separate"/>
          </w:r>
          <w:r>
            <w:rPr>
              <w:sz w:val="24"/>
              <w:szCs w:val="24"/>
            </w:rPr>
            <w:t>- 2 -</w:t>
          </w:r>
          <w:r>
            <w:rPr>
              <w:sz w:val="24"/>
              <w:szCs w:val="24"/>
            </w:rPr>
            <w:fldChar w:fldCharType="end"/>
          </w:r>
          <w:r>
            <w:rPr>
              <w:sz w:val="24"/>
              <w:szCs w:val="24"/>
            </w:rPr>
            <w:fldChar w:fldCharType="end"/>
          </w:r>
        </w:p>
        <w:p w14:paraId="2DF27F6E">
          <w:pPr>
            <w:pStyle w:val="40"/>
            <w:tabs>
              <w:tab w:val="right" w:leader="dot" w:pos="8306"/>
            </w:tabs>
            <w:spacing w:line="360" w:lineRule="auto"/>
            <w:rPr>
              <w:b/>
              <w:sz w:val="24"/>
              <w:szCs w:val="24"/>
            </w:rPr>
          </w:pPr>
          <w:r>
            <w:rPr>
              <w:b/>
              <w:sz w:val="24"/>
              <w:szCs w:val="24"/>
            </w:rPr>
            <w:fldChar w:fldCharType="begin"/>
          </w:r>
          <w:r>
            <w:rPr>
              <w:b/>
              <w:sz w:val="24"/>
              <w:szCs w:val="24"/>
            </w:rPr>
            <w:instrText xml:space="preserve"> HYPERLINK \l _Toc13167 </w:instrText>
          </w:r>
          <w:r>
            <w:rPr>
              <w:b/>
              <w:sz w:val="24"/>
              <w:szCs w:val="24"/>
            </w:rPr>
            <w:fldChar w:fldCharType="separate"/>
          </w:r>
          <w:r>
            <w:rPr>
              <w:rFonts w:hint="eastAsia" w:ascii="Times New Roman" w:hAnsi="Times New Roman" w:eastAsia="方正小标宋简体" w:cs="方正小标宋简体"/>
              <w:b/>
              <w:sz w:val="24"/>
              <w:szCs w:val="24"/>
              <w:highlight w:val="none"/>
            </w:rPr>
            <w:t>第二部分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sz w:val="24"/>
              <w:szCs w:val="24"/>
              <w:highlight w:val="none"/>
              <w:lang w:val="en-US" w:eastAsia="zh-CN"/>
            </w:rPr>
            <w:t>2024年度</w:t>
          </w:r>
          <w:r>
            <w:rPr>
              <w:rFonts w:hint="eastAsia" w:ascii="Times New Roman" w:hAnsi="Times New Roman" w:eastAsia="方正小标宋简体" w:cs="方正小标宋简体"/>
              <w:b/>
              <w:sz w:val="24"/>
              <w:szCs w:val="24"/>
              <w:highlight w:val="none"/>
            </w:rPr>
            <w:t>部门决算情况说明</w:t>
          </w:r>
          <w:r>
            <w:rPr>
              <w:b/>
              <w:sz w:val="24"/>
              <w:szCs w:val="24"/>
            </w:rPr>
            <w:tab/>
          </w:r>
          <w:r>
            <w:rPr>
              <w:b/>
              <w:sz w:val="24"/>
              <w:szCs w:val="24"/>
            </w:rPr>
            <w:fldChar w:fldCharType="begin"/>
          </w:r>
          <w:r>
            <w:rPr>
              <w:b/>
              <w:sz w:val="24"/>
              <w:szCs w:val="24"/>
            </w:rPr>
            <w:instrText xml:space="preserve"> PAGEREF _Toc13167 \h </w:instrText>
          </w:r>
          <w:r>
            <w:rPr>
              <w:b/>
              <w:sz w:val="24"/>
              <w:szCs w:val="24"/>
            </w:rPr>
            <w:fldChar w:fldCharType="separate"/>
          </w:r>
          <w:r>
            <w:rPr>
              <w:b/>
              <w:sz w:val="24"/>
              <w:szCs w:val="24"/>
            </w:rPr>
            <w:t>- 2 -</w:t>
          </w:r>
          <w:r>
            <w:rPr>
              <w:b/>
              <w:sz w:val="24"/>
              <w:szCs w:val="24"/>
            </w:rPr>
            <w:fldChar w:fldCharType="end"/>
          </w:r>
          <w:r>
            <w:rPr>
              <w:b/>
              <w:sz w:val="24"/>
              <w:szCs w:val="24"/>
            </w:rPr>
            <w:fldChar w:fldCharType="end"/>
          </w:r>
        </w:p>
        <w:p w14:paraId="7A85A4B6">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_Toc888 </w:instrText>
          </w:r>
          <w:r>
            <w:rPr>
              <w:sz w:val="24"/>
              <w:szCs w:val="24"/>
            </w:rPr>
            <w:fldChar w:fldCharType="separate"/>
          </w:r>
          <w:r>
            <w:rPr>
              <w:rFonts w:hint="eastAsia" w:ascii="Times New Roman" w:hAnsi="Times New Roman" w:eastAsia="黑体"/>
              <w:sz w:val="24"/>
              <w:szCs w:val="24"/>
              <w:highlight w:val="none"/>
              <w:lang w:eastAsia="zh-CN"/>
            </w:rPr>
            <w:t>一、</w:t>
          </w:r>
          <w:r>
            <w:rPr>
              <w:rFonts w:hint="eastAsia" w:ascii="Times New Roman" w:hAnsi="Times New Roman"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_Toc888 \h </w:instrText>
          </w:r>
          <w:r>
            <w:rPr>
              <w:sz w:val="24"/>
              <w:szCs w:val="24"/>
            </w:rPr>
            <w:fldChar w:fldCharType="separate"/>
          </w:r>
          <w:r>
            <w:rPr>
              <w:sz w:val="24"/>
              <w:szCs w:val="24"/>
            </w:rPr>
            <w:t>- 3 -</w:t>
          </w:r>
          <w:r>
            <w:rPr>
              <w:sz w:val="24"/>
              <w:szCs w:val="24"/>
            </w:rPr>
            <w:fldChar w:fldCharType="end"/>
          </w:r>
          <w:r>
            <w:rPr>
              <w:sz w:val="24"/>
              <w:szCs w:val="24"/>
            </w:rPr>
            <w:fldChar w:fldCharType="end"/>
          </w:r>
        </w:p>
        <w:p w14:paraId="10D3F088">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_Toc9005 </w:instrText>
          </w:r>
          <w:r>
            <w:rPr>
              <w:sz w:val="24"/>
              <w:szCs w:val="24"/>
            </w:rPr>
            <w:fldChar w:fldCharType="separate"/>
          </w:r>
          <w:r>
            <w:rPr>
              <w:rFonts w:hint="eastAsia" w:ascii="Times New Roman" w:hAnsi="Times New Roman" w:eastAsia="黑体"/>
              <w:sz w:val="24"/>
              <w:szCs w:val="24"/>
              <w:highlight w:val="none"/>
              <w:lang w:eastAsia="zh-CN"/>
            </w:rPr>
            <w:t>二、收入决算情况说明</w:t>
          </w:r>
          <w:r>
            <w:rPr>
              <w:sz w:val="24"/>
              <w:szCs w:val="24"/>
            </w:rPr>
            <w:tab/>
          </w:r>
          <w:r>
            <w:rPr>
              <w:sz w:val="24"/>
              <w:szCs w:val="24"/>
            </w:rPr>
            <w:fldChar w:fldCharType="begin"/>
          </w:r>
          <w:r>
            <w:rPr>
              <w:sz w:val="24"/>
              <w:szCs w:val="24"/>
            </w:rPr>
            <w:instrText xml:space="preserve"> PAGEREF _Toc9005 \h </w:instrText>
          </w:r>
          <w:r>
            <w:rPr>
              <w:sz w:val="24"/>
              <w:szCs w:val="24"/>
            </w:rPr>
            <w:fldChar w:fldCharType="separate"/>
          </w:r>
          <w:r>
            <w:rPr>
              <w:sz w:val="24"/>
              <w:szCs w:val="24"/>
            </w:rPr>
            <w:t>- 3 -</w:t>
          </w:r>
          <w:r>
            <w:rPr>
              <w:sz w:val="24"/>
              <w:szCs w:val="24"/>
            </w:rPr>
            <w:fldChar w:fldCharType="end"/>
          </w:r>
          <w:r>
            <w:rPr>
              <w:sz w:val="24"/>
              <w:szCs w:val="24"/>
            </w:rPr>
            <w:fldChar w:fldCharType="end"/>
          </w:r>
        </w:p>
        <w:p w14:paraId="7E951C1F">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_Toc5908 </w:instrText>
          </w:r>
          <w:r>
            <w:rPr>
              <w:sz w:val="24"/>
              <w:szCs w:val="24"/>
            </w:rPr>
            <w:fldChar w:fldCharType="separate"/>
          </w:r>
          <w:r>
            <w:rPr>
              <w:rFonts w:hint="eastAsia" w:ascii="Times New Roman" w:hAnsi="Times New Roman" w:eastAsia="黑体"/>
              <w:sz w:val="24"/>
              <w:szCs w:val="24"/>
              <w:highlight w:val="none"/>
              <w:lang w:eastAsia="zh-CN"/>
            </w:rPr>
            <w:t>三、</w:t>
          </w:r>
          <w:r>
            <w:rPr>
              <w:rFonts w:hint="eastAsia" w:ascii="Times New Roman" w:hAnsi="Times New Roman"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_Toc5908 \h </w:instrText>
          </w:r>
          <w:r>
            <w:rPr>
              <w:sz w:val="24"/>
              <w:szCs w:val="24"/>
            </w:rPr>
            <w:fldChar w:fldCharType="separate"/>
          </w:r>
          <w:r>
            <w:rPr>
              <w:sz w:val="24"/>
              <w:szCs w:val="24"/>
            </w:rPr>
            <w:t>- 4 -</w:t>
          </w:r>
          <w:r>
            <w:rPr>
              <w:sz w:val="24"/>
              <w:szCs w:val="24"/>
            </w:rPr>
            <w:fldChar w:fldCharType="end"/>
          </w:r>
          <w:r>
            <w:rPr>
              <w:sz w:val="24"/>
              <w:szCs w:val="24"/>
            </w:rPr>
            <w:fldChar w:fldCharType="end"/>
          </w:r>
        </w:p>
        <w:p w14:paraId="189E900B">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_Toc14698 </w:instrText>
          </w:r>
          <w:r>
            <w:rPr>
              <w:sz w:val="24"/>
              <w:szCs w:val="24"/>
            </w:rPr>
            <w:fldChar w:fldCharType="separate"/>
          </w:r>
          <w:r>
            <w:rPr>
              <w:rFonts w:hint="eastAsia" w:ascii="Times New Roman" w:hAnsi="Times New Roman"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_Toc14698 \h </w:instrText>
          </w:r>
          <w:r>
            <w:rPr>
              <w:sz w:val="24"/>
              <w:szCs w:val="24"/>
            </w:rPr>
            <w:fldChar w:fldCharType="separate"/>
          </w:r>
          <w:r>
            <w:rPr>
              <w:sz w:val="24"/>
              <w:szCs w:val="24"/>
            </w:rPr>
            <w:t>- 5 -</w:t>
          </w:r>
          <w:r>
            <w:rPr>
              <w:sz w:val="24"/>
              <w:szCs w:val="24"/>
            </w:rPr>
            <w:fldChar w:fldCharType="end"/>
          </w:r>
          <w:r>
            <w:rPr>
              <w:sz w:val="24"/>
              <w:szCs w:val="24"/>
            </w:rPr>
            <w:fldChar w:fldCharType="end"/>
          </w:r>
        </w:p>
        <w:p w14:paraId="037BDC55">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_Toc8367 </w:instrText>
          </w:r>
          <w:r>
            <w:rPr>
              <w:sz w:val="24"/>
              <w:szCs w:val="24"/>
            </w:rPr>
            <w:fldChar w:fldCharType="separate"/>
          </w:r>
          <w:r>
            <w:rPr>
              <w:rFonts w:hint="eastAsia" w:ascii="Times New Roman" w:hAnsi="Times New Roman"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_Toc8367 \h </w:instrText>
          </w:r>
          <w:r>
            <w:rPr>
              <w:sz w:val="24"/>
              <w:szCs w:val="24"/>
            </w:rPr>
            <w:fldChar w:fldCharType="separate"/>
          </w:r>
          <w:r>
            <w:rPr>
              <w:sz w:val="24"/>
              <w:szCs w:val="24"/>
            </w:rPr>
            <w:t>- 6 -</w:t>
          </w:r>
          <w:r>
            <w:rPr>
              <w:sz w:val="24"/>
              <w:szCs w:val="24"/>
            </w:rPr>
            <w:fldChar w:fldCharType="end"/>
          </w:r>
          <w:r>
            <w:rPr>
              <w:sz w:val="24"/>
              <w:szCs w:val="24"/>
            </w:rPr>
            <w:fldChar w:fldCharType="end"/>
          </w:r>
        </w:p>
        <w:p w14:paraId="14C3C249">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_Toc8222 </w:instrText>
          </w:r>
          <w:r>
            <w:rPr>
              <w:sz w:val="24"/>
              <w:szCs w:val="24"/>
            </w:rPr>
            <w:fldChar w:fldCharType="separate"/>
          </w:r>
          <w:r>
            <w:rPr>
              <w:rFonts w:hint="eastAsia" w:ascii="Times New Roman" w:hAnsi="Times New Roman" w:eastAsia="黑体"/>
              <w:sz w:val="24"/>
              <w:szCs w:val="24"/>
              <w:highlight w:val="none"/>
            </w:rPr>
            <w:t>六、一般公共预算财政拨款基本支出决算情况说明</w:t>
          </w:r>
          <w:r>
            <w:rPr>
              <w:sz w:val="24"/>
              <w:szCs w:val="24"/>
            </w:rPr>
            <w:tab/>
          </w:r>
          <w:r>
            <w:rPr>
              <w:sz w:val="24"/>
              <w:szCs w:val="24"/>
            </w:rPr>
            <w:fldChar w:fldCharType="begin"/>
          </w:r>
          <w:r>
            <w:rPr>
              <w:sz w:val="24"/>
              <w:szCs w:val="24"/>
            </w:rPr>
            <w:instrText xml:space="preserve"> PAGEREF _Toc8222 \h </w:instrText>
          </w:r>
          <w:r>
            <w:rPr>
              <w:sz w:val="24"/>
              <w:szCs w:val="24"/>
            </w:rPr>
            <w:fldChar w:fldCharType="separate"/>
          </w:r>
          <w:r>
            <w:rPr>
              <w:sz w:val="24"/>
              <w:szCs w:val="24"/>
            </w:rPr>
            <w:t>- 8 -</w:t>
          </w:r>
          <w:r>
            <w:rPr>
              <w:sz w:val="24"/>
              <w:szCs w:val="24"/>
            </w:rPr>
            <w:fldChar w:fldCharType="end"/>
          </w:r>
          <w:r>
            <w:rPr>
              <w:sz w:val="24"/>
              <w:szCs w:val="24"/>
            </w:rPr>
            <w:fldChar w:fldCharType="end"/>
          </w:r>
        </w:p>
        <w:p w14:paraId="2A6BF154">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_Toc1161 </w:instrText>
          </w:r>
          <w:r>
            <w:rPr>
              <w:sz w:val="24"/>
              <w:szCs w:val="24"/>
            </w:rPr>
            <w:fldChar w:fldCharType="separate"/>
          </w:r>
          <w:r>
            <w:rPr>
              <w:rFonts w:hint="eastAsia" w:ascii="Times New Roman" w:hAnsi="Times New Roman" w:eastAsia="黑体"/>
              <w:sz w:val="24"/>
              <w:szCs w:val="24"/>
              <w:highlight w:val="none"/>
            </w:rPr>
            <w:t>七、财政拨款“三公”经费支出决算情况说明</w:t>
          </w:r>
          <w:r>
            <w:rPr>
              <w:sz w:val="24"/>
              <w:szCs w:val="24"/>
            </w:rPr>
            <w:tab/>
          </w:r>
          <w:r>
            <w:rPr>
              <w:sz w:val="24"/>
              <w:szCs w:val="24"/>
            </w:rPr>
            <w:fldChar w:fldCharType="begin"/>
          </w:r>
          <w:r>
            <w:rPr>
              <w:sz w:val="24"/>
              <w:szCs w:val="24"/>
            </w:rPr>
            <w:instrText xml:space="preserve"> PAGEREF _Toc1161 \h </w:instrText>
          </w:r>
          <w:r>
            <w:rPr>
              <w:sz w:val="24"/>
              <w:szCs w:val="24"/>
            </w:rPr>
            <w:fldChar w:fldCharType="separate"/>
          </w:r>
          <w:r>
            <w:rPr>
              <w:sz w:val="24"/>
              <w:szCs w:val="24"/>
            </w:rPr>
            <w:t>- 10 -</w:t>
          </w:r>
          <w:r>
            <w:rPr>
              <w:sz w:val="24"/>
              <w:szCs w:val="24"/>
            </w:rPr>
            <w:fldChar w:fldCharType="end"/>
          </w:r>
          <w:r>
            <w:rPr>
              <w:sz w:val="24"/>
              <w:szCs w:val="24"/>
            </w:rPr>
            <w:fldChar w:fldCharType="end"/>
          </w:r>
        </w:p>
        <w:p w14:paraId="72F496D8">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_Toc26581 </w:instrText>
          </w:r>
          <w:r>
            <w:rPr>
              <w:sz w:val="24"/>
              <w:szCs w:val="24"/>
            </w:rPr>
            <w:fldChar w:fldCharType="separate"/>
          </w:r>
          <w:r>
            <w:rPr>
              <w:rFonts w:hint="eastAsia" w:ascii="Times New Roman" w:hAnsi="Times New Roman" w:eastAsia="黑体"/>
              <w:sz w:val="24"/>
              <w:szCs w:val="24"/>
              <w:highlight w:val="none"/>
            </w:rPr>
            <w:t>八、政府性基金预算支出决算情况说明</w:t>
          </w:r>
          <w:r>
            <w:rPr>
              <w:sz w:val="24"/>
              <w:szCs w:val="24"/>
            </w:rPr>
            <w:tab/>
          </w:r>
          <w:r>
            <w:rPr>
              <w:sz w:val="24"/>
              <w:szCs w:val="24"/>
            </w:rPr>
            <w:fldChar w:fldCharType="begin"/>
          </w:r>
          <w:r>
            <w:rPr>
              <w:sz w:val="24"/>
              <w:szCs w:val="24"/>
            </w:rPr>
            <w:instrText xml:space="preserve"> PAGEREF _Toc26581 \h </w:instrText>
          </w:r>
          <w:r>
            <w:rPr>
              <w:sz w:val="24"/>
              <w:szCs w:val="24"/>
            </w:rPr>
            <w:fldChar w:fldCharType="separate"/>
          </w:r>
          <w:r>
            <w:rPr>
              <w:sz w:val="24"/>
              <w:szCs w:val="24"/>
            </w:rPr>
            <w:t>- 11 -</w:t>
          </w:r>
          <w:r>
            <w:rPr>
              <w:sz w:val="24"/>
              <w:szCs w:val="24"/>
            </w:rPr>
            <w:fldChar w:fldCharType="end"/>
          </w:r>
          <w:r>
            <w:rPr>
              <w:sz w:val="24"/>
              <w:szCs w:val="24"/>
            </w:rPr>
            <w:fldChar w:fldCharType="end"/>
          </w:r>
        </w:p>
        <w:p w14:paraId="4B7661E9">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_Toc8762 </w:instrText>
          </w:r>
          <w:r>
            <w:rPr>
              <w:sz w:val="24"/>
              <w:szCs w:val="24"/>
            </w:rPr>
            <w:fldChar w:fldCharType="separate"/>
          </w:r>
          <w:r>
            <w:rPr>
              <w:rFonts w:hint="eastAsia" w:ascii="Times New Roman" w:hAnsi="Times New Roman" w:eastAsia="黑体"/>
              <w:sz w:val="24"/>
              <w:szCs w:val="24"/>
              <w:highlight w:val="none"/>
              <w:lang w:eastAsia="zh-CN"/>
            </w:rPr>
            <w:t>九、</w:t>
          </w:r>
          <w:r>
            <w:rPr>
              <w:rFonts w:hint="eastAsia" w:ascii="Times New Roman" w:hAnsi="Times New Roman"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_Toc8762 \h </w:instrText>
          </w:r>
          <w:r>
            <w:rPr>
              <w:sz w:val="24"/>
              <w:szCs w:val="24"/>
            </w:rPr>
            <w:fldChar w:fldCharType="separate"/>
          </w:r>
          <w:r>
            <w:rPr>
              <w:sz w:val="24"/>
              <w:szCs w:val="24"/>
            </w:rPr>
            <w:t>- 11 -</w:t>
          </w:r>
          <w:r>
            <w:rPr>
              <w:sz w:val="24"/>
              <w:szCs w:val="24"/>
            </w:rPr>
            <w:fldChar w:fldCharType="end"/>
          </w:r>
          <w:r>
            <w:rPr>
              <w:sz w:val="24"/>
              <w:szCs w:val="24"/>
            </w:rPr>
            <w:fldChar w:fldCharType="end"/>
          </w:r>
        </w:p>
        <w:p w14:paraId="4D013418">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_Toc17500 </w:instrText>
          </w:r>
          <w:r>
            <w:rPr>
              <w:sz w:val="24"/>
              <w:szCs w:val="24"/>
            </w:rPr>
            <w:fldChar w:fldCharType="separate"/>
          </w:r>
          <w:r>
            <w:rPr>
              <w:rFonts w:hint="eastAsia" w:ascii="Times New Roman" w:hAnsi="Times New Roman" w:eastAsia="黑体"/>
              <w:sz w:val="24"/>
              <w:szCs w:val="24"/>
              <w:highlight w:val="none"/>
              <w:lang w:eastAsia="zh-CN"/>
            </w:rPr>
            <w:t>十、</w:t>
          </w:r>
          <w:r>
            <w:rPr>
              <w:rFonts w:hint="eastAsia" w:ascii="Times New Roman" w:hAnsi="Times New Roman"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_Toc17500 \h </w:instrText>
          </w:r>
          <w:r>
            <w:rPr>
              <w:sz w:val="24"/>
              <w:szCs w:val="24"/>
            </w:rPr>
            <w:fldChar w:fldCharType="separate"/>
          </w:r>
          <w:r>
            <w:rPr>
              <w:sz w:val="24"/>
              <w:szCs w:val="24"/>
            </w:rPr>
            <w:t>- 12 -</w:t>
          </w:r>
          <w:r>
            <w:rPr>
              <w:sz w:val="24"/>
              <w:szCs w:val="24"/>
            </w:rPr>
            <w:fldChar w:fldCharType="end"/>
          </w:r>
          <w:r>
            <w:rPr>
              <w:sz w:val="24"/>
              <w:szCs w:val="24"/>
            </w:rPr>
            <w:fldChar w:fldCharType="end"/>
          </w:r>
        </w:p>
        <w:p w14:paraId="39DD612D">
          <w:pPr>
            <w:pStyle w:val="40"/>
            <w:tabs>
              <w:tab w:val="right" w:leader="dot" w:pos="8306"/>
            </w:tabs>
            <w:spacing w:line="360" w:lineRule="auto"/>
            <w:rPr>
              <w:b/>
              <w:sz w:val="24"/>
              <w:szCs w:val="24"/>
            </w:rPr>
          </w:pPr>
          <w:r>
            <w:rPr>
              <w:b/>
              <w:sz w:val="24"/>
              <w:szCs w:val="24"/>
            </w:rPr>
            <w:fldChar w:fldCharType="begin"/>
          </w:r>
          <w:r>
            <w:rPr>
              <w:b/>
              <w:sz w:val="24"/>
              <w:szCs w:val="24"/>
            </w:rPr>
            <w:instrText xml:space="preserve"> HYPERLINK \l _Toc12143 </w:instrText>
          </w:r>
          <w:r>
            <w:rPr>
              <w:b/>
              <w:sz w:val="24"/>
              <w:szCs w:val="24"/>
            </w:rPr>
            <w:fldChar w:fldCharType="separate"/>
          </w:r>
          <w:r>
            <w:rPr>
              <w:rFonts w:hint="eastAsia" w:ascii="Times New Roman" w:hAnsi="Times New Roman" w:eastAsia="黑体"/>
              <w:b/>
              <w:sz w:val="24"/>
              <w:szCs w:val="24"/>
              <w:highlight w:val="none"/>
            </w:rPr>
            <w:t>第</w:t>
          </w:r>
          <w:r>
            <w:rPr>
              <w:rFonts w:hint="eastAsia" w:eastAsia="黑体"/>
              <w:b/>
              <w:sz w:val="24"/>
              <w:szCs w:val="24"/>
              <w:highlight w:val="none"/>
              <w:lang w:eastAsia="zh-CN"/>
            </w:rPr>
            <w:t>三</w:t>
          </w:r>
          <w:r>
            <w:rPr>
              <w:rFonts w:hint="eastAsia" w:ascii="Times New Roman" w:hAnsi="Times New Roman" w:eastAsia="黑体"/>
              <w:b/>
              <w:sz w:val="24"/>
              <w:szCs w:val="24"/>
              <w:highlight w:val="none"/>
            </w:rPr>
            <w:t>部分</w:t>
          </w:r>
          <w:r>
            <w:rPr>
              <w:rFonts w:hint="eastAsia" w:ascii="Times New Roman" w:hAnsi="Times New Roman" w:eastAsia="黑体"/>
              <w:b/>
              <w:sz w:val="24"/>
              <w:szCs w:val="24"/>
              <w:highlight w:val="none"/>
              <w:lang w:val="en-US" w:eastAsia="zh-CN"/>
            </w:rPr>
            <w:t xml:space="preserve"> </w:t>
          </w:r>
          <w:r>
            <w:rPr>
              <w:rFonts w:hint="eastAsia" w:eastAsia="黑体"/>
              <w:b/>
              <w:sz w:val="24"/>
              <w:szCs w:val="24"/>
              <w:highlight w:val="none"/>
              <w:lang w:val="en-US" w:eastAsia="zh-CN"/>
            </w:rPr>
            <w:t xml:space="preserve"> </w:t>
          </w:r>
          <w:r>
            <w:rPr>
              <w:rFonts w:hint="eastAsia" w:ascii="Times New Roman" w:hAnsi="Times New Roman"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_Toc12143 \h </w:instrText>
          </w:r>
          <w:r>
            <w:rPr>
              <w:b/>
              <w:sz w:val="24"/>
              <w:szCs w:val="24"/>
            </w:rPr>
            <w:fldChar w:fldCharType="separate"/>
          </w:r>
          <w:r>
            <w:rPr>
              <w:b/>
              <w:sz w:val="24"/>
              <w:szCs w:val="24"/>
            </w:rPr>
            <w:t>- 14 -</w:t>
          </w:r>
          <w:r>
            <w:rPr>
              <w:b/>
              <w:sz w:val="24"/>
              <w:szCs w:val="24"/>
            </w:rPr>
            <w:fldChar w:fldCharType="end"/>
          </w:r>
          <w:r>
            <w:rPr>
              <w:b/>
              <w:sz w:val="24"/>
              <w:szCs w:val="24"/>
            </w:rPr>
            <w:fldChar w:fldCharType="end"/>
          </w:r>
        </w:p>
        <w:p w14:paraId="45FC287C">
          <w:pPr>
            <w:pStyle w:val="40"/>
            <w:tabs>
              <w:tab w:val="right" w:leader="dot" w:pos="8306"/>
            </w:tabs>
            <w:spacing w:line="360" w:lineRule="auto"/>
            <w:rPr>
              <w:b/>
              <w:sz w:val="24"/>
              <w:szCs w:val="24"/>
            </w:rPr>
          </w:pPr>
          <w:r>
            <w:rPr>
              <w:b/>
              <w:sz w:val="24"/>
              <w:szCs w:val="24"/>
            </w:rPr>
            <w:fldChar w:fldCharType="begin"/>
          </w:r>
          <w:r>
            <w:rPr>
              <w:b/>
              <w:sz w:val="24"/>
              <w:szCs w:val="24"/>
            </w:rPr>
            <w:instrText xml:space="preserve"> HYPERLINK \l _Toc27006 </w:instrText>
          </w:r>
          <w:r>
            <w:rPr>
              <w:b/>
              <w:sz w:val="24"/>
              <w:szCs w:val="24"/>
            </w:rPr>
            <w:fldChar w:fldCharType="separate"/>
          </w:r>
          <w:r>
            <w:rPr>
              <w:rFonts w:hint="eastAsia" w:ascii="Times New Roman" w:hAnsi="Times New Roman" w:eastAsia="黑体"/>
              <w:b/>
              <w:sz w:val="24"/>
              <w:szCs w:val="24"/>
              <w:highlight w:val="none"/>
            </w:rPr>
            <w:t>第四部分</w:t>
          </w:r>
          <w:r>
            <w:rPr>
              <w:rFonts w:hint="eastAsia" w:ascii="Times New Roman" w:hAnsi="Times New Roman" w:eastAsia="黑体"/>
              <w:b/>
              <w:sz w:val="24"/>
              <w:szCs w:val="24"/>
              <w:highlight w:val="none"/>
              <w:lang w:val="en-US" w:eastAsia="zh-CN"/>
            </w:rPr>
            <w:t xml:space="preserve"> </w:t>
          </w:r>
          <w:r>
            <w:rPr>
              <w:rFonts w:hint="eastAsia" w:ascii="Times New Roman" w:hAnsi="Times New Roman" w:eastAsia="黑体"/>
              <w:b/>
              <w:sz w:val="24"/>
              <w:szCs w:val="24"/>
              <w:highlight w:val="none"/>
            </w:rPr>
            <w:t xml:space="preserve"> 附件</w:t>
          </w:r>
          <w:r>
            <w:rPr>
              <w:b/>
              <w:sz w:val="24"/>
              <w:szCs w:val="24"/>
            </w:rPr>
            <w:tab/>
          </w:r>
          <w:r>
            <w:rPr>
              <w:b/>
              <w:sz w:val="24"/>
              <w:szCs w:val="24"/>
            </w:rPr>
            <w:fldChar w:fldCharType="begin"/>
          </w:r>
          <w:r>
            <w:rPr>
              <w:b/>
              <w:sz w:val="24"/>
              <w:szCs w:val="24"/>
            </w:rPr>
            <w:instrText xml:space="preserve"> PAGEREF _Toc27006 \h </w:instrText>
          </w:r>
          <w:r>
            <w:rPr>
              <w:b/>
              <w:sz w:val="24"/>
              <w:szCs w:val="24"/>
            </w:rPr>
            <w:fldChar w:fldCharType="separate"/>
          </w:r>
          <w:r>
            <w:rPr>
              <w:b/>
              <w:sz w:val="24"/>
              <w:szCs w:val="24"/>
            </w:rPr>
            <w:t>- 14 -</w:t>
          </w:r>
          <w:r>
            <w:rPr>
              <w:b/>
              <w:sz w:val="24"/>
              <w:szCs w:val="24"/>
            </w:rPr>
            <w:fldChar w:fldCharType="end"/>
          </w:r>
          <w:r>
            <w:rPr>
              <w:b/>
              <w:sz w:val="24"/>
              <w:szCs w:val="24"/>
            </w:rPr>
            <w:fldChar w:fldCharType="end"/>
          </w:r>
        </w:p>
        <w:p w14:paraId="4FA4C5F7">
          <w:pPr>
            <w:pStyle w:val="40"/>
            <w:tabs>
              <w:tab w:val="right" w:leader="dot" w:pos="8306"/>
            </w:tabs>
            <w:spacing w:line="360" w:lineRule="auto"/>
            <w:rPr>
              <w:b/>
              <w:sz w:val="24"/>
              <w:szCs w:val="24"/>
            </w:rPr>
          </w:pPr>
          <w:r>
            <w:rPr>
              <w:b/>
              <w:sz w:val="24"/>
              <w:szCs w:val="24"/>
            </w:rPr>
            <w:fldChar w:fldCharType="begin"/>
          </w:r>
          <w:r>
            <w:rPr>
              <w:b/>
              <w:sz w:val="24"/>
              <w:szCs w:val="24"/>
            </w:rPr>
            <w:instrText xml:space="preserve"> HYPERLINK \l _Toc14216 </w:instrText>
          </w:r>
          <w:r>
            <w:rPr>
              <w:b/>
              <w:sz w:val="24"/>
              <w:szCs w:val="24"/>
            </w:rPr>
            <w:fldChar w:fldCharType="separate"/>
          </w:r>
          <w:r>
            <w:rPr>
              <w:rFonts w:hint="eastAsia" w:ascii="Times New Roman" w:hAnsi="Times New Roman" w:eastAsia="黑体"/>
              <w:b/>
              <w:sz w:val="24"/>
              <w:szCs w:val="24"/>
              <w:highlight w:val="none"/>
            </w:rPr>
            <w:t xml:space="preserve">第五部分 </w:t>
          </w:r>
          <w:r>
            <w:rPr>
              <w:rFonts w:hint="eastAsia" w:ascii="Times New Roman" w:hAnsi="Times New Roman" w:eastAsia="黑体"/>
              <w:b/>
              <w:sz w:val="24"/>
              <w:szCs w:val="24"/>
              <w:highlight w:val="none"/>
              <w:lang w:val="en-US" w:eastAsia="zh-CN"/>
            </w:rPr>
            <w:t xml:space="preserve"> </w:t>
          </w:r>
          <w:r>
            <w:rPr>
              <w:rFonts w:hint="eastAsia" w:ascii="Times New Roman" w:hAnsi="Times New Roman" w:eastAsia="黑体"/>
              <w:b/>
              <w:sz w:val="24"/>
              <w:szCs w:val="24"/>
              <w:highlight w:val="none"/>
            </w:rPr>
            <w:t>附表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- 33 -</w:t>
          </w:r>
          <w:r>
            <w:rPr>
              <w:b/>
              <w:sz w:val="24"/>
              <w:szCs w:val="24"/>
            </w:rPr>
            <w:fldChar w:fldCharType="end"/>
          </w:r>
          <w:r>
            <w:rPr>
              <w:b/>
              <w:sz w:val="24"/>
              <w:szCs w:val="24"/>
            </w:rPr>
            <w:fldChar w:fldCharType="end"/>
          </w:r>
        </w:p>
        <w:p w14:paraId="70171E08">
          <w:pPr>
            <w:spacing w:line="360" w:lineRule="auto"/>
          </w:pPr>
          <w:r>
            <w:rPr>
              <w:b/>
              <w:sz w:val="24"/>
              <w:szCs w:val="24"/>
            </w:rPr>
            <w:fldChar w:fldCharType="end"/>
          </w:r>
        </w:p>
      </w:sdtContent>
    </w:sdt>
    <w:p w14:paraId="278710D9">
      <w:pPr>
        <w:pStyle w:val="4"/>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bookmarkStart w:id="6" w:name="_Toc17254"/>
      <w:bookmarkStart w:id="7" w:name="_Toc15377196"/>
      <w:bookmarkStart w:id="8" w:name="_Toc15396599"/>
    </w:p>
    <w:p w14:paraId="77AF11AB">
      <w:pPr>
        <w:pStyle w:val="4"/>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3"/>
          <w:rFonts w:hint="eastAsia" w:ascii="Times New Roman" w:hAnsi="Times New Roman" w:eastAsia="方正小标宋简体" w:cs="方正小标宋简体"/>
          <w:b w:val="0"/>
          <w:bCs w:val="0"/>
          <w:color w:val="auto"/>
          <w:highlight w:val="none"/>
        </w:rPr>
        <w:t>部门概况</w:t>
      </w:r>
      <w:bookmarkEnd w:id="6"/>
      <w:bookmarkEnd w:id="7"/>
      <w:bookmarkEnd w:id="8"/>
    </w:p>
    <w:p w14:paraId="31CA9078">
      <w:pPr>
        <w:pStyle w:val="5"/>
        <w:rPr>
          <w:rFonts w:hint="eastAsia" w:ascii="Times New Roman" w:hAnsi="Times New Roman" w:eastAsia="黑体"/>
          <w:b w:val="0"/>
          <w:color w:val="auto"/>
          <w:highlight w:val="none"/>
          <w:lang w:eastAsia="zh-CN"/>
        </w:rPr>
      </w:pPr>
      <w:bookmarkStart w:id="9" w:name="_Toc15396600"/>
      <w:bookmarkStart w:id="10" w:name="_Toc15377197"/>
      <w:bookmarkStart w:id="11" w:name="_Toc12067"/>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eastAsia="zh-CN"/>
        </w:rPr>
        <w:t>部门职责</w:t>
      </w:r>
      <w:bookmarkEnd w:id="11"/>
    </w:p>
    <w:p w14:paraId="734A6417">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1.学习、研究、宣传、辅导马列主义、毛泽东思想、邓小平理论和“三个代表”重要思想、科学发展观以及党在不同历史时期的重大方针、政策，培训基层理论骨干。</w:t>
      </w:r>
    </w:p>
    <w:p w14:paraId="2BD16D1F">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2.围绕区委、区政府中心工作，对全区重大现实问题展开社会调查实践，加强理论研究，为区委、区政府决策提供参考，推动党校科研咨政成果的转化运用。</w:t>
      </w:r>
    </w:p>
    <w:p w14:paraId="3A00711B">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根据区委对干部队伍建设的要求，会同组织、人事等部门制定干部教育培训规划，有计划地轮训培训区内乡科级及以下党政干部、国家公务员、企业经营管理人员、专业技术人员、中青年后备干部、村（社区）干部、大学生村官、社区工作者、“两新”党组织负责人、中介组织党组织负责人、农村致富带头人和党员骨干等。</w:t>
      </w:r>
    </w:p>
    <w:p w14:paraId="78BF7FF6">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4.受区委、区政府安排，结合全区经济社会发展实际和中心工作需要，承办其他教育培训任务。</w:t>
      </w:r>
    </w:p>
    <w:p w14:paraId="0444C6EB">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5.协同组织、人事部门对学员在校期间学习培训情况进行考核、考察，提出使用建议。</w:t>
      </w:r>
    </w:p>
    <w:p w14:paraId="3A217ADF">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6.在办好主体班次的前提下，根据干部岗位职能需要，承办与党校职能相应的函授教育。</w:t>
      </w:r>
    </w:p>
    <w:p w14:paraId="183A7A28">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7.协同有关部门对全区乡镇（街道）党校、村（社区）党校教学点、农家课堂等基层培训网络进行业务指导，开展督促检查。</w:t>
      </w:r>
    </w:p>
    <w:p w14:paraId="0EB97FD6">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8.负责区委党校基础建设、师资队伍建设和教材编写工作，研究、探索新形势下适应安居区情的干部教育培训制度、体系。</w:t>
      </w:r>
    </w:p>
    <w:p w14:paraId="4AD9B29C">
      <w:pPr>
        <w:ind w:firstLine="640" w:firstLineChars="200"/>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9.完成区委、区政府和上级业务主管部门安排的其他工作。</w:t>
      </w:r>
    </w:p>
    <w:p w14:paraId="172C937D">
      <w:pPr>
        <w:pStyle w:val="5"/>
        <w:rPr>
          <w:rStyle w:val="34"/>
          <w:rFonts w:ascii="Times New Roman" w:hAnsi="Times New Roman"/>
          <w:b w:val="0"/>
          <w:bCs w:val="0"/>
          <w:color w:val="auto"/>
          <w:highlight w:val="none"/>
        </w:rPr>
      </w:pPr>
      <w:bookmarkStart w:id="12" w:name="_Toc15377200"/>
      <w:bookmarkStart w:id="13" w:name="_Toc9967"/>
      <w:bookmarkStart w:id="14" w:name="_Toc15396601"/>
      <w:r>
        <w:rPr>
          <w:rFonts w:hint="eastAsia" w:ascii="Times New Roman" w:hAnsi="Times New Roman" w:eastAsia="黑体"/>
          <w:b w:val="0"/>
          <w:color w:val="auto"/>
          <w:highlight w:val="none"/>
        </w:rPr>
        <w:t>二、机</w:t>
      </w:r>
      <w:r>
        <w:rPr>
          <w:rStyle w:val="34"/>
          <w:rFonts w:hint="eastAsia" w:ascii="Times New Roman" w:hAnsi="Times New Roman" w:eastAsia="黑体"/>
          <w:b w:val="0"/>
          <w:bCs w:val="0"/>
          <w:color w:val="auto"/>
          <w:highlight w:val="none"/>
        </w:rPr>
        <w:t>构设置</w:t>
      </w:r>
      <w:bookmarkEnd w:id="12"/>
      <w:bookmarkEnd w:id="13"/>
      <w:bookmarkEnd w:id="14"/>
    </w:p>
    <w:p w14:paraId="6797CCCC">
      <w:pPr>
        <w:ind w:firstLine="640" w:firstLineChars="200"/>
        <w:rPr>
          <w:rFonts w:ascii="仿宋" w:hAnsi="仿宋" w:eastAsia="仿宋"/>
          <w:color w:val="auto"/>
          <w:sz w:val="32"/>
          <w:szCs w:val="32"/>
          <w:highlight w:val="none"/>
        </w:rPr>
      </w:pPr>
      <w:bookmarkStart w:id="15" w:name="_Toc15396602"/>
      <w:bookmarkStart w:id="16" w:name="_Toc13167"/>
      <w:bookmarkStart w:id="17" w:name="_Toc15377204"/>
      <w:r>
        <w:rPr>
          <w:rFonts w:hint="eastAsia" w:ascii="仿宋_GB2312" w:hAnsi="仿宋_GB2312" w:eastAsia="仿宋_GB2312" w:cs="仿宋_GB2312"/>
          <w:bCs/>
          <w:color w:val="000000"/>
          <w:sz w:val="32"/>
          <w:szCs w:val="32"/>
          <w:lang w:eastAsia="zh-CN"/>
        </w:rPr>
        <w:t>区委党校</w:t>
      </w:r>
      <w:r>
        <w:rPr>
          <w:rFonts w:hint="eastAsia" w:ascii="仿宋_GB2312" w:hAnsi="仿宋_GB2312" w:eastAsia="仿宋_GB2312" w:cs="仿宋_GB2312"/>
          <w:bCs/>
          <w:color w:val="000000"/>
          <w:sz w:val="32"/>
          <w:szCs w:val="32"/>
        </w:rPr>
        <w:t>下属二级</w:t>
      </w:r>
      <w:r>
        <w:rPr>
          <w:rFonts w:hint="eastAsia" w:ascii="仿宋_GB2312" w:hAnsi="仿宋_GB2312" w:eastAsia="仿宋_GB2312" w:cs="仿宋_GB2312"/>
          <w:bCs/>
          <w:color w:val="000000"/>
          <w:sz w:val="32"/>
          <w:szCs w:val="32"/>
          <w:lang w:eastAsia="zh-CN"/>
        </w:rPr>
        <w:t>预算</w:t>
      </w:r>
      <w:r>
        <w:rPr>
          <w:rFonts w:hint="eastAsia" w:ascii="仿宋_GB2312" w:hAnsi="仿宋_GB2312" w:eastAsia="仿宋_GB2312" w:cs="仿宋_GB2312"/>
          <w:bCs/>
          <w:color w:val="000000"/>
          <w:sz w:val="32"/>
          <w:szCs w:val="32"/>
        </w:rPr>
        <w:t>单位</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个，其中行政单位</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个，参照公务员法管理的事业单位</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个，其他事业单位</w:t>
      </w:r>
      <w:r>
        <w:rPr>
          <w:rFonts w:hint="eastAsia" w:ascii="仿宋_GB2312" w:hAnsi="仿宋_GB2312" w:eastAsia="仿宋_GB2312" w:cs="仿宋_GB2312"/>
          <w:bCs/>
          <w:color w:val="000000"/>
          <w:sz w:val="32"/>
          <w:szCs w:val="32"/>
          <w:lang w:val="en-US" w:eastAsia="zh-CN"/>
        </w:rPr>
        <w:t>0个</w:t>
      </w:r>
      <w:r>
        <w:rPr>
          <w:rFonts w:hint="eastAsia" w:ascii="仿宋_GB2312" w:hAnsi="仿宋_GB2312" w:eastAsia="仿宋_GB2312" w:cs="仿宋_GB2312"/>
          <w:bCs/>
          <w:color w:val="000000"/>
          <w:sz w:val="32"/>
          <w:szCs w:val="32"/>
        </w:rPr>
        <w:t>。</w:t>
      </w:r>
    </w:p>
    <w:p w14:paraId="36CF2923">
      <w:pPr>
        <w:pStyle w:val="4"/>
        <w:jc w:val="center"/>
        <w:rPr>
          <w:rFonts w:hint="eastAsia" w:ascii="Times New Roman" w:hAnsi="Times New Roman" w:eastAsia="方正小标宋简体" w:cs="方正小标宋简体"/>
          <w:b w:val="0"/>
          <w:color w:val="auto"/>
          <w:highlight w:val="none"/>
        </w:rPr>
      </w:pPr>
    </w:p>
    <w:p w14:paraId="1B3C2CB3">
      <w:pPr>
        <w:rPr>
          <w:rFonts w:hint="eastAsia" w:ascii="Times New Roman" w:hAnsi="Times New Roman" w:eastAsia="方正小标宋简体" w:cs="方正小标宋简体"/>
          <w:b w:val="0"/>
          <w:color w:val="auto"/>
          <w:highlight w:val="none"/>
        </w:rPr>
      </w:pPr>
    </w:p>
    <w:p w14:paraId="609E4B34">
      <w:pPr>
        <w:pStyle w:val="13"/>
        <w:rPr>
          <w:rFonts w:hint="eastAsia" w:ascii="Times New Roman" w:hAnsi="Times New Roman" w:eastAsia="方正小标宋简体" w:cs="方正小标宋简体"/>
          <w:b w:val="0"/>
          <w:color w:val="auto"/>
          <w:highlight w:val="none"/>
        </w:rPr>
      </w:pPr>
    </w:p>
    <w:p w14:paraId="6B5ED7D7">
      <w:pPr>
        <w:pStyle w:val="11"/>
        <w:rPr>
          <w:rFonts w:hint="eastAsia" w:ascii="Times New Roman" w:hAnsi="Times New Roman" w:eastAsia="方正小标宋简体" w:cs="方正小标宋简体"/>
          <w:b w:val="0"/>
          <w:color w:val="auto"/>
          <w:highlight w:val="none"/>
        </w:rPr>
      </w:pPr>
    </w:p>
    <w:p w14:paraId="149CC94D">
      <w:pPr>
        <w:rPr>
          <w:rFonts w:hint="eastAsia"/>
        </w:rPr>
      </w:pPr>
    </w:p>
    <w:p w14:paraId="15768658">
      <w:pPr>
        <w:rPr>
          <w:rFonts w:hint="eastAsia" w:ascii="Times New Roman" w:hAnsi="Times New Roman" w:eastAsia="方正小标宋简体" w:cs="方正小标宋简体"/>
          <w:b w:val="0"/>
          <w:color w:val="auto"/>
          <w:highlight w:val="none"/>
        </w:rPr>
      </w:pPr>
    </w:p>
    <w:p w14:paraId="545234CA">
      <w:pPr>
        <w:pStyle w:val="2"/>
        <w:rPr>
          <w:rFonts w:hint="eastAsia" w:ascii="Times New Roman" w:hAnsi="Times New Roman" w:eastAsia="方正小标宋简体" w:cs="方正小标宋简体"/>
          <w:b w:val="0"/>
          <w:color w:val="auto"/>
          <w:highlight w:val="none"/>
        </w:rPr>
      </w:pPr>
    </w:p>
    <w:p w14:paraId="22FEEA8A">
      <w:pPr>
        <w:pStyle w:val="2"/>
        <w:rPr>
          <w:rFonts w:hint="eastAsia" w:ascii="Times New Roman" w:hAnsi="Times New Roman" w:eastAsia="方正小标宋简体" w:cs="方正小标宋简体"/>
          <w:b w:val="0"/>
          <w:color w:val="auto"/>
          <w:highlight w:val="none"/>
        </w:rPr>
      </w:pPr>
    </w:p>
    <w:p w14:paraId="556911D1">
      <w:pPr>
        <w:pStyle w:val="4"/>
        <w:jc w:val="center"/>
        <w:rPr>
          <w:rFonts w:hint="eastAsia" w:ascii="Times New Roman" w:hAnsi="Times New Roman" w:eastAsia="方正小标宋简体" w:cs="方正小标宋简体"/>
          <w:b w:val="0"/>
          <w:color w:val="auto"/>
          <w:highlight w:val="none"/>
        </w:rPr>
      </w:pPr>
    </w:p>
    <w:p w14:paraId="5227CFD1">
      <w:pPr>
        <w:rPr>
          <w:rFonts w:hint="eastAsia"/>
        </w:rPr>
      </w:pPr>
    </w:p>
    <w:p w14:paraId="4B54FBFD">
      <w:pPr>
        <w:pStyle w:val="4"/>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5"/>
      <w:bookmarkEnd w:id="16"/>
      <w:bookmarkEnd w:id="17"/>
    </w:p>
    <w:p w14:paraId="1FF4A46D">
      <w:pPr>
        <w:rPr>
          <w:rFonts w:ascii="Times New Roman" w:hAnsi="Times New Roman"/>
          <w:color w:val="auto"/>
          <w:highlight w:val="none"/>
        </w:rPr>
      </w:pPr>
    </w:p>
    <w:p w14:paraId="4E6BAF84">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4"/>
          <w:rFonts w:hint="eastAsia" w:ascii="Times New Roman" w:hAnsi="Times New Roman" w:eastAsia="黑体"/>
          <w:b w:val="0"/>
          <w:color w:val="auto"/>
          <w:highlight w:val="none"/>
        </w:rPr>
      </w:pPr>
      <w:bookmarkStart w:id="18" w:name="_Toc888"/>
      <w:bookmarkStart w:id="19" w:name="_Toc15377205"/>
      <w:bookmarkStart w:id="2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4"/>
          <w:rFonts w:hint="eastAsia" w:ascii="Times New Roman" w:hAnsi="Times New Roman" w:eastAsia="黑体"/>
          <w:b w:val="0"/>
          <w:color w:val="auto"/>
          <w:highlight w:val="none"/>
        </w:rPr>
        <w:t>入支出决算总体情况说明</w:t>
      </w:r>
      <w:bookmarkEnd w:id="18"/>
      <w:bookmarkEnd w:id="19"/>
      <w:bookmarkEnd w:id="20"/>
    </w:p>
    <w:p w14:paraId="05C2D76F">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2024年度收、支总计均为97.42万元。与2023年度相比，收、支总计各增加22.42万元，增长29.90%。主要变动原因系本年度人员</w:t>
      </w:r>
      <w:r>
        <w:rPr>
          <w:rFonts w:hint="eastAsia" w:eastAsia="仿宋_GB2312" w:cs="仿宋_GB2312"/>
          <w:color w:val="auto"/>
          <w:sz w:val="32"/>
          <w:szCs w:val="32"/>
          <w:highlight w:val="none"/>
          <w:lang w:val="en-US" w:eastAsia="zh-CN"/>
        </w:rPr>
        <w:t>晋升调标和在职人员新</w:t>
      </w:r>
      <w:r>
        <w:rPr>
          <w:rFonts w:hint="eastAsia" w:ascii="Times New Roman" w:hAnsi="Times New Roman" w:eastAsia="仿宋_GB2312" w:cs="仿宋_GB2312"/>
          <w:color w:val="auto"/>
          <w:sz w:val="32"/>
          <w:szCs w:val="32"/>
          <w:highlight w:val="none"/>
          <w:lang w:val="en-US" w:eastAsia="zh-CN"/>
        </w:rPr>
        <w:t>增</w:t>
      </w:r>
      <w:r>
        <w:rPr>
          <w:rFonts w:hint="eastAsia" w:eastAsia="仿宋_GB2312" w:cs="仿宋_GB2312"/>
          <w:color w:val="auto"/>
          <w:sz w:val="32"/>
          <w:szCs w:val="32"/>
          <w:highlight w:val="none"/>
          <w:lang w:val="en-US" w:eastAsia="zh-CN"/>
        </w:rPr>
        <w:t>1人，导致人员经费和日常公用经费增加</w:t>
      </w:r>
      <w:r>
        <w:rPr>
          <w:rFonts w:hint="eastAsia" w:ascii="Times New Roman" w:hAnsi="Times New Roman" w:eastAsia="仿宋_GB2312" w:cs="仿宋_GB2312"/>
          <w:color w:val="auto"/>
          <w:sz w:val="32"/>
          <w:szCs w:val="32"/>
          <w:highlight w:val="none"/>
          <w:lang w:val="en-US" w:eastAsia="zh-CN"/>
        </w:rPr>
        <w:t>。</w:t>
      </w:r>
    </w:p>
    <w:p w14:paraId="38ECFF3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5DC5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6E8BB0F3">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15396604"/>
      <w:bookmarkStart w:id="22" w:name="_Toc9005"/>
      <w:bookmarkStart w:id="23" w:name="_Toc15377206"/>
      <w:r>
        <w:rPr>
          <w:rFonts w:hint="eastAsia" w:ascii="Times New Roman" w:hAnsi="Times New Roman" w:eastAsia="黑体"/>
          <w:color w:val="auto"/>
          <w:sz w:val="32"/>
          <w:szCs w:val="32"/>
          <w:highlight w:val="none"/>
          <w:lang w:eastAsia="zh-CN"/>
        </w:rPr>
        <w:t>二、收入决算情况说明</w:t>
      </w:r>
      <w:bookmarkEnd w:id="21"/>
      <w:bookmarkEnd w:id="22"/>
      <w:bookmarkEnd w:id="23"/>
    </w:p>
    <w:p w14:paraId="0ECBEFAA">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4" w:name="_Toc8621"/>
      <w:r>
        <w:rPr>
          <w:rFonts w:hint="eastAsia" w:ascii="Times New Roman" w:hAnsi="Times New Roman" w:eastAsia="仿宋_GB2312" w:cs="仿宋_GB2312"/>
          <w:color w:val="auto"/>
          <w:sz w:val="32"/>
          <w:szCs w:val="32"/>
          <w:highlight w:val="none"/>
          <w:lang w:eastAsia="zh-CN"/>
        </w:rPr>
        <w:t>2024年度本年收入合计97.42万元，其中：一般公共预算财政拨款收入97.42万元，占</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w:t>
      </w:r>
      <w:bookmarkEnd w:id="24"/>
    </w:p>
    <w:p w14:paraId="308576A0">
      <w:pPr>
        <w:pStyle w:val="3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A719C3">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A0F4EC7">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4"/>
          <w:rFonts w:hint="eastAsia" w:ascii="Times New Roman" w:hAnsi="Times New Roman" w:eastAsia="黑体"/>
          <w:b w:val="0"/>
          <w:color w:val="auto"/>
          <w:highlight w:val="none"/>
        </w:rPr>
      </w:pPr>
      <w:bookmarkStart w:id="25" w:name="_Toc15377207"/>
      <w:bookmarkStart w:id="26" w:name="_Toc5908"/>
      <w:bookmarkStart w:id="2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4"/>
          <w:rFonts w:hint="eastAsia" w:ascii="Times New Roman" w:hAnsi="Times New Roman" w:eastAsia="黑体"/>
          <w:b w:val="0"/>
          <w:color w:val="auto"/>
          <w:highlight w:val="none"/>
        </w:rPr>
        <w:t>出决算情况说明</w:t>
      </w:r>
      <w:bookmarkEnd w:id="25"/>
      <w:bookmarkEnd w:id="26"/>
      <w:bookmarkEnd w:id="27"/>
    </w:p>
    <w:p w14:paraId="327B5892">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bookmarkStart w:id="28" w:name="_Toc5023"/>
      <w:r>
        <w:rPr>
          <w:rFonts w:hint="eastAsia" w:ascii="Times New Roman" w:hAnsi="Times New Roman" w:eastAsia="仿宋_GB2312" w:cs="仿宋_GB2312"/>
          <w:color w:val="auto"/>
          <w:sz w:val="32"/>
          <w:szCs w:val="32"/>
          <w:highlight w:val="none"/>
          <w:lang w:eastAsia="zh-CN"/>
        </w:rPr>
        <w:t>2024年度本年支出合计97.42万元，其中：基本支出92.42万元，占</w:t>
      </w:r>
      <w:r>
        <w:rPr>
          <w:rFonts w:hint="eastAsia" w:eastAsia="仿宋_GB2312" w:cs="仿宋_GB2312"/>
          <w:color w:val="auto"/>
          <w:sz w:val="32"/>
          <w:szCs w:val="32"/>
          <w:highlight w:val="none"/>
          <w:lang w:val="en-US" w:eastAsia="zh-CN"/>
        </w:rPr>
        <w:t>94.87</w:t>
      </w:r>
      <w:r>
        <w:rPr>
          <w:rFonts w:hint="eastAsia" w:ascii="Times New Roman" w:hAnsi="Times New Roman" w:eastAsia="仿宋_GB2312" w:cs="仿宋_GB2312"/>
          <w:color w:val="auto"/>
          <w:sz w:val="32"/>
          <w:szCs w:val="32"/>
          <w:highlight w:val="none"/>
          <w:lang w:eastAsia="zh-CN"/>
        </w:rPr>
        <w:t>%；项目支出5</w:t>
      </w:r>
      <w:r>
        <w:rPr>
          <w:rFonts w:hint="eastAsia" w:eastAsia="仿宋_GB2312" w:cs="仿宋_GB2312"/>
          <w:color w:val="auto"/>
          <w:sz w:val="32"/>
          <w:szCs w:val="32"/>
          <w:highlight w:val="none"/>
          <w:lang w:val="en-US" w:eastAsia="zh-CN"/>
        </w:rPr>
        <w:t>.00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5.13</w:t>
      </w:r>
      <w:r>
        <w:rPr>
          <w:rFonts w:hint="eastAsia" w:ascii="Times New Roman" w:hAnsi="Times New Roman" w:eastAsia="仿宋_GB2312" w:cs="仿宋_GB2312"/>
          <w:color w:val="auto"/>
          <w:sz w:val="32"/>
          <w:szCs w:val="32"/>
          <w:highlight w:val="none"/>
          <w:lang w:eastAsia="zh-CN"/>
        </w:rPr>
        <w:t>%</w:t>
      </w:r>
      <w:bookmarkEnd w:id="28"/>
      <w:r>
        <w:rPr>
          <w:rFonts w:hint="eastAsia" w:eastAsia="仿宋_GB2312" w:cs="仿宋_GB2312"/>
          <w:color w:val="auto"/>
          <w:sz w:val="32"/>
          <w:szCs w:val="32"/>
          <w:highlight w:val="none"/>
          <w:lang w:eastAsia="zh-CN"/>
        </w:rPr>
        <w:t>。</w:t>
      </w:r>
    </w:p>
    <w:p w14:paraId="12DBFA91">
      <w:pPr>
        <w:pStyle w:val="3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C56449">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7319DCF7">
      <w:pPr>
        <w:spacing w:line="600" w:lineRule="exact"/>
        <w:ind w:firstLine="640" w:firstLineChars="200"/>
        <w:outlineLvl w:val="1"/>
        <w:rPr>
          <w:rStyle w:val="34"/>
          <w:rFonts w:ascii="Times New Roman" w:hAnsi="Times New Roman" w:eastAsia="黑体"/>
          <w:b w:val="0"/>
          <w:color w:val="auto"/>
          <w:highlight w:val="none"/>
        </w:rPr>
      </w:pPr>
      <w:bookmarkStart w:id="29" w:name="_Toc15396606"/>
      <w:bookmarkStart w:id="30" w:name="_Toc15377208"/>
      <w:bookmarkStart w:id="31" w:name="_Toc14698"/>
      <w:r>
        <w:rPr>
          <w:rFonts w:hint="eastAsia" w:ascii="Times New Roman" w:hAnsi="Times New Roman" w:eastAsia="黑体"/>
          <w:color w:val="auto"/>
          <w:sz w:val="32"/>
          <w:szCs w:val="32"/>
          <w:highlight w:val="none"/>
        </w:rPr>
        <w:t>四、财</w:t>
      </w:r>
      <w:r>
        <w:rPr>
          <w:rStyle w:val="34"/>
          <w:rFonts w:hint="eastAsia" w:ascii="Times New Roman" w:hAnsi="Times New Roman" w:eastAsia="黑体"/>
          <w:b w:val="0"/>
          <w:color w:val="auto"/>
          <w:highlight w:val="none"/>
        </w:rPr>
        <w:t>政拨款收入支出决算总体情况说明</w:t>
      </w:r>
      <w:bookmarkEnd w:id="29"/>
      <w:bookmarkEnd w:id="30"/>
      <w:bookmarkEnd w:id="31"/>
    </w:p>
    <w:p w14:paraId="74EBFD92">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2024年度财政拨款收入、支出总计均为97.42万元。与2023年度相比，财政拨款收入、支出总计各增加22.42万元，增长29.90%。主要变动原因系</w:t>
      </w:r>
      <w:r>
        <w:rPr>
          <w:rFonts w:hint="eastAsia" w:ascii="Times New Roman" w:hAnsi="Times New Roman" w:eastAsia="仿宋_GB2312" w:cs="仿宋_GB2312"/>
          <w:color w:val="auto"/>
          <w:sz w:val="32"/>
          <w:szCs w:val="32"/>
          <w:highlight w:val="none"/>
          <w:lang w:val="en-US" w:eastAsia="zh-CN"/>
        </w:rPr>
        <w:t>本年度人员</w:t>
      </w:r>
      <w:r>
        <w:rPr>
          <w:rFonts w:hint="eastAsia" w:eastAsia="仿宋_GB2312" w:cs="仿宋_GB2312"/>
          <w:color w:val="auto"/>
          <w:sz w:val="32"/>
          <w:szCs w:val="32"/>
          <w:highlight w:val="none"/>
          <w:lang w:val="en-US" w:eastAsia="zh-CN"/>
        </w:rPr>
        <w:t>晋升调标和在职人员新</w:t>
      </w:r>
      <w:r>
        <w:rPr>
          <w:rFonts w:hint="eastAsia" w:ascii="Times New Roman" w:hAnsi="Times New Roman" w:eastAsia="仿宋_GB2312" w:cs="仿宋_GB2312"/>
          <w:color w:val="auto"/>
          <w:sz w:val="32"/>
          <w:szCs w:val="32"/>
          <w:highlight w:val="none"/>
          <w:lang w:val="en-US" w:eastAsia="zh-CN"/>
        </w:rPr>
        <w:t>增</w:t>
      </w:r>
      <w:r>
        <w:rPr>
          <w:rFonts w:hint="eastAsia" w:eastAsia="仿宋_GB2312" w:cs="仿宋_GB2312"/>
          <w:color w:val="auto"/>
          <w:sz w:val="32"/>
          <w:szCs w:val="32"/>
          <w:highlight w:val="none"/>
          <w:lang w:val="en-US" w:eastAsia="zh-CN"/>
        </w:rPr>
        <w:t>1人，导致人员经费和日常公用经费增加</w:t>
      </w:r>
      <w:r>
        <w:rPr>
          <w:rFonts w:hint="eastAsia" w:ascii="Times New Roman" w:hAnsi="Times New Roman" w:eastAsia="仿宋_GB2312" w:cs="仿宋_GB2312"/>
          <w:color w:val="auto"/>
          <w:sz w:val="32"/>
          <w:szCs w:val="32"/>
          <w:highlight w:val="none"/>
          <w:lang w:val="en-US" w:eastAsia="zh-CN"/>
        </w:rPr>
        <w:t>。</w:t>
      </w:r>
    </w:p>
    <w:p w14:paraId="699C32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56FDF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6E75350">
      <w:pPr>
        <w:spacing w:line="600" w:lineRule="exact"/>
        <w:ind w:firstLine="640" w:firstLineChars="200"/>
        <w:outlineLvl w:val="1"/>
        <w:rPr>
          <w:rStyle w:val="34"/>
          <w:rFonts w:ascii="Times New Roman" w:hAnsi="Times New Roman" w:eastAsia="黑体"/>
          <w:b w:val="0"/>
          <w:color w:val="auto"/>
          <w:highlight w:val="none"/>
        </w:rPr>
      </w:pPr>
      <w:bookmarkStart w:id="32" w:name="_Toc15396607"/>
      <w:bookmarkStart w:id="33" w:name="_Toc8367"/>
      <w:bookmarkStart w:id="34"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般公共预算财政拨款支出决算情况说明</w:t>
      </w:r>
      <w:bookmarkEnd w:id="32"/>
      <w:bookmarkEnd w:id="33"/>
      <w:bookmarkEnd w:id="34"/>
    </w:p>
    <w:p w14:paraId="051FA36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5"/>
    </w:p>
    <w:p w14:paraId="7BE2034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2024年度一般公共预算财政拨款支出97.42万元，占本年支出合计的100%。与2023年度相比，一般公共预算财政拨款支出增加22.42万元，增长29.90%。主要变动原因系</w:t>
      </w:r>
      <w:r>
        <w:rPr>
          <w:rFonts w:hint="eastAsia" w:ascii="Times New Roman" w:hAnsi="Times New Roman" w:eastAsia="仿宋_GB2312" w:cs="仿宋_GB2312"/>
          <w:color w:val="auto"/>
          <w:sz w:val="32"/>
          <w:szCs w:val="32"/>
          <w:highlight w:val="none"/>
          <w:lang w:val="en-US" w:eastAsia="zh-CN"/>
        </w:rPr>
        <w:t>本年度人员</w:t>
      </w:r>
      <w:r>
        <w:rPr>
          <w:rFonts w:hint="eastAsia" w:eastAsia="仿宋_GB2312" w:cs="仿宋_GB2312"/>
          <w:color w:val="auto"/>
          <w:sz w:val="32"/>
          <w:szCs w:val="32"/>
          <w:highlight w:val="none"/>
          <w:lang w:val="en-US" w:eastAsia="zh-CN"/>
        </w:rPr>
        <w:t>晋升调标和在职人员新</w:t>
      </w:r>
      <w:r>
        <w:rPr>
          <w:rFonts w:hint="eastAsia" w:ascii="Times New Roman" w:hAnsi="Times New Roman" w:eastAsia="仿宋_GB2312" w:cs="仿宋_GB2312"/>
          <w:color w:val="auto"/>
          <w:sz w:val="32"/>
          <w:szCs w:val="32"/>
          <w:highlight w:val="none"/>
          <w:lang w:val="en-US" w:eastAsia="zh-CN"/>
        </w:rPr>
        <w:t>增</w:t>
      </w:r>
      <w:r>
        <w:rPr>
          <w:rFonts w:hint="eastAsia" w:eastAsia="仿宋_GB2312" w:cs="仿宋_GB2312"/>
          <w:color w:val="auto"/>
          <w:sz w:val="32"/>
          <w:szCs w:val="32"/>
          <w:highlight w:val="none"/>
          <w:lang w:val="en-US" w:eastAsia="zh-CN"/>
        </w:rPr>
        <w:t>1人，导致人员经费和日常公用经费增加</w:t>
      </w:r>
      <w:r>
        <w:rPr>
          <w:rFonts w:hint="eastAsia" w:ascii="Times New Roman" w:hAnsi="Times New Roman" w:eastAsia="仿宋_GB2312" w:cs="仿宋_GB2312"/>
          <w:color w:val="auto"/>
          <w:sz w:val="32"/>
          <w:szCs w:val="32"/>
          <w:highlight w:val="none"/>
          <w:lang w:val="en-US" w:eastAsia="zh-CN"/>
        </w:rPr>
        <w:t>。</w:t>
      </w:r>
    </w:p>
    <w:p w14:paraId="439B60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73BD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915821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6"/>
    </w:p>
    <w:p w14:paraId="5B5910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2024年度一般公共预算财政拨款支出97.42万元，主要用于以下方面：一般公共服务支出76.5</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78.56</w:t>
      </w:r>
      <w:r>
        <w:rPr>
          <w:rFonts w:hint="eastAsia" w:ascii="Times New Roman" w:hAnsi="Times New Roman" w:eastAsia="仿宋_GB2312" w:cs="仿宋_GB2312"/>
          <w:color w:val="auto"/>
          <w:kern w:val="2"/>
          <w:sz w:val="32"/>
          <w:szCs w:val="32"/>
          <w:highlight w:val="none"/>
          <w:lang w:val="en-US" w:eastAsia="zh-CN" w:bidi="ar-SA"/>
        </w:rPr>
        <w:t>%；社会保障和就业支出9.2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9.44</w:t>
      </w:r>
      <w:r>
        <w:rPr>
          <w:rFonts w:hint="eastAsia" w:ascii="Times New Roman" w:hAnsi="Times New Roman" w:eastAsia="仿宋_GB2312" w:cs="仿宋_GB2312"/>
          <w:color w:val="auto"/>
          <w:kern w:val="2"/>
          <w:sz w:val="32"/>
          <w:szCs w:val="32"/>
          <w:highlight w:val="none"/>
          <w:lang w:val="en-US" w:eastAsia="zh-CN" w:bidi="ar-SA"/>
        </w:rPr>
        <w:t>%；卫生健康支出4.9</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5.03</w:t>
      </w:r>
      <w:r>
        <w:rPr>
          <w:rFonts w:hint="eastAsia" w:ascii="Times New Roman" w:hAnsi="Times New Roman" w:eastAsia="仿宋_GB2312" w:cs="仿宋_GB2312"/>
          <w:color w:val="auto"/>
          <w:kern w:val="2"/>
          <w:sz w:val="32"/>
          <w:szCs w:val="32"/>
          <w:highlight w:val="none"/>
          <w:lang w:val="en-US" w:eastAsia="zh-CN" w:bidi="ar-SA"/>
        </w:rPr>
        <w:t>%；住房保障支出6.79万元，占</w:t>
      </w:r>
      <w:r>
        <w:rPr>
          <w:rFonts w:hint="eastAsia" w:eastAsia="仿宋_GB2312" w:cs="仿宋_GB2312"/>
          <w:color w:val="auto"/>
          <w:kern w:val="2"/>
          <w:sz w:val="32"/>
          <w:szCs w:val="32"/>
          <w:highlight w:val="none"/>
          <w:lang w:val="en-US" w:eastAsia="zh-CN" w:bidi="ar-SA"/>
        </w:rPr>
        <w:t>6.97</w:t>
      </w:r>
      <w:r>
        <w:rPr>
          <w:rFonts w:hint="eastAsia" w:ascii="Times New Roman" w:hAnsi="Times New Roman" w:eastAsia="仿宋_GB2312" w:cs="仿宋_GB2312"/>
          <w:color w:val="auto"/>
          <w:kern w:val="2"/>
          <w:sz w:val="32"/>
          <w:szCs w:val="32"/>
          <w:highlight w:val="none"/>
          <w:lang w:val="en-US" w:eastAsia="zh-CN" w:bidi="ar-SA"/>
        </w:rPr>
        <w:t>%。</w:t>
      </w:r>
    </w:p>
    <w:p w14:paraId="5AAA05A3">
      <w:pPr>
        <w:pStyle w:val="18"/>
        <w:rPr>
          <w:rFonts w:hint="eastAsia"/>
          <w:lang w:val="en-US" w:eastAsia="zh-CN"/>
        </w:rPr>
      </w:pPr>
      <w:r>
        <w:rPr>
          <w:rFonts w:hint="eastAsia"/>
          <w:lang w:val="en-US" w:eastAsia="zh-CN"/>
        </w:rPr>
        <w:drawing>
          <wp:inline distT="0" distB="0" distL="114300" distR="114300">
            <wp:extent cx="5043805" cy="3091815"/>
            <wp:effectExtent l="4445" t="4445" r="19050" b="88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9D73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48FDEAF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7"/>
    </w:p>
    <w:p w14:paraId="6BE102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8460"/>
      <w:bookmarkStart w:id="39" w:name="_Toc15377444"/>
      <w:bookmarkStart w:id="40" w:name="_Toc15377213"/>
      <w:r>
        <w:rPr>
          <w:rFonts w:hint="eastAsia" w:ascii="Times New Roman" w:hAnsi="Times New Roman" w:eastAsia="仿宋_GB2312" w:cs="仿宋_GB2312"/>
          <w:color w:val="auto"/>
          <w:kern w:val="2"/>
          <w:sz w:val="32"/>
          <w:szCs w:val="32"/>
          <w:highlight w:val="none"/>
          <w:lang w:val="en-US" w:eastAsia="zh-CN" w:bidi="ar-SA"/>
        </w:rPr>
        <w:t>2024年度一般公共预算支出决算数为97.42</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8"/>
      <w:bookmarkEnd w:id="39"/>
      <w:bookmarkEnd w:id="40"/>
    </w:p>
    <w:p w14:paraId="3E59807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bookmarkStart w:id="41" w:name="_Toc15396608"/>
      <w:bookmarkStart w:id="42" w:name="_Toc15377214"/>
      <w:bookmarkStart w:id="43" w:name="_Toc8222"/>
      <w:r>
        <w:rPr>
          <w:rStyle w:val="22"/>
          <w:rFonts w:hint="default" w:ascii="Times New Roman" w:hAnsi="Times New Roman" w:eastAsia="仿宋_GB2312" w:cs="Times New Roman"/>
          <w:b w:val="0"/>
          <w:bCs w:val="0"/>
          <w:i w:val="0"/>
          <w:iCs w:val="0"/>
          <w:color w:val="auto"/>
          <w:sz w:val="32"/>
          <w:szCs w:val="32"/>
          <w:highlight w:val="none"/>
        </w:rPr>
        <w:t>1.一般公共服务（类）党委办公厅（室）及相关机构事务（款）行政运行（项）</w:t>
      </w:r>
      <w:r>
        <w:rPr>
          <w:rStyle w:val="22"/>
          <w:rFonts w:hint="default" w:ascii="Times New Roman" w:hAnsi="Times New Roman" w:cs="Times New Roman"/>
          <w:b w:val="0"/>
          <w:bCs w:val="0"/>
          <w:i w:val="0"/>
          <w:iCs w:val="0"/>
          <w:color w:val="auto"/>
          <w:sz w:val="32"/>
          <w:szCs w:val="32"/>
          <w:highlight w:val="none"/>
          <w:lang w:eastAsia="zh-CN"/>
        </w:rPr>
        <w:t>：</w:t>
      </w:r>
      <w:r>
        <w:rPr>
          <w:rStyle w:val="22"/>
          <w:rFonts w:hint="default" w:ascii="Times New Roman" w:hAnsi="Times New Roman" w:eastAsia="仿宋_GB2312" w:cs="Times New Roman"/>
          <w:b w:val="0"/>
          <w:bCs w:val="0"/>
          <w:i w:val="0"/>
          <w:iCs w:val="0"/>
          <w:color w:val="auto"/>
          <w:sz w:val="32"/>
          <w:szCs w:val="32"/>
          <w:highlight w:val="none"/>
        </w:rPr>
        <w:t>支出决算为3</w:t>
      </w:r>
      <w:r>
        <w:rPr>
          <w:rStyle w:val="22"/>
          <w:rFonts w:hint="eastAsia" w:eastAsia="仿宋_GB2312" w:cs="Times New Roman"/>
          <w:b w:val="0"/>
          <w:bCs w:val="0"/>
          <w:i w:val="0"/>
          <w:iCs w:val="0"/>
          <w:color w:val="auto"/>
          <w:sz w:val="32"/>
          <w:szCs w:val="32"/>
          <w:highlight w:val="none"/>
          <w:lang w:val="en-US" w:eastAsia="zh-CN"/>
        </w:rPr>
        <w:t>7</w:t>
      </w:r>
      <w:r>
        <w:rPr>
          <w:rStyle w:val="22"/>
          <w:rFonts w:hint="default" w:ascii="Times New Roman" w:hAnsi="Times New Roman" w:eastAsia="仿宋_GB2312" w:cs="Times New Roman"/>
          <w:b w:val="0"/>
          <w:bCs w:val="0"/>
          <w:i w:val="0"/>
          <w:iCs w:val="0"/>
          <w:color w:val="auto"/>
          <w:sz w:val="32"/>
          <w:szCs w:val="32"/>
          <w:highlight w:val="none"/>
        </w:rPr>
        <w:t>.</w:t>
      </w:r>
      <w:r>
        <w:rPr>
          <w:rStyle w:val="22"/>
          <w:rFonts w:hint="eastAsia" w:eastAsia="仿宋_GB2312" w:cs="Times New Roman"/>
          <w:b w:val="0"/>
          <w:bCs w:val="0"/>
          <w:i w:val="0"/>
          <w:iCs w:val="0"/>
          <w:color w:val="auto"/>
          <w:sz w:val="32"/>
          <w:szCs w:val="32"/>
          <w:highlight w:val="none"/>
          <w:lang w:val="en-US" w:eastAsia="zh-CN"/>
        </w:rPr>
        <w:t>3</w:t>
      </w:r>
      <w:r>
        <w:rPr>
          <w:rStyle w:val="22"/>
          <w:rFonts w:hint="default" w:ascii="Times New Roman" w:hAnsi="Times New Roman" w:eastAsia="仿宋_GB2312" w:cs="Times New Roman"/>
          <w:b w:val="0"/>
          <w:bCs w:val="0"/>
          <w:i w:val="0"/>
          <w:iCs w:val="0"/>
          <w:color w:val="auto"/>
          <w:sz w:val="32"/>
          <w:szCs w:val="32"/>
          <w:highlight w:val="none"/>
        </w:rPr>
        <w:t>6万元，完成预算</w:t>
      </w:r>
      <w:r>
        <w:rPr>
          <w:rStyle w:val="22"/>
          <w:rFonts w:hint="eastAsia" w:ascii="Times New Roman" w:hAnsi="Times New Roman" w:cs="Times New Roman"/>
          <w:b w:val="0"/>
          <w:bCs w:val="0"/>
          <w:i w:val="0"/>
          <w:iCs w:val="0"/>
          <w:color w:val="auto"/>
          <w:sz w:val="32"/>
          <w:szCs w:val="32"/>
          <w:highlight w:val="none"/>
          <w:lang w:val="en-US" w:eastAsia="zh-CN"/>
        </w:rPr>
        <w:t>100</w:t>
      </w:r>
      <w:r>
        <w:rPr>
          <w:rStyle w:val="22"/>
          <w:rFonts w:hint="default" w:ascii="Times New Roman" w:hAnsi="Times New Roman" w:eastAsia="仿宋_GB2312" w:cs="Times New Roman"/>
          <w:b w:val="0"/>
          <w:bCs w:val="0"/>
          <w:i w:val="0"/>
          <w:iCs w:val="0"/>
          <w:color w:val="auto"/>
          <w:sz w:val="32"/>
          <w:szCs w:val="32"/>
          <w:highlight w:val="none"/>
        </w:rPr>
        <w:t>%，决算数等于预算数。</w:t>
      </w:r>
    </w:p>
    <w:p w14:paraId="6E3429B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2"/>
          <w:rFonts w:hint="default" w:ascii="Times New Roman" w:hAnsi="Times New Roman" w:eastAsia="仿宋_GB2312" w:cs="Times New Roman"/>
          <w:b w:val="0"/>
          <w:bCs w:val="0"/>
          <w:i w:val="0"/>
          <w:iCs w:val="0"/>
          <w:color w:val="auto"/>
          <w:sz w:val="32"/>
          <w:szCs w:val="32"/>
          <w:highlight w:val="none"/>
        </w:rPr>
        <w:t>2.一般公共服务（类）党委办公厅（室）及相关机构事务（款）事业运行（项）</w:t>
      </w:r>
      <w:r>
        <w:rPr>
          <w:rStyle w:val="22"/>
          <w:rFonts w:hint="default" w:ascii="Times New Roman" w:hAnsi="Times New Roman" w:cs="Times New Roman"/>
          <w:b w:val="0"/>
          <w:bCs w:val="0"/>
          <w:i w:val="0"/>
          <w:iCs w:val="0"/>
          <w:color w:val="auto"/>
          <w:sz w:val="32"/>
          <w:szCs w:val="32"/>
          <w:highlight w:val="none"/>
          <w:lang w:eastAsia="zh-CN"/>
        </w:rPr>
        <w:t>：</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eastAsia="仿宋_GB2312" w:cs="Times New Roman"/>
          <w:b w:val="0"/>
          <w:bCs w:val="0"/>
          <w:i w:val="0"/>
          <w:iCs w:val="0"/>
          <w:color w:val="auto"/>
          <w:sz w:val="32"/>
          <w:szCs w:val="32"/>
          <w:highlight w:val="none"/>
          <w:lang w:val="en-US" w:eastAsia="zh-CN"/>
        </w:rPr>
        <w:t>11.29</w:t>
      </w:r>
      <w:r>
        <w:rPr>
          <w:rStyle w:val="22"/>
          <w:rFonts w:hint="default" w:ascii="Times New Roman" w:hAnsi="Times New Roman" w:eastAsia="仿宋_GB2312" w:cs="Times New Roman"/>
          <w:b w:val="0"/>
          <w:bCs w:val="0"/>
          <w:i w:val="0"/>
          <w:iCs w:val="0"/>
          <w:color w:val="auto"/>
          <w:sz w:val="32"/>
          <w:szCs w:val="32"/>
          <w:highlight w:val="none"/>
        </w:rPr>
        <w:t>万元，完成预算</w:t>
      </w:r>
      <w:r>
        <w:rPr>
          <w:rStyle w:val="22"/>
          <w:rFonts w:hint="eastAsia" w:ascii="Times New Roman" w:hAnsi="Times New Roman" w:cs="Times New Roman"/>
          <w:b w:val="0"/>
          <w:bCs w:val="0"/>
          <w:i w:val="0"/>
          <w:iCs w:val="0"/>
          <w:color w:val="auto"/>
          <w:sz w:val="32"/>
          <w:szCs w:val="32"/>
          <w:highlight w:val="none"/>
          <w:lang w:val="en-US" w:eastAsia="zh-CN"/>
        </w:rPr>
        <w:t>100</w:t>
      </w:r>
      <w:r>
        <w:rPr>
          <w:rStyle w:val="22"/>
          <w:rFonts w:hint="default" w:ascii="Times New Roman" w:hAnsi="Times New Roman" w:eastAsia="仿宋_GB2312" w:cs="Times New Roman"/>
          <w:b w:val="0"/>
          <w:bCs w:val="0"/>
          <w:i w:val="0"/>
          <w:iCs w:val="0"/>
          <w:color w:val="auto"/>
          <w:sz w:val="32"/>
          <w:szCs w:val="32"/>
          <w:highlight w:val="none"/>
        </w:rPr>
        <w:t>%，决算数等于预算数。</w:t>
      </w:r>
    </w:p>
    <w:p w14:paraId="4E2F142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2"/>
          <w:rFonts w:hint="default" w:ascii="Times New Roman" w:hAnsi="Times New Roman" w:eastAsia="仿宋_GB2312" w:cs="Times New Roman"/>
          <w:b w:val="0"/>
          <w:bCs w:val="0"/>
          <w:i w:val="0"/>
          <w:iCs w:val="0"/>
          <w:color w:val="auto"/>
          <w:sz w:val="32"/>
          <w:szCs w:val="32"/>
          <w:highlight w:val="none"/>
        </w:rPr>
        <w:t>3.一般公共服务（类）组织事务（款）行政运行（项）</w:t>
      </w:r>
      <w:r>
        <w:rPr>
          <w:rStyle w:val="22"/>
          <w:rFonts w:hint="default" w:ascii="Times New Roman" w:hAnsi="Times New Roman" w:cs="Times New Roman"/>
          <w:b w:val="0"/>
          <w:bCs w:val="0"/>
          <w:i w:val="0"/>
          <w:iCs w:val="0"/>
          <w:color w:val="auto"/>
          <w:sz w:val="32"/>
          <w:szCs w:val="32"/>
          <w:highlight w:val="none"/>
          <w:lang w:eastAsia="zh-CN"/>
        </w:rPr>
        <w:t>：</w:t>
      </w:r>
      <w:r>
        <w:rPr>
          <w:rStyle w:val="22"/>
          <w:rFonts w:hint="default" w:ascii="Times New Roman" w:hAnsi="Times New Roman" w:eastAsia="仿宋_GB2312" w:cs="Times New Roman"/>
          <w:b w:val="0"/>
          <w:bCs w:val="0"/>
          <w:i w:val="0"/>
          <w:iCs w:val="0"/>
          <w:color w:val="auto"/>
          <w:sz w:val="32"/>
          <w:szCs w:val="32"/>
          <w:highlight w:val="none"/>
        </w:rPr>
        <w:t>支出决算为22.87万元，完成预算</w:t>
      </w:r>
      <w:r>
        <w:rPr>
          <w:rStyle w:val="22"/>
          <w:rFonts w:hint="eastAsia" w:ascii="Times New Roman" w:hAnsi="Times New Roman" w:cs="Times New Roman"/>
          <w:b w:val="0"/>
          <w:bCs w:val="0"/>
          <w:i w:val="0"/>
          <w:iCs w:val="0"/>
          <w:color w:val="auto"/>
          <w:sz w:val="32"/>
          <w:szCs w:val="32"/>
          <w:highlight w:val="none"/>
          <w:lang w:val="en-US" w:eastAsia="zh-CN"/>
        </w:rPr>
        <w:t>100</w:t>
      </w:r>
      <w:r>
        <w:rPr>
          <w:rStyle w:val="22"/>
          <w:rFonts w:hint="default" w:ascii="Times New Roman" w:hAnsi="Times New Roman" w:eastAsia="仿宋_GB2312" w:cs="Times New Roman"/>
          <w:b w:val="0"/>
          <w:bCs w:val="0"/>
          <w:i w:val="0"/>
          <w:iCs w:val="0"/>
          <w:color w:val="auto"/>
          <w:sz w:val="32"/>
          <w:szCs w:val="32"/>
          <w:highlight w:val="none"/>
        </w:rPr>
        <w:t>%，决算数等于预算数。</w:t>
      </w:r>
    </w:p>
    <w:p w14:paraId="52BF598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2"/>
          <w:rFonts w:hint="default" w:ascii="Times New Roman" w:hAnsi="Times New Roman" w:eastAsia="仿宋_GB2312" w:cs="Times New Roman"/>
          <w:b w:val="0"/>
          <w:bCs w:val="0"/>
          <w:i w:val="0"/>
          <w:iCs w:val="0"/>
          <w:color w:val="auto"/>
          <w:sz w:val="32"/>
          <w:szCs w:val="32"/>
          <w:highlight w:val="none"/>
        </w:rPr>
        <w:t>4.一般公共服务（类）组织事务（款）其他组织事务支出（项）</w:t>
      </w:r>
      <w:r>
        <w:rPr>
          <w:rStyle w:val="22"/>
          <w:rFonts w:hint="default" w:ascii="Times New Roman" w:hAnsi="Times New Roman" w:cs="Times New Roman"/>
          <w:b w:val="0"/>
          <w:bCs w:val="0"/>
          <w:i w:val="0"/>
          <w:iCs w:val="0"/>
          <w:color w:val="auto"/>
          <w:sz w:val="32"/>
          <w:szCs w:val="32"/>
          <w:highlight w:val="none"/>
          <w:lang w:eastAsia="zh-CN"/>
        </w:rPr>
        <w:t>：</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eastAsia="仿宋_GB2312" w:cs="Times New Roman"/>
          <w:b w:val="0"/>
          <w:bCs w:val="0"/>
          <w:i w:val="0"/>
          <w:iCs w:val="0"/>
          <w:color w:val="auto"/>
          <w:sz w:val="32"/>
          <w:szCs w:val="32"/>
          <w:highlight w:val="none"/>
          <w:lang w:val="en-US" w:eastAsia="zh-CN"/>
        </w:rPr>
        <w:t>5.00</w:t>
      </w:r>
      <w:r>
        <w:rPr>
          <w:rStyle w:val="22"/>
          <w:rFonts w:hint="default" w:ascii="Times New Roman" w:hAnsi="Times New Roman" w:eastAsia="仿宋_GB2312" w:cs="Times New Roman"/>
          <w:b w:val="0"/>
          <w:bCs w:val="0"/>
          <w:i w:val="0"/>
          <w:iCs w:val="0"/>
          <w:color w:val="auto"/>
          <w:sz w:val="32"/>
          <w:szCs w:val="32"/>
          <w:highlight w:val="none"/>
        </w:rPr>
        <w:t>万元，完成预算</w:t>
      </w:r>
      <w:r>
        <w:rPr>
          <w:rStyle w:val="22"/>
          <w:rFonts w:hint="eastAsia" w:ascii="Times New Roman" w:hAnsi="Times New Roman" w:cs="Times New Roman"/>
          <w:b w:val="0"/>
          <w:bCs w:val="0"/>
          <w:i w:val="0"/>
          <w:iCs w:val="0"/>
          <w:color w:val="auto"/>
          <w:sz w:val="32"/>
          <w:szCs w:val="32"/>
          <w:highlight w:val="none"/>
          <w:lang w:val="en-US" w:eastAsia="zh-CN"/>
        </w:rPr>
        <w:t>100</w:t>
      </w:r>
      <w:r>
        <w:rPr>
          <w:rStyle w:val="22"/>
          <w:rFonts w:hint="default" w:ascii="Times New Roman" w:hAnsi="Times New Roman" w:eastAsia="仿宋_GB2312" w:cs="Times New Roman"/>
          <w:b w:val="0"/>
          <w:bCs w:val="0"/>
          <w:i w:val="0"/>
          <w:iCs w:val="0"/>
          <w:color w:val="auto"/>
          <w:sz w:val="32"/>
          <w:szCs w:val="32"/>
          <w:highlight w:val="none"/>
        </w:rPr>
        <w:t>%，决算数等于预算数。</w:t>
      </w:r>
    </w:p>
    <w:p w14:paraId="0218C55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2"/>
          <w:rFonts w:hint="default" w:ascii="Times New Roman" w:hAnsi="Times New Roman" w:eastAsia="仿宋_GB2312" w:cs="Times New Roman"/>
          <w:b w:val="0"/>
          <w:bCs w:val="0"/>
          <w:i w:val="0"/>
          <w:iCs w:val="0"/>
          <w:color w:val="auto"/>
          <w:sz w:val="32"/>
          <w:szCs w:val="32"/>
          <w:highlight w:val="none"/>
        </w:rPr>
        <w:t>5.社会保障和就业（类）行政事业单位养老支出（款）机关事业单位基本养老保险缴费支出（项）: 支出决算为</w:t>
      </w:r>
      <w:r>
        <w:rPr>
          <w:rStyle w:val="22"/>
          <w:rFonts w:hint="eastAsia" w:eastAsia="仿宋_GB2312" w:cs="Times New Roman"/>
          <w:b w:val="0"/>
          <w:bCs w:val="0"/>
          <w:i w:val="0"/>
          <w:iCs w:val="0"/>
          <w:color w:val="auto"/>
          <w:sz w:val="32"/>
          <w:szCs w:val="32"/>
          <w:highlight w:val="none"/>
          <w:lang w:val="en-US" w:eastAsia="zh-CN"/>
        </w:rPr>
        <w:t>8.8</w:t>
      </w:r>
      <w:r>
        <w:rPr>
          <w:rStyle w:val="22"/>
          <w:rFonts w:hint="default" w:ascii="Times New Roman" w:hAnsi="Times New Roman" w:eastAsia="仿宋_GB2312" w:cs="Times New Roman"/>
          <w:b w:val="0"/>
          <w:bCs w:val="0"/>
          <w:i w:val="0"/>
          <w:iCs w:val="0"/>
          <w:color w:val="auto"/>
          <w:sz w:val="32"/>
          <w:szCs w:val="32"/>
          <w:highlight w:val="none"/>
        </w:rPr>
        <w:t>0万元，完成预算100%，决算数等于预算数。</w:t>
      </w:r>
    </w:p>
    <w:p w14:paraId="5F3EAF9B">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Style w:val="22"/>
          <w:rFonts w:hint="default" w:ascii="Times New Roman" w:hAnsi="Times New Roman" w:eastAsia="仿宋_GB2312" w:cs="Times New Roman"/>
          <w:b w:val="0"/>
          <w:bCs w:val="0"/>
          <w:i w:val="0"/>
          <w:iCs w:val="0"/>
          <w:color w:val="auto"/>
          <w:sz w:val="32"/>
          <w:szCs w:val="32"/>
          <w:highlight w:val="none"/>
        </w:rPr>
        <w:t>6.</w:t>
      </w:r>
      <w:r>
        <w:rPr>
          <w:rFonts w:hint="eastAsia" w:ascii="仿宋" w:hAnsi="仿宋" w:eastAsia="仿宋"/>
          <w:bCs/>
          <w:sz w:val="32"/>
          <w:szCs w:val="32"/>
        </w:rPr>
        <w:t>社会保障和就业（类）其他社会保障和就业支出（款）其他社会保障和就业支出（项）</w:t>
      </w:r>
      <w:r>
        <w:rPr>
          <w:rFonts w:ascii="仿宋" w:hAnsi="仿宋" w:eastAsia="仿宋"/>
          <w:bCs/>
          <w:sz w:val="32"/>
          <w:szCs w:val="32"/>
        </w:rPr>
        <w:t>:</w:t>
      </w:r>
      <w:r>
        <w:rPr>
          <w:rStyle w:val="22"/>
          <w:rFonts w:hint="default" w:ascii="Times New Roman" w:hAnsi="Times New Roman" w:eastAsia="仿宋_GB2312" w:cs="Times New Roman"/>
          <w:b w:val="0"/>
          <w:bCs w:val="0"/>
          <w:i w:val="0"/>
          <w:iCs w:val="0"/>
          <w:color w:val="auto"/>
          <w:sz w:val="32"/>
          <w:szCs w:val="32"/>
          <w:highlight w:val="none"/>
        </w:rPr>
        <w:t>支出决算为0.</w:t>
      </w:r>
      <w:r>
        <w:rPr>
          <w:rStyle w:val="22"/>
          <w:rFonts w:hint="eastAsia" w:eastAsia="仿宋_GB2312" w:cs="Times New Roman"/>
          <w:b w:val="0"/>
          <w:bCs w:val="0"/>
          <w:i w:val="0"/>
          <w:iCs w:val="0"/>
          <w:color w:val="auto"/>
          <w:sz w:val="32"/>
          <w:szCs w:val="32"/>
          <w:highlight w:val="none"/>
          <w:lang w:val="en-US" w:eastAsia="zh-CN"/>
        </w:rPr>
        <w:t>40</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7DA1E4E7">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7.</w:t>
      </w:r>
      <w:r>
        <w:rPr>
          <w:rFonts w:hint="default" w:ascii="Times New Roman" w:hAnsi="Times New Roman" w:eastAsia="仿宋_GB2312" w:cs="Times New Roman"/>
          <w:b w:val="0"/>
          <w:bCs w:val="0"/>
          <w:i w:val="0"/>
          <w:iCs w:val="0"/>
          <w:color w:val="auto"/>
          <w:sz w:val="32"/>
          <w:szCs w:val="32"/>
          <w:highlight w:val="none"/>
        </w:rPr>
        <w:t>卫生健康（类）行政事业单位医疗（款）行政单位医疗（项）: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eastAsia="仿宋_GB2312" w:cs="Times New Roman"/>
          <w:b w:val="0"/>
          <w:bCs w:val="0"/>
          <w:i w:val="0"/>
          <w:iCs w:val="0"/>
          <w:color w:val="auto"/>
          <w:sz w:val="32"/>
          <w:szCs w:val="32"/>
          <w:highlight w:val="none"/>
          <w:lang w:val="en-US" w:eastAsia="zh-CN"/>
        </w:rPr>
        <w:t>3.24</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122E9929">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8.</w:t>
      </w:r>
      <w:r>
        <w:rPr>
          <w:rFonts w:hint="default" w:ascii="Times New Roman" w:hAnsi="Times New Roman" w:eastAsia="仿宋_GB2312" w:cs="Times New Roman"/>
          <w:b w:val="0"/>
          <w:bCs w:val="0"/>
          <w:i w:val="0"/>
          <w:iCs w:val="0"/>
          <w:color w:val="auto"/>
          <w:sz w:val="32"/>
          <w:szCs w:val="32"/>
          <w:highlight w:val="none"/>
        </w:rPr>
        <w:t>卫生健康（类）行政事业单位医疗（款）事业单位医疗（项）:</w:t>
      </w:r>
      <w:r>
        <w:rPr>
          <w:rStyle w:val="22"/>
          <w:rFonts w:hint="default" w:ascii="Times New Roman" w:hAnsi="Times New Roman" w:eastAsia="仿宋_GB2312" w:cs="Times New Roman"/>
          <w:b w:val="0"/>
          <w:bCs w:val="0"/>
          <w:i w:val="0"/>
          <w:iCs w:val="0"/>
          <w:color w:val="auto"/>
          <w:sz w:val="32"/>
          <w:szCs w:val="32"/>
          <w:highlight w:val="none"/>
        </w:rPr>
        <w:t>支出决算为0.</w:t>
      </w:r>
      <w:r>
        <w:rPr>
          <w:rStyle w:val="22"/>
          <w:rFonts w:hint="eastAsia" w:eastAsia="仿宋_GB2312" w:cs="Times New Roman"/>
          <w:b w:val="0"/>
          <w:bCs w:val="0"/>
          <w:i w:val="0"/>
          <w:iCs w:val="0"/>
          <w:color w:val="auto"/>
          <w:sz w:val="32"/>
          <w:szCs w:val="32"/>
          <w:highlight w:val="none"/>
          <w:lang w:val="en-US" w:eastAsia="zh-CN"/>
        </w:rPr>
        <w:t>69</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0DDD4167">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9.</w:t>
      </w:r>
      <w:r>
        <w:rPr>
          <w:rFonts w:hint="default" w:ascii="Times New Roman" w:hAnsi="Times New Roman" w:eastAsia="仿宋_GB2312" w:cs="Times New Roman"/>
          <w:b w:val="0"/>
          <w:bCs w:val="0"/>
          <w:i w:val="0"/>
          <w:iCs w:val="0"/>
          <w:color w:val="auto"/>
          <w:sz w:val="32"/>
          <w:szCs w:val="32"/>
          <w:highlight w:val="none"/>
        </w:rPr>
        <w:t>卫生健康（类）行政事业单位医疗（款）公务员医疗补助（项）:</w:t>
      </w:r>
      <w:r>
        <w:rPr>
          <w:rStyle w:val="22"/>
          <w:rFonts w:hint="default" w:ascii="Times New Roman" w:hAnsi="Times New Roman" w:eastAsia="仿宋_GB2312" w:cs="Times New Roman"/>
          <w:b w:val="0"/>
          <w:bCs w:val="0"/>
          <w:i w:val="0"/>
          <w:iCs w:val="0"/>
          <w:color w:val="auto"/>
          <w:sz w:val="32"/>
          <w:szCs w:val="32"/>
          <w:highlight w:val="none"/>
        </w:rPr>
        <w:t>支出决算为0.</w:t>
      </w:r>
      <w:r>
        <w:rPr>
          <w:rStyle w:val="22"/>
          <w:rFonts w:hint="eastAsia" w:eastAsia="仿宋_GB2312" w:cs="Times New Roman"/>
          <w:b w:val="0"/>
          <w:bCs w:val="0"/>
          <w:i w:val="0"/>
          <w:iCs w:val="0"/>
          <w:color w:val="auto"/>
          <w:sz w:val="32"/>
          <w:szCs w:val="32"/>
          <w:highlight w:val="none"/>
          <w:lang w:val="en-US" w:eastAsia="zh-CN"/>
        </w:rPr>
        <w:t>98</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5AD04F77">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Style w:val="22"/>
          <w:rFonts w:hint="eastAsia" w:ascii="Times New Roman" w:hAnsi="Times New Roman" w:eastAsia="仿宋_GB2312" w:cs="Times New Roman"/>
          <w:b w:val="0"/>
          <w:bCs w:val="0"/>
          <w:i w:val="0"/>
          <w:iCs w:val="0"/>
          <w:color w:val="auto"/>
          <w:sz w:val="32"/>
          <w:szCs w:val="32"/>
          <w:highlight w:val="none"/>
          <w:lang w:val="en-US" w:eastAsia="zh-CN"/>
        </w:rPr>
        <w:t>10.住房保障支出（类）住房改革支出（款）住房公积金（项）: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ascii="Times New Roman" w:hAnsi="Times New Roman" w:eastAsia="仿宋_GB2312" w:cs="Times New Roman"/>
          <w:b w:val="0"/>
          <w:bCs w:val="0"/>
          <w:i w:val="0"/>
          <w:iCs w:val="0"/>
          <w:color w:val="auto"/>
          <w:sz w:val="32"/>
          <w:szCs w:val="32"/>
          <w:highlight w:val="none"/>
          <w:lang w:val="en-US" w:eastAsia="zh-CN"/>
        </w:rPr>
        <w:t>6.79</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749E3DF8">
      <w:pPr>
        <w:tabs>
          <w:tab w:val="right" w:pos="8306"/>
        </w:tabs>
        <w:spacing w:line="600" w:lineRule="exact"/>
        <w:ind w:firstLine="640"/>
        <w:outlineLvl w:val="1"/>
        <w:rPr>
          <w:rStyle w:val="34"/>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般公共预算财政拨款基本支出决算情况说明</w:t>
      </w:r>
      <w:bookmarkEnd w:id="41"/>
      <w:bookmarkEnd w:id="42"/>
      <w:bookmarkEnd w:id="43"/>
      <w:r>
        <w:rPr>
          <w:rStyle w:val="34"/>
          <w:rFonts w:ascii="Times New Roman" w:hAnsi="Times New Roman" w:eastAsia="黑体"/>
          <w:b w:val="0"/>
          <w:color w:val="auto"/>
          <w:highlight w:val="none"/>
        </w:rPr>
        <w:tab/>
      </w:r>
    </w:p>
    <w:p w14:paraId="20C9F2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2024年度一般公共预算财政拨款基本支出71.5</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万元，其中：</w:t>
      </w:r>
    </w:p>
    <w:p w14:paraId="37F0B8F6">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人员经费58.76万元，主要包括：基本工资、津贴补贴、奖金、绩效工资、机关事业单位基本养老保险缴费、基本医疗保险缴费</w:t>
      </w:r>
      <w:r>
        <w:rPr>
          <w:rFonts w:hint="eastAsia" w:ascii="Times New Roman" w:hAnsi="Times New Roman"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其他社会保障缴费、住房公积金等。</w:t>
      </w:r>
    </w:p>
    <w:p w14:paraId="390042C9">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公用经费</w:t>
      </w:r>
      <w:r>
        <w:rPr>
          <w:rFonts w:hint="eastAsia" w:ascii="Times New Roman" w:hAnsi="Times New Roman" w:cs="Times New Roman"/>
          <w:b w:val="0"/>
          <w:bCs w:val="0"/>
          <w:i w:val="0"/>
          <w:iCs w:val="0"/>
          <w:color w:val="auto"/>
          <w:sz w:val="32"/>
          <w:szCs w:val="32"/>
          <w:highlight w:val="none"/>
          <w:lang w:val="en-US" w:eastAsia="zh-CN"/>
        </w:rPr>
        <w:t>1</w:t>
      </w:r>
      <w:r>
        <w:rPr>
          <w:rFonts w:hint="eastAsia" w:cs="Times New Roman"/>
          <w:b w:val="0"/>
          <w:bCs w:val="0"/>
          <w:i w:val="0"/>
          <w:iCs w:val="0"/>
          <w:color w:val="auto"/>
          <w:sz w:val="32"/>
          <w:szCs w:val="32"/>
          <w:highlight w:val="none"/>
          <w:lang w:val="en-US" w:eastAsia="zh-CN"/>
        </w:rPr>
        <w:t>2.77</w:t>
      </w:r>
      <w:r>
        <w:rPr>
          <w:rFonts w:hint="default" w:ascii="Times New Roman" w:hAnsi="Times New Roman" w:eastAsia="仿宋_GB2312" w:cs="Times New Roman"/>
          <w:b w:val="0"/>
          <w:bCs w:val="0"/>
          <w:i w:val="0"/>
          <w:iCs w:val="0"/>
          <w:color w:val="auto"/>
          <w:sz w:val="32"/>
          <w:szCs w:val="32"/>
          <w:highlight w:val="none"/>
        </w:rPr>
        <w:t>万元，主要包括：办公费</w:t>
      </w:r>
      <w:r>
        <w:rPr>
          <w:rFonts w:hint="eastAsia" w:eastAsia="仿宋_GB2312" w:cs="Times New Roman"/>
          <w:b w:val="0"/>
          <w:bCs w:val="0"/>
          <w:i w:val="0"/>
          <w:iCs w:val="0"/>
          <w:color w:val="auto"/>
          <w:sz w:val="32"/>
          <w:szCs w:val="32"/>
          <w:highlight w:val="none"/>
          <w:lang w:eastAsia="zh-CN"/>
        </w:rPr>
        <w:t>、印刷费、邮电费</w:t>
      </w:r>
      <w:r>
        <w:rPr>
          <w:rFonts w:hint="default" w:ascii="Times New Roman" w:hAnsi="Times New Roman" w:eastAsia="仿宋_GB2312" w:cs="Times New Roman"/>
          <w:b w:val="0"/>
          <w:bCs w:val="0"/>
          <w:i w:val="0"/>
          <w:iCs w:val="0"/>
          <w:color w:val="auto"/>
          <w:sz w:val="32"/>
          <w:szCs w:val="32"/>
          <w:highlight w:val="none"/>
        </w:rPr>
        <w:t>、差旅费、工会经费、福利费、其他交通费、其他商品和服务支出等。</w:t>
      </w:r>
    </w:p>
    <w:p w14:paraId="3AA01E43">
      <w:pPr>
        <w:spacing w:line="600" w:lineRule="exact"/>
        <w:ind w:firstLine="640"/>
        <w:outlineLvl w:val="1"/>
        <w:rPr>
          <w:rStyle w:val="34"/>
          <w:rFonts w:ascii="Times New Roman" w:hAnsi="Times New Roman" w:eastAsia="黑体"/>
          <w:b w:val="0"/>
          <w:color w:val="auto"/>
          <w:highlight w:val="none"/>
        </w:rPr>
      </w:pPr>
      <w:bookmarkStart w:id="44" w:name="_Toc15377215"/>
      <w:bookmarkStart w:id="45" w:name="_Toc1161"/>
      <w:bookmarkStart w:id="46" w:name="_Toc15396609"/>
      <w:r>
        <w:rPr>
          <w:rFonts w:hint="eastAsia" w:ascii="Times New Roman" w:hAnsi="Times New Roman" w:eastAsia="黑体"/>
          <w:color w:val="auto"/>
          <w:sz w:val="32"/>
          <w:szCs w:val="32"/>
          <w:highlight w:val="none"/>
        </w:rPr>
        <w:t>七、</w:t>
      </w:r>
      <w:r>
        <w:rPr>
          <w:rStyle w:val="34"/>
          <w:rFonts w:hint="eastAsia" w:ascii="Times New Roman" w:hAnsi="Times New Roman" w:eastAsia="黑体"/>
          <w:b w:val="0"/>
          <w:color w:val="auto"/>
          <w:highlight w:val="none"/>
        </w:rPr>
        <w:t>财政拨款</w:t>
      </w:r>
      <w:r>
        <w:rPr>
          <w:rStyle w:val="34"/>
          <w:rFonts w:hint="eastAsia" w:ascii="Times New Roman" w:hAnsi="Times New Roman" w:eastAsia="黑体"/>
          <w:color w:val="auto"/>
          <w:highlight w:val="none"/>
        </w:rPr>
        <w:t>“</w:t>
      </w:r>
      <w:r>
        <w:rPr>
          <w:rStyle w:val="34"/>
          <w:rFonts w:hint="eastAsia" w:ascii="Times New Roman" w:hAnsi="Times New Roman" w:eastAsia="黑体"/>
          <w:b w:val="0"/>
          <w:color w:val="auto"/>
          <w:highlight w:val="none"/>
        </w:rPr>
        <w:t>三公”经费支出决算情况说明</w:t>
      </w:r>
      <w:bookmarkEnd w:id="44"/>
      <w:bookmarkEnd w:id="45"/>
      <w:bookmarkEnd w:id="46"/>
    </w:p>
    <w:p w14:paraId="6871B0A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7"/>
    </w:p>
    <w:p w14:paraId="0F49E2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与上年支出数持平</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sz w:val="32"/>
          <w:szCs w:val="32"/>
          <w:highlight w:val="none"/>
        </w:rPr>
        <w:t>决算数与预算数持平</w:t>
      </w:r>
      <w:r>
        <w:rPr>
          <w:rFonts w:hint="eastAsia" w:eastAsia="仿宋_GB2312" w:cs="Times New Roman"/>
          <w:b w:val="0"/>
          <w:bCs w:val="0"/>
          <w:i w:val="0"/>
          <w:iCs w:val="0"/>
          <w:color w:val="auto"/>
          <w:sz w:val="32"/>
          <w:szCs w:val="32"/>
          <w:highlight w:val="none"/>
          <w:lang w:eastAsia="zh-CN"/>
        </w:rPr>
        <w:t>。</w:t>
      </w:r>
    </w:p>
    <w:p w14:paraId="76A472F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8"/>
    </w:p>
    <w:p w14:paraId="5F96B3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%。具体情况如下：</w:t>
      </w:r>
    </w:p>
    <w:p w14:paraId="4BA6C57B">
      <w:pPr>
        <w:pStyle w:val="18"/>
        <w:rPr>
          <w:rFonts w:hint="eastAsia"/>
          <w:lang w:val="en-US" w:eastAsia="zh-CN"/>
        </w:rPr>
      </w:pPr>
      <w:r>
        <w:rPr>
          <w:rFonts w:hint="eastAsia"/>
          <w:lang w:val="en-US" w:eastAsia="zh-CN"/>
        </w:rPr>
        <w:drawing>
          <wp:inline distT="0" distB="0" distL="114300" distR="114300">
            <wp:extent cx="5130800" cy="2768600"/>
            <wp:effectExtent l="4445" t="4445" r="825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B9C6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50A230F7">
      <w:pPr>
        <w:spacing w:line="600" w:lineRule="exact"/>
        <w:ind w:firstLine="640"/>
        <w:rPr>
          <w:rFonts w:hint="eastAsia" w:ascii="仿宋_GB2312" w:eastAsia="仿宋_GB2312"/>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本单位</w:t>
      </w:r>
      <w:r>
        <w:rPr>
          <w:rFonts w:hint="eastAsia" w:ascii="仿宋_GB2312" w:eastAsia="仿宋_GB2312"/>
          <w:sz w:val="32"/>
          <w:szCs w:val="32"/>
        </w:rPr>
        <w:t>未安排因公出国（境）</w:t>
      </w:r>
      <w:r>
        <w:rPr>
          <w:rFonts w:hint="eastAsia" w:ascii="仿宋_GB2312" w:eastAsia="仿宋_GB2312"/>
          <w:sz w:val="32"/>
          <w:szCs w:val="32"/>
          <w:lang w:eastAsia="zh-CN"/>
        </w:rPr>
        <w:t>。</w:t>
      </w:r>
    </w:p>
    <w:p w14:paraId="407E71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持平，主要原因系本单位无公务车辆。</w:t>
      </w:r>
    </w:p>
    <w:p w14:paraId="5E1386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0668F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1BD64B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主要原因系</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厉行勤俭节约，暂未安排公务接待事项。其中：</w:t>
      </w:r>
    </w:p>
    <w:p w14:paraId="388DC5AA">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bookmarkStart w:id="49" w:name="_Toc15396610"/>
      <w:bookmarkStart w:id="50" w:name="_Toc15377218"/>
      <w:r>
        <w:rPr>
          <w:rFonts w:hint="default" w:ascii="Times New Roman" w:hAnsi="Times New Roman" w:eastAsia="仿宋_GB2312" w:cs="Times New Roman"/>
          <w:b w:val="0"/>
          <w:bCs w:val="0"/>
          <w:i w:val="0"/>
          <w:iCs w:val="0"/>
          <w:color w:val="auto"/>
          <w:sz w:val="32"/>
          <w:szCs w:val="32"/>
          <w:highlight w:val="none"/>
        </w:rPr>
        <w:t>国内公务接待支出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eastAsia" w:ascii="仿宋_GB2312" w:eastAsia="仿宋_GB2312"/>
          <w:sz w:val="32"/>
          <w:szCs w:val="32"/>
        </w:rPr>
        <w:t>。国内公务接待</w:t>
      </w:r>
      <w:r>
        <w:rPr>
          <w:rFonts w:hint="eastAsia" w:ascii="仿宋_GB2312"/>
          <w:sz w:val="32"/>
          <w:szCs w:val="32"/>
          <w:lang w:val="en-US" w:eastAsia="zh-CN"/>
        </w:rPr>
        <w:t>0</w:t>
      </w:r>
      <w:r>
        <w:rPr>
          <w:rFonts w:hint="eastAsia" w:ascii="仿宋_GB2312" w:eastAsia="仿宋_GB2312"/>
          <w:sz w:val="32"/>
          <w:szCs w:val="32"/>
        </w:rPr>
        <w:t>批次，</w:t>
      </w:r>
      <w:r>
        <w:rPr>
          <w:rFonts w:hint="eastAsia" w:ascii="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sz w:val="32"/>
          <w:szCs w:val="32"/>
          <w:lang w:val="en-US" w:eastAsia="zh-CN"/>
        </w:rPr>
        <w:t>0</w:t>
      </w:r>
      <w:r>
        <w:rPr>
          <w:rFonts w:hint="eastAsia" w:ascii="仿宋_GB2312" w:eastAsia="仿宋_GB2312"/>
          <w:sz w:val="32"/>
          <w:szCs w:val="32"/>
        </w:rPr>
        <w:t>万元。</w:t>
      </w:r>
    </w:p>
    <w:p w14:paraId="35C7DAB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外事接待支出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外事接待</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34BD209B">
      <w:pPr>
        <w:spacing w:line="600" w:lineRule="exact"/>
        <w:ind w:firstLine="640"/>
        <w:outlineLvl w:val="1"/>
        <w:rPr>
          <w:rStyle w:val="34"/>
          <w:rFonts w:ascii="Times New Roman" w:hAnsi="Times New Roman" w:eastAsia="黑体"/>
          <w:color w:val="auto"/>
          <w:highlight w:val="none"/>
        </w:rPr>
      </w:pPr>
      <w:bookmarkStart w:id="51" w:name="_Toc26581"/>
      <w:r>
        <w:rPr>
          <w:rFonts w:hint="eastAsia" w:ascii="Times New Roman" w:hAnsi="Times New Roman" w:eastAsia="黑体"/>
          <w:color w:val="auto"/>
          <w:sz w:val="32"/>
          <w:szCs w:val="32"/>
          <w:highlight w:val="none"/>
        </w:rPr>
        <w:t>八、</w:t>
      </w:r>
      <w:r>
        <w:rPr>
          <w:rStyle w:val="34"/>
          <w:rFonts w:hint="eastAsia" w:ascii="Times New Roman" w:hAnsi="Times New Roman" w:eastAsia="黑体"/>
          <w:b w:val="0"/>
          <w:color w:val="auto"/>
          <w:highlight w:val="none"/>
        </w:rPr>
        <w:t>政府性基金预算支出决算情况说明</w:t>
      </w:r>
      <w:bookmarkEnd w:id="49"/>
      <w:bookmarkEnd w:id="50"/>
      <w:bookmarkEnd w:id="51"/>
    </w:p>
    <w:p w14:paraId="5D54EC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33FAC86D">
      <w:pPr>
        <w:numPr>
          <w:ilvl w:val="0"/>
          <w:numId w:val="0"/>
        </w:numPr>
        <w:spacing w:line="600" w:lineRule="exact"/>
        <w:ind w:left="630" w:leftChars="0"/>
        <w:outlineLvl w:val="1"/>
        <w:rPr>
          <w:rStyle w:val="34"/>
          <w:rFonts w:ascii="Times New Roman" w:hAnsi="Times New Roman" w:eastAsia="黑体"/>
          <w:b w:val="0"/>
          <w:color w:val="auto"/>
          <w:highlight w:val="none"/>
        </w:rPr>
      </w:pPr>
      <w:bookmarkStart w:id="52" w:name="_Toc15396611"/>
      <w:bookmarkStart w:id="53" w:name="_Toc8762"/>
      <w:bookmarkStart w:id="54" w:name="_Toc15377219"/>
      <w:r>
        <w:rPr>
          <w:rStyle w:val="34"/>
          <w:rFonts w:hint="eastAsia" w:ascii="Times New Roman" w:hAnsi="Times New Roman" w:eastAsia="黑体"/>
          <w:b w:val="0"/>
          <w:color w:val="auto"/>
          <w:highlight w:val="none"/>
          <w:lang w:eastAsia="zh-CN"/>
        </w:rPr>
        <w:t>九、</w:t>
      </w:r>
      <w:r>
        <w:rPr>
          <w:rStyle w:val="34"/>
          <w:rFonts w:hint="eastAsia" w:ascii="Times New Roman" w:hAnsi="Times New Roman" w:eastAsia="黑体"/>
          <w:b w:val="0"/>
          <w:color w:val="auto"/>
          <w:highlight w:val="none"/>
        </w:rPr>
        <w:t>国有资本经营预算支出决算情况说明</w:t>
      </w:r>
      <w:bookmarkEnd w:id="52"/>
      <w:bookmarkEnd w:id="53"/>
      <w:bookmarkEnd w:id="54"/>
    </w:p>
    <w:p w14:paraId="7C11A6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1F77C7A5">
      <w:pPr>
        <w:numPr>
          <w:ilvl w:val="0"/>
          <w:numId w:val="0"/>
        </w:numPr>
        <w:spacing w:line="600" w:lineRule="exact"/>
        <w:ind w:left="630" w:leftChars="0"/>
        <w:outlineLvl w:val="1"/>
        <w:rPr>
          <w:rStyle w:val="34"/>
          <w:rFonts w:hint="eastAsia" w:ascii="Times New Roman" w:hAnsi="Times New Roman" w:eastAsia="黑体"/>
          <w:b w:val="0"/>
          <w:color w:val="auto"/>
          <w:highlight w:val="none"/>
        </w:rPr>
      </w:pPr>
      <w:bookmarkStart w:id="55" w:name="_Toc15377221"/>
      <w:bookmarkStart w:id="56" w:name="_Toc15396612"/>
      <w:bookmarkStart w:id="57" w:name="_Toc17500"/>
      <w:r>
        <w:rPr>
          <w:rStyle w:val="34"/>
          <w:rFonts w:hint="eastAsia" w:ascii="Times New Roman" w:hAnsi="Times New Roman" w:eastAsia="黑体"/>
          <w:b w:val="0"/>
          <w:color w:val="auto"/>
          <w:highlight w:val="none"/>
          <w:lang w:eastAsia="zh-CN"/>
        </w:rPr>
        <w:t>十、</w:t>
      </w:r>
      <w:r>
        <w:rPr>
          <w:rStyle w:val="34"/>
          <w:rFonts w:hint="eastAsia" w:ascii="Times New Roman" w:hAnsi="Times New Roman" w:eastAsia="黑体"/>
          <w:b w:val="0"/>
          <w:color w:val="auto"/>
          <w:highlight w:val="none"/>
        </w:rPr>
        <w:t>其他重要事项的情况说明</w:t>
      </w:r>
      <w:bookmarkEnd w:id="55"/>
      <w:bookmarkEnd w:id="56"/>
      <w:bookmarkEnd w:id="57"/>
    </w:p>
    <w:p w14:paraId="695374B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22"/>
      <w:r>
        <w:rPr>
          <w:rFonts w:hint="eastAsia" w:ascii="Times New Roman" w:hAnsi="Times New Roman" w:eastAsia="楷体_GB2312" w:cs="楷体_GB2312"/>
          <w:b/>
          <w:color w:val="auto"/>
          <w:sz w:val="32"/>
          <w:szCs w:val="32"/>
          <w:highlight w:val="none"/>
        </w:rPr>
        <w:t>（一）机关运行经费支出情况</w:t>
      </w:r>
      <w:bookmarkEnd w:id="58"/>
    </w:p>
    <w:p w14:paraId="37833CDA">
      <w:pPr>
        <w:spacing w:line="600" w:lineRule="exact"/>
        <w:ind w:firstLine="640"/>
        <w:rPr>
          <w:rFonts w:hint="eastAsia" w:ascii="Times New Roman" w:hAnsi="Times New Roman" w:eastAsia="仿宋_GB2312" w:cs="仿宋_GB2312"/>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12.77</w:t>
      </w:r>
      <w:r>
        <w:rPr>
          <w:rFonts w:hint="eastAsia" w:ascii="Times New Roman" w:hAnsi="Times New Roman" w:eastAsia="仿宋_GB2312" w:cs="仿宋_GB2312"/>
          <w:color w:val="auto"/>
          <w:kern w:val="2"/>
          <w:sz w:val="32"/>
          <w:szCs w:val="32"/>
          <w:highlight w:val="none"/>
          <w:lang w:val="en-US" w:eastAsia="zh-CN" w:bidi="ar-SA"/>
        </w:rPr>
        <w:t>万元，比2023年度</w:t>
      </w:r>
      <w:r>
        <w:rPr>
          <w:rFonts w:hint="eastAsia" w:eastAsia="仿宋_GB2312" w:cs="仿宋_GB2312"/>
          <w:color w:val="auto"/>
          <w:kern w:val="2"/>
          <w:sz w:val="32"/>
          <w:szCs w:val="32"/>
          <w:highlight w:val="none"/>
          <w:lang w:val="en-US" w:eastAsia="zh-CN" w:bidi="ar-SA"/>
        </w:rPr>
        <w:t>增加3.32</w:t>
      </w:r>
      <w:r>
        <w:rPr>
          <w:rFonts w:hint="eastAsia" w:ascii="Times New Roman" w:hAnsi="Times New Roman" w:eastAsia="仿宋_GB2312" w:cs="仿宋_GB2312"/>
          <w:color w:val="auto"/>
          <w:kern w:val="2"/>
          <w:sz w:val="32"/>
          <w:szCs w:val="32"/>
          <w:highlight w:val="none"/>
          <w:lang w:val="en-US" w:eastAsia="zh-CN" w:bidi="ar-SA"/>
        </w:rPr>
        <w:t>万元，</w:t>
      </w:r>
      <w:r>
        <w:rPr>
          <w:rFonts w:hint="default" w:ascii="Times New Roman" w:hAnsi="Times New Roman" w:eastAsia="仿宋_GB2312" w:cs="Times New Roman"/>
          <w:b w:val="0"/>
          <w:bCs w:val="0"/>
          <w:i w:val="0"/>
          <w:iCs w:val="0"/>
          <w:color w:val="auto"/>
          <w:sz w:val="32"/>
          <w:szCs w:val="32"/>
          <w:highlight w:val="none"/>
        </w:rPr>
        <w:t>增长</w:t>
      </w:r>
      <w:r>
        <w:rPr>
          <w:rFonts w:hint="eastAsia" w:eastAsia="仿宋_GB2312" w:cs="仿宋_GB2312"/>
          <w:color w:val="auto"/>
          <w:kern w:val="2"/>
          <w:sz w:val="32"/>
          <w:szCs w:val="32"/>
          <w:highlight w:val="none"/>
          <w:lang w:val="en-US" w:eastAsia="zh-CN" w:bidi="ar-SA"/>
        </w:rPr>
        <w:t>35.17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主要变动原因系</w:t>
      </w:r>
      <w:r>
        <w:rPr>
          <w:rFonts w:hint="eastAsia" w:ascii="Times New Roman" w:hAnsi="Times New Roman" w:eastAsia="仿宋_GB2312" w:cs="仿宋_GB2312"/>
          <w:color w:val="auto"/>
          <w:sz w:val="32"/>
          <w:szCs w:val="32"/>
          <w:highlight w:val="none"/>
          <w:lang w:val="en-US" w:eastAsia="zh-CN"/>
        </w:rPr>
        <w:t>本年度</w:t>
      </w:r>
      <w:r>
        <w:rPr>
          <w:rFonts w:hint="eastAsia" w:eastAsia="仿宋_GB2312" w:cs="仿宋_GB2312"/>
          <w:color w:val="auto"/>
          <w:sz w:val="32"/>
          <w:szCs w:val="32"/>
          <w:highlight w:val="none"/>
          <w:lang w:val="en-US" w:eastAsia="zh-CN"/>
        </w:rPr>
        <w:t>在职</w:t>
      </w:r>
      <w:r>
        <w:rPr>
          <w:rFonts w:hint="eastAsia" w:ascii="Times New Roman" w:hAnsi="Times New Roman" w:eastAsia="仿宋_GB2312" w:cs="仿宋_GB2312"/>
          <w:color w:val="auto"/>
          <w:sz w:val="32"/>
          <w:szCs w:val="32"/>
          <w:highlight w:val="none"/>
          <w:lang w:val="en-US" w:eastAsia="zh-CN"/>
        </w:rPr>
        <w:t>人员</w:t>
      </w:r>
      <w:r>
        <w:rPr>
          <w:rFonts w:hint="eastAsia" w:eastAsia="仿宋_GB2312" w:cs="仿宋_GB2312"/>
          <w:color w:val="auto"/>
          <w:sz w:val="32"/>
          <w:szCs w:val="32"/>
          <w:highlight w:val="none"/>
          <w:lang w:val="en-US" w:eastAsia="zh-CN"/>
        </w:rPr>
        <w:t>新</w:t>
      </w:r>
      <w:r>
        <w:rPr>
          <w:rFonts w:hint="eastAsia" w:ascii="Times New Roman" w:hAnsi="Times New Roman" w:eastAsia="仿宋_GB2312" w:cs="仿宋_GB2312"/>
          <w:color w:val="auto"/>
          <w:sz w:val="32"/>
          <w:szCs w:val="32"/>
          <w:highlight w:val="none"/>
          <w:lang w:val="en-US" w:eastAsia="zh-CN"/>
        </w:rPr>
        <w:t>增</w:t>
      </w:r>
      <w:r>
        <w:rPr>
          <w:rFonts w:hint="eastAsia" w:eastAsia="仿宋_GB2312" w:cs="仿宋_GB2312"/>
          <w:color w:val="auto"/>
          <w:sz w:val="32"/>
          <w:szCs w:val="32"/>
          <w:highlight w:val="none"/>
          <w:lang w:val="en-US" w:eastAsia="zh-CN"/>
        </w:rPr>
        <w:t>1人，导致日常公用经费增加</w:t>
      </w:r>
      <w:r>
        <w:rPr>
          <w:rFonts w:hint="eastAsia" w:ascii="Times New Roman" w:hAnsi="Times New Roman" w:eastAsia="仿宋_GB2312" w:cs="仿宋_GB2312"/>
          <w:color w:val="auto"/>
          <w:sz w:val="32"/>
          <w:szCs w:val="32"/>
          <w:highlight w:val="none"/>
          <w:lang w:val="en-US" w:eastAsia="zh-CN"/>
        </w:rPr>
        <w:t>。</w:t>
      </w:r>
    </w:p>
    <w:p w14:paraId="346A3A2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23"/>
      <w:r>
        <w:rPr>
          <w:rFonts w:hint="eastAsia" w:ascii="Times New Roman" w:hAnsi="Times New Roman" w:eastAsia="楷体_GB2312" w:cs="楷体_GB2312"/>
          <w:b/>
          <w:color w:val="auto"/>
          <w:sz w:val="32"/>
          <w:szCs w:val="32"/>
          <w:highlight w:val="none"/>
        </w:rPr>
        <w:t>（二）政府采购支出情况</w:t>
      </w:r>
      <w:bookmarkEnd w:id="59"/>
    </w:p>
    <w:p w14:paraId="1DBE96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34856E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4"/>
      <w:r>
        <w:rPr>
          <w:rFonts w:hint="eastAsia" w:ascii="Times New Roman" w:hAnsi="Times New Roman" w:eastAsia="楷体_GB2312" w:cs="楷体_GB2312"/>
          <w:b/>
          <w:color w:val="auto"/>
          <w:sz w:val="32"/>
          <w:szCs w:val="32"/>
          <w:highlight w:val="none"/>
        </w:rPr>
        <w:t>（三）国有资产占有使用情况</w:t>
      </w:r>
      <w:bookmarkEnd w:id="60"/>
    </w:p>
    <w:p w14:paraId="36D8E7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7C197C8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2B7E5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w:t>
      </w:r>
      <w:r>
        <w:rPr>
          <w:rFonts w:hint="eastAsia"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年度</w:t>
      </w:r>
      <w:r>
        <w:rPr>
          <w:rFonts w:hint="default" w:ascii="Times New Roman" w:hAnsi="Times New Roman" w:eastAsia="仿宋_GB2312" w:cs="Times New Roman"/>
          <w:b w:val="0"/>
          <w:bCs w:val="0"/>
          <w:i w:val="0"/>
          <w:iCs w:val="0"/>
          <w:color w:val="auto"/>
          <w:sz w:val="32"/>
          <w:szCs w:val="32"/>
          <w:highlight w:val="none"/>
        </w:rPr>
        <w:t>预算编制阶段，组织</w:t>
      </w:r>
      <w:r>
        <w:rPr>
          <w:rFonts w:hint="eastAsia" w:ascii="Times New Roman" w:hAnsi="Times New Roman" w:eastAsia="仿宋_GB2312" w:cs="Times New Roman"/>
          <w:b w:val="0"/>
          <w:bCs w:val="0"/>
          <w:i w:val="0"/>
          <w:iCs w:val="0"/>
          <w:color w:val="auto"/>
          <w:sz w:val="32"/>
          <w:szCs w:val="32"/>
          <w:highlight w:val="none"/>
          <w:lang w:eastAsia="zh-CN"/>
        </w:rPr>
        <w:t>对党校建设运行工作经费</w:t>
      </w:r>
      <w:r>
        <w:rPr>
          <w:rFonts w:hint="eastAsia" w:eastAsia="仿宋_GB2312" w:cs="Times New Roman"/>
          <w:b w:val="0"/>
          <w:bCs w:val="0"/>
          <w:i w:val="0"/>
          <w:iCs w:val="0"/>
          <w:color w:val="auto"/>
          <w:sz w:val="32"/>
          <w:szCs w:val="32"/>
          <w:highlight w:val="none"/>
          <w:lang w:eastAsia="zh-CN"/>
        </w:rPr>
        <w:t>、党校教学科研课程开发等工作经费</w:t>
      </w:r>
      <w:r>
        <w:rPr>
          <w:rFonts w:hint="default" w:ascii="Times New Roman" w:hAnsi="Times New Roman" w:eastAsia="仿宋_GB2312" w:cs="Times New Roman"/>
          <w:b w:val="0"/>
          <w:bCs w:val="0"/>
          <w:i w:val="0"/>
          <w:iCs w:val="0"/>
          <w:color w:val="auto"/>
          <w:sz w:val="32"/>
          <w:szCs w:val="32"/>
          <w:highlight w:val="none"/>
          <w:lang w:eastAsia="zh-CN"/>
        </w:rPr>
        <w:t>等</w:t>
      </w:r>
      <w:r>
        <w:rPr>
          <w:rFonts w:hint="eastAsia" w:eastAsia="仿宋_GB2312" w:cs="Times New Roman"/>
          <w:b w:val="0"/>
          <w:bCs w:val="0"/>
          <w:i w:val="0"/>
          <w:iCs w:val="0"/>
          <w:color w:val="auto"/>
          <w:sz w:val="32"/>
          <w:szCs w:val="32"/>
          <w:highlight w:val="none"/>
          <w:lang w:val="en-US" w:eastAsia="zh-CN"/>
        </w:rPr>
        <w:t>2个</w:t>
      </w:r>
      <w:r>
        <w:rPr>
          <w:rFonts w:hint="default" w:ascii="Times New Roman" w:hAnsi="Times New Roman" w:eastAsia="仿宋_GB2312" w:cs="Times New Roman"/>
          <w:b w:val="0"/>
          <w:bCs w:val="0"/>
          <w:i w:val="0"/>
          <w:iCs w:val="0"/>
          <w:color w:val="auto"/>
          <w:sz w:val="32"/>
          <w:szCs w:val="32"/>
          <w:highlight w:val="none"/>
          <w:lang w:val="en-US" w:eastAsia="zh-CN"/>
        </w:rPr>
        <w:t>项目</w:t>
      </w:r>
      <w:r>
        <w:rPr>
          <w:rFonts w:hint="default" w:ascii="Times New Roman" w:hAnsi="Times New Roman" w:eastAsia="仿宋_GB2312" w:cs="Times New Roman"/>
          <w:b w:val="0"/>
          <w:bCs w:val="0"/>
          <w:i w:val="0"/>
          <w:iCs w:val="0"/>
          <w:color w:val="auto"/>
          <w:sz w:val="32"/>
          <w:szCs w:val="32"/>
          <w:highlight w:val="none"/>
        </w:rPr>
        <w:t>开展了预算事前绩效评估</w:t>
      </w:r>
      <w:r>
        <w:rPr>
          <w:rFonts w:hint="eastAsia" w:eastAsia="仿宋_GB2312" w:cs="Times New Roman"/>
          <w:b w:val="0"/>
          <w:bCs w:val="0"/>
          <w:i w:val="0"/>
          <w:iCs w:val="0"/>
          <w:color w:val="auto"/>
          <w:sz w:val="32"/>
          <w:szCs w:val="32"/>
          <w:highlight w:val="none"/>
          <w:lang w:eastAsia="zh-CN"/>
        </w:rPr>
        <w:t>，并</w:t>
      </w:r>
      <w:r>
        <w:rPr>
          <w:rFonts w:hint="eastAsia" w:ascii="Times New Roman" w:hAnsi="Times New Roman" w:eastAsia="仿宋_GB2312" w:cs="仿宋_GB2312"/>
          <w:color w:val="auto"/>
          <w:kern w:val="2"/>
          <w:sz w:val="32"/>
          <w:szCs w:val="32"/>
          <w:highlight w:val="none"/>
          <w:lang w:val="en-US" w:eastAsia="zh-CN" w:bidi="ar-SA"/>
        </w:rPr>
        <w:t>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7F0CC5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ascii="Times New Roman" w:hAnsi="Times New Roman" w:eastAsia="仿宋_GB2312" w:cs="Times New Roman"/>
          <w:b w:val="0"/>
          <w:bCs w:val="0"/>
          <w:i w:val="0"/>
          <w:iCs w:val="0"/>
          <w:color w:val="auto"/>
          <w:sz w:val="32"/>
          <w:szCs w:val="32"/>
          <w:highlight w:val="none"/>
          <w:lang w:eastAsia="zh-CN"/>
        </w:rPr>
        <w:t>党校建设运行工作经费</w:t>
      </w:r>
      <w:r>
        <w:rPr>
          <w:rFonts w:hint="eastAsia" w:eastAsia="仿宋_GB2312" w:cs="Times New Roman"/>
          <w:b w:val="0"/>
          <w:bCs w:val="0"/>
          <w:i w:val="0"/>
          <w:iCs w:val="0"/>
          <w:color w:val="auto"/>
          <w:sz w:val="32"/>
          <w:szCs w:val="32"/>
          <w:highlight w:val="none"/>
          <w:lang w:eastAsia="zh-CN"/>
        </w:rPr>
        <w:t>、党校教学</w:t>
      </w:r>
      <w:r>
        <w:rPr>
          <w:rFonts w:hint="eastAsia" w:eastAsia="仿宋_GB2312" w:cs="仿宋_GB2312"/>
          <w:b w:val="0"/>
          <w:bCs w:val="0"/>
          <w:i w:val="0"/>
          <w:iCs w:val="0"/>
          <w:color w:val="auto"/>
          <w:sz w:val="32"/>
          <w:szCs w:val="32"/>
          <w:highlight w:val="none"/>
          <w:lang w:eastAsia="zh-CN"/>
        </w:rPr>
        <w:t>科研课程开发</w:t>
      </w:r>
      <w:r>
        <w:rPr>
          <w:rFonts w:hint="eastAsia" w:ascii="Times New Roman" w:hAnsi="Times New Roman" w:eastAsia="仿宋_GB2312" w:cs="仿宋_GB2312"/>
          <w:b w:val="0"/>
          <w:bCs w:val="0"/>
          <w:i w:val="0"/>
          <w:iCs w:val="0"/>
          <w:color w:val="auto"/>
          <w:sz w:val="32"/>
          <w:szCs w:val="32"/>
          <w:highlight w:val="none"/>
          <w:lang w:eastAsia="zh-CN"/>
        </w:rPr>
        <w:t>等</w:t>
      </w:r>
      <w:r>
        <w:rPr>
          <w:rFonts w:hint="eastAsia" w:eastAsia="仿宋_GB2312" w:cs="仿宋_GB2312"/>
          <w:b w:val="0"/>
          <w:bCs w:val="0"/>
          <w:i w:val="0"/>
          <w:iCs w:val="0"/>
          <w:color w:val="auto"/>
          <w:sz w:val="32"/>
          <w:szCs w:val="32"/>
          <w:highlight w:val="none"/>
          <w:lang w:eastAsia="zh-CN"/>
        </w:rPr>
        <w:t>项</w:t>
      </w:r>
      <w:r>
        <w:rPr>
          <w:rFonts w:hint="eastAsia" w:ascii="Times New Roman" w:hAnsi="Times New Roman" w:eastAsia="仿宋_GB2312" w:cs="仿宋_GB2312"/>
          <w:color w:val="auto"/>
          <w:kern w:val="2"/>
          <w:sz w:val="32"/>
          <w:szCs w:val="32"/>
          <w:highlight w:val="none"/>
          <w:lang w:val="en-US" w:eastAsia="zh-CN" w:bidi="ar-SA"/>
        </w:rPr>
        <w:t>目绩效自评</w:t>
      </w:r>
      <w:r>
        <w:rPr>
          <w:rFonts w:hint="eastAsia" w:eastAsia="仿宋_GB2312" w:cs="仿宋_GB2312"/>
          <w:color w:val="auto"/>
          <w:kern w:val="2"/>
          <w:sz w:val="32"/>
          <w:szCs w:val="32"/>
          <w:highlight w:val="none"/>
          <w:lang w:val="en-US" w:eastAsia="zh-CN" w:bidi="ar-SA"/>
        </w:rPr>
        <w:t>表</w:t>
      </w: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Times New Roman" w:hAnsi="Times New Roman" w:eastAsia="仿宋_GB2312" w:cs="仿宋_GB2312"/>
          <w:color w:val="auto"/>
          <w:sz w:val="32"/>
          <w:szCs w:val="32"/>
          <w:highlight w:val="none"/>
          <w:lang w:eastAsia="zh-CN"/>
        </w:rPr>
        <w:t>本单位</w:t>
      </w:r>
      <w:r>
        <w:rPr>
          <w:rFonts w:hint="eastAsia" w:ascii="Times New Roman" w:hAnsi="Times New Roman" w:eastAsia="仿宋_GB2312" w:cs="仿宋_GB2312"/>
          <w:b w:val="0"/>
          <w:bCs w:val="0"/>
          <w:i w:val="0"/>
          <w:iCs w:val="0"/>
          <w:color w:val="auto"/>
          <w:sz w:val="32"/>
          <w:szCs w:val="32"/>
          <w:highlight w:val="none"/>
          <w:lang w:val="en-US" w:eastAsia="zh-CN"/>
        </w:rPr>
        <w:t>部门</w:t>
      </w:r>
      <w:r>
        <w:rPr>
          <w:rFonts w:hint="eastAsia" w:ascii="Times New Roman" w:hAnsi="Times New Roman" w:eastAsia="仿宋_GB2312" w:cs="仿宋_GB2312"/>
          <w:color w:val="auto"/>
          <w:kern w:val="2"/>
          <w:sz w:val="32"/>
          <w:szCs w:val="32"/>
          <w:highlight w:val="none"/>
          <w:lang w:val="en-US" w:eastAsia="zh-CN" w:bidi="ar-SA"/>
        </w:rPr>
        <w:t>整体（含部门预算项目）绩效自评得分为</w:t>
      </w:r>
      <w:r>
        <w:rPr>
          <w:rFonts w:hint="eastAsia" w:eastAsia="仿宋_GB2312" w:cs="仿宋_GB2312"/>
          <w:color w:val="auto"/>
          <w:kern w:val="2"/>
          <w:sz w:val="32"/>
          <w:szCs w:val="32"/>
          <w:highlight w:val="none"/>
          <w:lang w:val="en-US" w:eastAsia="zh-CN" w:bidi="ar-SA"/>
        </w:rPr>
        <w:t>96.50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2024年度部门预算具有明确的用途和目标，我单位预算执行、综合管理、整体绩效方面，都按相关规定严格执行，并合理安排支出,使财政资金发挥最大的效益。制定了较为细致的执行计划，资金到位及时并严格按照财政有关规定专款专用，保障项目顺利开展时效，并取得了较为满意的社会效益；</w:t>
      </w:r>
      <w:r>
        <w:rPr>
          <w:rFonts w:hint="eastAsia" w:eastAsia="仿宋_GB2312" w:cs="Times New Roman"/>
          <w:b w:val="0"/>
          <w:bCs w:val="0"/>
          <w:i w:val="0"/>
          <w:iCs w:val="0"/>
          <w:color w:val="auto"/>
          <w:sz w:val="32"/>
          <w:szCs w:val="32"/>
          <w:highlight w:val="none"/>
          <w:lang w:eastAsia="zh-CN"/>
        </w:rPr>
        <w:t>党校教学科研课程开发</w:t>
      </w:r>
      <w:r>
        <w:rPr>
          <w:rFonts w:hint="eastAsia" w:eastAsia="仿宋_GB2312" w:cs="仿宋_GB2312"/>
          <w:color w:val="auto"/>
          <w:kern w:val="2"/>
          <w:sz w:val="32"/>
          <w:szCs w:val="32"/>
          <w:highlight w:val="none"/>
          <w:lang w:val="en-US" w:eastAsia="zh-CN" w:bidi="ar-SA"/>
        </w:rPr>
        <w:t>项目绩效自评综合得分为100分，绩效自评综述：项目资金运用充分，较好的保障了党校的日常运行；</w:t>
      </w:r>
      <w:r>
        <w:rPr>
          <w:rFonts w:hint="eastAsia" w:ascii="Times New Roman" w:hAnsi="Times New Roman" w:eastAsia="仿宋_GB2312" w:cs="Times New Roman"/>
          <w:b w:val="0"/>
          <w:bCs w:val="0"/>
          <w:i w:val="0"/>
          <w:iCs w:val="0"/>
          <w:color w:val="auto"/>
          <w:sz w:val="32"/>
          <w:szCs w:val="32"/>
          <w:highlight w:val="none"/>
          <w:lang w:eastAsia="zh-CN"/>
        </w:rPr>
        <w:t>党校建设运行工作经费</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目绩效自评综合得分为100分，绩效自评综述：项目整体执行情况良好，符合上级决策部署，资金分配及使用合规合法，取得较好的社会效益。</w:t>
      </w:r>
    </w:p>
    <w:p w14:paraId="5D9B33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067F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F67F872">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1" w:name="_Toc15396613"/>
      <w:bookmarkStart w:id="62" w:name="_Toc15377225"/>
      <w:bookmarkStart w:id="63" w:name="_Toc12143"/>
    </w:p>
    <w:p w14:paraId="23AB8AF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123233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3E51EE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A2859BF">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1"/>
      <w:bookmarkEnd w:id="62"/>
      <w:bookmarkEnd w:id="63"/>
    </w:p>
    <w:p w14:paraId="31B38ED0">
      <w:pPr>
        <w:spacing w:line="600" w:lineRule="exact"/>
        <w:jc w:val="left"/>
        <w:rPr>
          <w:rFonts w:ascii="Times New Roman" w:hAnsi="Times New Roman"/>
          <w:b/>
          <w:color w:val="auto"/>
          <w:sz w:val="44"/>
          <w:szCs w:val="44"/>
          <w:highlight w:val="none"/>
        </w:rPr>
      </w:pPr>
    </w:p>
    <w:p w14:paraId="7B2D034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55D4743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7E213D9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6AC7FEF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1F764F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5.使用非财政拨款结余（含专用结余）：指事业单位使用以前年度积累的非财政拨款结余弥补当年收支差额的金额。</w:t>
      </w:r>
    </w:p>
    <w:p w14:paraId="653C12E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63C599F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24DFCF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10FDC264">
      <w:pPr>
        <w:pStyle w:val="31"/>
        <w:spacing w:line="560" w:lineRule="exact"/>
        <w:ind w:firstLine="640" w:firstLineChars="200"/>
        <w:rPr>
          <w:rFonts w:hint="eastAsia" w:ascii="Times New Roman" w:hAnsi="Times New Roman" w:eastAsia="仿宋_GB2312" w:cs="Times New Roman"/>
          <w:b w:val="0"/>
          <w:bCs w:val="0"/>
          <w:i w:val="0"/>
          <w:iCs w:val="0"/>
          <w:color w:val="auto"/>
          <w:sz w:val="32"/>
          <w:szCs w:val="32"/>
          <w:highlight w:val="none"/>
          <w:lang w:eastAsia="zh-CN"/>
        </w:rPr>
      </w:pPr>
      <w:bookmarkStart w:id="64" w:name="_Toc27006"/>
      <w:bookmarkStart w:id="65" w:name="_Toc15396614"/>
      <w:bookmarkStart w:id="66" w:name="_Toc15377226"/>
      <w:r>
        <w:rPr>
          <w:rFonts w:hint="eastAsia" w:ascii="Times New Roman" w:hAnsi="Times New Roman" w:eastAsia="仿宋_GB2312" w:cs="Times New Roman"/>
          <w:b w:val="0"/>
          <w:bCs w:val="0"/>
          <w:i w:val="0"/>
          <w:iCs w:val="0"/>
          <w:color w:val="auto"/>
          <w:sz w:val="32"/>
          <w:szCs w:val="32"/>
          <w:highlight w:val="none"/>
          <w:lang w:val="en-US" w:eastAsia="zh-CN"/>
        </w:rPr>
        <w:t>9</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一般公共服务（类）组织事务（款）行政运行（项）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w:t>
      </w:r>
      <w:r>
        <w:rPr>
          <w:rFonts w:hint="eastAsia" w:ascii="Times New Roman" w:hAnsi="Times New Roman" w:eastAsia="仿宋_GB2312" w:cs="Times New Roman"/>
          <w:b w:val="0"/>
          <w:bCs w:val="0"/>
          <w:i w:val="0"/>
          <w:iCs w:val="0"/>
          <w:color w:val="auto"/>
          <w:sz w:val="32"/>
          <w:szCs w:val="32"/>
          <w:highlight w:val="none"/>
          <w:lang w:eastAsia="zh-CN"/>
        </w:rPr>
        <w:t>行政单位</w:t>
      </w:r>
      <w:r>
        <w:rPr>
          <w:rFonts w:hint="eastAsia" w:ascii="Times New Roman" w:hAnsi="Times New Roman" w:eastAsia="仿宋_GB2312" w:cs="Times New Roman"/>
          <w:b w:val="0"/>
          <w:bCs w:val="0"/>
          <w:i w:val="0"/>
          <w:iCs w:val="0"/>
          <w:color w:val="auto"/>
          <w:sz w:val="32"/>
          <w:szCs w:val="32"/>
          <w:highlight w:val="none"/>
        </w:rPr>
        <w:t>的基本支出</w:t>
      </w:r>
      <w:r>
        <w:rPr>
          <w:rFonts w:hint="eastAsia" w:ascii="Times New Roman" w:hAnsi="Times New Roman" w:eastAsia="仿宋_GB2312" w:cs="Times New Roman"/>
          <w:b w:val="0"/>
          <w:bCs w:val="0"/>
          <w:i w:val="0"/>
          <w:iCs w:val="0"/>
          <w:color w:val="auto"/>
          <w:sz w:val="32"/>
          <w:szCs w:val="32"/>
          <w:highlight w:val="none"/>
          <w:lang w:eastAsia="zh-CN"/>
        </w:rPr>
        <w:t>。</w:t>
      </w:r>
    </w:p>
    <w:p w14:paraId="51072F86">
      <w:pPr>
        <w:pStyle w:val="31"/>
        <w:spacing w:line="560" w:lineRule="exact"/>
        <w:ind w:firstLine="640" w:firstLineChars="200"/>
        <w:rPr>
          <w:rFonts w:hint="eastAsia" w:ascii="Times New Roman" w:hAnsi="Times New Roman" w:eastAsia="仿宋_GB2312" w:cs="Times New Roman"/>
          <w:b w:val="0"/>
          <w:bCs w:val="0"/>
          <w:i w:val="0"/>
          <w:iCs w:val="0"/>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val="en-US" w:eastAsia="zh-CN"/>
        </w:rPr>
        <w:t>10</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一般公共服务（类）组织事务（款）一般行政管理事务（项）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w:t>
      </w:r>
      <w:r>
        <w:rPr>
          <w:rFonts w:hint="eastAsia" w:ascii="Times New Roman" w:hAnsi="Times New Roman" w:eastAsia="仿宋_GB2312" w:cs="Times New Roman"/>
          <w:b w:val="0"/>
          <w:bCs w:val="0"/>
          <w:i w:val="0"/>
          <w:iCs w:val="0"/>
          <w:color w:val="auto"/>
          <w:sz w:val="32"/>
          <w:szCs w:val="32"/>
          <w:highlight w:val="none"/>
          <w:lang w:eastAsia="zh-CN"/>
        </w:rPr>
        <w:t>行政单位</w:t>
      </w:r>
      <w:r>
        <w:rPr>
          <w:rFonts w:hint="eastAsia" w:ascii="Times New Roman" w:hAnsi="Times New Roman" w:eastAsia="仿宋_GB2312" w:cs="Times New Roman"/>
          <w:b w:val="0"/>
          <w:bCs w:val="0"/>
          <w:i w:val="0"/>
          <w:iCs w:val="0"/>
          <w:color w:val="auto"/>
          <w:sz w:val="32"/>
          <w:szCs w:val="32"/>
          <w:highlight w:val="none"/>
        </w:rPr>
        <w:t>未单独设置项及科目的其他项目支出</w:t>
      </w:r>
      <w:r>
        <w:rPr>
          <w:rFonts w:hint="eastAsia" w:ascii="Times New Roman" w:hAnsi="Times New Roman" w:eastAsia="仿宋_GB2312" w:cs="Times New Roman"/>
          <w:b w:val="0"/>
          <w:bCs w:val="0"/>
          <w:i w:val="0"/>
          <w:iCs w:val="0"/>
          <w:color w:val="auto"/>
          <w:sz w:val="32"/>
          <w:szCs w:val="32"/>
          <w:highlight w:val="none"/>
          <w:lang w:eastAsia="zh-CN"/>
        </w:rPr>
        <w:t>。</w:t>
      </w:r>
    </w:p>
    <w:p w14:paraId="52479D79">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lang w:val="en-US" w:eastAsia="zh-CN"/>
        </w:rPr>
        <w:t>11</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一般公共服务（类）组织事务（款）事业运行（项）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w:t>
      </w:r>
      <w:r>
        <w:rPr>
          <w:rFonts w:hint="eastAsia" w:ascii="Times New Roman" w:hAnsi="Times New Roman" w:eastAsia="仿宋_GB2312" w:cs="Times New Roman"/>
          <w:b w:val="0"/>
          <w:bCs w:val="0"/>
          <w:i w:val="0"/>
          <w:iCs w:val="0"/>
          <w:color w:val="auto"/>
          <w:sz w:val="32"/>
          <w:szCs w:val="32"/>
          <w:highlight w:val="none"/>
          <w:lang w:eastAsia="zh-CN"/>
        </w:rPr>
        <w:t>事业单位</w:t>
      </w:r>
      <w:r>
        <w:rPr>
          <w:rFonts w:hint="eastAsia" w:ascii="Times New Roman" w:hAnsi="Times New Roman" w:eastAsia="仿宋_GB2312" w:cs="Times New Roman"/>
          <w:b w:val="0"/>
          <w:bCs w:val="0"/>
          <w:i w:val="0"/>
          <w:iCs w:val="0"/>
          <w:color w:val="auto"/>
          <w:sz w:val="32"/>
          <w:szCs w:val="32"/>
          <w:highlight w:val="none"/>
        </w:rPr>
        <w:t>的基本支出</w:t>
      </w:r>
      <w:r>
        <w:rPr>
          <w:rFonts w:hint="eastAsia" w:ascii="Times New Roman" w:hAnsi="Times New Roman" w:eastAsia="仿宋_GB2312" w:cs="Times New Roman"/>
          <w:b w:val="0"/>
          <w:bCs w:val="0"/>
          <w:i w:val="0"/>
          <w:iCs w:val="0"/>
          <w:color w:val="auto"/>
          <w:sz w:val="32"/>
          <w:szCs w:val="32"/>
          <w:highlight w:val="none"/>
          <w:lang w:eastAsia="zh-CN"/>
        </w:rPr>
        <w:t>。</w:t>
      </w:r>
    </w:p>
    <w:p w14:paraId="73C4C564">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lang w:val="en-US" w:eastAsia="zh-CN"/>
        </w:rPr>
        <w:t>12</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一般公共服务（类）组织事务（款）其他组织事务支出（项）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lang w:eastAsia="zh-CN"/>
        </w:rPr>
        <w:t>指上述项目以外其他用于中国共产党组织部门的事务支出。</w:t>
      </w:r>
    </w:p>
    <w:p w14:paraId="12A2EE4A">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13</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社会保障和就业（类）行政事业单位养老支出（款）  机关事业单位基本养老保险缴费支出（项）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指机关事业单位实施养老保险制度由单位缴纳的基本养老保险费支出。</w:t>
      </w:r>
    </w:p>
    <w:p w14:paraId="2E901771">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14</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社会保障和就业（类）其他社会保障和就业支出（款）其他社会保障和就业支出（项）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指其他用于社会保障和就业方面的支出</w:t>
      </w:r>
    </w:p>
    <w:p w14:paraId="25FEDFC5">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15.卫生健康支出（类）行政事业单位医疗（款）行政单位医疗（项）: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指行政事业单位医疗方面的支出</w:t>
      </w:r>
    </w:p>
    <w:p w14:paraId="37D3B40C">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16.卫生健康支出（类）行政事业单位医疗（款）公务员医疗补助（项）: 指财政部门安排的公务员医疗补助经费。</w:t>
      </w:r>
    </w:p>
    <w:p w14:paraId="3E51E5ED">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17.住房保障支出（类）住房改革支出（款）住房公积金（项）：指行政事业单位按人力资源和社会保障部、财政部规定的基本工资和津贴补贴以及规定比例为职工缴纳的住房公积金。</w:t>
      </w:r>
    </w:p>
    <w:p w14:paraId="53FA1E96">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18</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基本支出：指为保障机构正常运转、完成日常工作任务而发生的人员支出和公用支出。</w:t>
      </w:r>
    </w:p>
    <w:p w14:paraId="1D9C58F0">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19</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项目支出：指在基本支出之外为完成特定行政任务和事业发展目标所发生的支出。</w:t>
      </w:r>
      <w:r>
        <w:rPr>
          <w:rFonts w:hint="default" w:ascii="Times New Roman" w:hAnsi="Times New Roman" w:eastAsia="仿宋_GB2312" w:cs="Times New Roman"/>
          <w:b w:val="0"/>
          <w:bCs w:val="0"/>
          <w:i w:val="0"/>
          <w:iCs w:val="0"/>
          <w:color w:val="auto"/>
          <w:sz w:val="32"/>
          <w:szCs w:val="32"/>
          <w:highlight w:val="none"/>
        </w:rPr>
        <w:t xml:space="preserve"> </w:t>
      </w:r>
    </w:p>
    <w:p w14:paraId="435341C2">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2</w:t>
      </w:r>
      <w:r>
        <w:rPr>
          <w:rFonts w:hint="eastAsia" w:ascii="Times New Roman" w:hAnsi="Times New Roman" w:eastAsia="仿宋_GB2312" w:cs="Times New Roman"/>
          <w:b w:val="0"/>
          <w:bCs w:val="0"/>
          <w:i w:val="0"/>
          <w:iCs w:val="0"/>
          <w:color w:val="auto"/>
          <w:sz w:val="32"/>
          <w:szCs w:val="32"/>
          <w:highlight w:val="none"/>
        </w:rPr>
        <w:t>0</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经营支出：指事业单位在专业业务活动及其辅助活动之外开展非独立核算经营活动发生的支出。</w:t>
      </w:r>
    </w:p>
    <w:p w14:paraId="4107CAFD">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21</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3D22A90">
      <w:pPr>
        <w:pStyle w:val="31"/>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22</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机关运行经费：为保障行政单位（含参照公务员法管理的事业单位）运行用于购买货物和服务的各项资金，包括办公及印刷费、邮电费、差旅费、会议费、福利费、</w:t>
      </w:r>
      <w:r>
        <w:rPr>
          <w:rFonts w:hint="eastAsia" w:ascii="Times New Roman" w:hAnsi="Times New Roman" w:eastAsia="仿宋_GB2312" w:cs="Times New Roman"/>
          <w:b w:val="0"/>
          <w:bCs w:val="0"/>
          <w:i w:val="0"/>
          <w:iCs w:val="0"/>
          <w:color w:val="auto"/>
          <w:sz w:val="32"/>
          <w:szCs w:val="32"/>
          <w:highlight w:val="none"/>
          <w:lang w:eastAsia="zh-CN"/>
        </w:rPr>
        <w:t>维修维护费</w:t>
      </w:r>
      <w:r>
        <w:rPr>
          <w:rFonts w:hint="eastAsia" w:ascii="Times New Roman" w:hAnsi="Times New Roman" w:eastAsia="仿宋_GB2312" w:cs="Times New Roman"/>
          <w:b w:val="0"/>
          <w:bCs w:val="0"/>
          <w:i w:val="0"/>
          <w:iCs w:val="0"/>
          <w:color w:val="auto"/>
          <w:sz w:val="32"/>
          <w:szCs w:val="32"/>
          <w:highlight w:val="none"/>
        </w:rPr>
        <w:t>以及其他费用</w:t>
      </w:r>
      <w:r>
        <w:rPr>
          <w:rFonts w:hint="eastAsia" w:ascii="Times New Roman" w:hAnsi="Times New Roman" w:eastAsia="仿宋_GB2312" w:cs="Times New Roman"/>
          <w:b w:val="0"/>
          <w:bCs w:val="0"/>
          <w:i w:val="0"/>
          <w:iCs w:val="0"/>
          <w:color w:val="auto"/>
          <w:sz w:val="32"/>
          <w:szCs w:val="32"/>
          <w:highlight w:val="none"/>
          <w:lang w:eastAsia="zh-CN"/>
        </w:rPr>
        <w:t>等</w:t>
      </w:r>
      <w:r>
        <w:rPr>
          <w:rFonts w:hint="eastAsia" w:ascii="Times New Roman" w:hAnsi="Times New Roman" w:eastAsia="仿宋_GB2312" w:cs="Times New Roman"/>
          <w:b w:val="0"/>
          <w:bCs w:val="0"/>
          <w:i w:val="0"/>
          <w:iCs w:val="0"/>
          <w:color w:val="auto"/>
          <w:sz w:val="32"/>
          <w:szCs w:val="32"/>
          <w:highlight w:val="none"/>
        </w:rPr>
        <w:t>。</w:t>
      </w:r>
    </w:p>
    <w:p w14:paraId="0992F090">
      <w:pPr>
        <w:spacing w:line="600" w:lineRule="exact"/>
        <w:jc w:val="center"/>
        <w:outlineLvl w:val="0"/>
        <w:rPr>
          <w:rFonts w:hint="eastAsia" w:ascii="Times New Roman" w:hAnsi="Times New Roman" w:eastAsia="黑体"/>
          <w:color w:val="auto"/>
          <w:sz w:val="44"/>
          <w:szCs w:val="44"/>
          <w:highlight w:val="none"/>
        </w:rPr>
      </w:pPr>
    </w:p>
    <w:p w14:paraId="09376075">
      <w:pPr>
        <w:spacing w:line="600" w:lineRule="exact"/>
        <w:jc w:val="center"/>
        <w:outlineLvl w:val="0"/>
        <w:rPr>
          <w:rFonts w:hint="eastAsia" w:ascii="Times New Roman" w:hAnsi="Times New Roman" w:eastAsia="黑体"/>
          <w:color w:val="auto"/>
          <w:sz w:val="44"/>
          <w:szCs w:val="44"/>
          <w:highlight w:val="none"/>
        </w:rPr>
      </w:pPr>
    </w:p>
    <w:p w14:paraId="178C5593">
      <w:pPr>
        <w:spacing w:line="600" w:lineRule="exact"/>
        <w:jc w:val="center"/>
        <w:outlineLvl w:val="0"/>
        <w:rPr>
          <w:rFonts w:hint="eastAsia" w:ascii="Times New Roman" w:hAnsi="Times New Roman" w:eastAsia="黑体"/>
          <w:color w:val="auto"/>
          <w:sz w:val="44"/>
          <w:szCs w:val="44"/>
          <w:highlight w:val="none"/>
        </w:rPr>
      </w:pPr>
    </w:p>
    <w:p w14:paraId="411253CC">
      <w:pPr>
        <w:spacing w:line="600" w:lineRule="exact"/>
        <w:jc w:val="center"/>
        <w:outlineLvl w:val="0"/>
        <w:rPr>
          <w:rFonts w:hint="eastAsia" w:ascii="Times New Roman" w:hAnsi="Times New Roman" w:eastAsia="黑体"/>
          <w:color w:val="auto"/>
          <w:sz w:val="44"/>
          <w:szCs w:val="44"/>
          <w:highlight w:val="none"/>
        </w:rPr>
      </w:pPr>
    </w:p>
    <w:p w14:paraId="3C2E8940">
      <w:pPr>
        <w:spacing w:line="600" w:lineRule="exact"/>
        <w:jc w:val="center"/>
        <w:outlineLvl w:val="0"/>
        <w:rPr>
          <w:rFonts w:hint="eastAsia" w:ascii="Times New Roman" w:hAnsi="Times New Roman" w:eastAsia="黑体"/>
          <w:color w:val="auto"/>
          <w:sz w:val="44"/>
          <w:szCs w:val="44"/>
          <w:highlight w:val="none"/>
        </w:rPr>
      </w:pPr>
    </w:p>
    <w:p w14:paraId="271BB524">
      <w:pPr>
        <w:spacing w:line="600" w:lineRule="exact"/>
        <w:jc w:val="center"/>
        <w:outlineLvl w:val="0"/>
        <w:rPr>
          <w:rFonts w:hint="eastAsia" w:ascii="Times New Roman" w:hAnsi="Times New Roman" w:eastAsia="黑体"/>
          <w:color w:val="auto"/>
          <w:sz w:val="44"/>
          <w:szCs w:val="44"/>
          <w:highlight w:val="none"/>
        </w:rPr>
      </w:pPr>
    </w:p>
    <w:p w14:paraId="3A16123E">
      <w:pPr>
        <w:spacing w:line="600" w:lineRule="exact"/>
        <w:jc w:val="center"/>
        <w:outlineLvl w:val="0"/>
        <w:rPr>
          <w:rFonts w:hint="eastAsia" w:ascii="Times New Roman" w:hAnsi="Times New Roman" w:eastAsia="黑体"/>
          <w:color w:val="auto"/>
          <w:sz w:val="44"/>
          <w:szCs w:val="44"/>
          <w:highlight w:val="none"/>
        </w:rPr>
      </w:pPr>
    </w:p>
    <w:p w14:paraId="4F50F0F5">
      <w:pPr>
        <w:spacing w:line="600" w:lineRule="exact"/>
        <w:jc w:val="center"/>
        <w:outlineLvl w:val="0"/>
        <w:rPr>
          <w:rFonts w:hint="eastAsia" w:ascii="Times New Roman" w:hAnsi="Times New Roman" w:eastAsia="黑体"/>
          <w:color w:val="auto"/>
          <w:sz w:val="44"/>
          <w:szCs w:val="44"/>
          <w:highlight w:val="none"/>
        </w:rPr>
      </w:pPr>
    </w:p>
    <w:p w14:paraId="0C774050">
      <w:pPr>
        <w:spacing w:line="600" w:lineRule="exact"/>
        <w:jc w:val="center"/>
        <w:outlineLvl w:val="0"/>
        <w:rPr>
          <w:rFonts w:hint="eastAsia" w:ascii="Times New Roman" w:hAnsi="Times New Roman" w:eastAsia="黑体"/>
          <w:color w:val="auto"/>
          <w:sz w:val="44"/>
          <w:szCs w:val="44"/>
          <w:highlight w:val="none"/>
        </w:rPr>
      </w:pPr>
    </w:p>
    <w:p w14:paraId="3600E420">
      <w:pPr>
        <w:spacing w:line="600" w:lineRule="exact"/>
        <w:jc w:val="center"/>
        <w:outlineLvl w:val="0"/>
        <w:rPr>
          <w:rFonts w:hint="eastAsia" w:ascii="Times New Roman" w:hAnsi="Times New Roman" w:eastAsia="黑体"/>
          <w:color w:val="auto"/>
          <w:sz w:val="44"/>
          <w:szCs w:val="44"/>
          <w:highlight w:val="none"/>
        </w:rPr>
      </w:pPr>
    </w:p>
    <w:p w14:paraId="3B2C2FE3">
      <w:pPr>
        <w:spacing w:line="600" w:lineRule="exact"/>
        <w:jc w:val="center"/>
        <w:outlineLvl w:val="0"/>
        <w:rPr>
          <w:rFonts w:hint="eastAsia" w:ascii="Times New Roman" w:hAnsi="Times New Roman" w:eastAsia="黑体"/>
          <w:color w:val="auto"/>
          <w:sz w:val="44"/>
          <w:szCs w:val="44"/>
          <w:highlight w:val="none"/>
        </w:rPr>
      </w:pPr>
    </w:p>
    <w:p w14:paraId="2352C2DA">
      <w:pPr>
        <w:spacing w:line="600" w:lineRule="exact"/>
        <w:jc w:val="center"/>
        <w:outlineLvl w:val="0"/>
        <w:rPr>
          <w:rStyle w:val="33"/>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4"/>
      <w:bookmarkEnd w:id="65"/>
    </w:p>
    <w:p w14:paraId="3A604F8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shd w:val="clear" w:color="auto" w:fill="FFFFFF"/>
        </w:rPr>
      </w:pPr>
    </w:p>
    <w:p w14:paraId="7524ED5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shd w:val="clear" w:color="auto" w:fill="FFFFFF"/>
        </w:rPr>
      </w:pPr>
      <w:r>
        <w:rPr>
          <w:rFonts w:hint="eastAsia" w:ascii="方正小标宋简体" w:eastAsia="方正小标宋简体"/>
          <w:bCs/>
          <w:sz w:val="44"/>
          <w:szCs w:val="44"/>
          <w:shd w:val="clear" w:color="auto" w:fill="FFFFFF"/>
        </w:rPr>
        <w:t>中国共产党遂宁市安居区委员会党校</w:t>
      </w:r>
    </w:p>
    <w:p w14:paraId="3878823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9C54194">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9DC8A4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320DB55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640DF8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区委党校下属二级单位0个，其中行政单位0个，参照公务员法管理的事业单位0个，其他事业单位0个。</w:t>
      </w:r>
    </w:p>
    <w:p w14:paraId="0F41F3A4">
      <w:pPr>
        <w:keepNext w:val="0"/>
        <w:keepLines w:val="0"/>
        <w:pageBreakBefore w:val="0"/>
        <w:widowControl/>
        <w:kinsoku/>
        <w:wordWrap/>
        <w:overflowPunct/>
        <w:topLinePunct w:val="0"/>
        <w:autoSpaceDE/>
        <w:autoSpaceDN/>
        <w:bidi w:val="0"/>
        <w:adjustRightInd w:val="0"/>
        <w:snapToGrid w:val="0"/>
        <w:spacing w:line="578" w:lineRule="exact"/>
        <w:ind w:left="638" w:leftChars="304" w:firstLine="0" w:firstLineChars="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7BCC1B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1.学习、研究、宣传、辅导马列主义、毛泽东思想、邓小平理论和“三个代表”重要思想、科学发展观以及党在不同历史时期的重大方针、政策，培训基层理论骨干。</w:t>
      </w:r>
    </w:p>
    <w:p w14:paraId="180CC7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2.围绕区委、区政府中心工作，对全区重大现实问题展开社会调查实践，加强理论研究，为区委、区政府决策提供参考，推动党校科研咨政成果的转化运用。</w:t>
      </w:r>
    </w:p>
    <w:p w14:paraId="6092D7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根据区委对干部队伍建设的要求，会同组织、人事等部门制定干部教育培训规划，有计划地轮训培训区内乡科级及以下党政干部、国家公务员、企业经营管理人员、专业技术人员、中青年后备干部、村（社区）干部、大学生村官、社区工作者、“两新”党组织负责人、中介组织党组织负责人、农村致富带头人和党员骨干等。</w:t>
      </w:r>
    </w:p>
    <w:p w14:paraId="4D6D3E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4.受区委、区政府安排，结合全区经济社会发展实际和中心工作需要，承办其他教育培训任务。</w:t>
      </w:r>
    </w:p>
    <w:p w14:paraId="6C427F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5.协同组织、人事部门对学员在校期间学习培训情况进行考核、考察，提出使用建议。</w:t>
      </w:r>
    </w:p>
    <w:p w14:paraId="330982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6.在办好主体班次的前提下，根据干部岗位职能需要，承办与党校职能相应的函授教育。</w:t>
      </w:r>
    </w:p>
    <w:p w14:paraId="16CE41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7.协同有关部门对全区乡镇（街道）党校、村（社区）党校教学点、农家课堂等基层培训网络进行业务指导，开展督促检查。</w:t>
      </w:r>
    </w:p>
    <w:p w14:paraId="0D8B27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8.负责区委党校基础建设、师资队伍建设和教材编写工作，研究、探索新形势下适应安居区情的干部教育培训制度、体系。</w:t>
      </w:r>
    </w:p>
    <w:p w14:paraId="6C299C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9.完成区委、区政府和上级业务主管部门安排的其他工作。</w:t>
      </w:r>
    </w:p>
    <w:p w14:paraId="6C226F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w:t>
      </w:r>
      <w:r>
        <w:rPr>
          <w:rFonts w:hint="eastAsia" w:ascii="仿宋_GB2312" w:hAnsi="仿宋_GB2312" w:eastAsia="仿宋_GB2312" w:cs="仿宋_GB2312"/>
          <w:sz w:val="32"/>
          <w:szCs w:val="32"/>
          <w:lang w:val="en-US" w:eastAsia="zh-CN"/>
        </w:rPr>
        <w:t>区委党校参公事业编制4名，事业编制2名。实际在职干部职工5人。</w:t>
      </w:r>
    </w:p>
    <w:p w14:paraId="28F478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16ECD24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2024年年初预算收入97.42</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、决算报表收入97.42</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6C8A46B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2024年年初预算支出97.42</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、决算报表支出97.42</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351A0E0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66987EA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75F38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63B3549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4530EA4F">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⑴</w:t>
      </w:r>
      <w:r>
        <w:rPr>
          <w:rFonts w:hint="eastAsia" w:ascii="仿宋_GB2312" w:hAnsi="仿宋_GB2312" w:eastAsia="仿宋_GB2312" w:cs="仿宋_GB2312"/>
          <w:color w:val="000000"/>
          <w:kern w:val="0"/>
          <w:sz w:val="32"/>
          <w:szCs w:val="32"/>
          <w:highlight w:val="none"/>
          <w:shd w:val="clear" w:color="auto" w:fill="FFFFFF"/>
          <w:lang w:val="en-US" w:eastAsia="zh-CN" w:bidi="ar-SA"/>
        </w:rPr>
        <w:t>.</w:t>
      </w:r>
      <w:r>
        <w:rPr>
          <w:rFonts w:hint="eastAsia" w:ascii="仿宋_GB2312" w:hAnsi="仿宋_GB2312" w:eastAsia="仿宋_GB2312" w:cs="仿宋_GB2312"/>
          <w:color w:val="000000"/>
          <w:kern w:val="0"/>
          <w:sz w:val="32"/>
          <w:szCs w:val="32"/>
          <w:highlight w:val="none"/>
          <w:shd w:val="clear" w:color="auto" w:fill="FFFFFF"/>
          <w:lang w:val="zh-CN" w:eastAsia="zh-CN" w:bidi="ar-SA"/>
        </w:rPr>
        <w:t>高质量开发特色党课与现场教学</w:t>
      </w:r>
    </w:p>
    <w:p w14:paraId="446A03D8">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目标内容：挖掘本土资源，开发特色课程与教学点位。</w:t>
      </w:r>
    </w:p>
    <w:p w14:paraId="2AA3A99E">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产出指标：</w:t>
      </w:r>
    </w:p>
    <w:p w14:paraId="6566C463">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现场教学点：打造海龙凯歌、伍先华旧居等10个特色点位（目标≥1个），其中海龙凯歌升级为全市首批党性教育点。</w:t>
      </w:r>
    </w:p>
    <w:p w14:paraId="65C1BC84">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课程开发：开发“党群同心</w:t>
      </w:r>
      <w:r>
        <w:rPr>
          <w:rFonts w:hint="eastAsia" w:ascii="仿宋_GB2312" w:hAnsi="仿宋_GB2312" w:eastAsia="仿宋_GB2312" w:cs="仿宋_GB2312"/>
          <w:color w:val="000000"/>
          <w:kern w:val="0"/>
          <w:sz w:val="32"/>
          <w:szCs w:val="32"/>
          <w:highlight w:val="none"/>
          <w:shd w:val="clear" w:color="auto" w:fill="FFFFFF"/>
          <w:lang w:val="en-US" w:eastAsia="zh-CN" w:bidi="ar-SA"/>
        </w:rPr>
        <w:t xml:space="preserve"> </w:t>
      </w:r>
      <w:r>
        <w:rPr>
          <w:rFonts w:hint="eastAsia" w:ascii="仿宋_GB2312" w:hAnsi="仿宋_GB2312" w:eastAsia="仿宋_GB2312" w:cs="仿宋_GB2312"/>
          <w:color w:val="000000"/>
          <w:kern w:val="0"/>
          <w:sz w:val="32"/>
          <w:szCs w:val="32"/>
          <w:highlight w:val="none"/>
          <w:shd w:val="clear" w:color="auto" w:fill="FFFFFF"/>
          <w:lang w:val="zh-CN" w:eastAsia="zh-CN" w:bidi="ar-SA"/>
        </w:rPr>
        <w:t>强村富民”微党课、“凯歌记忆”情景剧等5类特色课程。</w:t>
      </w:r>
    </w:p>
    <w:p w14:paraId="4AE2E536">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质量指标：</w:t>
      </w:r>
    </w:p>
    <w:p w14:paraId="6FDDB1A4">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验收合格率：教学场地维修维护（如海龙凯歌提档升级）验收合格率100%。</w:t>
      </w:r>
    </w:p>
    <w:p w14:paraId="3FC88246">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效益指标：</w:t>
      </w:r>
    </w:p>
    <w:p w14:paraId="07DC2E52">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社会影响：承接省市级培训班10余场，培训800余人次。</w:t>
      </w:r>
    </w:p>
    <w:p w14:paraId="1C41D7E3">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绩效结论：</w:t>
      </w:r>
    </w:p>
    <w:p w14:paraId="6E13D6AD">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若特色党课开发数量、转化率、授课质量均达标，且获上级推广或媒体报道，表明本土资源转化能力强，有效发挥党校“思想引领”职能。</w:t>
      </w:r>
    </w:p>
    <w:p w14:paraId="3A097D79">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改进方向：建立“党课开发-试讲-优化”闭环机制，邀请地方党史专家、产业部门参与评审，提升课程权威性。</w:t>
      </w:r>
    </w:p>
    <w:p w14:paraId="1845374E">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⑵.高站位抓好干部教育培训</w:t>
      </w:r>
    </w:p>
    <w:p w14:paraId="27CD4E92">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目标内容：办好各类干部教育班次，提升培训质效。</w:t>
      </w:r>
    </w:p>
    <w:p w14:paraId="3AFF2F5B">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产出指标：</w:t>
      </w:r>
    </w:p>
    <w:p w14:paraId="0E9DF376">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培训班次：全年举办统筹班次11期、自主班次4期，培训党员干部1198人次，超额完成数量目标。</w:t>
      </w:r>
    </w:p>
    <w:p w14:paraId="32D042C0">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培训时长：实施“训前问需+训中互动+训后考核”模式，主体班次日均课时≥4节（约240分钟），远超“≥60分钟/课”要求。</w:t>
      </w:r>
    </w:p>
    <w:p w14:paraId="3DA8424F">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质量指标：</w:t>
      </w:r>
    </w:p>
    <w:p w14:paraId="5F99BC9A">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授课质量：领导干部授课占比33.33%（244课时），学员结业测试通过率100%，授课质量合格率达100%（目标≥98%）。</w:t>
      </w:r>
    </w:p>
    <w:p w14:paraId="44E245C5">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效益指标：</w:t>
      </w:r>
    </w:p>
    <w:p w14:paraId="46AA6B4B">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学员提升：通过“双向互评”和跟踪反馈，学员政治理论和党性修养满意度提升显著，社会影响评价为“优良”。</w:t>
      </w:r>
    </w:p>
    <w:p w14:paraId="0EDD3477">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绩效结论：</w:t>
      </w:r>
    </w:p>
    <w:p w14:paraId="74084E43">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若班次结构合理、时长充足、考核通过率高，且学员思想认知提升明显，表明教育培训质量扎实，落实“把政治建设摆在首位”要求。</w:t>
      </w:r>
    </w:p>
    <w:p w14:paraId="5960529B">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改进方向：针对不同层级干部（如科级vs青年干部）分层设计课程，避免“上下一般粗”，提升培训精准度。</w:t>
      </w:r>
    </w:p>
    <w:p w14:paraId="6B5379B4">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⑶.高质效建强师资人才队伍</w:t>
      </w:r>
    </w:p>
    <w:p w14:paraId="2445583E">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目标关联：党校师资需兼具理论深度与实践经验，兼职教师聘任（如邀请党政领导、基层干部）是优化师资结构的关键举措。</w:t>
      </w:r>
    </w:p>
    <w:p w14:paraId="4D152438">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产出指标：</w:t>
      </w:r>
    </w:p>
    <w:p w14:paraId="5803257D">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兼职教师聘任数量：师资数量：培育专职师资2名、外聘及兼职师资46人，“市区镇村”四级师资体系初步形成，体现“专兼结合、来源多元”的师资特色。</w:t>
      </w:r>
    </w:p>
    <w:p w14:paraId="31A2A8F5">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师资培训时长：组织教师赴沂蒙干部学院学习，举办微课比赛选拔后备力量10人，培训覆盖17人次，确保师资知识更新。</w:t>
      </w:r>
    </w:p>
    <w:p w14:paraId="7C58C8A2">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质量指标：</w:t>
      </w:r>
    </w:p>
    <w:p w14:paraId="7132F94F">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兼职教师授课评价：学员对兼职教师“实践经验分享”评分≥90分，体现“用干部教干部”的优势。</w:t>
      </w:r>
    </w:p>
    <w:p w14:paraId="64D06366">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效益指标：</w:t>
      </w:r>
    </w:p>
    <w:p w14:paraId="374F2AC5">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科研成果转化：新增指标，师资年度发表党建相关论文≥5篇，或向区委区政府提交决策咨询报告≥2篇，体现“理论研究+决策服务”职能。</w:t>
      </w:r>
    </w:p>
    <w:p w14:paraId="7EAD4B49">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绩效结论：</w:t>
      </w:r>
    </w:p>
    <w:p w14:paraId="4A0ABA01">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若兼职教师数量达标、培训到位、授课评价高，且科研成果转化积极，表明师资队伍建设成效显著，支撑“教研咨一体化”发展。</w:t>
      </w:r>
    </w:p>
    <w:p w14:paraId="41B4B6A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改进方向：师资规模达标且结构优化，但自主教研能力薄弱，需加强专职教师专题课开发</w:t>
      </w:r>
    </w:p>
    <w:p w14:paraId="00D51E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000000"/>
          <w:kern w:val="0"/>
          <w:sz w:val="32"/>
          <w:szCs w:val="32"/>
          <w:highlight w:val="none"/>
          <w:shd w:val="clear" w:color="auto" w:fill="FFFFFF"/>
          <w:lang w:val="zh-CN"/>
        </w:rPr>
        <w:t>2024年</w:t>
      </w:r>
      <w:r>
        <w:rPr>
          <w:rFonts w:hint="eastAsia" w:ascii="仿宋_GB2312" w:hAnsi="仿宋_GB2312" w:eastAsia="仿宋_GB2312" w:cs="仿宋_GB2312"/>
          <w:color w:val="000000"/>
          <w:kern w:val="0"/>
          <w:sz w:val="32"/>
          <w:szCs w:val="32"/>
          <w:highlight w:val="none"/>
          <w:shd w:val="clear" w:color="auto" w:fill="FFFFFF"/>
          <w:lang w:val="en-US" w:eastAsia="zh-CN"/>
        </w:rPr>
        <w:t>我单位</w:t>
      </w:r>
      <w:r>
        <w:rPr>
          <w:rFonts w:hint="eastAsia" w:ascii="仿宋_GB2312" w:hAnsi="仿宋_GB2312" w:eastAsia="仿宋_GB2312" w:cs="仿宋_GB2312"/>
          <w:color w:val="000000"/>
          <w:kern w:val="0"/>
          <w:sz w:val="32"/>
          <w:szCs w:val="32"/>
          <w:highlight w:val="none"/>
          <w:shd w:val="clear" w:color="auto" w:fill="FFFFFF"/>
          <w:lang w:val="zh-CN"/>
        </w:rPr>
        <w:t>预算资金总额</w:t>
      </w:r>
      <w:r>
        <w:rPr>
          <w:rFonts w:hint="eastAsia" w:ascii="仿宋_GB2312" w:hAnsi="仿宋_GB2312" w:cs="仿宋_GB2312"/>
          <w:color w:val="000000"/>
          <w:kern w:val="0"/>
          <w:sz w:val="32"/>
          <w:szCs w:val="32"/>
          <w:highlight w:val="none"/>
          <w:shd w:val="clear" w:color="auto" w:fill="FFFFFF"/>
          <w:lang w:val="en-US" w:eastAsia="zh-CN"/>
        </w:rPr>
        <w:t>97.42</w:t>
      </w:r>
      <w:r>
        <w:rPr>
          <w:rFonts w:hint="eastAsia" w:ascii="仿宋_GB2312" w:hAnsi="仿宋_GB2312" w:eastAsia="仿宋_GB2312" w:cs="仿宋_GB2312"/>
          <w:color w:val="000000"/>
          <w:kern w:val="0"/>
          <w:sz w:val="32"/>
          <w:szCs w:val="32"/>
          <w:highlight w:val="none"/>
          <w:shd w:val="clear" w:color="auto" w:fill="FFFFFF"/>
          <w:lang w:val="zh-CN"/>
        </w:rPr>
        <w:t>万元均为财政拨款，无其他资金来源，收入结构单一但稳定性强。收入统筹重点体现在财政拨款预算的全口径管理，未出现资金体外循环或隐瞒收入的情况。表明年终无大额资金结转或注销，预算执行率达100%。一般性支出年初预算和执行数均较上年压减，符合“只减不增”要求，落实了财政节俭要求。</w:t>
      </w:r>
    </w:p>
    <w:p w14:paraId="2B14DEB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我单位已建立健全内部财务管理制度体系，覆盖预算编制、资金审批、资产管理、政府采购等关键环节。制度执行方面，未发现因制度缺失或执行不到位导致的问题。严格遵循财务岗位设置规范，做到“钱账分离、审批与经办分离”，例如：出纳人员不兼任稽核、会计档案保管和收入、支出账目登记工作；重大资金支出实行多级审批流程，避免单人决策。“三公”经费支出控制在预算范围内，且较上年压减；项目资金专款专用，无截留、挪用或超范围使用情况。</w:t>
      </w:r>
    </w:p>
    <w:p w14:paraId="446B3AB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我单位在资产管理方面整体表现较好，人均资产变化率和资产利用率较高，资产的人均分配和日常使用管理上较优。在闲置资产的处理上还有改进余地。后续我单位将重点关注闲置资产的盘活工作，制定更有效的资产盘活计划，进一步提高资产管理的整体绩效水平。</w:t>
      </w:r>
    </w:p>
    <w:p w14:paraId="741E98C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14:paraId="4D746DD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zh-CN" w:eastAsia="zh-CN" w:bidi="ar-SA"/>
        </w:rPr>
        <w:t>本</w:t>
      </w:r>
      <w:r>
        <w:rPr>
          <w:rFonts w:hint="eastAsia" w:ascii="Times New Roman" w:hAnsi="Times New Roman" w:eastAsia="仿宋_GB2312" w:cs="仿宋_GB2312"/>
          <w:color w:val="auto"/>
          <w:kern w:val="2"/>
          <w:sz w:val="32"/>
          <w:szCs w:val="32"/>
          <w:highlight w:val="none"/>
          <w:lang w:val="zh-CN" w:eastAsia="zh-CN" w:bidi="ar-SA"/>
        </w:rPr>
        <w:t>单位当年无政府采购项目。</w:t>
      </w:r>
    </w:p>
    <w:p w14:paraId="28F8E7B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20E94D81">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常年项目绩效分析。</w:t>
      </w:r>
      <w:r>
        <w:rPr>
          <w:rFonts w:hint="eastAsia"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zh-CN" w:eastAsia="zh-CN" w:bidi="ar-SA"/>
        </w:rPr>
        <w:t>万元，1—1</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%，其中：预算结余率大于</w:t>
      </w:r>
      <w:r>
        <w:rPr>
          <w:rFonts w:hint="eastAsia" w:ascii="Times New Roman" w:hAnsi="Times New Roman"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个。</w:t>
      </w:r>
    </w:p>
    <w:p w14:paraId="00590B3E">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阶段（一次性）项目绩效分析。</w:t>
      </w:r>
      <w:r>
        <w:rPr>
          <w:rFonts w:hint="eastAsia"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万元。</w:t>
      </w:r>
    </w:p>
    <w:p w14:paraId="580E88E8">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项目决策。决策依据充分，项目与部门职能（如党建、干部管理）高度相关。</w:t>
      </w:r>
      <w:r>
        <w:rPr>
          <w:rFonts w:hint="eastAsia" w:ascii="Times New Roman" w:hAnsi="Times New Roman" w:eastAsia="仿宋_GB2312" w:cs="仿宋_GB2312"/>
          <w:color w:val="auto"/>
          <w:kern w:val="2"/>
          <w:sz w:val="32"/>
          <w:szCs w:val="32"/>
          <w:highlight w:val="none"/>
          <w:lang w:val="en-US" w:eastAsia="zh-CN" w:bidi="ar-SA"/>
        </w:rPr>
        <w:t>但</w:t>
      </w:r>
      <w:r>
        <w:rPr>
          <w:rFonts w:hint="eastAsia" w:ascii="Times New Roman" w:hAnsi="Times New Roman" w:eastAsia="仿宋_GB2312" w:cs="仿宋_GB2312"/>
          <w:color w:val="auto"/>
          <w:kern w:val="2"/>
          <w:sz w:val="32"/>
          <w:szCs w:val="32"/>
          <w:highlight w:val="none"/>
          <w:lang w:val="zh-CN" w:eastAsia="zh-CN" w:bidi="ar-SA"/>
        </w:rPr>
        <w:t>部分项目缺乏公开的评估论证细节。</w:t>
      </w:r>
    </w:p>
    <w:p w14:paraId="429AA63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量化指标明确：如“发放（缴纳）覆盖率＝100%”“开展城乡基层治理工作调研≥3次”“培养优秀网宣干部≥10人”等，符合“可量化、可考核”要求。维度较全面：涵盖产出（数量、质量）、效益（社会影响）、满意度（服务对象反馈）、成本（人均/单次成本控制），形成完整目标体系。</w:t>
      </w:r>
    </w:p>
    <w:p w14:paraId="72CBAE3E">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项目均纳入部门预算，且预算数明确，均完成入库流程。无项目因“未按时入库”导致预算调整或取消。</w:t>
      </w:r>
    </w:p>
    <w:p w14:paraId="7461EBD5">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项目资金用途与目标高度匹配，未超范围使用；项目调整次数少，预算约束有力；部门预算执行率高，年终结余率低，保障资金按计划使用。</w:t>
      </w:r>
    </w:p>
    <w:p w14:paraId="20A2AA6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目标实现。预算与实际执行偏差控制在合理范围内。</w:t>
      </w:r>
    </w:p>
    <w:p w14:paraId="3C9665D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社会效益显著：“增强干部党性修养”“提升组织管理工作水平”等目标干部培训等落地。“基层党员群众满意度≥95%”</w:t>
      </w:r>
      <w:r>
        <w:rPr>
          <w:rFonts w:hint="eastAsia" w:ascii="Times New Roman" w:hAnsi="Times New Roman" w:eastAsia="仿宋_GB2312" w:cs="仿宋_GB2312"/>
          <w:color w:val="auto"/>
          <w:kern w:val="2"/>
          <w:sz w:val="32"/>
          <w:szCs w:val="32"/>
          <w:highlight w:val="none"/>
          <w:lang w:val="en-US" w:eastAsia="zh-CN" w:bidi="ar-SA"/>
        </w:rPr>
        <w:t>得到了</w:t>
      </w:r>
      <w:r>
        <w:rPr>
          <w:rFonts w:hint="eastAsia" w:ascii="Times New Roman" w:hAnsi="Times New Roman" w:eastAsia="仿宋_GB2312" w:cs="仿宋_GB2312"/>
          <w:color w:val="auto"/>
          <w:kern w:val="2"/>
          <w:sz w:val="32"/>
          <w:szCs w:val="32"/>
          <w:highlight w:val="none"/>
          <w:lang w:val="zh-CN" w:eastAsia="zh-CN" w:bidi="ar-SA"/>
        </w:rPr>
        <w:t>服务对象认可。</w:t>
      </w:r>
    </w:p>
    <w:p w14:paraId="76A300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eastAsia="zh-CN"/>
        </w:rPr>
        <w:t>根据绩效评价结果，调整下年度预算分配。建立“绩效目标-执行进度-资金支付”联动机制，通过季度绩效监控发现“党建调研经费”使用进度滞后，及时调整支付节奏，确保年终执行率达100%。将项目执行成效与</w:t>
      </w:r>
      <w:r>
        <w:rPr>
          <w:rFonts w:hint="eastAsia" w:ascii="仿宋_GB2312" w:hAnsi="仿宋_GB2312" w:cs="仿宋_GB2312"/>
          <w:color w:val="000000"/>
          <w:kern w:val="0"/>
          <w:sz w:val="32"/>
          <w:szCs w:val="32"/>
          <w:highlight w:val="none"/>
          <w:shd w:val="clear" w:color="auto" w:fill="FFFFFF"/>
          <w:lang w:val="en-US" w:eastAsia="zh-CN"/>
        </w:rPr>
        <w:t>股</w:t>
      </w:r>
      <w:r>
        <w:rPr>
          <w:rFonts w:hint="eastAsia" w:ascii="仿宋_GB2312" w:hAnsi="仿宋_GB2312" w:eastAsia="仿宋_GB2312" w:cs="仿宋_GB2312"/>
          <w:color w:val="000000"/>
          <w:kern w:val="0"/>
          <w:sz w:val="32"/>
          <w:szCs w:val="32"/>
          <w:highlight w:val="none"/>
          <w:shd w:val="clear" w:color="auto" w:fill="FFFFFF"/>
          <w:lang w:val="zh-CN" w:eastAsia="zh-CN"/>
        </w:rPr>
        <w:t>室考核挂钩，作为</w:t>
      </w:r>
      <w:r>
        <w:rPr>
          <w:rFonts w:hint="eastAsia" w:ascii="仿宋_GB2312" w:hAnsi="仿宋_GB2312" w:cs="仿宋_GB2312"/>
          <w:color w:val="000000"/>
          <w:kern w:val="0"/>
          <w:sz w:val="32"/>
          <w:szCs w:val="32"/>
          <w:highlight w:val="none"/>
          <w:shd w:val="clear" w:color="auto" w:fill="FFFFFF"/>
          <w:lang w:val="en-US" w:eastAsia="zh-CN"/>
        </w:rPr>
        <w:t>股</w:t>
      </w:r>
      <w:r>
        <w:rPr>
          <w:rFonts w:hint="eastAsia" w:ascii="仿宋_GB2312" w:hAnsi="仿宋_GB2312" w:eastAsia="仿宋_GB2312" w:cs="仿宋_GB2312"/>
          <w:color w:val="000000"/>
          <w:kern w:val="0"/>
          <w:sz w:val="32"/>
          <w:szCs w:val="32"/>
          <w:highlight w:val="none"/>
          <w:shd w:val="clear" w:color="auto" w:fill="FFFFFF"/>
          <w:lang w:val="zh-CN" w:eastAsia="zh-CN"/>
        </w:rPr>
        <w:t>室年度评优的重要依据。</w:t>
      </w:r>
    </w:p>
    <w:p w14:paraId="509386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在区政府门户网站公开《部门整体支出绩效目标表》《项目支出绩效自评表》，涵盖</w:t>
      </w:r>
      <w:r>
        <w:rPr>
          <w:rFonts w:hint="eastAsia" w:ascii="仿宋_GB2312" w:hAnsi="仿宋_GB2312" w:cs="仿宋_GB2312"/>
          <w:color w:val="000000"/>
          <w:kern w:val="0"/>
          <w:sz w:val="32"/>
          <w:szCs w:val="32"/>
          <w:highlight w:val="none"/>
          <w:shd w:val="clear" w:color="auto" w:fill="FFFFFF"/>
          <w:lang w:val="en-US" w:eastAsia="zh-CN"/>
        </w:rPr>
        <w:t>所有</w:t>
      </w:r>
      <w:r>
        <w:rPr>
          <w:rFonts w:hint="eastAsia" w:ascii="仿宋_GB2312" w:hAnsi="仿宋_GB2312" w:eastAsia="仿宋_GB2312" w:cs="仿宋_GB2312"/>
          <w:color w:val="000000"/>
          <w:kern w:val="0"/>
          <w:sz w:val="32"/>
          <w:szCs w:val="32"/>
          <w:highlight w:val="none"/>
          <w:shd w:val="clear" w:color="auto" w:fill="FFFFFF"/>
          <w:lang w:val="zh-CN" w:eastAsia="zh-CN"/>
        </w:rPr>
        <w:t>项目的绩效目标、资金使用及完成情况。</w:t>
      </w:r>
    </w:p>
    <w:p w14:paraId="6E6E091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4AAE78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color w:val="000000"/>
          <w:kern w:val="0"/>
          <w:sz w:val="32"/>
          <w:szCs w:val="32"/>
          <w:highlight w:val="none"/>
          <w:shd w:val="clear" w:color="auto" w:fill="FFFFFF"/>
          <w:lang w:val="en-US" w:eastAsia="zh-CN"/>
        </w:rPr>
        <w:t>安居区委党校2024年预算绩效目标完成情况良好，围绕“为党育才、为党献策”核心职能，在干部培训、特色办学、科研咨政等方面成效显著，但部分指标仍需提升。综合自评得分：</w:t>
      </w:r>
      <w:r>
        <w:rPr>
          <w:rFonts w:hint="eastAsia" w:ascii="仿宋_GB2312" w:hAnsi="仿宋_GB2312" w:cs="仿宋_GB2312"/>
          <w:color w:val="000000"/>
          <w:kern w:val="0"/>
          <w:sz w:val="32"/>
          <w:szCs w:val="32"/>
          <w:highlight w:val="none"/>
          <w:shd w:val="clear" w:color="auto" w:fill="FFFFFF"/>
          <w:lang w:val="en-US" w:eastAsia="zh-CN"/>
        </w:rPr>
        <w:t>96</w:t>
      </w:r>
      <w:r>
        <w:rPr>
          <w:rFonts w:hint="eastAsia" w:ascii="仿宋_GB2312" w:hAnsi="仿宋_GB2312" w:eastAsia="仿宋_GB2312" w:cs="仿宋_GB2312"/>
          <w:color w:val="000000"/>
          <w:kern w:val="0"/>
          <w:sz w:val="32"/>
          <w:szCs w:val="32"/>
          <w:highlight w:val="none"/>
          <w:shd w:val="clear" w:color="auto" w:fill="FFFFFF"/>
          <w:lang w:val="en-US" w:eastAsia="zh-CN"/>
        </w:rPr>
        <w:t>分。</w:t>
      </w:r>
    </w:p>
    <w:p w14:paraId="1DD56A3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3B5EF20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cs="仿宋_GB2312"/>
          <w:b w:val="0"/>
          <w:bCs w:val="0"/>
          <w:kern w:val="0"/>
          <w:position w:val="0"/>
          <w:sz w:val="32"/>
          <w:szCs w:val="32"/>
          <w:highlight w:val="none"/>
          <w:lang w:val="en-US" w:eastAsia="zh-CN" w:bidi="ar-SA"/>
        </w:rPr>
        <w:t>1.</w:t>
      </w:r>
      <w:r>
        <w:rPr>
          <w:rFonts w:hint="eastAsia" w:ascii="仿宋_GB2312" w:hAnsi="仿宋_GB2312" w:eastAsia="仿宋_GB2312" w:cs="仿宋_GB2312"/>
          <w:b w:val="0"/>
          <w:bCs w:val="0"/>
          <w:kern w:val="0"/>
          <w:position w:val="0"/>
          <w:sz w:val="32"/>
          <w:szCs w:val="32"/>
          <w:highlight w:val="none"/>
          <w:lang w:val="zh-CN" w:eastAsia="zh-CN" w:bidi="ar-SA"/>
        </w:rPr>
        <w:t>向上争取资源不足</w:t>
      </w:r>
      <w:r>
        <w:rPr>
          <w:rFonts w:hint="default" w:ascii="仿宋_GB2312" w:hAnsi="仿宋_GB2312" w:eastAsia="仿宋_GB2312" w:cs="仿宋_GB2312"/>
          <w:b w:val="0"/>
          <w:bCs w:val="0"/>
          <w:kern w:val="0"/>
          <w:position w:val="0"/>
          <w:sz w:val="32"/>
          <w:szCs w:val="32"/>
          <w:highlight w:val="none"/>
          <w:lang w:val="zh-CN" w:eastAsia="zh-CN" w:bidi="ar-SA"/>
        </w:rPr>
        <w:t>：未吸引省委党校主体班次开展现场教学，阵地辐射力未完全发挥。</w:t>
      </w:r>
    </w:p>
    <w:p w14:paraId="295941D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cs="仿宋_GB2312"/>
          <w:b w:val="0"/>
          <w:bCs w:val="0"/>
          <w:kern w:val="0"/>
          <w:position w:val="0"/>
          <w:sz w:val="32"/>
          <w:szCs w:val="32"/>
          <w:highlight w:val="none"/>
          <w:lang w:val="en-US" w:eastAsia="zh-CN" w:bidi="ar-SA"/>
        </w:rPr>
        <w:t>2.</w:t>
      </w:r>
      <w:r>
        <w:rPr>
          <w:rFonts w:hint="default" w:ascii="仿宋_GB2312" w:hAnsi="仿宋_GB2312" w:eastAsia="仿宋_GB2312" w:cs="仿宋_GB2312"/>
          <w:b w:val="0"/>
          <w:bCs w:val="0"/>
          <w:kern w:val="0"/>
          <w:position w:val="0"/>
          <w:sz w:val="32"/>
          <w:szCs w:val="32"/>
          <w:highlight w:val="none"/>
          <w:lang w:val="zh-CN" w:eastAsia="zh-CN" w:bidi="ar-SA"/>
        </w:rPr>
        <w:t>自主专题课程薄弱：仅开发1堂专题课，依赖外部师资，党校“自主发声”能力待提升。</w:t>
      </w:r>
    </w:p>
    <w:p w14:paraId="387CEA9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cs="仿宋_GB2312"/>
          <w:b w:val="0"/>
          <w:bCs w:val="0"/>
          <w:kern w:val="0"/>
          <w:position w:val="0"/>
          <w:sz w:val="32"/>
          <w:szCs w:val="32"/>
          <w:highlight w:val="none"/>
          <w:lang w:val="en-US" w:eastAsia="zh-CN" w:bidi="ar-SA"/>
        </w:rPr>
        <w:t>3.</w:t>
      </w:r>
      <w:r>
        <w:rPr>
          <w:rFonts w:hint="default" w:ascii="仿宋_GB2312" w:hAnsi="仿宋_GB2312" w:eastAsia="仿宋_GB2312" w:cs="仿宋_GB2312"/>
          <w:b w:val="0"/>
          <w:bCs w:val="0"/>
          <w:kern w:val="0"/>
          <w:position w:val="0"/>
          <w:sz w:val="32"/>
          <w:szCs w:val="32"/>
          <w:highlight w:val="none"/>
          <w:lang w:val="zh-CN" w:eastAsia="zh-CN" w:bidi="ar-SA"/>
        </w:rPr>
        <w:t>成本效益分析欠缺：公用经费使用未细化至具体项目，预算执行精准度需加强。</w:t>
      </w:r>
    </w:p>
    <w:p w14:paraId="02A5787C">
      <w:pPr>
        <w:spacing w:line="560" w:lineRule="exact"/>
        <w:ind w:firstLine="643" w:firstLineChars="200"/>
        <w:contextualSpacing/>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7" w:name="_Hlk110546638"/>
    </w:p>
    <w:p w14:paraId="3244C6B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1.</w:t>
      </w:r>
      <w:r>
        <w:rPr>
          <w:rFonts w:hint="eastAsia" w:ascii="仿宋_GB2312" w:hAnsi="仿宋_GB2312" w:eastAsia="仿宋_GB2312" w:cs="仿宋_GB2312"/>
          <w:b w:val="0"/>
          <w:bCs w:val="0"/>
          <w:kern w:val="0"/>
          <w:position w:val="0"/>
          <w:sz w:val="32"/>
          <w:szCs w:val="32"/>
          <w:highlight w:val="none"/>
          <w:lang w:val="en-US" w:eastAsia="zh-CN" w:bidi="ar-SA"/>
        </w:rPr>
        <w:t>强化高端培训对接：争取省委党校主体班次落地，提升现场教学点影响力。</w:t>
      </w:r>
    </w:p>
    <w:p w14:paraId="08CC93C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2.</w:t>
      </w:r>
      <w:r>
        <w:rPr>
          <w:rFonts w:hint="eastAsia" w:ascii="仿宋_GB2312" w:hAnsi="仿宋_GB2312" w:eastAsia="仿宋_GB2312" w:cs="仿宋_GB2312"/>
          <w:b w:val="0"/>
          <w:bCs w:val="0"/>
          <w:kern w:val="0"/>
          <w:position w:val="0"/>
          <w:sz w:val="32"/>
          <w:szCs w:val="32"/>
          <w:highlight w:val="none"/>
          <w:lang w:val="en-US" w:eastAsia="zh-CN" w:bidi="ar-SA"/>
        </w:rPr>
        <w:t>深化课程体系建设：围绕党的创新理论和本土特色，开发3-5堂专题课，减少对外依赖。</w:t>
      </w:r>
    </w:p>
    <w:p w14:paraId="3F33CDA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3.</w:t>
      </w:r>
      <w:r>
        <w:rPr>
          <w:rFonts w:hint="eastAsia" w:ascii="仿宋_GB2312" w:hAnsi="仿宋_GB2312" w:eastAsia="仿宋_GB2312" w:cs="仿宋_GB2312"/>
          <w:b w:val="0"/>
          <w:bCs w:val="0"/>
          <w:kern w:val="0"/>
          <w:position w:val="0"/>
          <w:sz w:val="32"/>
          <w:szCs w:val="32"/>
          <w:highlight w:val="none"/>
          <w:lang w:val="en-US" w:eastAsia="zh-CN" w:bidi="ar-SA"/>
        </w:rPr>
        <w:t>优化预算绩效管理：将成本指标与教学项目挂钩，强化“花钱必问效”意识，提升资金使用效能。</w:t>
      </w:r>
    </w:p>
    <w:p w14:paraId="19813F11">
      <w:pPr>
        <w:pStyle w:val="2"/>
        <w:rPr>
          <w:rFonts w:hint="eastAsia"/>
          <w:lang w:val="zh-CN"/>
        </w:rPr>
      </w:pPr>
    </w:p>
    <w:bookmarkEnd w:id="67"/>
    <w:p w14:paraId="11449E6F">
      <w:pPr>
        <w:pStyle w:val="10"/>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zh-CN" w:eastAsia="zh-CN" w:bidi="ar"/>
        </w:rPr>
      </w:pPr>
    </w:p>
    <w:p w14:paraId="1F9CEC53">
      <w:pPr>
        <w:pStyle w:val="10"/>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1.部门整体支出绩效自评表</w:t>
      </w:r>
    </w:p>
    <w:p w14:paraId="603675AC">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sectPr>
          <w:footerReference r:id="rId7"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eastAsia="仿宋_GB2312" w:cs="Times New Roman"/>
          <w:kern w:val="2"/>
          <w:sz w:val="32"/>
          <w:szCs w:val="32"/>
          <w:u w:val="none"/>
          <w:lang w:val="en-US" w:eastAsia="zh-CN" w:bidi="ar"/>
        </w:rPr>
        <w:t>2.</w:t>
      </w:r>
      <w:r>
        <w:rPr>
          <w:rFonts w:hint="eastAsia" w:ascii="Times New Roman" w:hAnsi="Times New Roman" w:eastAsia="仿宋_GB2312" w:cs="Times New Roman"/>
          <w:kern w:val="2"/>
          <w:sz w:val="32"/>
          <w:szCs w:val="32"/>
          <w:u w:val="none"/>
          <w:lang w:val="en-US" w:eastAsia="zh-CN" w:bidi="ar"/>
        </w:rPr>
        <w:t>部门预算项目支出绩效自评表</w:t>
      </w:r>
      <w:r>
        <w:rPr>
          <w:rFonts w:hint="eastAsia" w:ascii="Times New Roman" w:eastAsia="仿宋_GB2312" w:cs="Times New Roman"/>
          <w:kern w:val="2"/>
          <w:sz w:val="32"/>
          <w:szCs w:val="32"/>
          <w:u w:val="none"/>
          <w:lang w:val="en-US" w:eastAsia="zh-CN" w:bidi="ar"/>
        </w:rPr>
        <w:t>（2024年度）</w:t>
      </w:r>
    </w:p>
    <w:tbl>
      <w:tblPr>
        <w:tblStyle w:val="20"/>
        <w:tblW w:w="14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720"/>
        <w:gridCol w:w="1709"/>
        <w:gridCol w:w="1196"/>
        <w:gridCol w:w="3394"/>
        <w:gridCol w:w="5148"/>
        <w:gridCol w:w="759"/>
        <w:gridCol w:w="674"/>
      </w:tblGrid>
      <w:tr w14:paraId="7D00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4320" w:type="dxa"/>
            <w:gridSpan w:val="8"/>
            <w:tcBorders>
              <w:top w:val="nil"/>
              <w:left w:val="nil"/>
              <w:bottom w:val="nil"/>
              <w:right w:val="nil"/>
            </w:tcBorders>
            <w:shd w:val="clear" w:color="auto" w:fill="auto"/>
            <w:vAlign w:val="center"/>
          </w:tcPr>
          <w:p w14:paraId="4E88EDA1">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部门整体支出绩效自评表</w:t>
            </w:r>
          </w:p>
        </w:tc>
      </w:tr>
      <w:tr w14:paraId="642D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6B566">
            <w:pPr>
              <w:keepNext w:val="0"/>
              <w:keepLines w:val="0"/>
              <w:widowControl/>
              <w:suppressLineNumbers w:val="0"/>
              <w:jc w:val="center"/>
              <w:textAlignment w:val="center"/>
              <w:rPr>
                <w:rFonts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绩效指标</w:t>
            </w:r>
          </w:p>
        </w:tc>
        <w:tc>
          <w:tcPr>
            <w:tcW w:w="3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7A61B">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指标解释</w:t>
            </w:r>
          </w:p>
        </w:tc>
        <w:tc>
          <w:tcPr>
            <w:tcW w:w="5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8B7DB">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评分说明</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A229B">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自评得分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3623F">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备注</w:t>
            </w:r>
          </w:p>
        </w:tc>
      </w:tr>
      <w:tr w14:paraId="7200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0" w:type="dxa"/>
            <w:tcBorders>
              <w:top w:val="single" w:color="000000" w:sz="4" w:space="0"/>
              <w:left w:val="single" w:color="000000" w:sz="4" w:space="0"/>
              <w:bottom w:val="single" w:color="000000" w:sz="4" w:space="0"/>
              <w:right w:val="nil"/>
            </w:tcBorders>
            <w:shd w:val="clear" w:color="auto" w:fill="auto"/>
            <w:vAlign w:val="center"/>
          </w:tcPr>
          <w:p w14:paraId="4F426A05">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一级指标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28BB">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二级指标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8136">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三级指标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1E7C">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指标分值</w:t>
            </w:r>
          </w:p>
        </w:tc>
        <w:tc>
          <w:tcPr>
            <w:tcW w:w="3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FED2">
            <w:pPr>
              <w:jc w:val="center"/>
              <w:rPr>
                <w:rFonts w:hint="eastAsia" w:ascii="黑体" w:hAnsi="宋体" w:eastAsia="黑体" w:cs="黑体"/>
                <w:i w:val="0"/>
                <w:iCs w:val="0"/>
                <w:color w:val="auto"/>
                <w:sz w:val="18"/>
                <w:szCs w:val="18"/>
                <w:u w:val="none"/>
              </w:rPr>
            </w:pPr>
          </w:p>
        </w:tc>
        <w:tc>
          <w:tcPr>
            <w:tcW w:w="5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D2E1E">
            <w:pPr>
              <w:jc w:val="center"/>
              <w:rPr>
                <w:rFonts w:hint="eastAsia" w:ascii="黑体" w:hAnsi="宋体" w:eastAsia="黑体" w:cs="黑体"/>
                <w:i w:val="0"/>
                <w:iCs w:val="0"/>
                <w:color w:val="auto"/>
                <w:sz w:val="18"/>
                <w:szCs w:val="18"/>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0F142">
            <w:pPr>
              <w:jc w:val="center"/>
              <w:rPr>
                <w:rFonts w:hint="eastAsia" w:ascii="黑体" w:hAnsi="宋体" w:eastAsia="黑体" w:cs="黑体"/>
                <w:i w:val="0"/>
                <w:iCs w:val="0"/>
                <w:color w:val="auto"/>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911F8">
            <w:pPr>
              <w:jc w:val="center"/>
              <w:rPr>
                <w:rFonts w:hint="eastAsia" w:ascii="黑体" w:hAnsi="宋体" w:eastAsia="黑体" w:cs="黑体"/>
                <w:i w:val="0"/>
                <w:iCs w:val="0"/>
                <w:color w:val="auto"/>
                <w:sz w:val="18"/>
                <w:szCs w:val="18"/>
                <w:u w:val="none"/>
              </w:rPr>
            </w:pPr>
          </w:p>
        </w:tc>
      </w:tr>
      <w:tr w14:paraId="7467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A49A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总体绩效</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（56分）</w:t>
            </w:r>
          </w:p>
        </w:tc>
        <w:tc>
          <w:tcPr>
            <w:tcW w:w="720" w:type="dxa"/>
            <w:vMerge w:val="restart"/>
            <w:tcBorders>
              <w:top w:val="single" w:color="000000" w:sz="4" w:space="0"/>
              <w:left w:val="single" w:color="000000" w:sz="4" w:space="0"/>
              <w:bottom w:val="nil"/>
              <w:right w:val="single" w:color="000000" w:sz="4" w:space="0"/>
            </w:tcBorders>
            <w:shd w:val="clear" w:color="auto" w:fill="auto"/>
            <w:vAlign w:val="center"/>
          </w:tcPr>
          <w:p w14:paraId="540EFA9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履职效能</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（10分）</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DF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高质量开发特色党课</w:t>
            </w:r>
          </w:p>
        </w:tc>
        <w:tc>
          <w:tcPr>
            <w:tcW w:w="1196" w:type="dxa"/>
            <w:vMerge w:val="restart"/>
            <w:tcBorders>
              <w:top w:val="single" w:color="000000" w:sz="4" w:space="0"/>
              <w:left w:val="single" w:color="000000" w:sz="4" w:space="0"/>
              <w:bottom w:val="nil"/>
              <w:right w:val="single" w:color="000000" w:sz="4" w:space="0"/>
            </w:tcBorders>
            <w:shd w:val="clear" w:color="auto" w:fill="auto"/>
            <w:vAlign w:val="center"/>
          </w:tcPr>
          <w:p w14:paraId="36571A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394" w:type="dxa"/>
            <w:vMerge w:val="restart"/>
            <w:tcBorders>
              <w:top w:val="single" w:color="000000" w:sz="4" w:space="0"/>
              <w:left w:val="single" w:color="000000" w:sz="4" w:space="0"/>
              <w:bottom w:val="nil"/>
              <w:right w:val="single" w:color="000000" w:sz="4" w:space="0"/>
            </w:tcBorders>
            <w:shd w:val="clear" w:color="auto" w:fill="auto"/>
            <w:vAlign w:val="center"/>
          </w:tcPr>
          <w:p w14:paraId="553283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部门整体绩效目标中选定4-6个核心职能目标，反映该项职能目标完成效果情况</w:t>
            </w:r>
          </w:p>
        </w:tc>
        <w:tc>
          <w:tcPr>
            <w:tcW w:w="5148" w:type="dxa"/>
            <w:vMerge w:val="restart"/>
            <w:tcBorders>
              <w:top w:val="single" w:color="000000" w:sz="4" w:space="0"/>
              <w:left w:val="single" w:color="000000" w:sz="4" w:space="0"/>
              <w:bottom w:val="nil"/>
              <w:right w:val="single" w:color="000000" w:sz="4" w:space="0"/>
            </w:tcBorders>
            <w:shd w:val="clear" w:color="auto" w:fill="auto"/>
            <w:vAlign w:val="center"/>
          </w:tcPr>
          <w:p w14:paraId="21DDB1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0D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674" w:type="dxa"/>
            <w:vMerge w:val="restart"/>
            <w:tcBorders>
              <w:top w:val="single" w:color="000000" w:sz="4" w:space="0"/>
              <w:left w:val="single" w:color="000000" w:sz="4" w:space="0"/>
              <w:bottom w:val="nil"/>
              <w:right w:val="single" w:color="000000" w:sz="4" w:space="0"/>
            </w:tcBorders>
            <w:shd w:val="clear" w:color="auto" w:fill="auto"/>
            <w:vAlign w:val="center"/>
          </w:tcPr>
          <w:p w14:paraId="028ADB6F">
            <w:pPr>
              <w:jc w:val="center"/>
              <w:rPr>
                <w:rFonts w:hint="eastAsia" w:ascii="宋体" w:hAnsi="宋体" w:eastAsia="宋体" w:cs="宋体"/>
                <w:i w:val="0"/>
                <w:iCs w:val="0"/>
                <w:color w:val="auto"/>
                <w:sz w:val="18"/>
                <w:szCs w:val="18"/>
                <w:u w:val="none"/>
              </w:rPr>
            </w:pPr>
          </w:p>
        </w:tc>
      </w:tr>
      <w:tr w14:paraId="468A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C7E8">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nil"/>
              <w:right w:val="single" w:color="000000" w:sz="4" w:space="0"/>
            </w:tcBorders>
            <w:shd w:val="clear" w:color="auto" w:fill="auto"/>
            <w:vAlign w:val="center"/>
          </w:tcPr>
          <w:p w14:paraId="5149D713">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FD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高站位抓好教育培训</w:t>
            </w:r>
          </w:p>
        </w:tc>
        <w:tc>
          <w:tcPr>
            <w:tcW w:w="1196" w:type="dxa"/>
            <w:vMerge w:val="continue"/>
            <w:tcBorders>
              <w:top w:val="single" w:color="000000" w:sz="4" w:space="0"/>
              <w:left w:val="single" w:color="000000" w:sz="4" w:space="0"/>
              <w:bottom w:val="nil"/>
              <w:right w:val="single" w:color="000000" w:sz="4" w:space="0"/>
            </w:tcBorders>
            <w:shd w:val="clear" w:color="auto" w:fill="auto"/>
            <w:vAlign w:val="center"/>
          </w:tcPr>
          <w:p w14:paraId="55BFB1E6">
            <w:pPr>
              <w:jc w:val="center"/>
              <w:rPr>
                <w:rFonts w:hint="eastAsia" w:ascii="宋体" w:hAnsi="宋体" w:eastAsia="宋体" w:cs="宋体"/>
                <w:i w:val="0"/>
                <w:iCs w:val="0"/>
                <w:color w:val="auto"/>
                <w:sz w:val="18"/>
                <w:szCs w:val="18"/>
                <w:u w:val="none"/>
              </w:rPr>
            </w:pPr>
          </w:p>
        </w:tc>
        <w:tc>
          <w:tcPr>
            <w:tcW w:w="3394" w:type="dxa"/>
            <w:vMerge w:val="continue"/>
            <w:tcBorders>
              <w:top w:val="single" w:color="000000" w:sz="4" w:space="0"/>
              <w:left w:val="single" w:color="000000" w:sz="4" w:space="0"/>
              <w:bottom w:val="nil"/>
              <w:right w:val="single" w:color="000000" w:sz="4" w:space="0"/>
            </w:tcBorders>
            <w:shd w:val="clear" w:color="auto" w:fill="auto"/>
            <w:vAlign w:val="center"/>
          </w:tcPr>
          <w:p w14:paraId="6F71D173">
            <w:pPr>
              <w:jc w:val="center"/>
              <w:rPr>
                <w:rFonts w:hint="eastAsia" w:ascii="宋体" w:hAnsi="宋体" w:eastAsia="宋体" w:cs="宋体"/>
                <w:i w:val="0"/>
                <w:iCs w:val="0"/>
                <w:color w:val="auto"/>
                <w:sz w:val="18"/>
                <w:szCs w:val="18"/>
                <w:u w:val="none"/>
              </w:rPr>
            </w:pPr>
          </w:p>
        </w:tc>
        <w:tc>
          <w:tcPr>
            <w:tcW w:w="5148" w:type="dxa"/>
            <w:vMerge w:val="continue"/>
            <w:tcBorders>
              <w:top w:val="single" w:color="000000" w:sz="4" w:space="0"/>
              <w:left w:val="single" w:color="000000" w:sz="4" w:space="0"/>
              <w:bottom w:val="nil"/>
              <w:right w:val="single" w:color="000000" w:sz="4" w:space="0"/>
            </w:tcBorders>
            <w:shd w:val="clear" w:color="auto" w:fill="auto"/>
            <w:vAlign w:val="center"/>
          </w:tcPr>
          <w:p w14:paraId="77D9326E">
            <w:pPr>
              <w:jc w:val="center"/>
              <w:rPr>
                <w:rFonts w:hint="eastAsia" w:ascii="宋体" w:hAnsi="宋体" w:eastAsia="宋体" w:cs="宋体"/>
                <w:i w:val="0"/>
                <w:iCs w:val="0"/>
                <w:color w:val="auto"/>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96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674" w:type="dxa"/>
            <w:vMerge w:val="continue"/>
            <w:tcBorders>
              <w:top w:val="single" w:color="000000" w:sz="4" w:space="0"/>
              <w:left w:val="single" w:color="000000" w:sz="4" w:space="0"/>
              <w:bottom w:val="nil"/>
              <w:right w:val="single" w:color="000000" w:sz="4" w:space="0"/>
            </w:tcBorders>
            <w:shd w:val="clear" w:color="auto" w:fill="auto"/>
            <w:vAlign w:val="center"/>
          </w:tcPr>
          <w:p w14:paraId="6344362A">
            <w:pPr>
              <w:jc w:val="center"/>
              <w:rPr>
                <w:rFonts w:hint="eastAsia" w:ascii="宋体" w:hAnsi="宋体" w:eastAsia="宋体" w:cs="宋体"/>
                <w:i w:val="0"/>
                <w:iCs w:val="0"/>
                <w:color w:val="auto"/>
                <w:sz w:val="18"/>
                <w:szCs w:val="18"/>
                <w:u w:val="none"/>
              </w:rPr>
            </w:pPr>
          </w:p>
        </w:tc>
      </w:tr>
      <w:tr w14:paraId="293D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2506">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nil"/>
              <w:right w:val="single" w:color="000000" w:sz="4" w:space="0"/>
            </w:tcBorders>
            <w:shd w:val="clear" w:color="auto" w:fill="auto"/>
            <w:vAlign w:val="center"/>
          </w:tcPr>
          <w:p w14:paraId="56511F91">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3C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高质效建强人才队伍</w:t>
            </w:r>
          </w:p>
        </w:tc>
        <w:tc>
          <w:tcPr>
            <w:tcW w:w="1196" w:type="dxa"/>
            <w:vMerge w:val="continue"/>
            <w:tcBorders>
              <w:top w:val="single" w:color="000000" w:sz="4" w:space="0"/>
              <w:left w:val="single" w:color="000000" w:sz="4" w:space="0"/>
              <w:bottom w:val="nil"/>
              <w:right w:val="single" w:color="000000" w:sz="4" w:space="0"/>
            </w:tcBorders>
            <w:shd w:val="clear" w:color="auto" w:fill="auto"/>
            <w:vAlign w:val="center"/>
          </w:tcPr>
          <w:p w14:paraId="7D6B86C6">
            <w:pPr>
              <w:jc w:val="center"/>
              <w:rPr>
                <w:rFonts w:hint="eastAsia" w:ascii="宋体" w:hAnsi="宋体" w:eastAsia="宋体" w:cs="宋体"/>
                <w:i w:val="0"/>
                <w:iCs w:val="0"/>
                <w:color w:val="auto"/>
                <w:sz w:val="18"/>
                <w:szCs w:val="18"/>
                <w:u w:val="none"/>
              </w:rPr>
            </w:pPr>
          </w:p>
        </w:tc>
        <w:tc>
          <w:tcPr>
            <w:tcW w:w="3394" w:type="dxa"/>
            <w:vMerge w:val="continue"/>
            <w:tcBorders>
              <w:top w:val="single" w:color="000000" w:sz="4" w:space="0"/>
              <w:left w:val="single" w:color="000000" w:sz="4" w:space="0"/>
              <w:bottom w:val="nil"/>
              <w:right w:val="single" w:color="000000" w:sz="4" w:space="0"/>
            </w:tcBorders>
            <w:shd w:val="clear" w:color="auto" w:fill="auto"/>
            <w:vAlign w:val="center"/>
          </w:tcPr>
          <w:p w14:paraId="23DEEC61">
            <w:pPr>
              <w:jc w:val="center"/>
              <w:rPr>
                <w:rFonts w:hint="eastAsia" w:ascii="宋体" w:hAnsi="宋体" w:eastAsia="宋体" w:cs="宋体"/>
                <w:i w:val="0"/>
                <w:iCs w:val="0"/>
                <w:color w:val="auto"/>
                <w:sz w:val="18"/>
                <w:szCs w:val="18"/>
                <w:u w:val="none"/>
              </w:rPr>
            </w:pPr>
          </w:p>
        </w:tc>
        <w:tc>
          <w:tcPr>
            <w:tcW w:w="5148" w:type="dxa"/>
            <w:vMerge w:val="continue"/>
            <w:tcBorders>
              <w:top w:val="single" w:color="000000" w:sz="4" w:space="0"/>
              <w:left w:val="single" w:color="000000" w:sz="4" w:space="0"/>
              <w:bottom w:val="nil"/>
              <w:right w:val="single" w:color="000000" w:sz="4" w:space="0"/>
            </w:tcBorders>
            <w:shd w:val="clear" w:color="auto" w:fill="auto"/>
            <w:vAlign w:val="center"/>
          </w:tcPr>
          <w:p w14:paraId="556A407A">
            <w:pPr>
              <w:jc w:val="center"/>
              <w:rPr>
                <w:rFonts w:hint="eastAsia" w:ascii="宋体" w:hAnsi="宋体" w:eastAsia="宋体" w:cs="宋体"/>
                <w:i w:val="0"/>
                <w:iCs w:val="0"/>
                <w:color w:val="auto"/>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15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74" w:type="dxa"/>
            <w:vMerge w:val="continue"/>
            <w:tcBorders>
              <w:top w:val="single" w:color="000000" w:sz="4" w:space="0"/>
              <w:left w:val="single" w:color="000000" w:sz="4" w:space="0"/>
              <w:bottom w:val="nil"/>
              <w:right w:val="single" w:color="000000" w:sz="4" w:space="0"/>
            </w:tcBorders>
            <w:shd w:val="clear" w:color="auto" w:fill="auto"/>
            <w:vAlign w:val="center"/>
          </w:tcPr>
          <w:p w14:paraId="6AF4AA22">
            <w:pPr>
              <w:jc w:val="center"/>
              <w:rPr>
                <w:rFonts w:hint="eastAsia" w:ascii="宋体" w:hAnsi="宋体" w:eastAsia="宋体" w:cs="宋体"/>
                <w:i w:val="0"/>
                <w:iCs w:val="0"/>
                <w:color w:val="auto"/>
                <w:sz w:val="18"/>
                <w:szCs w:val="18"/>
                <w:u w:val="none"/>
              </w:rPr>
            </w:pPr>
          </w:p>
        </w:tc>
      </w:tr>
      <w:tr w14:paraId="18FB5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6B9B6">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nil"/>
              <w:right w:val="single" w:color="000000" w:sz="4" w:space="0"/>
            </w:tcBorders>
            <w:shd w:val="clear" w:color="auto" w:fill="auto"/>
            <w:vAlign w:val="center"/>
          </w:tcPr>
          <w:p w14:paraId="3D817DB0">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30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高标准抓好阵地升级</w:t>
            </w:r>
          </w:p>
        </w:tc>
        <w:tc>
          <w:tcPr>
            <w:tcW w:w="1196" w:type="dxa"/>
            <w:vMerge w:val="continue"/>
            <w:tcBorders>
              <w:top w:val="single" w:color="000000" w:sz="4" w:space="0"/>
              <w:left w:val="single" w:color="000000" w:sz="4" w:space="0"/>
              <w:bottom w:val="nil"/>
              <w:right w:val="single" w:color="000000" w:sz="4" w:space="0"/>
            </w:tcBorders>
            <w:shd w:val="clear" w:color="auto" w:fill="auto"/>
            <w:vAlign w:val="center"/>
          </w:tcPr>
          <w:p w14:paraId="2246729E">
            <w:pPr>
              <w:jc w:val="center"/>
              <w:rPr>
                <w:rFonts w:hint="eastAsia" w:ascii="宋体" w:hAnsi="宋体" w:eastAsia="宋体" w:cs="宋体"/>
                <w:i w:val="0"/>
                <w:iCs w:val="0"/>
                <w:color w:val="auto"/>
                <w:sz w:val="18"/>
                <w:szCs w:val="18"/>
                <w:u w:val="none"/>
              </w:rPr>
            </w:pPr>
          </w:p>
        </w:tc>
        <w:tc>
          <w:tcPr>
            <w:tcW w:w="3394" w:type="dxa"/>
            <w:vMerge w:val="continue"/>
            <w:tcBorders>
              <w:top w:val="single" w:color="000000" w:sz="4" w:space="0"/>
              <w:left w:val="single" w:color="000000" w:sz="4" w:space="0"/>
              <w:bottom w:val="nil"/>
              <w:right w:val="single" w:color="000000" w:sz="4" w:space="0"/>
            </w:tcBorders>
            <w:shd w:val="clear" w:color="auto" w:fill="auto"/>
            <w:vAlign w:val="center"/>
          </w:tcPr>
          <w:p w14:paraId="79B8F68E">
            <w:pPr>
              <w:jc w:val="center"/>
              <w:rPr>
                <w:rFonts w:hint="eastAsia" w:ascii="宋体" w:hAnsi="宋体" w:eastAsia="宋体" w:cs="宋体"/>
                <w:i w:val="0"/>
                <w:iCs w:val="0"/>
                <w:color w:val="auto"/>
                <w:sz w:val="18"/>
                <w:szCs w:val="18"/>
                <w:u w:val="none"/>
              </w:rPr>
            </w:pPr>
          </w:p>
        </w:tc>
        <w:tc>
          <w:tcPr>
            <w:tcW w:w="5148" w:type="dxa"/>
            <w:vMerge w:val="continue"/>
            <w:tcBorders>
              <w:top w:val="single" w:color="000000" w:sz="4" w:space="0"/>
              <w:left w:val="single" w:color="000000" w:sz="4" w:space="0"/>
              <w:bottom w:val="nil"/>
              <w:right w:val="single" w:color="000000" w:sz="4" w:space="0"/>
            </w:tcBorders>
            <w:shd w:val="clear" w:color="auto" w:fill="auto"/>
            <w:vAlign w:val="center"/>
          </w:tcPr>
          <w:p w14:paraId="127FCD57">
            <w:pPr>
              <w:jc w:val="center"/>
              <w:rPr>
                <w:rFonts w:hint="eastAsia" w:ascii="宋体" w:hAnsi="宋体" w:eastAsia="宋体" w:cs="宋体"/>
                <w:i w:val="0"/>
                <w:iCs w:val="0"/>
                <w:color w:val="auto"/>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7B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674" w:type="dxa"/>
            <w:vMerge w:val="continue"/>
            <w:tcBorders>
              <w:top w:val="single" w:color="000000" w:sz="4" w:space="0"/>
              <w:left w:val="single" w:color="000000" w:sz="4" w:space="0"/>
              <w:bottom w:val="nil"/>
              <w:right w:val="single" w:color="000000" w:sz="4" w:space="0"/>
            </w:tcBorders>
            <w:shd w:val="clear" w:color="auto" w:fill="auto"/>
            <w:vAlign w:val="center"/>
          </w:tcPr>
          <w:p w14:paraId="4FD894D0">
            <w:pPr>
              <w:jc w:val="center"/>
              <w:rPr>
                <w:rFonts w:hint="eastAsia" w:ascii="宋体" w:hAnsi="宋体" w:eastAsia="宋体" w:cs="宋体"/>
                <w:i w:val="0"/>
                <w:iCs w:val="0"/>
                <w:color w:val="auto"/>
                <w:sz w:val="18"/>
                <w:szCs w:val="18"/>
                <w:u w:val="none"/>
              </w:rPr>
            </w:pPr>
          </w:p>
        </w:tc>
      </w:tr>
      <w:tr w14:paraId="2A89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B8023">
            <w:pPr>
              <w:jc w:val="center"/>
              <w:rPr>
                <w:rFonts w:hint="eastAsia" w:ascii="宋体" w:hAnsi="宋体" w:eastAsia="宋体" w:cs="宋体"/>
                <w:b/>
                <w:bCs/>
                <w:i w:val="0"/>
                <w:iCs w:val="0"/>
                <w:color w:val="auto"/>
                <w:sz w:val="18"/>
                <w:szCs w:val="18"/>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3159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预算管理</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（31分）</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A5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预算编制质量</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1C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F5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部门是否严格按要求编制年初部门预算，年初预算编制的科学性和准确性</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07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该项指标得分=（1-财政拨款预算偏离度）×100%×8。偏离度=|预算执行数-调整预算数|÷调整预算数。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E2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9E5E1">
            <w:pPr>
              <w:jc w:val="center"/>
              <w:rPr>
                <w:rFonts w:hint="eastAsia" w:ascii="宋体" w:hAnsi="宋体" w:eastAsia="宋体" w:cs="宋体"/>
                <w:i w:val="0"/>
                <w:iCs w:val="0"/>
                <w:color w:val="auto"/>
                <w:sz w:val="18"/>
                <w:szCs w:val="18"/>
                <w:u w:val="none"/>
              </w:rPr>
            </w:pPr>
          </w:p>
        </w:tc>
      </w:tr>
      <w:tr w14:paraId="1ED1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EE88E">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BE41">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24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支出执行进度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8C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A7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部门1至12月预算执行情况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BC4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w:t>
            </w:r>
            <w:r>
              <w:rPr>
                <w:rFonts w:hint="eastAsia" w:ascii="宋体" w:hAnsi="宋体" w:cs="宋体"/>
                <w:i w:val="0"/>
                <w:iCs w:val="0"/>
                <w:color w:val="auto"/>
                <w:kern w:val="0"/>
                <w:sz w:val="18"/>
                <w:szCs w:val="18"/>
                <w:u w:val="none"/>
                <w:lang w:val="en-US" w:eastAsia="zh-CN" w:bidi="ar"/>
              </w:rPr>
              <w:t>中央、省委</w:t>
            </w:r>
            <w:r>
              <w:rPr>
                <w:rFonts w:hint="eastAsia" w:ascii="宋体" w:hAnsi="宋体" w:eastAsia="宋体" w:cs="宋体"/>
                <w:i w:val="0"/>
                <w:iCs w:val="0"/>
                <w:color w:val="auto"/>
                <w:kern w:val="0"/>
                <w:sz w:val="18"/>
                <w:szCs w:val="18"/>
                <w:u w:val="none"/>
                <w:lang w:val="en-US" w:eastAsia="zh-CN" w:bidi="ar"/>
              </w:rPr>
              <w:t>转移支付资金1至12月实际支出数÷1-12月部门预算数*3+专项债券资金实际支出数÷1-12月部门预算数*3+专项预算项目1至12月实际支出数÷1-12月预算数*3。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87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E191">
            <w:pPr>
              <w:jc w:val="center"/>
              <w:rPr>
                <w:rFonts w:hint="eastAsia" w:ascii="宋体" w:hAnsi="宋体" w:eastAsia="宋体" w:cs="宋体"/>
                <w:i w:val="0"/>
                <w:iCs w:val="0"/>
                <w:color w:val="auto"/>
                <w:sz w:val="18"/>
                <w:szCs w:val="18"/>
                <w:u w:val="none"/>
              </w:rPr>
            </w:pPr>
          </w:p>
        </w:tc>
      </w:tr>
      <w:tr w14:paraId="147B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C396E">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CF45E">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39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预算年终结余</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8E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8D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部门整体年终预算结余情况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585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D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5FB40">
            <w:pPr>
              <w:jc w:val="center"/>
              <w:rPr>
                <w:rFonts w:hint="eastAsia" w:ascii="宋体" w:hAnsi="宋体" w:eastAsia="宋体" w:cs="宋体"/>
                <w:i w:val="0"/>
                <w:iCs w:val="0"/>
                <w:color w:val="auto"/>
                <w:sz w:val="18"/>
                <w:szCs w:val="18"/>
                <w:u w:val="none"/>
              </w:rPr>
            </w:pPr>
          </w:p>
        </w:tc>
      </w:tr>
      <w:tr w14:paraId="748E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6421">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D27C3">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27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严控一般性支出</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D2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3C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部门严控“三公”经费、会议、培训、差旅、办节办展、办公设备购置、信息网络及软件购置更新、课题经费等8项一般性支出情况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CB8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该项指标得分=基础分值+加分值。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DF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4314A">
            <w:pPr>
              <w:jc w:val="center"/>
              <w:rPr>
                <w:rFonts w:hint="eastAsia" w:ascii="宋体" w:hAnsi="宋体" w:eastAsia="宋体" w:cs="宋体"/>
                <w:i w:val="0"/>
                <w:iCs w:val="0"/>
                <w:color w:val="auto"/>
                <w:sz w:val="18"/>
                <w:szCs w:val="18"/>
                <w:u w:val="none"/>
              </w:rPr>
            </w:pPr>
          </w:p>
        </w:tc>
      </w:tr>
      <w:tr w14:paraId="409F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3B32">
            <w:pPr>
              <w:jc w:val="center"/>
              <w:rPr>
                <w:rFonts w:hint="eastAsia" w:ascii="宋体" w:hAnsi="宋体" w:eastAsia="宋体" w:cs="宋体"/>
                <w:b/>
                <w:bCs/>
                <w:i w:val="0"/>
                <w:iCs w:val="0"/>
                <w:color w:val="auto"/>
                <w:sz w:val="18"/>
                <w:szCs w:val="18"/>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E2D8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资产管理</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（9分）</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B3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人均资产变化率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65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A5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部门人均资产变化情况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8A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63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94B91">
            <w:pPr>
              <w:jc w:val="center"/>
              <w:rPr>
                <w:rFonts w:hint="eastAsia" w:ascii="宋体" w:hAnsi="宋体" w:eastAsia="宋体" w:cs="宋体"/>
                <w:i w:val="0"/>
                <w:iCs w:val="0"/>
                <w:color w:val="auto"/>
                <w:sz w:val="18"/>
                <w:szCs w:val="18"/>
                <w:u w:val="none"/>
              </w:rPr>
            </w:pPr>
          </w:p>
        </w:tc>
      </w:tr>
      <w:tr w14:paraId="5F56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5AACC">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4341">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F1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资产利用率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AA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0D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部门资产超最低使用年限情况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FB1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超最低使用年限的办公家具账面原值÷办公家具账面原值×100%×1.5）省级平均值办公家具为N=16.77%。Y≥N，得1.5分；0.8N≤Y＜N，得1分；0.5N≤Y＜0.8N，得0.5分；Y＜0.5N，得0分。+（超最低使用年限的办公设备账面原值÷办公设备账面原值×100%×1.5）。省级平均值办公设备为N=41.20%。Y≥N，得1.5分；0.8N≤Y＜N，得1分；0.5N≤Y＜0.8N，得0.5分；Y＜0.5N，得0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8D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4C46">
            <w:pPr>
              <w:jc w:val="center"/>
              <w:rPr>
                <w:rFonts w:hint="eastAsia" w:ascii="宋体" w:hAnsi="宋体" w:eastAsia="宋体" w:cs="宋体"/>
                <w:i w:val="0"/>
                <w:iCs w:val="0"/>
                <w:color w:val="auto"/>
                <w:sz w:val="18"/>
                <w:szCs w:val="18"/>
                <w:u w:val="none"/>
              </w:rPr>
            </w:pPr>
          </w:p>
        </w:tc>
      </w:tr>
      <w:tr w14:paraId="0FF6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7F0B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总体绩效</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（56分）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114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资产管理</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（9分）</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79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资产盘活率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7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B0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部门闲置一年以上的资产盘活情况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8F2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6B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39B4">
            <w:pPr>
              <w:jc w:val="center"/>
              <w:rPr>
                <w:rFonts w:hint="eastAsia" w:ascii="宋体" w:hAnsi="宋体" w:eastAsia="宋体" w:cs="宋体"/>
                <w:i w:val="0"/>
                <w:iCs w:val="0"/>
                <w:color w:val="auto"/>
                <w:sz w:val="18"/>
                <w:szCs w:val="18"/>
                <w:u w:val="none"/>
              </w:rPr>
            </w:pPr>
          </w:p>
        </w:tc>
      </w:tr>
      <w:tr w14:paraId="4464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564C">
            <w:pPr>
              <w:jc w:val="center"/>
              <w:rPr>
                <w:rFonts w:hint="eastAsia" w:ascii="宋体" w:hAnsi="宋体" w:eastAsia="宋体" w:cs="宋体"/>
                <w:b/>
                <w:bCs/>
                <w:i w:val="0"/>
                <w:iCs w:val="0"/>
                <w:color w:val="auto"/>
                <w:sz w:val="18"/>
                <w:szCs w:val="18"/>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290A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采购管理</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（6分）</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EC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支持中小企业发展</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72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3B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部门是否严格执行政府采购促进中小企业发展相关管理办法</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CA5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7E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02ED5">
            <w:pPr>
              <w:jc w:val="center"/>
              <w:rPr>
                <w:rFonts w:hint="eastAsia" w:ascii="宋体" w:hAnsi="宋体" w:eastAsia="宋体" w:cs="宋体"/>
                <w:i w:val="0"/>
                <w:iCs w:val="0"/>
                <w:color w:val="auto"/>
                <w:sz w:val="18"/>
                <w:szCs w:val="18"/>
                <w:u w:val="none"/>
              </w:rPr>
            </w:pPr>
          </w:p>
        </w:tc>
      </w:tr>
      <w:tr w14:paraId="3C9F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233CD">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0342">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E9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采购执行率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85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39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部门政府采购项目资金支付比例情况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8F2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该项指标得分=当年政府采购实际支付总金额÷（当年政府采购总预算数-当年已完成采购项目节约金额）×100%×3。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50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0E15">
            <w:pPr>
              <w:jc w:val="center"/>
              <w:rPr>
                <w:rFonts w:hint="eastAsia" w:ascii="宋体" w:hAnsi="宋体" w:eastAsia="宋体" w:cs="宋体"/>
                <w:i w:val="0"/>
                <w:iCs w:val="0"/>
                <w:color w:val="auto"/>
                <w:sz w:val="18"/>
                <w:szCs w:val="18"/>
                <w:u w:val="none"/>
              </w:rPr>
            </w:pPr>
          </w:p>
        </w:tc>
      </w:tr>
      <w:tr w14:paraId="5061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C6FA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项目绩效</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（44分）</w:t>
            </w:r>
          </w:p>
        </w:tc>
        <w:tc>
          <w:tcPr>
            <w:tcW w:w="720" w:type="dxa"/>
            <w:vMerge w:val="restart"/>
            <w:tcBorders>
              <w:top w:val="single" w:color="000000" w:sz="4" w:space="0"/>
              <w:left w:val="single" w:color="000000" w:sz="4" w:space="0"/>
              <w:bottom w:val="nil"/>
              <w:right w:val="single" w:color="000000" w:sz="4" w:space="0"/>
            </w:tcBorders>
            <w:shd w:val="clear" w:color="auto" w:fill="auto"/>
            <w:vAlign w:val="center"/>
          </w:tcPr>
          <w:p w14:paraId="6F752DB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项目决策</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（12分）</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04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决策程序</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18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F9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部门预算项目设立是否按规定履行评估论证、申报程序</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C3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部门未履行事前评估程序的部门预算阶段项目（含一次性项目）数量÷应该开展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45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D1A2">
            <w:pPr>
              <w:jc w:val="center"/>
              <w:rPr>
                <w:rFonts w:hint="eastAsia" w:ascii="宋体" w:hAnsi="宋体" w:eastAsia="宋体" w:cs="宋体"/>
                <w:i w:val="0"/>
                <w:iCs w:val="0"/>
                <w:color w:val="auto"/>
                <w:sz w:val="18"/>
                <w:szCs w:val="18"/>
                <w:u w:val="none"/>
              </w:rPr>
            </w:pPr>
          </w:p>
        </w:tc>
      </w:tr>
      <w:tr w14:paraId="24FF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F63B7">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nil"/>
              <w:right w:val="single" w:color="000000" w:sz="4" w:space="0"/>
            </w:tcBorders>
            <w:shd w:val="clear" w:color="auto" w:fill="auto"/>
            <w:vAlign w:val="center"/>
          </w:tcPr>
          <w:p w14:paraId="6F50B1D6">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7F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目标设置</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75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48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35F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53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D8FB">
            <w:pPr>
              <w:jc w:val="center"/>
              <w:rPr>
                <w:rFonts w:hint="eastAsia" w:ascii="宋体" w:hAnsi="宋体" w:eastAsia="宋体" w:cs="宋体"/>
                <w:i w:val="0"/>
                <w:iCs w:val="0"/>
                <w:color w:val="auto"/>
                <w:sz w:val="18"/>
                <w:szCs w:val="18"/>
                <w:u w:val="none"/>
              </w:rPr>
            </w:pPr>
          </w:p>
        </w:tc>
      </w:tr>
      <w:tr w14:paraId="47EF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AA7B">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nil"/>
              <w:right w:val="single" w:color="000000" w:sz="4" w:space="0"/>
            </w:tcBorders>
            <w:shd w:val="clear" w:color="auto" w:fill="auto"/>
            <w:vAlign w:val="center"/>
          </w:tcPr>
          <w:p w14:paraId="49D68A24">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03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项目入库</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47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7C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部门预算项目是否在规定时间完成项目入库</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277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38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0289">
            <w:pPr>
              <w:jc w:val="center"/>
              <w:rPr>
                <w:rFonts w:hint="eastAsia" w:ascii="宋体" w:hAnsi="宋体" w:eastAsia="宋体" w:cs="宋体"/>
                <w:i w:val="0"/>
                <w:iCs w:val="0"/>
                <w:color w:val="auto"/>
                <w:sz w:val="18"/>
                <w:szCs w:val="18"/>
                <w:u w:val="none"/>
              </w:rPr>
            </w:pPr>
          </w:p>
        </w:tc>
      </w:tr>
      <w:tr w14:paraId="6A33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6FEFB">
            <w:pPr>
              <w:jc w:val="center"/>
              <w:rPr>
                <w:rFonts w:hint="eastAsia" w:ascii="宋体" w:hAnsi="宋体" w:eastAsia="宋体" w:cs="宋体"/>
                <w:b/>
                <w:bCs/>
                <w:i w:val="0"/>
                <w:iCs w:val="0"/>
                <w:color w:val="auto"/>
                <w:sz w:val="18"/>
                <w:szCs w:val="18"/>
                <w:u w:val="none"/>
              </w:rPr>
            </w:pPr>
          </w:p>
        </w:tc>
        <w:tc>
          <w:tcPr>
            <w:tcW w:w="720" w:type="dxa"/>
            <w:vMerge w:val="restart"/>
            <w:tcBorders>
              <w:top w:val="single" w:color="000000" w:sz="4" w:space="0"/>
              <w:left w:val="single" w:color="000000" w:sz="4" w:space="0"/>
              <w:bottom w:val="nil"/>
              <w:right w:val="single" w:color="000000" w:sz="4" w:space="0"/>
            </w:tcBorders>
            <w:shd w:val="clear" w:color="auto" w:fill="auto"/>
            <w:vAlign w:val="center"/>
          </w:tcPr>
          <w:p w14:paraId="132DEFE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项目执行</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（15分）</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25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执行同向</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D5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D9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部门预算项目实际列支内容是否与绩效目标设置方向相符</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53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CC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EE42">
            <w:pPr>
              <w:jc w:val="center"/>
              <w:rPr>
                <w:rFonts w:hint="eastAsia" w:ascii="宋体" w:hAnsi="宋体" w:eastAsia="宋体" w:cs="宋体"/>
                <w:i w:val="0"/>
                <w:iCs w:val="0"/>
                <w:color w:val="auto"/>
                <w:sz w:val="18"/>
                <w:szCs w:val="18"/>
                <w:u w:val="none"/>
              </w:rPr>
            </w:pPr>
          </w:p>
        </w:tc>
      </w:tr>
      <w:tr w14:paraId="0E47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7531">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nil"/>
              <w:right w:val="single" w:color="000000" w:sz="4" w:space="0"/>
            </w:tcBorders>
            <w:shd w:val="clear" w:color="auto" w:fill="auto"/>
            <w:vAlign w:val="center"/>
          </w:tcPr>
          <w:p w14:paraId="0EB2B82D">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18E3A8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项目调整</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75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51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部门预算项目是否采取对应调整措施</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8CF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00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F1E5">
            <w:pPr>
              <w:jc w:val="center"/>
              <w:rPr>
                <w:rFonts w:hint="eastAsia" w:ascii="宋体" w:hAnsi="宋体" w:eastAsia="宋体" w:cs="宋体"/>
                <w:i w:val="0"/>
                <w:iCs w:val="0"/>
                <w:color w:val="auto"/>
                <w:sz w:val="18"/>
                <w:szCs w:val="18"/>
                <w:u w:val="none"/>
              </w:rPr>
            </w:pPr>
          </w:p>
        </w:tc>
      </w:tr>
      <w:tr w14:paraId="25D1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3128">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nil"/>
              <w:right w:val="single" w:color="000000" w:sz="4" w:space="0"/>
            </w:tcBorders>
            <w:shd w:val="clear" w:color="auto" w:fill="auto"/>
            <w:vAlign w:val="center"/>
          </w:tcPr>
          <w:p w14:paraId="71116DA6">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F1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执行结果</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B5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D1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部门预算项目预算执行情况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CD2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57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6030">
            <w:pPr>
              <w:jc w:val="center"/>
              <w:rPr>
                <w:rFonts w:hint="eastAsia" w:ascii="宋体" w:hAnsi="宋体" w:eastAsia="宋体" w:cs="宋体"/>
                <w:i w:val="0"/>
                <w:iCs w:val="0"/>
                <w:color w:val="auto"/>
                <w:sz w:val="18"/>
                <w:szCs w:val="18"/>
                <w:u w:val="none"/>
              </w:rPr>
            </w:pPr>
          </w:p>
        </w:tc>
      </w:tr>
      <w:tr w14:paraId="0E1D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5D411">
            <w:pPr>
              <w:jc w:val="center"/>
              <w:rPr>
                <w:rFonts w:hint="eastAsia" w:ascii="宋体" w:hAnsi="宋体" w:eastAsia="宋体" w:cs="宋体"/>
                <w:b/>
                <w:bCs/>
                <w:i w:val="0"/>
                <w:iCs w:val="0"/>
                <w:color w:val="auto"/>
                <w:sz w:val="18"/>
                <w:szCs w:val="18"/>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B5B1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目标实现</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（17分）</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D0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目标完成</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A3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10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部门预算项目绩效目标数量指标完成情况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F8A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该项指标得分=完成绩效目标数量指标的部门预算阶段项目（含一次性项目）数量÷部门预算阶段项目（含一次性项目）总数×100%×6。</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A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B791">
            <w:pPr>
              <w:jc w:val="center"/>
              <w:rPr>
                <w:rFonts w:hint="eastAsia" w:ascii="宋体" w:hAnsi="宋体" w:eastAsia="宋体" w:cs="宋体"/>
                <w:i w:val="0"/>
                <w:iCs w:val="0"/>
                <w:color w:val="auto"/>
                <w:sz w:val="18"/>
                <w:szCs w:val="18"/>
                <w:u w:val="none"/>
              </w:rPr>
            </w:pPr>
          </w:p>
        </w:tc>
      </w:tr>
      <w:tr w14:paraId="6C8D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60A8D">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C4B42">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C8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目标偏离</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C0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64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部门预算项目绩效目标数量指标实现程度与预期目标的偏离情况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254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FE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DB50">
            <w:pPr>
              <w:jc w:val="center"/>
              <w:rPr>
                <w:rFonts w:hint="eastAsia" w:ascii="宋体" w:hAnsi="宋体" w:eastAsia="宋体" w:cs="宋体"/>
                <w:i w:val="0"/>
                <w:iCs w:val="0"/>
                <w:color w:val="auto"/>
                <w:sz w:val="18"/>
                <w:szCs w:val="18"/>
                <w:u w:val="none"/>
              </w:rPr>
            </w:pPr>
          </w:p>
        </w:tc>
      </w:tr>
      <w:tr w14:paraId="6B6C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FB83">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EE206">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6D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实现效果</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F8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E6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部门预算项目绩效目标效益指标实施效果</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37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该项指标得分=完成绩效目标效益指标的部门预算阶段项目（含一次性项目）数量÷部门预算阶段项目（含一次性项目）总数×100%×5。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06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80B9">
            <w:pPr>
              <w:jc w:val="center"/>
              <w:rPr>
                <w:rFonts w:hint="eastAsia" w:ascii="宋体" w:hAnsi="宋体" w:eastAsia="宋体" w:cs="宋体"/>
                <w:i w:val="0"/>
                <w:iCs w:val="0"/>
                <w:color w:val="auto"/>
                <w:sz w:val="18"/>
                <w:szCs w:val="18"/>
                <w:u w:val="none"/>
              </w:rPr>
            </w:pPr>
          </w:p>
        </w:tc>
      </w:tr>
      <w:tr w14:paraId="2CFF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1F67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扣分项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8AF2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财务管理</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B3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财务管理制度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87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E7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部门财务管理制度建立情况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1F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部门未制定内部财务管理制度等制度机制的,财务管理制度未得到落实，发现一处扣1分，扣完为止。</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1D7C">
            <w:pPr>
              <w:jc w:val="center"/>
              <w:rPr>
                <w:rFonts w:hint="eastAsia" w:ascii="宋体" w:hAnsi="宋体" w:eastAsia="宋体" w:cs="宋体"/>
                <w:i w:val="0"/>
                <w:iCs w:val="0"/>
                <w:color w:val="auto"/>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597E">
            <w:pPr>
              <w:jc w:val="center"/>
              <w:rPr>
                <w:rFonts w:hint="eastAsia" w:ascii="宋体" w:hAnsi="宋体" w:eastAsia="宋体" w:cs="宋体"/>
                <w:i w:val="0"/>
                <w:iCs w:val="0"/>
                <w:color w:val="auto"/>
                <w:sz w:val="18"/>
                <w:szCs w:val="18"/>
                <w:u w:val="none"/>
              </w:rPr>
            </w:pPr>
          </w:p>
        </w:tc>
      </w:tr>
      <w:tr w14:paraId="7ADC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A3E3">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A7085">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FC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财务岗位设置</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A7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44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部门财务岗位设置是否符合相关财务管理制度要求</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3D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部门未合理设置财务工作岗位，职责权限不明确，未严格实行不相容岗位分离，发现一处扣1分，扣完为止。</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FCC1">
            <w:pPr>
              <w:jc w:val="center"/>
              <w:rPr>
                <w:rFonts w:hint="eastAsia" w:ascii="宋体" w:hAnsi="宋体" w:eastAsia="宋体" w:cs="宋体"/>
                <w:i w:val="0"/>
                <w:iCs w:val="0"/>
                <w:color w:val="auto"/>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184B">
            <w:pPr>
              <w:jc w:val="center"/>
              <w:rPr>
                <w:rFonts w:hint="eastAsia" w:ascii="宋体" w:hAnsi="宋体" w:eastAsia="宋体" w:cs="宋体"/>
                <w:i w:val="0"/>
                <w:iCs w:val="0"/>
                <w:color w:val="auto"/>
                <w:sz w:val="18"/>
                <w:szCs w:val="18"/>
                <w:u w:val="none"/>
              </w:rPr>
            </w:pPr>
          </w:p>
        </w:tc>
      </w:tr>
      <w:tr w14:paraId="069D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3436">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29BFC">
            <w:pPr>
              <w:jc w:val="center"/>
              <w:rPr>
                <w:rFonts w:hint="eastAsia" w:ascii="宋体" w:hAnsi="宋体" w:eastAsia="宋体" w:cs="宋体"/>
                <w:b/>
                <w:bCs/>
                <w:i w:val="0"/>
                <w:iCs w:val="0"/>
                <w:color w:val="auto"/>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1F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资金使用规范</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E5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7D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部门资金使用是否符合相关财务管理制度规定</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2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部门资金使用不符合相关财务管理制度规定的，发现一处扣1分，扣完为止。</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66C6">
            <w:pPr>
              <w:jc w:val="center"/>
              <w:rPr>
                <w:rFonts w:hint="eastAsia" w:ascii="宋体" w:hAnsi="宋体" w:eastAsia="宋体" w:cs="宋体"/>
                <w:i w:val="0"/>
                <w:iCs w:val="0"/>
                <w:color w:val="auto"/>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60C5">
            <w:pPr>
              <w:jc w:val="center"/>
              <w:rPr>
                <w:rFonts w:hint="eastAsia" w:ascii="宋体" w:hAnsi="宋体" w:eastAsia="宋体" w:cs="宋体"/>
                <w:i w:val="0"/>
                <w:iCs w:val="0"/>
                <w:color w:val="auto"/>
                <w:sz w:val="18"/>
                <w:szCs w:val="18"/>
                <w:u w:val="none"/>
              </w:rPr>
            </w:pPr>
          </w:p>
        </w:tc>
      </w:tr>
      <w:tr w14:paraId="5363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CA4CF">
            <w:pPr>
              <w:jc w:val="center"/>
              <w:rPr>
                <w:rFonts w:hint="eastAsia" w:ascii="宋体" w:hAnsi="宋体" w:eastAsia="宋体" w:cs="宋体"/>
                <w:b/>
                <w:bCs/>
                <w:i w:val="0"/>
                <w:iCs w:val="0"/>
                <w:color w:val="auto"/>
                <w:sz w:val="18"/>
                <w:szCs w:val="18"/>
                <w:u w:val="none"/>
              </w:rPr>
            </w:pP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269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预算绩效存在问题</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42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F3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预算管理和绩效管理工作存在问题</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E2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5214">
            <w:pPr>
              <w:jc w:val="center"/>
              <w:rPr>
                <w:rFonts w:hint="eastAsia" w:ascii="宋体" w:hAnsi="宋体" w:eastAsia="宋体" w:cs="宋体"/>
                <w:i w:val="0"/>
                <w:iCs w:val="0"/>
                <w:color w:val="auto"/>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766">
            <w:pPr>
              <w:jc w:val="center"/>
              <w:rPr>
                <w:rFonts w:hint="eastAsia" w:ascii="宋体" w:hAnsi="宋体" w:eastAsia="宋体" w:cs="宋体"/>
                <w:i w:val="0"/>
                <w:iCs w:val="0"/>
                <w:color w:val="auto"/>
                <w:sz w:val="18"/>
                <w:szCs w:val="18"/>
                <w:u w:val="none"/>
              </w:rPr>
            </w:pPr>
          </w:p>
        </w:tc>
      </w:tr>
      <w:tr w14:paraId="3923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00A2">
            <w:pPr>
              <w:jc w:val="center"/>
              <w:rPr>
                <w:rFonts w:hint="eastAsia" w:ascii="宋体" w:hAnsi="宋体" w:eastAsia="宋体" w:cs="宋体"/>
                <w:b/>
                <w:bCs/>
                <w:i w:val="0"/>
                <w:iCs w:val="0"/>
                <w:color w:val="auto"/>
                <w:sz w:val="18"/>
                <w:szCs w:val="18"/>
                <w:u w:val="none"/>
              </w:rPr>
            </w:pP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2AD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被评价部门配合度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90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86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被评价对象工作配合情况</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44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评价工作开展过程中，被评价对象拖延推诿、提交资料不及时等拒不配合评价工作的，每发现一次扣1分，扣完为止。</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BDE9">
            <w:pPr>
              <w:jc w:val="center"/>
              <w:rPr>
                <w:rFonts w:hint="eastAsia" w:ascii="宋体" w:hAnsi="宋体" w:eastAsia="宋体" w:cs="宋体"/>
                <w:i w:val="0"/>
                <w:iCs w:val="0"/>
                <w:color w:val="auto"/>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488F">
            <w:pPr>
              <w:jc w:val="center"/>
              <w:rPr>
                <w:rFonts w:hint="eastAsia" w:ascii="宋体" w:hAnsi="宋体" w:eastAsia="宋体" w:cs="宋体"/>
                <w:i w:val="0"/>
                <w:iCs w:val="0"/>
                <w:color w:val="auto"/>
                <w:sz w:val="18"/>
                <w:szCs w:val="18"/>
                <w:u w:val="none"/>
              </w:rPr>
            </w:pPr>
          </w:p>
        </w:tc>
      </w:tr>
      <w:tr w14:paraId="2602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31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52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分值</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B6F4">
            <w:pPr>
              <w:jc w:val="center"/>
              <w:rPr>
                <w:rFonts w:hint="eastAsia" w:ascii="宋体" w:hAnsi="宋体" w:eastAsia="宋体" w:cs="宋体"/>
                <w:i w:val="0"/>
                <w:iCs w:val="0"/>
                <w:color w:val="auto"/>
                <w:sz w:val="18"/>
                <w:szCs w:val="18"/>
                <w:u w:val="none"/>
              </w:rPr>
            </w:pPr>
          </w:p>
        </w:tc>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494F">
            <w:pPr>
              <w:jc w:val="center"/>
              <w:rPr>
                <w:rFonts w:hint="eastAsia" w:ascii="宋体" w:hAnsi="宋体" w:eastAsia="宋体" w:cs="宋体"/>
                <w:i w:val="0"/>
                <w:iCs w:val="0"/>
                <w:color w:val="auto"/>
                <w:sz w:val="18"/>
                <w:szCs w:val="18"/>
                <w:u w:val="none"/>
              </w:rPr>
            </w:pP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1427">
            <w:pPr>
              <w:jc w:val="center"/>
              <w:rPr>
                <w:rFonts w:hint="eastAsia" w:ascii="宋体" w:hAnsi="宋体" w:eastAsia="宋体" w:cs="宋体"/>
                <w:i w:val="0"/>
                <w:iCs w:val="0"/>
                <w:color w:val="auto"/>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7AFA">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96</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635D">
            <w:pPr>
              <w:jc w:val="center"/>
              <w:rPr>
                <w:rFonts w:hint="eastAsia" w:ascii="宋体" w:hAnsi="宋体" w:eastAsia="宋体" w:cs="宋体"/>
                <w:i w:val="0"/>
                <w:iCs w:val="0"/>
                <w:color w:val="auto"/>
                <w:sz w:val="18"/>
                <w:szCs w:val="18"/>
                <w:u w:val="none"/>
              </w:rPr>
            </w:pPr>
          </w:p>
        </w:tc>
      </w:tr>
    </w:tbl>
    <w:p w14:paraId="41AA70B2">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52AABD62">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0AEED504">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6A85F68A">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sectPr>
          <w:footerReference r:id="rId8" w:type="default"/>
          <w:pgSz w:w="16838" w:h="11906" w:orient="landscape"/>
          <w:pgMar w:top="1800" w:right="1440" w:bottom="1800" w:left="1440" w:header="851" w:footer="992" w:gutter="0"/>
          <w:pgNumType w:fmt="numberInDash" w:start="25"/>
          <w:cols w:space="425" w:num="1"/>
          <w:docGrid w:type="lines" w:linePitch="312" w:charSpace="0"/>
        </w:sectPr>
      </w:pPr>
    </w:p>
    <w:p w14:paraId="11951786">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tbl>
      <w:tblPr>
        <w:tblStyle w:val="20"/>
        <w:tblpPr w:leftFromText="180" w:rightFromText="180" w:vertAnchor="text" w:horzAnchor="page" w:tblpX="748" w:tblpY="717"/>
        <w:tblOverlap w:val="never"/>
        <w:tblW w:w="10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415"/>
        <w:gridCol w:w="1241"/>
        <w:gridCol w:w="1549"/>
        <w:gridCol w:w="429"/>
        <w:gridCol w:w="1179"/>
        <w:gridCol w:w="432"/>
        <w:gridCol w:w="918"/>
        <w:gridCol w:w="527"/>
        <w:gridCol w:w="527"/>
        <w:gridCol w:w="1598"/>
      </w:tblGrid>
      <w:tr w14:paraId="36AA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40578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r>
      <w:tr w14:paraId="6BC2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5AC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7BED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51090424T000011120711-党校建设运行工作经费</w:t>
            </w:r>
          </w:p>
        </w:tc>
      </w:tr>
      <w:tr w14:paraId="0F5B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CF5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CCA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中国共产党遂宁市安居区委员会党校部门</w:t>
            </w:r>
          </w:p>
        </w:tc>
        <w:tc>
          <w:tcPr>
            <w:tcW w:w="918" w:type="dxa"/>
            <w:tcBorders>
              <w:top w:val="nil"/>
              <w:left w:val="nil"/>
              <w:bottom w:val="nil"/>
              <w:right w:val="nil"/>
            </w:tcBorders>
            <w:shd w:val="clear" w:color="auto" w:fill="auto"/>
            <w:vAlign w:val="center"/>
          </w:tcPr>
          <w:p w14:paraId="122C113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C8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中国共产党遂宁市安居区委员会党校</w:t>
            </w:r>
          </w:p>
        </w:tc>
      </w:tr>
      <w:tr w14:paraId="5466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572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533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43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402A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DF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998E6">
            <w:pPr>
              <w:rPr>
                <w:rFonts w:hint="eastAsia" w:ascii="宋体" w:hAnsi="宋体" w:eastAsia="宋体" w:cs="宋体"/>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EE96">
            <w:pPr>
              <w:rPr>
                <w:rFonts w:hint="eastAsia" w:ascii="宋体" w:hAnsi="宋体" w:eastAsia="宋体" w:cs="宋体"/>
                <w:i w:val="0"/>
                <w:iCs w:val="0"/>
                <w:color w:val="000000"/>
                <w:sz w:val="18"/>
                <w:szCs w:val="18"/>
                <w:u w:val="none"/>
              </w:rPr>
            </w:pP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32EA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保障党校运行维护</w:t>
            </w:r>
          </w:p>
        </w:tc>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E75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eastAsia="zh-CN"/>
              </w:rPr>
              <w:t>较好的完成</w:t>
            </w:r>
            <w:r>
              <w:rPr>
                <w:rFonts w:hint="eastAsia" w:ascii="黑体" w:hAnsi="黑体" w:eastAsia="黑体" w:cs="黑体"/>
                <w:i w:val="0"/>
                <w:iCs w:val="0"/>
                <w:color w:val="000000"/>
                <w:sz w:val="18"/>
                <w:szCs w:val="18"/>
                <w:u w:val="none"/>
              </w:rPr>
              <w:t>教学场地</w:t>
            </w:r>
            <w:r>
              <w:rPr>
                <w:rFonts w:hint="eastAsia" w:ascii="黑体" w:hAnsi="黑体" w:eastAsia="黑体" w:cs="黑体"/>
                <w:i w:val="0"/>
                <w:iCs w:val="0"/>
                <w:color w:val="000000"/>
                <w:sz w:val="18"/>
                <w:szCs w:val="18"/>
                <w:u w:val="none"/>
                <w:lang w:eastAsia="zh-CN"/>
              </w:rPr>
              <w:t>日常运行</w:t>
            </w:r>
            <w:r>
              <w:rPr>
                <w:rFonts w:hint="eastAsia" w:ascii="黑体" w:hAnsi="黑体" w:eastAsia="黑体" w:cs="黑体"/>
                <w:i w:val="0"/>
                <w:iCs w:val="0"/>
                <w:color w:val="000000"/>
                <w:sz w:val="18"/>
                <w:szCs w:val="18"/>
                <w:u w:val="none"/>
              </w:rPr>
              <w:t>维护</w:t>
            </w:r>
          </w:p>
        </w:tc>
      </w:tr>
      <w:tr w14:paraId="6DA7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FFA5">
            <w:pP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DD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378B56">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主要用于</w:t>
            </w:r>
            <w:r>
              <w:rPr>
                <w:rFonts w:hint="eastAsia" w:ascii="宋体" w:hAnsi="宋体" w:eastAsia="宋体" w:cs="宋体"/>
                <w:i w:val="0"/>
                <w:iCs w:val="0"/>
                <w:color w:val="000000"/>
                <w:sz w:val="18"/>
                <w:szCs w:val="18"/>
                <w:u w:val="none"/>
              </w:rPr>
              <w:t>教学场地维护</w:t>
            </w:r>
            <w:r>
              <w:rPr>
                <w:rFonts w:hint="eastAsia" w:ascii="宋体" w:hAnsi="宋体" w:cs="宋体"/>
                <w:i w:val="0"/>
                <w:iCs w:val="0"/>
                <w:color w:val="000000"/>
                <w:sz w:val="18"/>
                <w:szCs w:val="18"/>
                <w:u w:val="none"/>
                <w:lang w:eastAsia="zh-CN"/>
              </w:rPr>
              <w:t>，包括授课音响设施设备、办公桌椅、信息化软硬件等。</w:t>
            </w:r>
          </w:p>
        </w:tc>
      </w:tr>
      <w:tr w14:paraId="111B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1F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0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3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5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A8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0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D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E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C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658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8722">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3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7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1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FB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D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3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1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3EC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CDB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B0FE">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1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A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5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AE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1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2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1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C3523">
            <w:pPr>
              <w:rPr>
                <w:rFonts w:hint="eastAsia" w:ascii="黑体" w:hAnsi="黑体" w:eastAsia="黑体" w:cs="黑体"/>
                <w:i w:val="0"/>
                <w:iCs w:val="0"/>
                <w:color w:val="000000"/>
                <w:sz w:val="18"/>
                <w:szCs w:val="18"/>
                <w:u w:val="none"/>
              </w:rPr>
            </w:pPr>
          </w:p>
        </w:tc>
      </w:tr>
      <w:tr w14:paraId="73AF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5D577">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4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7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A1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8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F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A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FF330">
            <w:pPr>
              <w:rPr>
                <w:rFonts w:hint="eastAsia" w:ascii="黑体" w:hAnsi="黑体" w:eastAsia="黑体" w:cs="黑体"/>
                <w:i w:val="0"/>
                <w:iCs w:val="0"/>
                <w:color w:val="000000"/>
                <w:sz w:val="18"/>
                <w:szCs w:val="18"/>
                <w:u w:val="none"/>
              </w:rPr>
            </w:pPr>
          </w:p>
        </w:tc>
      </w:tr>
      <w:tr w14:paraId="76EE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D0F3B">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7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0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7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F5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A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1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0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9B64">
            <w:pPr>
              <w:rPr>
                <w:rFonts w:hint="eastAsia" w:ascii="黑体" w:hAnsi="黑体" w:eastAsia="黑体" w:cs="黑体"/>
                <w:i w:val="0"/>
                <w:iCs w:val="0"/>
                <w:color w:val="000000"/>
                <w:sz w:val="18"/>
                <w:szCs w:val="18"/>
                <w:u w:val="none"/>
              </w:rPr>
            </w:pPr>
          </w:p>
        </w:tc>
      </w:tr>
      <w:tr w14:paraId="0D08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AFF2D">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6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5862">
            <w:pPr>
              <w:jc w:val="center"/>
              <w:rPr>
                <w:rFonts w:hint="eastAsia" w:ascii="微软雅黑" w:hAnsi="微软雅黑" w:eastAsia="微软雅黑" w:cs="微软雅黑"/>
                <w:i w:val="0"/>
                <w:iCs w:val="0"/>
                <w:color w:val="000000"/>
                <w:sz w:val="16"/>
                <w:szCs w:val="16"/>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7B7A">
            <w:pPr>
              <w:jc w:val="center"/>
              <w:rPr>
                <w:rFonts w:hint="eastAsia" w:ascii="微软雅黑" w:hAnsi="微软雅黑" w:eastAsia="微软雅黑" w:cs="微软雅黑"/>
                <w:i w:val="0"/>
                <w:iCs w:val="0"/>
                <w:color w:val="000000"/>
                <w:sz w:val="16"/>
                <w:szCs w:val="16"/>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42FCC">
            <w:pPr>
              <w:jc w:val="center"/>
              <w:rPr>
                <w:rFonts w:hint="eastAsia" w:ascii="微软雅黑" w:hAnsi="微软雅黑" w:eastAsia="微软雅黑" w:cs="微软雅黑"/>
                <w:i w:val="0"/>
                <w:iCs w:val="0"/>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7DB2">
            <w:pPr>
              <w:jc w:val="center"/>
              <w:rPr>
                <w:rFonts w:hint="eastAsia" w:ascii="微软雅黑" w:hAnsi="微软雅黑" w:eastAsia="微软雅黑" w:cs="微软雅黑"/>
                <w:i w:val="0"/>
                <w:iCs w:val="0"/>
                <w:color w:val="000000"/>
                <w:sz w:val="16"/>
                <w:szCs w:val="16"/>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3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4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A538">
            <w:pPr>
              <w:rPr>
                <w:rFonts w:hint="eastAsia" w:ascii="黑体" w:hAnsi="黑体" w:eastAsia="黑体" w:cs="黑体"/>
                <w:i w:val="0"/>
                <w:iCs w:val="0"/>
                <w:color w:val="000000"/>
                <w:sz w:val="18"/>
                <w:szCs w:val="18"/>
                <w:u w:val="none"/>
              </w:rPr>
            </w:pPr>
          </w:p>
        </w:tc>
      </w:tr>
      <w:tr w14:paraId="3258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EC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E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0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7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2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4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B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1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8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8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DD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920B8">
            <w:pPr>
              <w:jc w:val="center"/>
              <w:rPr>
                <w:rFonts w:hint="eastAsia" w:ascii="宋体" w:hAnsi="宋体" w:eastAsia="宋体" w:cs="宋体"/>
                <w:i w:val="0"/>
                <w:iCs w:val="0"/>
                <w:color w:val="000000"/>
                <w:sz w:val="18"/>
                <w:szCs w:val="18"/>
                <w:u w:val="none"/>
              </w:rPr>
            </w:pP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48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4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F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维护教学场地数量</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C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2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C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7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1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0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4C36">
            <w:pPr>
              <w:jc w:val="center"/>
              <w:rPr>
                <w:rFonts w:hint="eastAsia" w:ascii="微软雅黑" w:hAnsi="微软雅黑" w:eastAsia="微软雅黑" w:cs="微软雅黑"/>
                <w:i w:val="0"/>
                <w:iCs w:val="0"/>
                <w:color w:val="000000"/>
                <w:sz w:val="16"/>
                <w:szCs w:val="16"/>
                <w:u w:val="none"/>
              </w:rPr>
            </w:pPr>
          </w:p>
        </w:tc>
      </w:tr>
      <w:tr w14:paraId="46B6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94965">
            <w:pPr>
              <w:jc w:val="center"/>
              <w:rPr>
                <w:rFonts w:hint="eastAsia" w:ascii="宋体" w:hAnsi="宋体" w:eastAsia="宋体" w:cs="宋体"/>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876B">
            <w:pPr>
              <w:jc w:val="center"/>
              <w:rPr>
                <w:rFonts w:hint="eastAsia" w:ascii="宋体" w:hAnsi="宋体"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C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6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运行维护质量</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4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2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2E5B">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A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E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C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A3E2">
            <w:pPr>
              <w:jc w:val="center"/>
              <w:rPr>
                <w:rFonts w:hint="eastAsia" w:ascii="微软雅黑" w:hAnsi="微软雅黑" w:eastAsia="微软雅黑" w:cs="微软雅黑"/>
                <w:i w:val="0"/>
                <w:iCs w:val="0"/>
                <w:color w:val="000000"/>
                <w:sz w:val="16"/>
                <w:szCs w:val="16"/>
                <w:u w:val="none"/>
              </w:rPr>
            </w:pPr>
          </w:p>
        </w:tc>
      </w:tr>
      <w:tr w14:paraId="1117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9E12">
            <w:pPr>
              <w:jc w:val="center"/>
              <w:rPr>
                <w:rFonts w:hint="eastAsia" w:ascii="宋体" w:hAnsi="宋体" w:eastAsia="宋体" w:cs="宋体"/>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5179">
            <w:pPr>
              <w:jc w:val="center"/>
              <w:rPr>
                <w:rFonts w:hint="eastAsia" w:ascii="宋体" w:hAnsi="宋体"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F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D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C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8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5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F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2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F8FF">
            <w:pPr>
              <w:jc w:val="center"/>
              <w:rPr>
                <w:rFonts w:hint="eastAsia" w:ascii="微软雅黑" w:hAnsi="微软雅黑" w:eastAsia="微软雅黑" w:cs="微软雅黑"/>
                <w:i w:val="0"/>
                <w:iCs w:val="0"/>
                <w:color w:val="000000"/>
                <w:sz w:val="16"/>
                <w:szCs w:val="16"/>
                <w:u w:val="none"/>
              </w:rPr>
            </w:pPr>
          </w:p>
        </w:tc>
      </w:tr>
      <w:tr w14:paraId="59A2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7095E">
            <w:pPr>
              <w:jc w:val="center"/>
              <w:rPr>
                <w:rFonts w:hint="eastAsia" w:ascii="宋体" w:hAnsi="宋体" w:eastAsia="宋体" w:cs="宋体"/>
                <w:i w:val="0"/>
                <w:iCs w:val="0"/>
                <w:color w:val="000000"/>
                <w:sz w:val="18"/>
                <w:szCs w:val="18"/>
                <w:u w:val="none"/>
              </w:rPr>
            </w:pP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4D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2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F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对学员效益</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A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2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05CE">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C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C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D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3427">
            <w:pPr>
              <w:jc w:val="center"/>
              <w:rPr>
                <w:rFonts w:hint="eastAsia" w:ascii="微软雅黑" w:hAnsi="微软雅黑" w:eastAsia="微软雅黑" w:cs="微软雅黑"/>
                <w:i w:val="0"/>
                <w:iCs w:val="0"/>
                <w:color w:val="000000"/>
                <w:sz w:val="16"/>
                <w:szCs w:val="16"/>
                <w:u w:val="none"/>
              </w:rPr>
            </w:pPr>
          </w:p>
        </w:tc>
      </w:tr>
      <w:tr w14:paraId="1F7D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B8F2">
            <w:pPr>
              <w:jc w:val="center"/>
              <w:rPr>
                <w:rFonts w:hint="eastAsia" w:ascii="宋体" w:hAnsi="宋体" w:eastAsia="宋体" w:cs="宋体"/>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4EDB">
            <w:pPr>
              <w:jc w:val="center"/>
              <w:rPr>
                <w:rFonts w:hint="eastAsia" w:ascii="宋体" w:hAnsi="宋体"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F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1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对教学可持续性影响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6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5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D6AC">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6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2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6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582B">
            <w:pPr>
              <w:jc w:val="center"/>
              <w:rPr>
                <w:rFonts w:hint="eastAsia" w:ascii="微软雅黑" w:hAnsi="微软雅黑" w:eastAsia="微软雅黑" w:cs="微软雅黑"/>
                <w:i w:val="0"/>
                <w:iCs w:val="0"/>
                <w:color w:val="000000"/>
                <w:sz w:val="16"/>
                <w:szCs w:val="16"/>
                <w:u w:val="none"/>
              </w:rPr>
            </w:pPr>
          </w:p>
        </w:tc>
      </w:tr>
      <w:tr w14:paraId="411E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2040">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E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1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5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学员满意度</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A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9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F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1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B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F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DC6B">
            <w:pPr>
              <w:jc w:val="center"/>
              <w:rPr>
                <w:rFonts w:hint="eastAsia" w:ascii="微软雅黑" w:hAnsi="微软雅黑" w:eastAsia="微软雅黑" w:cs="微软雅黑"/>
                <w:i w:val="0"/>
                <w:iCs w:val="0"/>
                <w:color w:val="000000"/>
                <w:sz w:val="16"/>
                <w:szCs w:val="16"/>
                <w:u w:val="none"/>
              </w:rPr>
            </w:pPr>
          </w:p>
        </w:tc>
      </w:tr>
      <w:tr w14:paraId="3AA2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DF9AE">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A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3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2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D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5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4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1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2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EF13">
            <w:pPr>
              <w:jc w:val="center"/>
              <w:rPr>
                <w:rFonts w:hint="eastAsia" w:ascii="微软雅黑" w:hAnsi="微软雅黑" w:eastAsia="微软雅黑" w:cs="微软雅黑"/>
                <w:i w:val="0"/>
                <w:iCs w:val="0"/>
                <w:color w:val="000000"/>
                <w:sz w:val="16"/>
                <w:szCs w:val="16"/>
                <w:u w:val="none"/>
              </w:rPr>
            </w:pPr>
          </w:p>
        </w:tc>
      </w:tr>
      <w:tr w14:paraId="307D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7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696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8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6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444D">
            <w:pPr>
              <w:rPr>
                <w:rFonts w:hint="eastAsia" w:ascii="宋体" w:hAnsi="宋体" w:eastAsia="宋体" w:cs="宋体"/>
                <w:i w:val="0"/>
                <w:iCs w:val="0"/>
                <w:color w:val="000000"/>
                <w:sz w:val="18"/>
                <w:szCs w:val="18"/>
                <w:u w:val="none"/>
              </w:rPr>
            </w:pPr>
          </w:p>
        </w:tc>
      </w:tr>
      <w:tr w14:paraId="5689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D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5B10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教学场地维护数量（1 个）和成本控制（≤2 万元）均达标，时效符合要求（≤1 年）。学员满意度达 ≥98%，反映服务质量获认可。</w:t>
            </w:r>
          </w:p>
        </w:tc>
      </w:tr>
      <w:tr w14:paraId="7E7D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4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1B83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2BF6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C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3071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7DB0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970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项目负责人：李恒第</w:t>
            </w:r>
          </w:p>
        </w:tc>
        <w:tc>
          <w:tcPr>
            <w:tcW w:w="51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E7E5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财务负责人：陈灵</w:t>
            </w:r>
          </w:p>
        </w:tc>
      </w:tr>
      <w:tr w14:paraId="47F4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25" w:type="dxa"/>
            <w:tcBorders>
              <w:top w:val="nil"/>
              <w:left w:val="nil"/>
              <w:bottom w:val="nil"/>
              <w:right w:val="nil"/>
            </w:tcBorders>
            <w:shd w:val="clear" w:color="auto" w:fill="auto"/>
            <w:vAlign w:val="center"/>
          </w:tcPr>
          <w:p w14:paraId="4C549142">
            <w:pPr>
              <w:rPr>
                <w:rFonts w:hint="eastAsia" w:ascii="宋体" w:hAnsi="宋体" w:eastAsia="宋体" w:cs="宋体"/>
                <w:i w:val="0"/>
                <w:iCs w:val="0"/>
                <w:color w:val="000000"/>
                <w:sz w:val="18"/>
                <w:szCs w:val="18"/>
                <w:u w:val="none"/>
              </w:rPr>
            </w:pPr>
          </w:p>
        </w:tc>
        <w:tc>
          <w:tcPr>
            <w:tcW w:w="1415" w:type="dxa"/>
            <w:tcBorders>
              <w:top w:val="nil"/>
              <w:left w:val="nil"/>
              <w:bottom w:val="nil"/>
              <w:right w:val="nil"/>
            </w:tcBorders>
            <w:shd w:val="clear" w:color="auto" w:fill="auto"/>
            <w:vAlign w:val="center"/>
          </w:tcPr>
          <w:p w14:paraId="46ACC6B8">
            <w:pPr>
              <w:rPr>
                <w:rFonts w:hint="eastAsia" w:ascii="宋体" w:hAnsi="宋体" w:eastAsia="宋体" w:cs="宋体"/>
                <w:i w:val="0"/>
                <w:iCs w:val="0"/>
                <w:color w:val="000000"/>
                <w:sz w:val="18"/>
                <w:szCs w:val="18"/>
                <w:u w:val="none"/>
              </w:rPr>
            </w:pPr>
          </w:p>
        </w:tc>
        <w:tc>
          <w:tcPr>
            <w:tcW w:w="1241" w:type="dxa"/>
            <w:tcBorders>
              <w:top w:val="nil"/>
              <w:left w:val="nil"/>
              <w:bottom w:val="nil"/>
              <w:right w:val="nil"/>
            </w:tcBorders>
            <w:shd w:val="clear" w:color="auto" w:fill="auto"/>
            <w:vAlign w:val="center"/>
          </w:tcPr>
          <w:p w14:paraId="1D1C74D5">
            <w:pPr>
              <w:rPr>
                <w:rFonts w:hint="eastAsia" w:ascii="宋体" w:hAnsi="宋体" w:eastAsia="宋体" w:cs="宋体"/>
                <w:i w:val="0"/>
                <w:iCs w:val="0"/>
                <w:color w:val="000000"/>
                <w:sz w:val="18"/>
                <w:szCs w:val="18"/>
                <w:u w:val="none"/>
              </w:rPr>
            </w:pPr>
          </w:p>
        </w:tc>
        <w:tc>
          <w:tcPr>
            <w:tcW w:w="1549" w:type="dxa"/>
            <w:tcBorders>
              <w:top w:val="nil"/>
              <w:left w:val="nil"/>
              <w:bottom w:val="nil"/>
              <w:right w:val="nil"/>
            </w:tcBorders>
            <w:shd w:val="clear" w:color="auto" w:fill="auto"/>
            <w:vAlign w:val="center"/>
          </w:tcPr>
          <w:p w14:paraId="5F1A9BAC">
            <w:pPr>
              <w:rPr>
                <w:rFonts w:hint="eastAsia" w:ascii="宋体" w:hAnsi="宋体" w:eastAsia="宋体" w:cs="宋体"/>
                <w:i w:val="0"/>
                <w:iCs w:val="0"/>
                <w:color w:val="000000"/>
                <w:sz w:val="18"/>
                <w:szCs w:val="18"/>
                <w:u w:val="none"/>
              </w:rPr>
            </w:pPr>
          </w:p>
        </w:tc>
        <w:tc>
          <w:tcPr>
            <w:tcW w:w="429" w:type="dxa"/>
            <w:tcBorders>
              <w:top w:val="nil"/>
              <w:left w:val="nil"/>
              <w:bottom w:val="nil"/>
              <w:right w:val="nil"/>
            </w:tcBorders>
            <w:shd w:val="clear" w:color="auto" w:fill="auto"/>
            <w:vAlign w:val="center"/>
          </w:tcPr>
          <w:p w14:paraId="6481542F">
            <w:pPr>
              <w:rPr>
                <w:rFonts w:hint="eastAsia" w:ascii="宋体" w:hAnsi="宋体" w:eastAsia="宋体" w:cs="宋体"/>
                <w:i w:val="0"/>
                <w:iCs w:val="0"/>
                <w:color w:val="000000"/>
                <w:sz w:val="18"/>
                <w:szCs w:val="18"/>
                <w:u w:val="none"/>
              </w:rPr>
            </w:pPr>
          </w:p>
        </w:tc>
        <w:tc>
          <w:tcPr>
            <w:tcW w:w="1179" w:type="dxa"/>
            <w:tcBorders>
              <w:top w:val="nil"/>
              <w:left w:val="nil"/>
              <w:bottom w:val="nil"/>
              <w:right w:val="nil"/>
            </w:tcBorders>
            <w:shd w:val="clear" w:color="auto" w:fill="auto"/>
            <w:vAlign w:val="center"/>
          </w:tcPr>
          <w:p w14:paraId="79EF7FE3">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14:paraId="22919697">
            <w:pPr>
              <w:rPr>
                <w:rFonts w:hint="eastAsia" w:ascii="宋体" w:hAnsi="宋体" w:eastAsia="宋体" w:cs="宋体"/>
                <w:i w:val="0"/>
                <w:iCs w:val="0"/>
                <w:color w:val="000000"/>
                <w:sz w:val="18"/>
                <w:szCs w:val="18"/>
                <w:u w:val="none"/>
              </w:rPr>
            </w:pPr>
          </w:p>
        </w:tc>
        <w:tc>
          <w:tcPr>
            <w:tcW w:w="918" w:type="dxa"/>
            <w:tcBorders>
              <w:top w:val="nil"/>
              <w:left w:val="nil"/>
              <w:bottom w:val="nil"/>
              <w:right w:val="nil"/>
            </w:tcBorders>
            <w:shd w:val="clear" w:color="auto" w:fill="auto"/>
            <w:vAlign w:val="center"/>
          </w:tcPr>
          <w:p w14:paraId="494E89CA">
            <w:pPr>
              <w:rPr>
                <w:rFonts w:hint="eastAsia" w:ascii="宋体" w:hAnsi="宋体" w:eastAsia="宋体" w:cs="宋体"/>
                <w:i w:val="0"/>
                <w:iCs w:val="0"/>
                <w:color w:val="000000"/>
                <w:sz w:val="18"/>
                <w:szCs w:val="18"/>
                <w:u w:val="none"/>
              </w:rPr>
            </w:pPr>
          </w:p>
        </w:tc>
        <w:tc>
          <w:tcPr>
            <w:tcW w:w="527" w:type="dxa"/>
            <w:tcBorders>
              <w:top w:val="nil"/>
              <w:left w:val="nil"/>
              <w:bottom w:val="nil"/>
              <w:right w:val="nil"/>
            </w:tcBorders>
            <w:shd w:val="clear" w:color="auto" w:fill="auto"/>
            <w:vAlign w:val="center"/>
          </w:tcPr>
          <w:p w14:paraId="6468120F">
            <w:pPr>
              <w:rPr>
                <w:rFonts w:hint="eastAsia" w:ascii="宋体" w:hAnsi="宋体" w:eastAsia="宋体" w:cs="宋体"/>
                <w:i w:val="0"/>
                <w:iCs w:val="0"/>
                <w:color w:val="000000"/>
                <w:sz w:val="18"/>
                <w:szCs w:val="18"/>
                <w:u w:val="none"/>
              </w:rPr>
            </w:pPr>
          </w:p>
        </w:tc>
        <w:tc>
          <w:tcPr>
            <w:tcW w:w="527" w:type="dxa"/>
            <w:tcBorders>
              <w:top w:val="nil"/>
              <w:left w:val="nil"/>
              <w:bottom w:val="nil"/>
              <w:right w:val="nil"/>
            </w:tcBorders>
            <w:shd w:val="clear" w:color="auto" w:fill="auto"/>
            <w:vAlign w:val="center"/>
          </w:tcPr>
          <w:p w14:paraId="4582392B">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14:paraId="3997FC01">
            <w:pPr>
              <w:rPr>
                <w:rFonts w:hint="eastAsia" w:ascii="宋体" w:hAnsi="宋体" w:eastAsia="宋体" w:cs="宋体"/>
                <w:i w:val="0"/>
                <w:iCs w:val="0"/>
                <w:color w:val="000000"/>
                <w:sz w:val="18"/>
                <w:szCs w:val="18"/>
                <w:u w:val="none"/>
              </w:rPr>
            </w:pPr>
          </w:p>
        </w:tc>
      </w:tr>
      <w:tr w14:paraId="6A43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906E93">
            <w:pPr>
              <w:keepNext w:val="0"/>
              <w:keepLines w:val="0"/>
              <w:widowControl/>
              <w:suppressLineNumbers w:val="0"/>
              <w:jc w:val="center"/>
              <w:textAlignment w:val="center"/>
              <w:rPr>
                <w:rFonts w:hint="eastAsia" w:ascii="黑体" w:hAnsi="宋体" w:eastAsia="黑体" w:cs="黑体"/>
                <w:b w:val="0"/>
                <w:bCs w:val="0"/>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r>
      <w:tr w14:paraId="2DD8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EC7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2D4E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51090424T000011120804-党校教学科研课程开发等工作经费</w:t>
            </w:r>
          </w:p>
        </w:tc>
      </w:tr>
      <w:tr w14:paraId="1304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4D1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239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中国共产党遂宁市安居区委员会党校部门</w:t>
            </w:r>
          </w:p>
        </w:tc>
        <w:tc>
          <w:tcPr>
            <w:tcW w:w="918" w:type="dxa"/>
            <w:tcBorders>
              <w:top w:val="nil"/>
              <w:left w:val="nil"/>
              <w:bottom w:val="nil"/>
              <w:right w:val="nil"/>
            </w:tcBorders>
            <w:shd w:val="clear" w:color="auto" w:fill="auto"/>
            <w:vAlign w:val="center"/>
          </w:tcPr>
          <w:p w14:paraId="277C90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A6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中国共产党遂宁市安居区委员会党校</w:t>
            </w:r>
          </w:p>
        </w:tc>
      </w:tr>
      <w:tr w14:paraId="76B3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D4E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61F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8D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EB34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BE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B22C">
            <w:pPr>
              <w:rPr>
                <w:rFonts w:hint="eastAsia" w:ascii="宋体" w:hAnsi="宋体" w:eastAsia="宋体" w:cs="宋体"/>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91F82">
            <w:pPr>
              <w:rPr>
                <w:rFonts w:hint="eastAsia" w:ascii="宋体" w:hAnsi="宋体" w:eastAsia="宋体" w:cs="宋体"/>
                <w:i w:val="0"/>
                <w:iCs w:val="0"/>
                <w:color w:val="000000"/>
                <w:sz w:val="18"/>
                <w:szCs w:val="18"/>
                <w:u w:val="none"/>
              </w:rPr>
            </w:pP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13C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保障2024年度教学科研课程开发等相关工作的正常开展</w:t>
            </w:r>
          </w:p>
        </w:tc>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6E92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i w:val="0"/>
                <w:iCs w:val="0"/>
                <w:color w:val="000000"/>
                <w:kern w:val="0"/>
                <w:sz w:val="18"/>
                <w:szCs w:val="18"/>
                <w:u w:val="none"/>
                <w:lang w:bidi="ar"/>
              </w:rPr>
              <w:t>课程开发数量和教学次数均达标，支撑教学科研工作有序开展。</w:t>
            </w:r>
          </w:p>
        </w:tc>
      </w:tr>
      <w:tr w14:paraId="45C7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EE488">
            <w:pP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8A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E15D9F">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根据年度教学任务组织开展</w:t>
            </w:r>
            <w:r>
              <w:rPr>
                <w:rFonts w:ascii="宋体" w:hAnsi="宋体" w:eastAsia="宋体" w:cs="宋体"/>
                <w:i w:val="0"/>
                <w:iCs w:val="0"/>
                <w:color w:val="000000"/>
                <w:kern w:val="0"/>
                <w:sz w:val="18"/>
                <w:szCs w:val="18"/>
                <w:u w:val="none"/>
                <w:lang w:val="en-US" w:eastAsia="zh-CN" w:bidi="ar"/>
              </w:rPr>
              <w:t>教学科研课程开发等相关工作</w:t>
            </w:r>
            <w:r>
              <w:rPr>
                <w:rFonts w:hint="eastAsia" w:ascii="宋体" w:hAnsi="宋体" w:cs="宋体"/>
                <w:i w:val="0"/>
                <w:iCs w:val="0"/>
                <w:color w:val="000000"/>
                <w:kern w:val="0"/>
                <w:sz w:val="18"/>
                <w:szCs w:val="18"/>
                <w:u w:val="none"/>
                <w:lang w:val="en-US" w:eastAsia="zh-CN" w:bidi="ar"/>
              </w:rPr>
              <w:t>，确保年度教学任务圆满完成。</w:t>
            </w:r>
          </w:p>
        </w:tc>
      </w:tr>
      <w:tr w14:paraId="1C8F7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96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2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E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E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6A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F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4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6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CE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75F07">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6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6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1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A2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2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B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D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681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34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62D6">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7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A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C6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4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7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66295">
            <w:pPr>
              <w:rPr>
                <w:rFonts w:hint="eastAsia" w:ascii="黑体" w:hAnsi="黑体" w:eastAsia="黑体" w:cs="黑体"/>
                <w:i w:val="0"/>
                <w:iCs w:val="0"/>
                <w:color w:val="000000"/>
                <w:sz w:val="18"/>
                <w:szCs w:val="18"/>
                <w:u w:val="none"/>
              </w:rPr>
            </w:pPr>
          </w:p>
        </w:tc>
      </w:tr>
      <w:tr w14:paraId="47B6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70F7">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4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C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F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4E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1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2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F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2984F">
            <w:pPr>
              <w:rPr>
                <w:rFonts w:hint="eastAsia" w:ascii="黑体" w:hAnsi="黑体" w:eastAsia="黑体" w:cs="黑体"/>
                <w:i w:val="0"/>
                <w:iCs w:val="0"/>
                <w:color w:val="000000"/>
                <w:sz w:val="18"/>
                <w:szCs w:val="18"/>
                <w:u w:val="none"/>
              </w:rPr>
            </w:pPr>
          </w:p>
        </w:tc>
      </w:tr>
      <w:tr w14:paraId="5B27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AC42D">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3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4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7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F0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9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1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D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3500">
            <w:pPr>
              <w:rPr>
                <w:rFonts w:hint="eastAsia" w:ascii="黑体" w:hAnsi="黑体" w:eastAsia="黑体" w:cs="黑体"/>
                <w:i w:val="0"/>
                <w:iCs w:val="0"/>
                <w:color w:val="000000"/>
                <w:sz w:val="18"/>
                <w:szCs w:val="18"/>
                <w:u w:val="none"/>
              </w:rPr>
            </w:pPr>
          </w:p>
        </w:tc>
      </w:tr>
      <w:tr w14:paraId="108D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7183">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0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4F87">
            <w:pPr>
              <w:jc w:val="center"/>
              <w:rPr>
                <w:rFonts w:hint="eastAsia" w:ascii="微软雅黑" w:hAnsi="微软雅黑" w:eastAsia="微软雅黑" w:cs="微软雅黑"/>
                <w:i w:val="0"/>
                <w:iCs w:val="0"/>
                <w:color w:val="000000"/>
                <w:sz w:val="16"/>
                <w:szCs w:val="16"/>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5C36">
            <w:pPr>
              <w:jc w:val="center"/>
              <w:rPr>
                <w:rFonts w:hint="eastAsia" w:ascii="微软雅黑" w:hAnsi="微软雅黑" w:eastAsia="微软雅黑" w:cs="微软雅黑"/>
                <w:i w:val="0"/>
                <w:iCs w:val="0"/>
                <w:color w:val="000000"/>
                <w:sz w:val="16"/>
                <w:szCs w:val="16"/>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99DE3">
            <w:pPr>
              <w:jc w:val="center"/>
              <w:rPr>
                <w:rFonts w:hint="eastAsia" w:ascii="微软雅黑" w:hAnsi="微软雅黑" w:eastAsia="微软雅黑" w:cs="微软雅黑"/>
                <w:i w:val="0"/>
                <w:iCs w:val="0"/>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4F4F">
            <w:pPr>
              <w:jc w:val="center"/>
              <w:rPr>
                <w:rFonts w:hint="eastAsia" w:ascii="微软雅黑" w:hAnsi="微软雅黑" w:eastAsia="微软雅黑" w:cs="微软雅黑"/>
                <w:i w:val="0"/>
                <w:iCs w:val="0"/>
                <w:color w:val="000000"/>
                <w:sz w:val="16"/>
                <w:szCs w:val="16"/>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C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4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2AC48">
            <w:pPr>
              <w:rPr>
                <w:rFonts w:hint="eastAsia" w:ascii="黑体" w:hAnsi="黑体" w:eastAsia="黑体" w:cs="黑体"/>
                <w:i w:val="0"/>
                <w:iCs w:val="0"/>
                <w:color w:val="000000"/>
                <w:sz w:val="18"/>
                <w:szCs w:val="18"/>
                <w:u w:val="none"/>
              </w:rPr>
            </w:pPr>
          </w:p>
        </w:tc>
      </w:tr>
      <w:tr w14:paraId="4E08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83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A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6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F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4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B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4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4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5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8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6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99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FA970">
            <w:pPr>
              <w:jc w:val="center"/>
              <w:rPr>
                <w:rFonts w:hint="eastAsia" w:ascii="宋体" w:hAnsi="宋体" w:eastAsia="宋体" w:cs="宋体"/>
                <w:i w:val="0"/>
                <w:iCs w:val="0"/>
                <w:color w:val="000000"/>
                <w:sz w:val="18"/>
                <w:szCs w:val="18"/>
                <w:u w:val="none"/>
              </w:rPr>
            </w:pP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23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5E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A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课程开发</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D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D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A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5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A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E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3A24">
            <w:pPr>
              <w:jc w:val="center"/>
              <w:rPr>
                <w:rFonts w:hint="eastAsia" w:ascii="微软雅黑" w:hAnsi="微软雅黑" w:eastAsia="微软雅黑" w:cs="微软雅黑"/>
                <w:i w:val="0"/>
                <w:iCs w:val="0"/>
                <w:color w:val="000000"/>
                <w:sz w:val="16"/>
                <w:szCs w:val="16"/>
                <w:u w:val="none"/>
              </w:rPr>
            </w:pPr>
          </w:p>
        </w:tc>
      </w:tr>
      <w:tr w14:paraId="64E3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7ED5">
            <w:pPr>
              <w:jc w:val="center"/>
              <w:rPr>
                <w:rFonts w:hint="eastAsia" w:ascii="宋体" w:hAnsi="宋体" w:eastAsia="宋体" w:cs="宋体"/>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B8031">
            <w:pPr>
              <w:jc w:val="center"/>
              <w:rPr>
                <w:rFonts w:hint="eastAsia" w:ascii="宋体" w:hAnsi="宋体" w:eastAsia="宋体" w:cs="宋体"/>
                <w:i w:val="0"/>
                <w:iCs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3366">
            <w:pPr>
              <w:jc w:val="center"/>
              <w:rPr>
                <w:rFonts w:hint="eastAsia" w:ascii="宋体" w:hAnsi="宋体" w:eastAsia="宋体" w:cs="宋体"/>
                <w:i w:val="0"/>
                <w:iCs w:val="0"/>
                <w:color w:val="000000"/>
                <w:sz w:val="18"/>
                <w:szCs w:val="18"/>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2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C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3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2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8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F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D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B700">
            <w:pPr>
              <w:jc w:val="center"/>
              <w:rPr>
                <w:rFonts w:hint="eastAsia" w:ascii="微软雅黑" w:hAnsi="微软雅黑" w:eastAsia="微软雅黑" w:cs="微软雅黑"/>
                <w:i w:val="0"/>
                <w:iCs w:val="0"/>
                <w:color w:val="000000"/>
                <w:sz w:val="16"/>
                <w:szCs w:val="16"/>
                <w:u w:val="none"/>
              </w:rPr>
            </w:pPr>
          </w:p>
        </w:tc>
      </w:tr>
      <w:tr w14:paraId="2F33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76D5">
            <w:pPr>
              <w:jc w:val="center"/>
              <w:rPr>
                <w:rFonts w:hint="eastAsia" w:ascii="宋体" w:hAnsi="宋体" w:eastAsia="宋体" w:cs="宋体"/>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95916">
            <w:pPr>
              <w:jc w:val="center"/>
              <w:rPr>
                <w:rFonts w:hint="eastAsia" w:ascii="宋体" w:hAnsi="宋体"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F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6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E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7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8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0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4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4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C888">
            <w:pPr>
              <w:jc w:val="center"/>
              <w:rPr>
                <w:rFonts w:hint="eastAsia" w:ascii="微软雅黑" w:hAnsi="微软雅黑" w:eastAsia="微软雅黑" w:cs="微软雅黑"/>
                <w:i w:val="0"/>
                <w:iCs w:val="0"/>
                <w:color w:val="000000"/>
                <w:sz w:val="16"/>
                <w:szCs w:val="16"/>
                <w:u w:val="none"/>
              </w:rPr>
            </w:pPr>
          </w:p>
        </w:tc>
      </w:tr>
      <w:tr w14:paraId="64F4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E50C9">
            <w:pPr>
              <w:jc w:val="center"/>
              <w:rPr>
                <w:rFonts w:hint="eastAsia" w:ascii="宋体" w:hAnsi="宋体" w:eastAsia="宋体" w:cs="宋体"/>
                <w:i w:val="0"/>
                <w:iCs w:val="0"/>
                <w:color w:val="000000"/>
                <w:sz w:val="18"/>
                <w:szCs w:val="18"/>
                <w:u w:val="none"/>
              </w:rPr>
            </w:pP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BE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4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3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社会影响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4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5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B470">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D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8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D23D">
            <w:pPr>
              <w:jc w:val="center"/>
              <w:rPr>
                <w:rFonts w:hint="eastAsia" w:ascii="微软雅黑" w:hAnsi="微软雅黑" w:eastAsia="微软雅黑" w:cs="微软雅黑"/>
                <w:i w:val="0"/>
                <w:iCs w:val="0"/>
                <w:color w:val="000000"/>
                <w:sz w:val="16"/>
                <w:szCs w:val="16"/>
                <w:u w:val="none"/>
              </w:rPr>
            </w:pPr>
          </w:p>
        </w:tc>
      </w:tr>
      <w:tr w14:paraId="1058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92C7">
            <w:pPr>
              <w:jc w:val="center"/>
              <w:rPr>
                <w:rFonts w:hint="eastAsia" w:ascii="宋体" w:hAnsi="宋体" w:eastAsia="宋体" w:cs="宋体"/>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F2E37">
            <w:pPr>
              <w:jc w:val="center"/>
              <w:rPr>
                <w:rFonts w:hint="eastAsia" w:ascii="宋体" w:hAnsi="宋体"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B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C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教学可持续影响</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C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A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C7A3">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0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B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8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A789">
            <w:pPr>
              <w:jc w:val="center"/>
              <w:rPr>
                <w:rFonts w:hint="eastAsia" w:ascii="微软雅黑" w:hAnsi="微软雅黑" w:eastAsia="微软雅黑" w:cs="微软雅黑"/>
                <w:i w:val="0"/>
                <w:iCs w:val="0"/>
                <w:color w:val="000000"/>
                <w:sz w:val="16"/>
                <w:szCs w:val="16"/>
                <w:u w:val="none"/>
              </w:rPr>
            </w:pPr>
          </w:p>
        </w:tc>
      </w:tr>
      <w:tr w14:paraId="31DF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C9C59">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0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4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1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学员满意度</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E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F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5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7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1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9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5A8E">
            <w:pPr>
              <w:jc w:val="center"/>
              <w:rPr>
                <w:rFonts w:hint="eastAsia" w:ascii="微软雅黑" w:hAnsi="微软雅黑" w:eastAsia="微软雅黑" w:cs="微软雅黑"/>
                <w:i w:val="0"/>
                <w:iCs w:val="0"/>
                <w:color w:val="000000"/>
                <w:sz w:val="16"/>
                <w:szCs w:val="16"/>
                <w:u w:val="none"/>
              </w:rPr>
            </w:pPr>
          </w:p>
        </w:tc>
      </w:tr>
      <w:tr w14:paraId="034B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5C8C">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F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A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8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单次课程开发成本</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D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A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7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D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2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2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963A">
            <w:pPr>
              <w:jc w:val="center"/>
              <w:rPr>
                <w:rFonts w:hint="eastAsia" w:ascii="微软雅黑" w:hAnsi="微软雅黑" w:eastAsia="微软雅黑" w:cs="微软雅黑"/>
                <w:i w:val="0"/>
                <w:iCs w:val="0"/>
                <w:color w:val="000000"/>
                <w:sz w:val="16"/>
                <w:szCs w:val="16"/>
                <w:u w:val="none"/>
              </w:rPr>
            </w:pPr>
          </w:p>
        </w:tc>
      </w:tr>
      <w:tr w14:paraId="7238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7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5DD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2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8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78A7">
            <w:pPr>
              <w:rPr>
                <w:rFonts w:hint="eastAsia" w:ascii="宋体" w:hAnsi="宋体" w:eastAsia="宋体" w:cs="宋体"/>
                <w:i w:val="0"/>
                <w:iCs w:val="0"/>
                <w:color w:val="000000"/>
                <w:sz w:val="18"/>
                <w:szCs w:val="18"/>
                <w:u w:val="none"/>
              </w:rPr>
            </w:pPr>
          </w:p>
        </w:tc>
      </w:tr>
      <w:tr w14:paraId="1F9D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0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F978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课程开发数量（≥20 次）和教学次数（≥5 次）均达标，支撑教学科研工作有序开展。单次课程开发成本控制在 ≤5000 元，经济性良好，学员满意度高（≥98%）。</w:t>
            </w:r>
          </w:p>
        </w:tc>
      </w:tr>
      <w:tr w14:paraId="6C22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8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1756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2245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7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D68A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7E4D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B481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项目负责人：李恒第</w:t>
            </w:r>
          </w:p>
        </w:tc>
        <w:tc>
          <w:tcPr>
            <w:tcW w:w="51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4B38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财务负责人：陈灵</w:t>
            </w:r>
          </w:p>
        </w:tc>
      </w:tr>
    </w:tbl>
    <w:p w14:paraId="7A70260B">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2A264805">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zh-CN" w:eastAsia="zh-CN" w:bidi="ar"/>
        </w:rPr>
      </w:pPr>
    </w:p>
    <w:p w14:paraId="18E96C05">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30A8234">
      <w:pPr>
        <w:pStyle w:val="8"/>
        <w:rPr>
          <w:rFonts w:hint="eastAsia" w:ascii="Times New Roman" w:hAnsi="Times New Roman" w:cs="宋体"/>
          <w:color w:val="FF0000"/>
          <w:kern w:val="0"/>
          <w:sz w:val="32"/>
          <w:szCs w:val="32"/>
          <w:highlight w:val="yellow"/>
          <w:shd w:val="clear" w:color="auto" w:fill="FFFFFF"/>
          <w:lang w:val="zh-CN"/>
        </w:rPr>
      </w:pPr>
    </w:p>
    <w:p w14:paraId="750AA837">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68" w:name="_Toc15396618"/>
    </w:p>
    <w:p w14:paraId="4B9D1FD8">
      <w:pPr>
        <w:widowControl/>
        <w:jc w:val="center"/>
        <w:outlineLvl w:val="0"/>
        <w:rPr>
          <w:rFonts w:hint="eastAsia" w:ascii="Times New Roman" w:hAnsi="Times New Roman" w:eastAsia="仿宋"/>
          <w:b w:val="0"/>
          <w:color w:val="auto"/>
          <w:highlight w:val="none"/>
        </w:rPr>
      </w:pPr>
      <w:bookmarkStart w:id="69" w:name="_Toc14216"/>
      <w:r>
        <w:rPr>
          <w:rFonts w:hint="eastAsia" w:ascii="Times New Roman" w:hAnsi="Times New Roman" w:eastAsia="黑体"/>
          <w:color w:val="auto"/>
          <w:sz w:val="44"/>
          <w:szCs w:val="44"/>
          <w:highlight w:val="none"/>
        </w:rPr>
        <w:t>第</w:t>
      </w:r>
      <w:r>
        <w:rPr>
          <w:rStyle w:val="33"/>
          <w:rFonts w:hint="eastAsia" w:ascii="Times New Roman" w:hAnsi="Times New Roman" w:eastAsia="黑体"/>
          <w:b w:val="0"/>
          <w:color w:val="auto"/>
          <w:highlight w:val="none"/>
        </w:rPr>
        <w:t>五部分 附表</w:t>
      </w:r>
      <w:bookmarkEnd w:id="66"/>
      <w:bookmarkEnd w:id="68"/>
      <w:bookmarkEnd w:id="69"/>
      <w:bookmarkStart w:id="70" w:name="_Toc15396619"/>
    </w:p>
    <w:p w14:paraId="4671E62D">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250E21C">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0"/>
    </w:p>
    <w:p w14:paraId="21BA7C95">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0"/>
      <w:r>
        <w:rPr>
          <w:rFonts w:hint="eastAsia" w:ascii="Times New Roman" w:hAnsi="Times New Roman" w:eastAsia="仿宋_GB2312" w:cs="仿宋_GB2312"/>
          <w:color w:val="auto"/>
          <w:sz w:val="32"/>
          <w:szCs w:val="32"/>
          <w:highlight w:val="none"/>
        </w:rPr>
        <w:t>二、收入决算表</w:t>
      </w:r>
      <w:bookmarkEnd w:id="71"/>
    </w:p>
    <w:p w14:paraId="4AAB0C53">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1"/>
      <w:r>
        <w:rPr>
          <w:rFonts w:hint="eastAsia" w:ascii="Times New Roman" w:hAnsi="Times New Roman" w:eastAsia="仿宋_GB2312" w:cs="仿宋_GB2312"/>
          <w:color w:val="auto"/>
          <w:sz w:val="32"/>
          <w:szCs w:val="32"/>
          <w:highlight w:val="none"/>
        </w:rPr>
        <w:t>三、支出决算表</w:t>
      </w:r>
      <w:bookmarkEnd w:id="72"/>
    </w:p>
    <w:p w14:paraId="46708E80">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2"/>
      <w:r>
        <w:rPr>
          <w:rFonts w:hint="eastAsia" w:ascii="Times New Roman" w:hAnsi="Times New Roman" w:eastAsia="仿宋_GB2312" w:cs="仿宋_GB2312"/>
          <w:color w:val="auto"/>
          <w:sz w:val="32"/>
          <w:szCs w:val="32"/>
          <w:highlight w:val="none"/>
        </w:rPr>
        <w:t>四、财政拨款收入支出决算总表</w:t>
      </w:r>
      <w:bookmarkEnd w:id="73"/>
    </w:p>
    <w:p w14:paraId="1CD7E862">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3"/>
      <w:r>
        <w:rPr>
          <w:rFonts w:hint="eastAsia" w:ascii="Times New Roman" w:hAnsi="Times New Roman" w:eastAsia="仿宋_GB2312" w:cs="仿宋_GB2312"/>
          <w:color w:val="auto"/>
          <w:sz w:val="32"/>
          <w:szCs w:val="32"/>
          <w:highlight w:val="none"/>
        </w:rPr>
        <w:t>五、财政拨款支出决算明细表</w:t>
      </w:r>
      <w:bookmarkEnd w:id="74"/>
      <w:bookmarkStart w:id="75" w:name="_Toc15396624"/>
    </w:p>
    <w:p w14:paraId="713CE39F">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5"/>
    </w:p>
    <w:p w14:paraId="176C0790">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5"/>
      <w:r>
        <w:rPr>
          <w:rFonts w:hint="eastAsia" w:ascii="Times New Roman" w:hAnsi="Times New Roman" w:eastAsia="仿宋_GB2312" w:cs="仿宋_GB2312"/>
          <w:color w:val="auto"/>
          <w:sz w:val="32"/>
          <w:szCs w:val="32"/>
          <w:highlight w:val="none"/>
        </w:rPr>
        <w:t>七、一般公共预算财政拨款支出决算明细表</w:t>
      </w:r>
      <w:bookmarkEnd w:id="76"/>
    </w:p>
    <w:p w14:paraId="33881966">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6"/>
      <w:r>
        <w:rPr>
          <w:rFonts w:hint="eastAsia" w:ascii="Times New Roman" w:hAnsi="Times New Roman" w:eastAsia="仿宋_GB2312" w:cs="仿宋_GB2312"/>
          <w:color w:val="auto"/>
          <w:sz w:val="32"/>
          <w:szCs w:val="32"/>
          <w:highlight w:val="none"/>
        </w:rPr>
        <w:t>八、一般公共预算财政拨款基本支出决算表</w:t>
      </w:r>
      <w:bookmarkEnd w:id="77"/>
    </w:p>
    <w:p w14:paraId="738A05D2">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7"/>
      <w:r>
        <w:rPr>
          <w:rFonts w:hint="eastAsia" w:ascii="Times New Roman" w:hAnsi="Times New Roman" w:eastAsia="仿宋_GB2312" w:cs="仿宋_GB2312"/>
          <w:color w:val="auto"/>
          <w:sz w:val="32"/>
          <w:szCs w:val="32"/>
          <w:highlight w:val="none"/>
        </w:rPr>
        <w:t>九、一般公共预算财政拨款项目支出决算表</w:t>
      </w:r>
      <w:bookmarkEnd w:id="78"/>
    </w:p>
    <w:p w14:paraId="0B6A2C83">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8"/>
      <w:r>
        <w:rPr>
          <w:rFonts w:hint="eastAsia" w:ascii="Times New Roman" w:hAnsi="Times New Roman" w:eastAsia="仿宋_GB2312" w:cs="仿宋_GB2312"/>
          <w:color w:val="auto"/>
          <w:sz w:val="32"/>
          <w:szCs w:val="32"/>
          <w:highlight w:val="none"/>
        </w:rPr>
        <w:t>十、</w:t>
      </w:r>
      <w:bookmarkEnd w:id="79"/>
      <w:r>
        <w:rPr>
          <w:rFonts w:hint="eastAsia" w:ascii="Times New Roman" w:hAnsi="Times New Roman" w:eastAsia="仿宋_GB2312" w:cs="仿宋_GB2312"/>
          <w:color w:val="auto"/>
          <w:sz w:val="32"/>
          <w:szCs w:val="32"/>
          <w:highlight w:val="none"/>
        </w:rPr>
        <w:t>政府性基金预算财政拨款收入支出决算表</w:t>
      </w:r>
    </w:p>
    <w:p w14:paraId="3D922760">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9"/>
      <w:r>
        <w:rPr>
          <w:rFonts w:hint="eastAsia" w:ascii="Times New Roman" w:hAnsi="Times New Roman" w:eastAsia="仿宋_GB2312" w:cs="仿宋_GB2312"/>
          <w:color w:val="auto"/>
          <w:sz w:val="32"/>
          <w:szCs w:val="32"/>
          <w:highlight w:val="none"/>
        </w:rPr>
        <w:t>十一、</w:t>
      </w:r>
      <w:bookmarkEnd w:id="8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F97FF30">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30"/>
      <w:r>
        <w:rPr>
          <w:rFonts w:hint="eastAsia" w:ascii="Times New Roman" w:hAnsi="Times New Roman" w:eastAsia="仿宋_GB2312" w:cs="仿宋_GB2312"/>
          <w:color w:val="auto"/>
          <w:sz w:val="32"/>
          <w:szCs w:val="32"/>
          <w:highlight w:val="none"/>
        </w:rPr>
        <w:t>十二、</w:t>
      </w:r>
      <w:bookmarkEnd w:id="81"/>
      <w:r>
        <w:rPr>
          <w:rFonts w:hint="eastAsia" w:ascii="Times New Roman" w:hAnsi="Times New Roman" w:eastAsia="仿宋_GB2312" w:cs="仿宋_GB2312"/>
          <w:color w:val="auto"/>
          <w:sz w:val="32"/>
          <w:szCs w:val="32"/>
          <w:highlight w:val="none"/>
          <w:lang w:eastAsia="zh-CN"/>
        </w:rPr>
        <w:t>国有资本经营预算财政拨款支出决算表</w:t>
      </w:r>
    </w:p>
    <w:p w14:paraId="1B8B39AD">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2" w:name="_Toc15396631"/>
      <w:r>
        <w:rPr>
          <w:rFonts w:hint="eastAsia" w:ascii="Times New Roman" w:hAnsi="Times New Roman" w:eastAsia="仿宋_GB2312" w:cs="仿宋_GB2312"/>
          <w:color w:val="auto"/>
          <w:sz w:val="32"/>
          <w:szCs w:val="32"/>
          <w:highlight w:val="none"/>
        </w:rPr>
        <w:t>十三、</w:t>
      </w:r>
      <w:bookmarkEnd w:id="82"/>
      <w:r>
        <w:rPr>
          <w:rFonts w:hint="eastAsia" w:ascii="Times New Roman" w:hAnsi="Times New Roman" w:eastAsia="仿宋_GB2312" w:cs="仿宋_GB2312"/>
          <w:color w:val="auto"/>
          <w:sz w:val="32"/>
          <w:szCs w:val="32"/>
          <w:highlight w:val="none"/>
          <w:lang w:eastAsia="zh-CN"/>
        </w:rPr>
        <w:t>财政拨款“三公”经费支出决算表</w:t>
      </w:r>
    </w:p>
    <w:p w14:paraId="7A4CAF88">
      <w:pPr>
        <w:rPr>
          <w:rFonts w:hint="eastAsia" w:ascii="Times New Roman" w:hAnsi="Times New Roman"/>
          <w:lang w:eastAsia="zh-CN"/>
        </w:rPr>
      </w:pPr>
    </w:p>
    <w:sectPr>
      <w:footerReference r:id="rId9" w:type="default"/>
      <w:pgSz w:w="11906" w:h="16838"/>
      <w:pgMar w:top="1440" w:right="1800" w:bottom="1440" w:left="1800" w:header="851" w:footer="992" w:gutter="0"/>
      <w:pgNumType w:fmt="numberInDash" w:start="3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1FB7">
    <w:pPr>
      <w:pStyle w:val="15"/>
      <w:jc w:val="center"/>
    </w:pPr>
  </w:p>
  <w:p w14:paraId="18F7DF1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8594">
    <w:pPr>
      <w:pStyle w:val="15"/>
      <w:jc w:val="center"/>
    </w:pPr>
  </w:p>
  <w:p w14:paraId="28C09A0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E7495">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AEDFD">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9EAEDFD">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AAA4D">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37976">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D837976">
                    <w:pPr>
                      <w:pStyle w:val="15"/>
                    </w:pPr>
                    <w:r>
                      <w:fldChar w:fldCharType="begin"/>
                    </w:r>
                    <w:r>
                      <w:instrText xml:space="preserve"> PAGE  \* MERGEFORMAT </w:instrText>
                    </w:r>
                    <w:r>
                      <w:fldChar w:fldCharType="separate"/>
                    </w:r>
                    <w:r>
                      <w:t>- 1 -</w:t>
                    </w:r>
                    <w:r>
                      <w:fldChar w:fldCharType="end"/>
                    </w:r>
                  </w:p>
                </w:txbxContent>
              </v:textbox>
            </v:shape>
          </w:pict>
        </mc:Fallback>
      </mc:AlternateContent>
    </w:r>
  </w:p>
  <w:p w14:paraId="66A69994">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C0B1E">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5A77A">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15A77A">
                    <w:pPr>
                      <w:pStyle w:val="15"/>
                    </w:pPr>
                    <w:r>
                      <w:fldChar w:fldCharType="begin"/>
                    </w:r>
                    <w:r>
                      <w:instrText xml:space="preserve"> PAGE  \* MERGEFORMAT </w:instrText>
                    </w:r>
                    <w:r>
                      <w:fldChar w:fldCharType="separate"/>
                    </w:r>
                    <w:r>
                      <w:t>- 1 -</w:t>
                    </w:r>
                    <w:r>
                      <w:fldChar w:fldCharType="end"/>
                    </w:r>
                  </w:p>
                </w:txbxContent>
              </v:textbox>
            </v:shape>
          </w:pict>
        </mc:Fallback>
      </mc:AlternateContent>
    </w:r>
  </w:p>
  <w:p w14:paraId="06EF9C6E">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73E81">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9D68E">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59D68E">
                    <w:pPr>
                      <w:pStyle w:val="15"/>
                    </w:pPr>
                    <w:r>
                      <w:fldChar w:fldCharType="begin"/>
                    </w:r>
                    <w:r>
                      <w:instrText xml:space="preserve"> PAGE  \* MERGEFORMAT </w:instrText>
                    </w:r>
                    <w:r>
                      <w:fldChar w:fldCharType="separate"/>
                    </w:r>
                    <w:r>
                      <w:t>- 1 -</w:t>
                    </w:r>
                    <w:r>
                      <w:fldChar w:fldCharType="end"/>
                    </w:r>
                  </w:p>
                </w:txbxContent>
              </v:textbox>
            </v:shape>
          </w:pict>
        </mc:Fallback>
      </mc:AlternateContent>
    </w:r>
  </w:p>
  <w:p w14:paraId="7E0A4A7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9CCF">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11"/>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39B59D4"/>
    <w:rsid w:val="05B17302"/>
    <w:rsid w:val="060A7D56"/>
    <w:rsid w:val="061E35DE"/>
    <w:rsid w:val="066E0107"/>
    <w:rsid w:val="07996F6E"/>
    <w:rsid w:val="07B514F5"/>
    <w:rsid w:val="07DFD8BA"/>
    <w:rsid w:val="09367531"/>
    <w:rsid w:val="09867E8F"/>
    <w:rsid w:val="0A2032A3"/>
    <w:rsid w:val="0A536929"/>
    <w:rsid w:val="0A5F3399"/>
    <w:rsid w:val="0BE023D5"/>
    <w:rsid w:val="0CA8290A"/>
    <w:rsid w:val="0D35B1ED"/>
    <w:rsid w:val="0DE7103D"/>
    <w:rsid w:val="0F824F30"/>
    <w:rsid w:val="0F98263C"/>
    <w:rsid w:val="0FB42C9E"/>
    <w:rsid w:val="0FBC7598"/>
    <w:rsid w:val="101860EC"/>
    <w:rsid w:val="10C055FF"/>
    <w:rsid w:val="11761E61"/>
    <w:rsid w:val="11772AA4"/>
    <w:rsid w:val="118107EC"/>
    <w:rsid w:val="11CB3458"/>
    <w:rsid w:val="13D50BC4"/>
    <w:rsid w:val="15545754"/>
    <w:rsid w:val="15E61BAF"/>
    <w:rsid w:val="165E0673"/>
    <w:rsid w:val="16BB723D"/>
    <w:rsid w:val="17216686"/>
    <w:rsid w:val="175B40AA"/>
    <w:rsid w:val="17C328B1"/>
    <w:rsid w:val="186504BB"/>
    <w:rsid w:val="18A11583"/>
    <w:rsid w:val="19A445FC"/>
    <w:rsid w:val="1AD20CCC"/>
    <w:rsid w:val="1BE8440E"/>
    <w:rsid w:val="1C6E7E6B"/>
    <w:rsid w:val="1C8E144E"/>
    <w:rsid w:val="1D155CEE"/>
    <w:rsid w:val="1D996845"/>
    <w:rsid w:val="1E504393"/>
    <w:rsid w:val="1E740ACF"/>
    <w:rsid w:val="1FF35744"/>
    <w:rsid w:val="1FF6BC77"/>
    <w:rsid w:val="218F4327"/>
    <w:rsid w:val="22E859B7"/>
    <w:rsid w:val="22E9024C"/>
    <w:rsid w:val="23513BD9"/>
    <w:rsid w:val="23860B96"/>
    <w:rsid w:val="240371BF"/>
    <w:rsid w:val="257B0F03"/>
    <w:rsid w:val="260F557C"/>
    <w:rsid w:val="281408E2"/>
    <w:rsid w:val="2877544C"/>
    <w:rsid w:val="290D304F"/>
    <w:rsid w:val="29B30F38"/>
    <w:rsid w:val="29FD04D3"/>
    <w:rsid w:val="2A905339"/>
    <w:rsid w:val="2BFF7BC6"/>
    <w:rsid w:val="2C8A61B5"/>
    <w:rsid w:val="2D9B6CC3"/>
    <w:rsid w:val="2DF04E50"/>
    <w:rsid w:val="2F040D46"/>
    <w:rsid w:val="2FAE5751"/>
    <w:rsid w:val="2FB1A395"/>
    <w:rsid w:val="2FD9A7D8"/>
    <w:rsid w:val="319F7F4E"/>
    <w:rsid w:val="3304709D"/>
    <w:rsid w:val="332C6C18"/>
    <w:rsid w:val="349D6851"/>
    <w:rsid w:val="35146C8D"/>
    <w:rsid w:val="3624500D"/>
    <w:rsid w:val="36AA5135"/>
    <w:rsid w:val="36BE0DA7"/>
    <w:rsid w:val="376B6AA6"/>
    <w:rsid w:val="376D39B2"/>
    <w:rsid w:val="37E16F03"/>
    <w:rsid w:val="37F470B1"/>
    <w:rsid w:val="37F53A3B"/>
    <w:rsid w:val="382B101F"/>
    <w:rsid w:val="389B6C89"/>
    <w:rsid w:val="38D469F0"/>
    <w:rsid w:val="39627CCD"/>
    <w:rsid w:val="397BAF1F"/>
    <w:rsid w:val="3A2B49B3"/>
    <w:rsid w:val="3AB79AF3"/>
    <w:rsid w:val="3B7EF35A"/>
    <w:rsid w:val="3B9FDB6C"/>
    <w:rsid w:val="3BF5BC2F"/>
    <w:rsid w:val="3CEBA265"/>
    <w:rsid w:val="3D98207C"/>
    <w:rsid w:val="3DEE7CF3"/>
    <w:rsid w:val="3E78745D"/>
    <w:rsid w:val="3FF4CAE0"/>
    <w:rsid w:val="3FF7B227"/>
    <w:rsid w:val="425C2DC8"/>
    <w:rsid w:val="44E268DA"/>
    <w:rsid w:val="44F93E44"/>
    <w:rsid w:val="45D16192"/>
    <w:rsid w:val="46624C36"/>
    <w:rsid w:val="46D00C57"/>
    <w:rsid w:val="478B0985"/>
    <w:rsid w:val="47C816C6"/>
    <w:rsid w:val="486A6C7A"/>
    <w:rsid w:val="4A337134"/>
    <w:rsid w:val="4A383661"/>
    <w:rsid w:val="4A627F82"/>
    <w:rsid w:val="4B0E749A"/>
    <w:rsid w:val="4B4F25DA"/>
    <w:rsid w:val="4BE068DB"/>
    <w:rsid w:val="4D577224"/>
    <w:rsid w:val="4DBF1CEB"/>
    <w:rsid w:val="4EAB630A"/>
    <w:rsid w:val="4ECE2238"/>
    <w:rsid w:val="4F833267"/>
    <w:rsid w:val="4FE9BD67"/>
    <w:rsid w:val="4FFB052F"/>
    <w:rsid w:val="50371DAC"/>
    <w:rsid w:val="521C55EE"/>
    <w:rsid w:val="525D0B15"/>
    <w:rsid w:val="532A129B"/>
    <w:rsid w:val="537E6D0A"/>
    <w:rsid w:val="53F74C96"/>
    <w:rsid w:val="56261BDC"/>
    <w:rsid w:val="56E47B74"/>
    <w:rsid w:val="57BD3DD4"/>
    <w:rsid w:val="58173319"/>
    <w:rsid w:val="586D2146"/>
    <w:rsid w:val="59B03041"/>
    <w:rsid w:val="5AF92295"/>
    <w:rsid w:val="5BDD79E6"/>
    <w:rsid w:val="5BF561CA"/>
    <w:rsid w:val="5BFF5DFC"/>
    <w:rsid w:val="5CD71FC4"/>
    <w:rsid w:val="5D1F11B5"/>
    <w:rsid w:val="5D9A1755"/>
    <w:rsid w:val="5DAE1B18"/>
    <w:rsid w:val="5DE7D9E5"/>
    <w:rsid w:val="5DF01D80"/>
    <w:rsid w:val="5E1200F3"/>
    <w:rsid w:val="5EB90A6A"/>
    <w:rsid w:val="5ECEC941"/>
    <w:rsid w:val="5FBF9FF3"/>
    <w:rsid w:val="5FCD4E2C"/>
    <w:rsid w:val="5FEF394A"/>
    <w:rsid w:val="5FF67715"/>
    <w:rsid w:val="60ED618B"/>
    <w:rsid w:val="62207017"/>
    <w:rsid w:val="62BF3928"/>
    <w:rsid w:val="632808D0"/>
    <w:rsid w:val="647F5392"/>
    <w:rsid w:val="64AE6312"/>
    <w:rsid w:val="664B1D71"/>
    <w:rsid w:val="668015E0"/>
    <w:rsid w:val="67AA3209"/>
    <w:rsid w:val="698D0931"/>
    <w:rsid w:val="69E82B0F"/>
    <w:rsid w:val="69F43BE2"/>
    <w:rsid w:val="6A5401BF"/>
    <w:rsid w:val="6A971BBD"/>
    <w:rsid w:val="6AC46385"/>
    <w:rsid w:val="6B053271"/>
    <w:rsid w:val="6BBD1A66"/>
    <w:rsid w:val="6C037151"/>
    <w:rsid w:val="6C4A05C8"/>
    <w:rsid w:val="6C8742B8"/>
    <w:rsid w:val="6DBF5E93"/>
    <w:rsid w:val="6DD62813"/>
    <w:rsid w:val="6DFF077E"/>
    <w:rsid w:val="6E7E3605"/>
    <w:rsid w:val="6E7FDCC7"/>
    <w:rsid w:val="6ED6A62E"/>
    <w:rsid w:val="6EE00B15"/>
    <w:rsid w:val="6F6FB3EB"/>
    <w:rsid w:val="6F8731EA"/>
    <w:rsid w:val="6FCE6052"/>
    <w:rsid w:val="6FD57C00"/>
    <w:rsid w:val="6FEFFFD8"/>
    <w:rsid w:val="6FF5CC65"/>
    <w:rsid w:val="6FFB47EC"/>
    <w:rsid w:val="6FFF034A"/>
    <w:rsid w:val="70567EF9"/>
    <w:rsid w:val="71142A8E"/>
    <w:rsid w:val="712A28F1"/>
    <w:rsid w:val="715C0E4B"/>
    <w:rsid w:val="72233669"/>
    <w:rsid w:val="72734D90"/>
    <w:rsid w:val="7332FE48"/>
    <w:rsid w:val="736D135E"/>
    <w:rsid w:val="737016F6"/>
    <w:rsid w:val="73AB61DA"/>
    <w:rsid w:val="73AD73D5"/>
    <w:rsid w:val="73B6EB34"/>
    <w:rsid w:val="73F27B52"/>
    <w:rsid w:val="73FA497D"/>
    <w:rsid w:val="744731E5"/>
    <w:rsid w:val="74BBD01D"/>
    <w:rsid w:val="74ED5379"/>
    <w:rsid w:val="75DEEEC2"/>
    <w:rsid w:val="75E31D80"/>
    <w:rsid w:val="76A718F8"/>
    <w:rsid w:val="76E3355F"/>
    <w:rsid w:val="76FF5125"/>
    <w:rsid w:val="776F6FFA"/>
    <w:rsid w:val="778769C8"/>
    <w:rsid w:val="77DC22F5"/>
    <w:rsid w:val="79086DAD"/>
    <w:rsid w:val="79D7FD79"/>
    <w:rsid w:val="79EE5BA4"/>
    <w:rsid w:val="7A894339"/>
    <w:rsid w:val="7AB150FA"/>
    <w:rsid w:val="7AEE202C"/>
    <w:rsid w:val="7AFF7572"/>
    <w:rsid w:val="7B6C7DFB"/>
    <w:rsid w:val="7BBFBED0"/>
    <w:rsid w:val="7BC3E394"/>
    <w:rsid w:val="7C1F3737"/>
    <w:rsid w:val="7C3C3BD3"/>
    <w:rsid w:val="7CBFC87B"/>
    <w:rsid w:val="7CFE0F48"/>
    <w:rsid w:val="7D7EC23E"/>
    <w:rsid w:val="7D8F677B"/>
    <w:rsid w:val="7DA62E7B"/>
    <w:rsid w:val="7DE71C1A"/>
    <w:rsid w:val="7E6A2DE9"/>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rPr>
      <w:rFonts w:eastAsia="宋体"/>
      <w:sz w:val="21"/>
      <w:szCs w:val="2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7">
    <w:name w:val="annotation text"/>
    <w:basedOn w:val="1"/>
    <w:semiHidden/>
    <w:unhideWhenUsed/>
    <w:qFormat/>
    <w:uiPriority w:val="99"/>
    <w:pPr>
      <w:jc w:val="left"/>
    </w:pPr>
  </w:style>
  <w:style w:type="paragraph" w:styleId="8">
    <w:name w:val="Body Text"/>
    <w:basedOn w:val="1"/>
    <w:link w:val="30"/>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5"/>
    <w:basedOn w:val="1"/>
    <w:next w:val="1"/>
    <w:qFormat/>
    <w:uiPriority w:val="0"/>
    <w:pPr>
      <w:ind w:left="1680"/>
    </w:pPr>
    <w:rPr>
      <w:rFonts w:ascii="Times New Roman" w:hAnsi="Times New Roman" w:eastAsia="宋体" w:cs="Times New Roman"/>
      <w:szCs w:val="24"/>
    </w:rPr>
  </w:style>
  <w:style w:type="paragraph" w:styleId="12">
    <w:name w:val="toc 3"/>
    <w:basedOn w:val="1"/>
    <w:next w:val="1"/>
    <w:unhideWhenUsed/>
    <w:qFormat/>
    <w:uiPriority w:val="39"/>
    <w:pPr>
      <w:tabs>
        <w:tab w:val="right" w:leader="dot" w:pos="8296"/>
      </w:tabs>
      <w:ind w:left="840" w:leftChars="400"/>
    </w:pPr>
  </w:style>
  <w:style w:type="paragraph" w:styleId="13">
    <w:name w:val="Plain Text"/>
    <w:basedOn w:val="1"/>
    <w:next w:val="11"/>
    <w:unhideWhenUsed/>
    <w:qFormat/>
    <w:uiPriority w:val="0"/>
    <w:rPr>
      <w:rFonts w:ascii="宋体" w:hAnsi="Courier New" w:cs="Courier New"/>
      <w:szCs w:val="21"/>
    </w:rPr>
  </w:style>
  <w:style w:type="paragraph" w:styleId="14">
    <w:name w:val="Balloon Text"/>
    <w:basedOn w:val="1"/>
    <w:link w:val="36"/>
    <w:semiHidden/>
    <w:unhideWhenUsed/>
    <w:qFormat/>
    <w:uiPriority w:val="99"/>
    <w:rPr>
      <w:sz w:val="18"/>
      <w:szCs w:val="18"/>
    </w:rPr>
  </w:style>
  <w:style w:type="paragraph" w:styleId="15">
    <w:name w:val="footer"/>
    <w:basedOn w:val="1"/>
    <w:next w:val="1"/>
    <w:link w:val="28"/>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footnote text"/>
    <w:basedOn w:val="1"/>
    <w:next w:val="10"/>
    <w:semiHidden/>
    <w:qFormat/>
    <w:uiPriority w:val="0"/>
    <w:pPr>
      <w:snapToGrid w:val="0"/>
      <w:jc w:val="left"/>
    </w:pPr>
    <w:rPr>
      <w:sz w:val="18"/>
      <w:szCs w:val="18"/>
    </w:rPr>
  </w:style>
  <w:style w:type="paragraph" w:styleId="19">
    <w:name w:val="toc 2"/>
    <w:basedOn w:val="1"/>
    <w:next w:val="1"/>
    <w:unhideWhenUsed/>
    <w:qFormat/>
    <w:uiPriority w:val="39"/>
    <w:pPr>
      <w:tabs>
        <w:tab w:val="right" w:leader="dot" w:pos="8296"/>
      </w:tabs>
      <w:ind w:left="420" w:leftChars="200"/>
    </w:p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21"/>
    <w:semiHidden/>
    <w:qFormat/>
    <w:uiPriority w:val="99"/>
    <w:rPr>
      <w:rFonts w:ascii="Times New Roman" w:hAnsi="Times New Roman"/>
      <w:sz w:val="18"/>
      <w:szCs w:val="18"/>
    </w:rPr>
  </w:style>
  <w:style w:type="character" w:customStyle="1" w:styleId="26">
    <w:name w:val="页眉 Char"/>
    <w:link w:val="16"/>
    <w:semiHidden/>
    <w:qFormat/>
    <w:locked/>
    <w:uiPriority w:val="99"/>
    <w:rPr>
      <w:sz w:val="18"/>
    </w:rPr>
  </w:style>
  <w:style w:type="character" w:customStyle="1" w:styleId="27">
    <w:name w:val="Footer Char"/>
    <w:basedOn w:val="21"/>
    <w:semiHidden/>
    <w:qFormat/>
    <w:uiPriority w:val="99"/>
    <w:rPr>
      <w:rFonts w:ascii="Times New Roman" w:hAnsi="Times New Roman"/>
      <w:sz w:val="18"/>
      <w:szCs w:val="18"/>
    </w:rPr>
  </w:style>
  <w:style w:type="character" w:customStyle="1" w:styleId="28">
    <w:name w:val="页脚 Char"/>
    <w:link w:val="15"/>
    <w:qFormat/>
    <w:locked/>
    <w:uiPriority w:val="99"/>
    <w:rPr>
      <w:sz w:val="18"/>
    </w:rPr>
  </w:style>
  <w:style w:type="character" w:customStyle="1" w:styleId="29">
    <w:name w:val="Body Text Char"/>
    <w:basedOn w:val="21"/>
    <w:semiHidden/>
    <w:qFormat/>
    <w:uiPriority w:val="99"/>
    <w:rPr>
      <w:rFonts w:ascii="Times New Roman" w:hAnsi="Times New Roman"/>
      <w:szCs w:val="24"/>
    </w:rPr>
  </w:style>
  <w:style w:type="character" w:customStyle="1" w:styleId="30">
    <w:name w:val="正文文本 Char"/>
    <w:link w:val="8"/>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1"/>
    <w:link w:val="4"/>
    <w:qFormat/>
    <w:uiPriority w:val="9"/>
    <w:rPr>
      <w:rFonts w:ascii="Times New Roman" w:hAnsi="Times New Roman"/>
      <w:b/>
      <w:bCs/>
      <w:kern w:val="44"/>
      <w:sz w:val="44"/>
      <w:szCs w:val="44"/>
    </w:rPr>
  </w:style>
  <w:style w:type="character" w:customStyle="1" w:styleId="34">
    <w:name w:val="标题 2 Char"/>
    <w:basedOn w:val="21"/>
    <w:link w:val="5"/>
    <w:qFormat/>
    <w:uiPriority w:val="9"/>
    <w:rPr>
      <w:rFonts w:asciiTheme="majorHAnsi" w:hAnsiTheme="majorHAnsi" w:eastAsiaTheme="majorEastAsia" w:cstheme="majorBidi"/>
      <w:b/>
      <w:bCs/>
      <w:kern w:val="2"/>
      <w:sz w:val="32"/>
      <w:szCs w:val="32"/>
    </w:r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1"/>
    <w:link w:val="14"/>
    <w:semiHidden/>
    <w:qFormat/>
    <w:uiPriority w:val="99"/>
    <w:rPr>
      <w:rFonts w:ascii="Times New Roman" w:hAnsi="Times New Roman"/>
      <w:kern w:val="2"/>
      <w:sz w:val="18"/>
      <w:szCs w:val="18"/>
    </w:rPr>
  </w:style>
  <w:style w:type="character" w:customStyle="1" w:styleId="37">
    <w:name w:val="标题 3 Char"/>
    <w:basedOn w:val="21"/>
    <w:link w:val="6"/>
    <w:qFormat/>
    <w:uiPriority w:val="9"/>
    <w:rPr>
      <w:rFonts w:ascii="Times New Roman" w:hAnsi="Times New Roman"/>
      <w:b/>
      <w:bCs/>
      <w:kern w:val="2"/>
      <w:sz w:val="32"/>
      <w:szCs w:val="32"/>
    </w:r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质联正文"/>
    <w:basedOn w:val="1"/>
    <w:qFormat/>
    <w:uiPriority w:val="3"/>
    <w:pPr>
      <w:spacing w:line="600" w:lineRule="exact"/>
      <w:ind w:firstLine="640" w:firstLineChars="200"/>
    </w:pPr>
    <w:rPr>
      <w:kern w:val="0"/>
      <w:szCs w:val="28"/>
      <w:lang w:val="zh-CN"/>
    </w:rPr>
  </w:style>
  <w:style w:type="character" w:customStyle="1" w:styleId="43">
    <w:name w:val="font21"/>
    <w:basedOn w:val="21"/>
    <w:qFormat/>
    <w:uiPriority w:val="0"/>
    <w:rPr>
      <w:rFonts w:hint="eastAsia" w:ascii="黑体" w:hAnsi="宋体" w:eastAsia="黑体" w:cs="黑体"/>
      <w:b/>
      <w:bCs/>
      <w:color w:val="000000"/>
      <w:sz w:val="30"/>
      <w:szCs w:val="30"/>
      <w:u w:val="none"/>
    </w:rPr>
  </w:style>
  <w:style w:type="character" w:customStyle="1" w:styleId="44">
    <w:name w:val="font81"/>
    <w:basedOn w:val="21"/>
    <w:qFormat/>
    <w:uiPriority w:val="0"/>
    <w:rPr>
      <w:rFonts w:hint="eastAsia" w:ascii="黑体" w:hAnsi="宋体" w:eastAsia="黑体" w:cs="黑体"/>
      <w:b/>
      <w:bCs/>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74.99</c:v>
                </c:pt>
                <c:pt idx="1">
                  <c:v>74.99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97.42</c:v>
                </c:pt>
                <c:pt idx="1">
                  <c:v>97.42</c:v>
                </c:pt>
              </c:numCache>
            </c:numRef>
          </c:val>
        </c:ser>
        <c:dLbls>
          <c:showLegendKey val="0"/>
          <c:showVal val="0"/>
          <c:showCatName val="0"/>
          <c:showSerName val="0"/>
          <c:showPercent val="0"/>
          <c:showBubbleSize val="0"/>
        </c:dLbls>
        <c:gapWidth val="219"/>
        <c:overlap val="-27"/>
        <c:axId val="563125012"/>
        <c:axId val="543336824"/>
      </c:barChart>
      <c:catAx>
        <c:axId val="563125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3336824"/>
        <c:crosses val="autoZero"/>
        <c:auto val="1"/>
        <c:lblAlgn val="ctr"/>
        <c:lblOffset val="100"/>
        <c:noMultiLvlLbl val="0"/>
      </c:catAx>
      <c:valAx>
        <c:axId val="543336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1250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1e94ad-346f-4c16-bb90-28e41073400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50dbe9a-e520-4e27-a778-a59c12afef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占比（</a:t>
            </a:r>
            <a:r>
              <a:rPr lang="en-US" altLang="zh-CN"/>
              <a:t>%</a:t>
            </a:r>
            <a:r>
              <a:rPr altLang="zh-CN"/>
              <a:t>）</a:t>
            </a:r>
            <a:endParaRPr altLang="zh-CN"/>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94.87</c:v>
                </c:pt>
                <c:pt idx="1">
                  <c:v>5.13</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5ed9e4-1c67-4903-b302-6b207b2bf9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1625"/>
          <c:y val="0.02"/>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74.99</c:v>
                </c:pt>
                <c:pt idx="1">
                  <c:v>74.99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97.42</c:v>
                </c:pt>
                <c:pt idx="1">
                  <c:v>97.42</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2d186d4-c307-46a4-96f4-fe2da1ddb3d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6"/>
          <c:y val="0.047"/>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74.99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97.42</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3a4355f-f030-44a1-a4bc-336f0dde69a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352644313943123"/>
                  <c:y val="0.07506350939509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78.56</c:v>
                </c:pt>
                <c:pt idx="1">
                  <c:v>9.44</c:v>
                </c:pt>
                <c:pt idx="2">
                  <c:v>5.03</c:v>
                </c:pt>
                <c:pt idx="3">
                  <c:v>6.97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803e2f-f24a-4068-8616-dfae2198e5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占比（%）</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25bf02a-eea3-4a0f-923f-139da9e696f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10142</Words>
  <Characters>10855</Characters>
  <Lines>61</Lines>
  <Paragraphs>17</Paragraphs>
  <TotalTime>2</TotalTime>
  <ScaleCrop>false</ScaleCrop>
  <LinksUpToDate>false</LinksUpToDate>
  <CharactersWithSpaces>10974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2025-11-04T08:05:16Z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3BF536824C220DA3E40E8B68BA118B1C_42</vt:lpwstr>
  </property>
  <property fmtid="{D5CDD505-2E9C-101B-9397-08002B2CF9AE}" pid="4" name="KSOTemplateDocerSaveRecord">
    <vt:lpwstr>eyJoZGlkIjoiMjcwYjc0NzEyMzZlNTZmOWU5MGU4MTc5MzFmMjczNTkifQ==</vt:lpwstr>
  </property>
</Properties>
</file>