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5AE3FC">
      <w:pPr>
        <w:pStyle w:val="201"/>
        <w:jc w:val="center"/>
        <w:rPr>
          <w:rFonts w:ascii="Times New Roman" w:hAnsi="Times New Roman" w:eastAsia="方正小标宋简体"/>
          <w:color w:val="000000"/>
          <w:sz w:val="44"/>
          <w:szCs w:val="44"/>
        </w:rPr>
      </w:pPr>
    </w:p>
    <w:p w14:paraId="4D3DF34F">
      <w:pPr>
        <w:pStyle w:val="201"/>
        <w:jc w:val="center"/>
        <w:rPr>
          <w:rFonts w:ascii="Times New Roman" w:hAnsi="Times New Roman" w:eastAsia="方正小标宋简体"/>
          <w:color w:val="000000"/>
          <w:sz w:val="44"/>
          <w:szCs w:val="44"/>
        </w:rPr>
      </w:pPr>
    </w:p>
    <w:p w14:paraId="526C781B">
      <w:pPr>
        <w:pStyle w:val="201"/>
        <w:jc w:val="center"/>
        <w:rPr>
          <w:rFonts w:ascii="Times New Roman" w:hAnsi="Times New Roman" w:eastAsia="方正小标宋简体"/>
          <w:color w:val="000000"/>
          <w:sz w:val="44"/>
          <w:szCs w:val="44"/>
        </w:rPr>
      </w:pPr>
    </w:p>
    <w:p w14:paraId="552B08F2">
      <w:pPr>
        <w:pStyle w:val="201"/>
        <w:jc w:val="center"/>
        <w:rPr>
          <w:rFonts w:ascii="Times New Roman" w:hAnsi="Times New Roman" w:eastAsia="方正小标宋简体"/>
          <w:color w:val="000000"/>
          <w:sz w:val="44"/>
          <w:szCs w:val="44"/>
        </w:rPr>
      </w:pPr>
    </w:p>
    <w:p w14:paraId="0CB0987C">
      <w:pPr>
        <w:pStyle w:val="14"/>
        <w:spacing w:before="93" w:beforeLines="30" w:after="0"/>
        <w:jc w:val="center"/>
        <w:outlineLvl w:val="9"/>
        <w:rPr>
          <w:rFonts w:hint="eastAsia" w:ascii="Times New Roman" w:hAnsi="Times New Roman" w:eastAsia="方正小标宋简体" w:cs="Times New Roman"/>
          <w:kern w:val="2"/>
          <w:sz w:val="44"/>
          <w:szCs w:val="44"/>
        </w:rPr>
      </w:pPr>
      <w:r>
        <w:rPr>
          <w:rFonts w:hint="eastAsia" w:ascii="Times New Roman" w:hAnsi="Times New Roman" w:eastAsia="方正小标宋简体" w:cs="Times New Roman"/>
          <w:kern w:val="2"/>
          <w:sz w:val="44"/>
          <w:szCs w:val="44"/>
        </w:rPr>
        <w:t>2024年度</w:t>
      </w:r>
      <w:bookmarkStart w:id="0" w:name="_Toc15377194"/>
      <w:bookmarkStart w:id="1" w:name="_Toc15396476"/>
      <w:bookmarkStart w:id="2" w:name="_Toc15378442"/>
      <w:bookmarkStart w:id="3" w:name="_Toc15377426"/>
      <w:bookmarkStart w:id="4" w:name="_Toc15396598"/>
    </w:p>
    <w:p w14:paraId="632404A2">
      <w:pPr>
        <w:pStyle w:val="14"/>
        <w:spacing w:before="93" w:beforeLines="30" w:after="0"/>
        <w:jc w:val="center"/>
        <w:outlineLvl w:val="9"/>
        <w:rPr>
          <w:rFonts w:hint="eastAsia" w:ascii="Times New Roman" w:hAnsi="Times New Roman" w:eastAsia="方正小标宋简体" w:cs="Times New Roman"/>
          <w:kern w:val="2"/>
          <w:sz w:val="40"/>
          <w:szCs w:val="40"/>
        </w:rPr>
      </w:pPr>
      <w:r>
        <w:rPr>
          <w:rFonts w:hint="eastAsia" w:ascii="Times New Roman" w:hAnsi="Times New Roman" w:eastAsia="方正小标宋简体" w:cs="Times New Roman"/>
          <w:kern w:val="2"/>
          <w:sz w:val="40"/>
          <w:szCs w:val="40"/>
        </w:rPr>
        <w:t>四川省</w:t>
      </w:r>
      <w:bookmarkStart w:id="5" w:name="_Toc15306268"/>
      <w:r>
        <w:rPr>
          <w:rFonts w:hint="eastAsia" w:ascii="Times New Roman" w:hAnsi="Times New Roman" w:eastAsia="方正小标宋简体" w:cs="Times New Roman"/>
          <w:kern w:val="2"/>
          <w:sz w:val="40"/>
          <w:szCs w:val="40"/>
        </w:rPr>
        <w:t>遂宁市安居区人力资源和社会保障局</w:t>
      </w:r>
    </w:p>
    <w:p w14:paraId="739ECD83">
      <w:pPr>
        <w:pStyle w:val="14"/>
        <w:spacing w:before="93" w:beforeLines="30" w:after="0"/>
        <w:jc w:val="center"/>
        <w:outlineLvl w:val="9"/>
        <w:rPr>
          <w:rFonts w:hint="eastAsia" w:ascii="Times New Roman" w:hAnsi="Times New Roman" w:eastAsia="方正小标宋简体" w:cs="Times New Roman"/>
          <w:kern w:val="2"/>
          <w:sz w:val="44"/>
          <w:szCs w:val="44"/>
        </w:rPr>
      </w:pPr>
      <w:r>
        <w:rPr>
          <w:rFonts w:hint="eastAsia" w:ascii="Times New Roman" w:hAnsi="Times New Roman" w:eastAsia="方正小标宋简体" w:cs="Times New Roman"/>
          <w:kern w:val="2"/>
          <w:sz w:val="44"/>
          <w:szCs w:val="44"/>
          <w:lang w:eastAsia="zh-CN"/>
        </w:rPr>
        <w:t>部门</w:t>
      </w:r>
      <w:r>
        <w:rPr>
          <w:rFonts w:hint="eastAsia" w:ascii="Times New Roman" w:hAnsi="Times New Roman" w:eastAsia="方正小标宋简体" w:cs="Times New Roman"/>
          <w:kern w:val="2"/>
          <w:sz w:val="44"/>
          <w:szCs w:val="44"/>
        </w:rPr>
        <w:t>决算</w:t>
      </w:r>
      <w:bookmarkEnd w:id="0"/>
      <w:bookmarkEnd w:id="1"/>
      <w:bookmarkEnd w:id="2"/>
      <w:bookmarkEnd w:id="3"/>
      <w:bookmarkEnd w:id="4"/>
      <w:bookmarkEnd w:id="5"/>
    </w:p>
    <w:p w14:paraId="6BF8C7F2">
      <w:pPr>
        <w:pStyle w:val="201"/>
        <w:spacing w:before="173"/>
        <w:rPr>
          <w:rFonts w:ascii="Times New Roman" w:eastAsia="方正小标宋简体"/>
          <w:sz w:val="44"/>
          <w:szCs w:val="44"/>
        </w:rPr>
      </w:pPr>
    </w:p>
    <w:p w14:paraId="74EB5599">
      <w:pPr>
        <w:widowControl/>
        <w:jc w:val="center"/>
        <w:rPr>
          <w:rFonts w:eastAsia="方正小标宋简体"/>
          <w:sz w:val="36"/>
          <w:szCs w:val="36"/>
        </w:rPr>
      </w:pPr>
    </w:p>
    <w:p w14:paraId="2AD711D0">
      <w:pPr>
        <w:widowControl/>
        <w:jc w:val="center"/>
        <w:rPr>
          <w:rFonts w:eastAsia="方正小标宋简体"/>
          <w:sz w:val="36"/>
          <w:szCs w:val="36"/>
        </w:rPr>
      </w:pPr>
    </w:p>
    <w:p w14:paraId="7A5AEF13">
      <w:pPr>
        <w:widowControl/>
        <w:jc w:val="center"/>
        <w:rPr>
          <w:rFonts w:eastAsia="方正小标宋简体"/>
          <w:sz w:val="36"/>
          <w:szCs w:val="36"/>
        </w:rPr>
      </w:pPr>
    </w:p>
    <w:p w14:paraId="40E4A399">
      <w:pPr>
        <w:widowControl/>
        <w:jc w:val="center"/>
        <w:rPr>
          <w:rFonts w:eastAsia="方正小标宋简体"/>
          <w:sz w:val="36"/>
          <w:szCs w:val="36"/>
        </w:rPr>
      </w:pPr>
    </w:p>
    <w:p w14:paraId="70DD61DC">
      <w:pPr>
        <w:widowControl/>
        <w:jc w:val="center"/>
        <w:rPr>
          <w:rFonts w:eastAsia="方正小标宋简体"/>
          <w:sz w:val="36"/>
          <w:szCs w:val="36"/>
        </w:rPr>
      </w:pPr>
    </w:p>
    <w:p w14:paraId="20A185CC">
      <w:pPr>
        <w:widowControl/>
        <w:jc w:val="center"/>
        <w:rPr>
          <w:rFonts w:eastAsia="方正小标宋简体"/>
          <w:sz w:val="36"/>
          <w:szCs w:val="36"/>
        </w:rPr>
      </w:pPr>
    </w:p>
    <w:p w14:paraId="2FFFC253">
      <w:pPr>
        <w:widowControl/>
        <w:jc w:val="center"/>
        <w:rPr>
          <w:rFonts w:eastAsia="方正小标宋简体"/>
          <w:sz w:val="36"/>
          <w:szCs w:val="36"/>
        </w:rPr>
      </w:pPr>
    </w:p>
    <w:p w14:paraId="0CC7F60E">
      <w:pPr>
        <w:widowControl/>
        <w:jc w:val="center"/>
        <w:rPr>
          <w:rFonts w:eastAsia="方正小标宋简体"/>
          <w:sz w:val="36"/>
          <w:szCs w:val="36"/>
        </w:rPr>
      </w:pPr>
    </w:p>
    <w:p w14:paraId="5983FF20">
      <w:pPr>
        <w:widowControl/>
        <w:jc w:val="center"/>
        <w:rPr>
          <w:rFonts w:eastAsia="方正小标宋简体"/>
          <w:sz w:val="36"/>
          <w:szCs w:val="36"/>
        </w:rPr>
      </w:pPr>
    </w:p>
    <w:p w14:paraId="645DBE22">
      <w:pPr>
        <w:widowControl/>
        <w:rPr>
          <w:rFonts w:eastAsia="方正小标宋简体"/>
          <w:sz w:val="36"/>
          <w:szCs w:val="36"/>
        </w:rPr>
        <w:sectPr>
          <w:headerReference r:id="rId3" w:type="default"/>
          <w:footerReference r:id="rId4" w:type="default"/>
          <w:pgSz w:w="11906" w:h="16838" w:orient="landscape"/>
          <w:pgMar w:top="1440" w:right="1803" w:bottom="1440" w:left="1803" w:header="851" w:footer="1701" w:gutter="0"/>
          <w:cols w:space="1701" w:num="1"/>
        </w:sectPr>
      </w:pPr>
    </w:p>
    <w:sdt>
      <w:sdtPr>
        <w:rPr>
          <w:rFonts w:ascii="宋体" w:hAnsi="宋体" w:eastAsia="宋体"/>
          <w:sz w:val="21"/>
        </w:rPr>
        <w:id w:val="147481378"/>
        <w:docPartObj>
          <w:docPartGallery w:val="Table of Contents"/>
          <w:docPartUnique/>
        </w:docPartObj>
      </w:sdtPr>
      <w:sdtEndPr>
        <w:rPr>
          <w:rFonts w:hint="eastAsia" w:ascii="Times New Roman" w:hAnsi="Times New Roman" w:eastAsia="仿宋_GB2312" w:cs="Times New Roman"/>
          <w:kern w:val="2"/>
          <w:sz w:val="32"/>
          <w:szCs w:val="32"/>
          <w:lang w:val="en-US" w:eastAsia="zh-CN" w:bidi="ar-SA"/>
        </w:rPr>
      </w:sdtEndPr>
      <w:sdtContent>
        <w:p w14:paraId="417AF30A">
          <w:pPr>
            <w:jc w:val="center"/>
            <w:rPr>
              <w:rFonts w:ascii="黑体" w:hAnsi="黑体" w:eastAsia="黑体" w:cs="黑体"/>
              <w:sz w:val="48"/>
              <w:szCs w:val="48"/>
            </w:rPr>
          </w:pPr>
          <w:bookmarkStart w:id="6" w:name="_Toc15377196"/>
          <w:bookmarkStart w:id="7" w:name="_Toc15396599"/>
          <w:r>
            <w:rPr>
              <w:rFonts w:hint="eastAsia" w:ascii="黑体" w:hAnsi="黑体" w:eastAsia="黑体" w:cs="黑体"/>
              <w:sz w:val="48"/>
              <w:szCs w:val="48"/>
            </w:rPr>
            <w:t>目录</w:t>
          </w:r>
        </w:p>
        <w:p w14:paraId="24CFE53C">
          <w:pPr>
            <w:pStyle w:val="28"/>
            <w:rPr>
              <w:rFonts w:ascii="宋体" w:hAnsi="宋体" w:eastAsia="宋体"/>
              <w:sz w:val="21"/>
            </w:rPr>
          </w:pPr>
        </w:p>
        <w:p w14:paraId="3B08AD99">
          <w:pPr>
            <w:pStyle w:val="25"/>
            <w:tabs>
              <w:tab w:val="right" w:leader="dot" w:pos="8296"/>
            </w:tabs>
            <w:ind w:firstLine="2240" w:firstLineChars="700"/>
            <w:rPr>
              <w:rFonts w:ascii="宋体" w:hAnsi="宋体" w:eastAsia="宋体"/>
              <w:sz w:val="21"/>
            </w:rPr>
          </w:pPr>
          <w:r>
            <w:rPr>
              <w:rFonts w:hint="eastAsia" w:ascii="Times New Roman" w:hAnsi="Times New Roman" w:cs="仿宋_GB2312"/>
              <w:szCs w:val="32"/>
            </w:rPr>
            <w:t>公开时间：2024年08月2</w:t>
          </w:r>
          <w:r>
            <w:rPr>
              <w:rFonts w:hint="eastAsia" w:ascii="Times New Roman" w:hAnsi="Times New Roman" w:cs="仿宋_GB2312"/>
              <w:szCs w:val="32"/>
              <w:lang w:val="en-US" w:eastAsia="zh-CN"/>
            </w:rPr>
            <w:t>7</w:t>
          </w:r>
          <w:r>
            <w:rPr>
              <w:rFonts w:hint="eastAsia" w:ascii="Times New Roman" w:hAnsi="Times New Roman" w:cs="仿宋_GB2312"/>
              <w:szCs w:val="32"/>
            </w:rPr>
            <w:t>日</w:t>
          </w:r>
        </w:p>
        <w:p w14:paraId="4D033225">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rPr>
          </w:pPr>
        </w:p>
        <w:p w14:paraId="0B618719">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TOC \o "1-3" \h \u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黑体" w:cs="Times New Roman"/>
              <w:kern w:val="2"/>
              <w:sz w:val="32"/>
              <w:szCs w:val="32"/>
              <w:lang w:val="en-US" w:eastAsia="zh-CN" w:bidi="ar-SA"/>
            </w:rPr>
            <w:fldChar w:fldCharType="begin"/>
          </w:r>
          <w:r>
            <w:rPr>
              <w:rFonts w:hint="eastAsia" w:ascii="Times New Roman" w:hAnsi="Times New Roman" w:eastAsia="黑体" w:cs="Times New Roman"/>
              <w:kern w:val="2"/>
              <w:sz w:val="32"/>
              <w:szCs w:val="32"/>
              <w:lang w:val="en-US" w:eastAsia="zh-CN" w:bidi="ar-SA"/>
            </w:rPr>
            <w:instrText xml:space="preserve"> HYPERLINK \l "_Toc9876" </w:instrText>
          </w:r>
          <w:r>
            <w:rPr>
              <w:rFonts w:hint="eastAsia" w:ascii="Times New Roman" w:hAnsi="Times New Roman" w:eastAsia="黑体" w:cs="Times New Roman"/>
              <w:kern w:val="2"/>
              <w:sz w:val="32"/>
              <w:szCs w:val="32"/>
              <w:lang w:val="en-US" w:eastAsia="zh-CN" w:bidi="ar-SA"/>
            </w:rPr>
            <w:fldChar w:fldCharType="separate"/>
          </w:r>
          <w:r>
            <w:rPr>
              <w:rFonts w:hint="eastAsia" w:ascii="Times New Roman" w:hAnsi="Times New Roman" w:eastAsia="黑体" w:cs="Times New Roman"/>
              <w:kern w:val="2"/>
              <w:sz w:val="32"/>
              <w:szCs w:val="32"/>
              <w:lang w:val="en-US" w:eastAsia="zh-CN" w:bidi="ar-SA"/>
            </w:rPr>
            <w:t>第一部分 部门概况</w:t>
          </w:r>
          <w:r>
            <w:rPr>
              <w:rFonts w:hint="eastAsia" w:ascii="Times New Roman" w:hAnsi="Times New Roman" w:eastAsia="黑体" w:cs="Times New Roman"/>
              <w:kern w:val="2"/>
              <w:sz w:val="32"/>
              <w:szCs w:val="32"/>
              <w:lang w:val="en-US" w:eastAsia="zh-CN" w:bidi="ar-SA"/>
            </w:rPr>
            <w:tab/>
          </w:r>
          <w:r>
            <w:rPr>
              <w:rFonts w:hint="eastAsia" w:ascii="Times New Roman" w:hAnsi="Times New Roman" w:eastAsia="黑体" w:cs="Times New Roman"/>
              <w:kern w:val="2"/>
              <w:sz w:val="32"/>
              <w:szCs w:val="32"/>
              <w:lang w:val="en-US" w:eastAsia="zh-CN" w:bidi="ar-SA"/>
            </w:rPr>
            <w:t>1</w:t>
          </w:r>
          <w:r>
            <w:rPr>
              <w:rFonts w:hint="eastAsia" w:ascii="Times New Roman" w:hAnsi="Times New Roman" w:eastAsia="黑体" w:cs="Times New Roman"/>
              <w:kern w:val="2"/>
              <w:sz w:val="32"/>
              <w:szCs w:val="32"/>
              <w:lang w:val="en-US" w:eastAsia="zh-CN" w:bidi="ar-SA"/>
            </w:rPr>
            <w:fldChar w:fldCharType="end"/>
          </w:r>
        </w:p>
        <w:p w14:paraId="24D04D6A">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"_Toc1145"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一、 部门职责</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1</w:t>
          </w:r>
          <w:r>
            <w:rPr>
              <w:rFonts w:hint="eastAsia" w:ascii="Times New Roman" w:hAnsi="Times New Roman" w:eastAsia="仿宋_GB2312" w:cs="Times New Roman"/>
              <w:kern w:val="2"/>
              <w:sz w:val="32"/>
              <w:szCs w:val="32"/>
              <w:lang w:val="en-US" w:eastAsia="zh-CN"/>
            </w:rPr>
            <w:fldChar w:fldCharType="end"/>
          </w:r>
        </w:p>
        <w:p w14:paraId="5595D407">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"_Toc3471"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二、机构设置</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3</w:t>
          </w:r>
          <w:r>
            <w:rPr>
              <w:rFonts w:hint="eastAsia" w:ascii="Times New Roman" w:hAnsi="Times New Roman" w:eastAsia="仿宋_GB2312" w:cs="Times New Roman"/>
              <w:kern w:val="2"/>
              <w:sz w:val="32"/>
              <w:szCs w:val="32"/>
              <w:lang w:val="en-US" w:eastAsia="zh-CN"/>
            </w:rPr>
            <w:fldChar w:fldCharType="end"/>
          </w:r>
        </w:p>
        <w:p w14:paraId="57B52B6C">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"_Toc8685"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黑体" w:cs="Times New Roman"/>
              <w:kern w:val="2"/>
              <w:sz w:val="32"/>
              <w:szCs w:val="32"/>
              <w:lang w:val="en-US" w:eastAsia="zh-CN" w:bidi="ar-SA"/>
            </w:rPr>
            <w:t>第二部分 2024年度部门决算情况说明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4</w:t>
          </w:r>
          <w:r>
            <w:rPr>
              <w:rFonts w:hint="eastAsia" w:ascii="Times New Roman" w:hAnsi="Times New Roman" w:eastAsia="仿宋_GB2312" w:cs="Times New Roman"/>
              <w:kern w:val="2"/>
              <w:sz w:val="32"/>
              <w:szCs w:val="32"/>
              <w:lang w:val="en-US" w:eastAsia="zh-CN"/>
            </w:rPr>
            <w:fldChar w:fldCharType="end"/>
          </w:r>
        </w:p>
        <w:p w14:paraId="02F49E2C">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"_Toc20001"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一、 收入支出决算总体情况说明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4</w:t>
          </w:r>
          <w:r>
            <w:rPr>
              <w:rFonts w:hint="eastAsia" w:ascii="Times New Roman" w:hAnsi="Times New Roman" w:eastAsia="仿宋_GB2312" w:cs="Times New Roman"/>
              <w:kern w:val="2"/>
              <w:sz w:val="32"/>
              <w:szCs w:val="32"/>
              <w:lang w:val="en-US" w:eastAsia="zh-CN"/>
            </w:rPr>
            <w:fldChar w:fldCharType="end"/>
          </w:r>
        </w:p>
        <w:p w14:paraId="686F3DDC">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"_Toc25864"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二、 收入决算情况说明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4</w:t>
          </w:r>
          <w:r>
            <w:rPr>
              <w:rFonts w:hint="eastAsia" w:ascii="Times New Roman" w:hAnsi="Times New Roman" w:eastAsia="仿宋_GB2312" w:cs="Times New Roman"/>
              <w:kern w:val="2"/>
              <w:sz w:val="32"/>
              <w:szCs w:val="32"/>
              <w:lang w:val="en-US" w:eastAsia="zh-CN"/>
            </w:rPr>
            <w:fldChar w:fldCharType="end"/>
          </w:r>
        </w:p>
        <w:p w14:paraId="17941B00">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"_Toc32156"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三、 支出决算情况说明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5</w:t>
          </w:r>
          <w:r>
            <w:rPr>
              <w:rFonts w:hint="eastAsia" w:ascii="Times New Roman" w:hAnsi="Times New Roman" w:eastAsia="仿宋_GB2312" w:cs="Times New Roman"/>
              <w:kern w:val="2"/>
              <w:sz w:val="32"/>
              <w:szCs w:val="32"/>
              <w:lang w:val="en-US" w:eastAsia="zh-CN"/>
            </w:rPr>
            <w:fldChar w:fldCharType="end"/>
          </w:r>
        </w:p>
        <w:p w14:paraId="202F5069">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"_Toc17137"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四、财政拨款收入支出决算总体情况说明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6</w:t>
          </w:r>
          <w:r>
            <w:rPr>
              <w:rFonts w:hint="eastAsia" w:ascii="Times New Roman" w:hAnsi="Times New Roman" w:eastAsia="仿宋_GB2312" w:cs="Times New Roman"/>
              <w:kern w:val="2"/>
              <w:sz w:val="32"/>
              <w:szCs w:val="32"/>
              <w:lang w:val="en-US" w:eastAsia="zh-CN"/>
            </w:rPr>
            <w:fldChar w:fldCharType="end"/>
          </w:r>
        </w:p>
        <w:p w14:paraId="6284B55D">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"_Toc16000"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五、一般公共预算财政拨款支出决算情况说明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6</w:t>
          </w:r>
          <w:r>
            <w:rPr>
              <w:rFonts w:hint="eastAsia" w:ascii="Times New Roman" w:hAnsi="Times New Roman" w:eastAsia="仿宋_GB2312" w:cs="Times New Roman"/>
              <w:kern w:val="2"/>
              <w:sz w:val="32"/>
              <w:szCs w:val="32"/>
              <w:lang w:val="en-US" w:eastAsia="zh-CN"/>
            </w:rPr>
            <w:fldChar w:fldCharType="end"/>
          </w:r>
        </w:p>
        <w:p w14:paraId="37EF6347">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"_Toc8519"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六、一般公共预算财政拨款基本支出决算情况说明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9</w:t>
          </w:r>
          <w:r>
            <w:rPr>
              <w:rFonts w:hint="eastAsia" w:ascii="Times New Roman" w:hAnsi="Times New Roman" w:eastAsia="仿宋_GB2312" w:cs="Times New Roman"/>
              <w:kern w:val="2"/>
              <w:sz w:val="32"/>
              <w:szCs w:val="32"/>
              <w:lang w:val="en-US" w:eastAsia="zh-CN"/>
            </w:rPr>
            <w:fldChar w:fldCharType="end"/>
          </w:r>
        </w:p>
        <w:p w14:paraId="7230C64E">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"_Toc30667"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七、财政拨款“三公”经费支出决算情况说明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1</w:t>
          </w:r>
          <w:r>
            <w:rPr>
              <w:rFonts w:hint="eastAsia" w:ascii="Times New Roman" w:hAnsi="Times New Roman" w:eastAsia="仿宋_GB2312" w:cs="Times New Roman"/>
              <w:kern w:val="2"/>
              <w:sz w:val="32"/>
              <w:szCs w:val="32"/>
              <w:lang w:val="en-US" w:eastAsia="zh-CN"/>
            </w:rPr>
            <w:fldChar w:fldCharType="end"/>
          </w:r>
          <w:r>
            <w:rPr>
              <w:rFonts w:hint="eastAsia" w:ascii="Times New Roman" w:hAnsi="Times New Roman" w:cs="Times New Roman"/>
              <w:kern w:val="2"/>
              <w:sz w:val="32"/>
              <w:szCs w:val="32"/>
              <w:lang w:val="en-US" w:eastAsia="zh-CN"/>
            </w:rPr>
            <w:t>0</w:t>
          </w:r>
        </w:p>
        <w:p w14:paraId="2C45FCA8">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"_Toc21605"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八、政府性基金预算支出决算情况说明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1</w:t>
          </w:r>
          <w:r>
            <w:rPr>
              <w:rFonts w:hint="eastAsia" w:ascii="Times New Roman" w:hAnsi="Times New Roman" w:eastAsia="仿宋_GB2312" w:cs="Times New Roman"/>
              <w:kern w:val="2"/>
              <w:sz w:val="32"/>
              <w:szCs w:val="32"/>
              <w:lang w:val="en-US" w:eastAsia="zh-CN"/>
            </w:rPr>
            <w:fldChar w:fldCharType="end"/>
          </w:r>
          <w:r>
            <w:rPr>
              <w:rFonts w:hint="eastAsia" w:ascii="Times New Roman" w:hAnsi="Times New Roman" w:cs="Times New Roman"/>
              <w:kern w:val="2"/>
              <w:sz w:val="32"/>
              <w:szCs w:val="32"/>
              <w:lang w:val="en-US" w:eastAsia="zh-CN"/>
            </w:rPr>
            <w:t>2</w:t>
          </w:r>
        </w:p>
        <w:p w14:paraId="3CF95C01">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"_Toc32114"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九、 国有资本经营预算支出决算情况说明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1</w:t>
          </w:r>
          <w:r>
            <w:rPr>
              <w:rFonts w:hint="eastAsia" w:ascii="Times New Roman" w:hAnsi="Times New Roman" w:eastAsia="仿宋_GB2312" w:cs="Times New Roman"/>
              <w:kern w:val="2"/>
              <w:sz w:val="32"/>
              <w:szCs w:val="32"/>
              <w:lang w:val="en-US" w:eastAsia="zh-CN"/>
            </w:rPr>
            <w:fldChar w:fldCharType="end"/>
          </w:r>
          <w:r>
            <w:rPr>
              <w:rFonts w:hint="eastAsia" w:ascii="Times New Roman" w:hAnsi="Times New Roman" w:cs="Times New Roman"/>
              <w:kern w:val="2"/>
              <w:sz w:val="32"/>
              <w:szCs w:val="32"/>
              <w:lang w:val="en-US" w:eastAsia="zh-CN"/>
            </w:rPr>
            <w:t>2</w:t>
          </w:r>
        </w:p>
        <w:p w14:paraId="3DD95E69">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"_Toc13293"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仿宋_GB2312" w:cs="Times New Roman"/>
              <w:kern w:val="2"/>
              <w:sz w:val="32"/>
              <w:szCs w:val="32"/>
              <w:lang w:val="en-US" w:eastAsia="zh-CN"/>
            </w:rPr>
            <w:t>十、 其他重要事项的情况说明</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1</w:t>
          </w:r>
          <w:r>
            <w:rPr>
              <w:rFonts w:hint="eastAsia" w:ascii="Times New Roman" w:hAnsi="Times New Roman" w:eastAsia="仿宋_GB2312" w:cs="Times New Roman"/>
              <w:kern w:val="2"/>
              <w:sz w:val="32"/>
              <w:szCs w:val="32"/>
              <w:lang w:val="en-US" w:eastAsia="zh-CN"/>
            </w:rPr>
            <w:fldChar w:fldCharType="end"/>
          </w:r>
          <w:r>
            <w:rPr>
              <w:rFonts w:hint="eastAsia" w:ascii="Times New Roman" w:hAnsi="Times New Roman" w:cs="Times New Roman"/>
              <w:kern w:val="2"/>
              <w:sz w:val="32"/>
              <w:szCs w:val="32"/>
              <w:lang w:val="en-US" w:eastAsia="zh-CN"/>
            </w:rPr>
            <w:t>2</w:t>
          </w:r>
        </w:p>
        <w:p w14:paraId="5EF69ECB">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"_Toc3245"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黑体" w:cs="Times New Roman"/>
              <w:kern w:val="2"/>
              <w:sz w:val="32"/>
              <w:szCs w:val="32"/>
              <w:lang w:val="en-US" w:eastAsia="zh-CN" w:bidi="ar-SA"/>
            </w:rPr>
            <w:t>第三部分 名词解释</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1</w:t>
          </w:r>
          <w:r>
            <w:rPr>
              <w:rFonts w:hint="eastAsia" w:ascii="Times New Roman" w:hAnsi="Times New Roman" w:eastAsia="仿宋_GB2312" w:cs="Times New Roman"/>
              <w:kern w:val="2"/>
              <w:sz w:val="32"/>
              <w:szCs w:val="32"/>
              <w:lang w:val="en-US" w:eastAsia="zh-CN"/>
            </w:rPr>
            <w:fldChar w:fldCharType="end"/>
          </w:r>
          <w:r>
            <w:rPr>
              <w:rFonts w:hint="eastAsia" w:ascii="Times New Roman" w:hAnsi="Times New Roman" w:cs="Times New Roman"/>
              <w:kern w:val="2"/>
              <w:sz w:val="32"/>
              <w:szCs w:val="32"/>
              <w:lang w:val="en-US" w:eastAsia="zh-CN"/>
            </w:rPr>
            <w:t>6</w:t>
          </w:r>
        </w:p>
        <w:p w14:paraId="5EE1F8F3">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"_Toc766"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黑体" w:cs="Times New Roman"/>
              <w:kern w:val="2"/>
              <w:sz w:val="32"/>
              <w:szCs w:val="32"/>
              <w:lang w:val="en-US" w:eastAsia="zh-CN" w:bidi="ar-SA"/>
            </w:rPr>
            <w:t>第四部分 附件</w:t>
          </w:r>
          <w:r>
            <w:rPr>
              <w:rFonts w:hint="eastAsia" w:ascii="Times New Roman" w:hAnsi="Times New Roman" w:eastAsia="仿宋_GB2312" w:cs="Times New Roman"/>
              <w:kern w:val="2"/>
              <w:sz w:val="32"/>
              <w:szCs w:val="32"/>
              <w:lang w:val="en-US" w:eastAsia="zh-CN"/>
            </w:rPr>
            <w:tab/>
          </w:r>
          <w:r>
            <w:rPr>
              <w:rFonts w:hint="eastAsia" w:ascii="Times New Roman" w:hAnsi="Times New Roman" w:cs="Times New Roman"/>
              <w:kern w:val="2"/>
              <w:sz w:val="32"/>
              <w:szCs w:val="32"/>
              <w:lang w:val="en-US" w:eastAsia="zh-CN"/>
            </w:rPr>
            <w:t>2</w:t>
          </w:r>
          <w:r>
            <w:rPr>
              <w:rFonts w:hint="eastAsia" w:ascii="Times New Roman" w:hAnsi="Times New Roman" w:eastAsia="仿宋_GB2312" w:cs="Times New Roman"/>
              <w:kern w:val="2"/>
              <w:sz w:val="32"/>
              <w:szCs w:val="32"/>
              <w:lang w:val="en-US" w:eastAsia="zh-CN"/>
            </w:rPr>
            <w:fldChar w:fldCharType="end"/>
          </w:r>
          <w:r>
            <w:rPr>
              <w:rFonts w:hint="eastAsia" w:ascii="Times New Roman" w:hAnsi="Times New Roman" w:cs="Times New Roman"/>
              <w:kern w:val="2"/>
              <w:sz w:val="32"/>
              <w:szCs w:val="32"/>
              <w:lang w:val="en-US" w:eastAsia="zh-CN"/>
            </w:rPr>
            <w:t>0</w:t>
          </w:r>
        </w:p>
        <w:p w14:paraId="437AFB0C">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fldChar w:fldCharType="begin"/>
          </w:r>
          <w:r>
            <w:rPr>
              <w:rFonts w:hint="eastAsia" w:ascii="Times New Roman" w:hAnsi="Times New Roman" w:eastAsia="仿宋_GB2312" w:cs="Times New Roman"/>
              <w:kern w:val="2"/>
              <w:sz w:val="32"/>
              <w:szCs w:val="32"/>
              <w:lang w:val="en-US" w:eastAsia="zh-CN"/>
            </w:rPr>
            <w:instrText xml:space="preserve"> HYPERLINK \l "_Toc14542" </w:instrText>
          </w:r>
          <w:r>
            <w:rPr>
              <w:rFonts w:hint="eastAsia" w:ascii="Times New Roman" w:hAnsi="Times New Roman" w:eastAsia="仿宋_GB2312" w:cs="Times New Roman"/>
              <w:kern w:val="2"/>
              <w:sz w:val="32"/>
              <w:szCs w:val="32"/>
              <w:lang w:val="en-US" w:eastAsia="zh-CN"/>
            </w:rPr>
            <w:fldChar w:fldCharType="separate"/>
          </w:r>
          <w:r>
            <w:rPr>
              <w:rFonts w:hint="eastAsia" w:ascii="Times New Roman" w:hAnsi="Times New Roman" w:eastAsia="黑体" w:cs="Times New Roman"/>
              <w:kern w:val="2"/>
              <w:sz w:val="32"/>
              <w:szCs w:val="32"/>
              <w:lang w:val="en-US" w:eastAsia="zh-CN" w:bidi="ar-SA"/>
            </w:rPr>
            <w:t>第五部分 附表</w:t>
          </w:r>
          <w:r>
            <w:rPr>
              <w:rFonts w:hint="eastAsia" w:ascii="Times New Roman" w:hAnsi="Times New Roman" w:eastAsia="仿宋_GB2312" w:cs="Times New Roman"/>
              <w:kern w:val="2"/>
              <w:sz w:val="32"/>
              <w:szCs w:val="32"/>
              <w:lang w:val="en-US" w:eastAsia="zh-CN"/>
            </w:rPr>
            <w:tab/>
          </w:r>
          <w:r>
            <w:rPr>
              <w:rFonts w:hint="eastAsia" w:ascii="Times New Roman" w:hAnsi="Times New Roman" w:eastAsia="仿宋_GB2312" w:cs="Times New Roman"/>
              <w:kern w:val="2"/>
              <w:sz w:val="32"/>
              <w:szCs w:val="32"/>
              <w:lang w:val="en-US" w:eastAsia="zh-CN"/>
            </w:rPr>
            <w:fldChar w:fldCharType="end"/>
          </w:r>
          <w:r>
            <w:rPr>
              <w:rFonts w:hint="eastAsia" w:ascii="Times New Roman" w:hAnsi="Times New Roman" w:cs="Times New Roman"/>
              <w:kern w:val="2"/>
              <w:sz w:val="32"/>
              <w:szCs w:val="32"/>
              <w:lang w:val="en-US" w:eastAsia="zh-CN"/>
            </w:rPr>
            <w:t>50</w:t>
          </w:r>
        </w:p>
        <w:p w14:paraId="5E513871">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Times New Roman"/>
              <w:kern w:val="2"/>
              <w:sz w:val="32"/>
              <w:szCs w:val="32"/>
              <w:lang w:val="en-US" w:eastAsia="zh-CN"/>
            </w:rPr>
            <w:fldChar w:fldCharType="end"/>
          </w:r>
          <w:r>
            <w:rPr>
              <w:rFonts w:hint="eastAsia" w:ascii="Times New Roman" w:hAnsi="Times New Roman" w:cs="Times New Roman"/>
              <w:kern w:val="2"/>
              <w:sz w:val="32"/>
              <w:szCs w:val="32"/>
              <w:lang w:val="en-US" w:eastAsia="zh-CN"/>
            </w:rPr>
            <w:t xml:space="preserve">  </w:t>
          </w: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7A3B8D15">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960" w:firstLineChars="3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1AAD5BE8">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960" w:firstLineChars="3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7EE30092">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960" w:firstLineChars="3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43FDE728">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960" w:firstLineChars="3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057AEC85">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960" w:firstLineChars="3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1012737A">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960" w:firstLineChars="3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46158185">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960" w:firstLineChars="3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711E4436">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960" w:firstLineChars="3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11850C80">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039A90C9">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960" w:firstLineChars="3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cs="仿宋_GB2312"/>
              <w:sz w:val="32"/>
              <w:szCs w:val="32"/>
              <w:lang w:val="en-US" w:eastAsia="zh-CN"/>
            </w:rPr>
            <w:t>50</w:t>
          </w:r>
        </w:p>
        <w:p w14:paraId="44FEFEE6">
          <w:pPr>
            <w:pStyle w:val="31"/>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960" w:firstLineChars="3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3492723D">
          <w:pPr>
            <w:pStyle w:val="31"/>
            <w:keepNext w:val="0"/>
            <w:keepLines w:val="0"/>
            <w:pageBreakBefore w:val="0"/>
            <w:tabs>
              <w:tab w:val="right" w:leader="dot" w:pos="8296"/>
            </w:tabs>
            <w:kinsoku/>
            <w:wordWrap/>
            <w:overflowPunct/>
            <w:topLinePunct w:val="0"/>
            <w:autoSpaceDE/>
            <w:autoSpaceDN/>
            <w:bidi w:val="0"/>
            <w:adjustRightInd w:val="0"/>
            <w:snapToGrid w:val="0"/>
            <w:spacing w:after="0" w:line="560" w:lineRule="exact"/>
            <w:ind w:left="0" w:leftChars="0" w:firstLine="960" w:firstLineChars="300"/>
            <w:jc w:val="left"/>
            <w:textAlignment w:val="auto"/>
            <w:rPr>
              <w:rFonts w:hint="default" w:ascii="Times New Roman" w:hAnsi="Times New Roman" w:cs="Times New Roman"/>
              <w:kern w:val="2"/>
              <w:sz w:val="32"/>
              <w:szCs w:val="32"/>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sz w:val="32"/>
              <w:szCs w:val="32"/>
              <w:lang w:val="en-US" w:eastAsia="zh-CN"/>
            </w:rPr>
            <w:tab/>
          </w:r>
          <w:r>
            <w:rPr>
              <w:rFonts w:hint="eastAsia" w:ascii="Times New Roman" w:hAnsi="Times New Roman" w:cs="仿宋_GB2312"/>
              <w:color w:val="auto"/>
              <w:sz w:val="32"/>
              <w:szCs w:val="32"/>
              <w:highlight w:val="none"/>
              <w:lang w:val="en-US" w:eastAsia="zh-CN"/>
            </w:rPr>
            <w:t>50</w:t>
          </w:r>
        </w:p>
        <w:p w14:paraId="46C9B6F2">
          <w:pPr>
            <w:widowControl/>
            <w:spacing w:line="440" w:lineRule="exact"/>
            <w:rPr>
              <w:rFonts w:eastAsia="仿宋"/>
              <w:sz w:val="24"/>
            </w:rPr>
          </w:pPr>
        </w:p>
      </w:sdtContent>
    </w:sdt>
    <w:p w14:paraId="2EC32A9E">
      <w:pPr>
        <w:widowControl/>
        <w:spacing w:line="440" w:lineRule="exact"/>
        <w:ind w:firstLine="2180"/>
        <w:outlineLvl w:val="0"/>
        <w:rPr>
          <w:rFonts w:eastAsia="黑体"/>
          <w:sz w:val="44"/>
          <w:szCs w:val="44"/>
        </w:rPr>
      </w:pPr>
      <w:bookmarkStart w:id="8" w:name="_Toc9876"/>
    </w:p>
    <w:p w14:paraId="4A07F17C">
      <w:pPr>
        <w:widowControl/>
        <w:spacing w:line="440" w:lineRule="exact"/>
        <w:ind w:firstLine="2180"/>
        <w:outlineLvl w:val="0"/>
        <w:rPr>
          <w:rFonts w:eastAsia="黑体"/>
          <w:sz w:val="44"/>
          <w:szCs w:val="44"/>
        </w:rPr>
      </w:pPr>
    </w:p>
    <w:p w14:paraId="4EFCD174">
      <w:pPr>
        <w:widowControl/>
        <w:spacing w:line="440" w:lineRule="exact"/>
        <w:ind w:firstLine="2180"/>
        <w:outlineLvl w:val="0"/>
        <w:rPr>
          <w:rFonts w:eastAsia="黑体"/>
          <w:sz w:val="44"/>
          <w:szCs w:val="44"/>
        </w:rPr>
      </w:pPr>
    </w:p>
    <w:p w14:paraId="0D2B3D8F">
      <w:pPr>
        <w:widowControl/>
        <w:spacing w:line="440" w:lineRule="exact"/>
        <w:ind w:firstLine="2180"/>
        <w:outlineLvl w:val="0"/>
        <w:rPr>
          <w:rFonts w:eastAsia="黑体"/>
          <w:sz w:val="44"/>
          <w:szCs w:val="44"/>
        </w:rPr>
      </w:pPr>
    </w:p>
    <w:p w14:paraId="324973FD">
      <w:pPr>
        <w:widowControl/>
        <w:spacing w:line="440" w:lineRule="exact"/>
        <w:ind w:firstLine="2180"/>
        <w:outlineLvl w:val="0"/>
        <w:rPr>
          <w:rFonts w:eastAsia="黑体"/>
          <w:sz w:val="44"/>
          <w:szCs w:val="44"/>
        </w:rPr>
      </w:pPr>
    </w:p>
    <w:p w14:paraId="5C01B1C0">
      <w:pPr>
        <w:widowControl/>
        <w:spacing w:line="440" w:lineRule="exact"/>
        <w:ind w:firstLine="2180"/>
        <w:outlineLvl w:val="0"/>
        <w:rPr>
          <w:rFonts w:eastAsia="黑体"/>
          <w:sz w:val="44"/>
          <w:szCs w:val="44"/>
        </w:rPr>
      </w:pPr>
    </w:p>
    <w:p w14:paraId="049B3EE7">
      <w:pPr>
        <w:widowControl/>
        <w:spacing w:line="440" w:lineRule="exact"/>
        <w:ind w:firstLine="2180"/>
        <w:outlineLvl w:val="0"/>
        <w:rPr>
          <w:rFonts w:eastAsia="黑体"/>
          <w:sz w:val="44"/>
          <w:szCs w:val="44"/>
        </w:rPr>
      </w:pPr>
    </w:p>
    <w:p w14:paraId="5DB03B8F">
      <w:pPr>
        <w:widowControl/>
        <w:spacing w:line="440" w:lineRule="exact"/>
        <w:ind w:firstLine="2180"/>
        <w:outlineLvl w:val="0"/>
        <w:rPr>
          <w:rFonts w:eastAsia="黑体"/>
          <w:sz w:val="44"/>
          <w:szCs w:val="44"/>
        </w:rPr>
      </w:pPr>
    </w:p>
    <w:p w14:paraId="3F08ADE1">
      <w:pPr>
        <w:widowControl/>
        <w:spacing w:line="440" w:lineRule="exact"/>
        <w:ind w:firstLine="2180"/>
        <w:outlineLvl w:val="0"/>
        <w:rPr>
          <w:rFonts w:eastAsia="黑体"/>
          <w:sz w:val="44"/>
          <w:szCs w:val="44"/>
        </w:rPr>
      </w:pPr>
    </w:p>
    <w:p w14:paraId="6C94BD06">
      <w:pPr>
        <w:widowControl/>
        <w:spacing w:line="440" w:lineRule="exact"/>
        <w:ind w:firstLine="2180"/>
        <w:outlineLvl w:val="0"/>
        <w:rPr>
          <w:rFonts w:eastAsia="黑体"/>
          <w:sz w:val="44"/>
          <w:szCs w:val="44"/>
        </w:rPr>
      </w:pPr>
    </w:p>
    <w:p w14:paraId="46A25D4A">
      <w:pPr>
        <w:widowControl/>
        <w:spacing w:line="440" w:lineRule="exact"/>
        <w:ind w:firstLine="2180"/>
        <w:outlineLvl w:val="0"/>
        <w:rPr>
          <w:rFonts w:eastAsia="黑体"/>
          <w:sz w:val="44"/>
          <w:szCs w:val="44"/>
        </w:rPr>
      </w:pPr>
    </w:p>
    <w:p w14:paraId="7FF63F09">
      <w:pPr>
        <w:widowControl/>
        <w:spacing w:line="440" w:lineRule="exact"/>
        <w:ind w:firstLine="2180"/>
        <w:outlineLvl w:val="0"/>
        <w:rPr>
          <w:rFonts w:eastAsia="黑体"/>
          <w:sz w:val="44"/>
          <w:szCs w:val="44"/>
        </w:rPr>
      </w:pPr>
    </w:p>
    <w:p w14:paraId="214FB4AE">
      <w:pPr>
        <w:widowControl/>
        <w:spacing w:line="440" w:lineRule="exact"/>
        <w:ind w:firstLine="2180"/>
        <w:outlineLvl w:val="0"/>
        <w:rPr>
          <w:rFonts w:eastAsia="黑体"/>
          <w:sz w:val="44"/>
          <w:szCs w:val="44"/>
        </w:rPr>
      </w:pPr>
    </w:p>
    <w:p w14:paraId="4B5922EA">
      <w:pPr>
        <w:widowControl/>
        <w:spacing w:line="440" w:lineRule="exact"/>
        <w:ind w:firstLine="2180"/>
        <w:outlineLvl w:val="0"/>
        <w:rPr>
          <w:rFonts w:eastAsia="黑体"/>
          <w:sz w:val="44"/>
          <w:szCs w:val="44"/>
        </w:rPr>
      </w:pPr>
    </w:p>
    <w:p w14:paraId="17447919">
      <w:pPr>
        <w:widowControl/>
        <w:spacing w:line="440" w:lineRule="exact"/>
        <w:ind w:firstLine="2180"/>
        <w:outlineLvl w:val="0"/>
        <w:rPr>
          <w:rStyle w:val="196"/>
          <w:rFonts w:eastAsia="黑体"/>
          <w:b w:val="0"/>
          <w:bCs w:val="0"/>
        </w:rPr>
      </w:pPr>
      <w:r>
        <w:rPr>
          <w:rFonts w:eastAsia="黑体"/>
          <w:sz w:val="44"/>
          <w:szCs w:val="44"/>
        </w:rPr>
        <w:t xml:space="preserve">第一部分 </w:t>
      </w:r>
      <w:r>
        <w:rPr>
          <w:rStyle w:val="196"/>
          <w:rFonts w:eastAsia="黑体"/>
          <w:b w:val="0"/>
          <w:bCs w:val="0"/>
        </w:rPr>
        <w:t>部门概况</w:t>
      </w:r>
      <w:bookmarkEnd w:id="6"/>
      <w:bookmarkEnd w:id="7"/>
      <w:bookmarkEnd w:id="8"/>
    </w:p>
    <w:p w14:paraId="67B98813">
      <w:pPr>
        <w:widowControl/>
        <w:jc w:val="left"/>
        <w:rPr>
          <w:rFonts w:eastAsia="黑体"/>
          <w:szCs w:val="32"/>
        </w:rPr>
      </w:pPr>
    </w:p>
    <w:p w14:paraId="2764EC1C">
      <w:pPr>
        <w:pStyle w:val="190"/>
        <w:numPr>
          <w:ilvl w:val="0"/>
          <w:numId w:val="3"/>
        </w:numPr>
        <w:rPr>
          <w:rFonts w:ascii="Times New Roman" w:hAnsi="Times New Roman" w:eastAsia="黑体"/>
          <w:b w:val="0"/>
          <w:i w:val="0"/>
        </w:rPr>
      </w:pPr>
      <w:bookmarkStart w:id="9" w:name="_Toc1145"/>
      <w:r>
        <w:rPr>
          <w:rFonts w:ascii="Times New Roman" w:hAnsi="Times New Roman" w:eastAsia="黑体"/>
          <w:b w:val="0"/>
          <w:i w:val="0"/>
        </w:rPr>
        <w:t>部门职责</w:t>
      </w:r>
      <w:bookmarkEnd w:id="9"/>
    </w:p>
    <w:p w14:paraId="69EB286C">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bookmarkStart w:id="10" w:name="OLE_LINK1"/>
      <w:bookmarkStart w:id="11" w:name="OLE_LINK2"/>
      <w:bookmarkStart w:id="12" w:name="_Toc15377200"/>
      <w:bookmarkStart w:id="13" w:name="_Toc15396601"/>
      <w:bookmarkStart w:id="14" w:name="_Toc3471"/>
      <w:r>
        <w:rPr>
          <w:rFonts w:hint="eastAsia" w:ascii="Times New Roman" w:hAnsi="Times New Roman" w:eastAsia="仿宋_GB2312" w:cs="仿宋_GB2312"/>
          <w:color w:val="auto"/>
          <w:kern w:val="2"/>
          <w:sz w:val="32"/>
          <w:szCs w:val="32"/>
          <w:highlight w:val="none"/>
          <w:lang w:eastAsia="zh-CN"/>
        </w:rPr>
        <w:t>1.贯彻执行人力资源和社会保障工作的相关法律、法规、规章和政策</w:t>
      </w:r>
      <w:r>
        <w:rPr>
          <w:rFonts w:hint="eastAsia" w:ascii="Times New Roman" w:hAnsi="Times New Roman" w:cs="仿宋_GB2312"/>
          <w:color w:val="auto"/>
          <w:kern w:val="2"/>
          <w:sz w:val="32"/>
          <w:szCs w:val="32"/>
          <w:highlight w:val="none"/>
          <w:lang w:eastAsia="zh-CN"/>
        </w:rPr>
        <w:t>；拟订全区</w:t>
      </w:r>
      <w:r>
        <w:rPr>
          <w:rFonts w:hint="eastAsia" w:ascii="Times New Roman" w:hAnsi="Times New Roman" w:eastAsia="仿宋_GB2312" w:cs="仿宋_GB2312"/>
          <w:color w:val="auto"/>
          <w:kern w:val="2"/>
          <w:sz w:val="32"/>
          <w:szCs w:val="32"/>
          <w:highlight w:val="none"/>
          <w:lang w:eastAsia="zh-CN"/>
        </w:rPr>
        <w:t>人力资源和社会保障事业发展规划、政策并组织实施和监督检查。</w:t>
      </w:r>
    </w:p>
    <w:p w14:paraId="4C0F7476">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2.拟定并组织实施人力资源市场发展规划和人力资源流动政策</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建立全区统一规范的人力资源市场 促进人力资源合理流动、有效配置。</w:t>
      </w:r>
    </w:p>
    <w:p w14:paraId="79A8D1F7">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3.负责促进就业工作。拟定统筹城乡的就业发展规划和政策</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完善公共就业服务体系</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拟定创业、就业援助制度</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并组织实施</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完善职业资格认定制度</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统筹建立面向城乡劳动者的职业培训制度和高校毕业生就业政策</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会同有关部门拟定高技能人才、农村实用人才培养和激励政策。</w:t>
      </w:r>
    </w:p>
    <w:p w14:paraId="56D0E5C8">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4.统筹建立覆盖城乡的社会保障体系。贯彻落实全区城乡社会保险及其补充保险政策和标准</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贯彻落实全国统一的社会保险关系转续办法</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贯彻执行机关企事业单位基本养老保险政策。会同有关部门</w:t>
      </w:r>
      <w:r>
        <w:rPr>
          <w:rFonts w:hint="eastAsia" w:ascii="Times New Roman" w:hAnsi="Times New Roman" w:cs="仿宋_GB2312"/>
          <w:color w:val="auto"/>
          <w:kern w:val="2"/>
          <w:sz w:val="32"/>
          <w:szCs w:val="32"/>
          <w:highlight w:val="none"/>
          <w:lang w:eastAsia="zh-CN"/>
        </w:rPr>
        <w:t>拟订全区</w:t>
      </w:r>
      <w:r>
        <w:rPr>
          <w:rFonts w:hint="eastAsia" w:ascii="Times New Roman" w:hAnsi="Times New Roman" w:eastAsia="仿宋_GB2312" w:cs="仿宋_GB2312"/>
          <w:color w:val="auto"/>
          <w:kern w:val="2"/>
          <w:sz w:val="32"/>
          <w:szCs w:val="32"/>
          <w:highlight w:val="none"/>
          <w:lang w:eastAsia="zh-CN"/>
        </w:rPr>
        <w:t>社会保险及其补充保险基金管理和监督办法</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编制全区社会保险基金预决算草案</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参与制定全区社会保障基金投资政策。</w:t>
      </w:r>
    </w:p>
    <w:p w14:paraId="1A9727BA">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5.负责对就业、失业、社会保险基金预测预警和信息引导</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拟定应对预案</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实施预防、调节和控制</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保持就业形势稳定和社会保险基金总体收支平衡。</w:t>
      </w:r>
    </w:p>
    <w:p w14:paraId="787A7DB6">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6.会同有关部门拟定事业单位人员工资收入分配政策和企业职工工资收入分配调控政策</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建立企事业单位人员工资正常增长和支付保障机制</w:t>
      </w:r>
      <w:r>
        <w:rPr>
          <w:rFonts w:hint="eastAsia" w:ascii="Times New Roman" w:hAnsi="Times New Roman" w:cs="仿宋_GB2312"/>
          <w:color w:val="auto"/>
          <w:kern w:val="2"/>
          <w:sz w:val="32"/>
          <w:szCs w:val="32"/>
          <w:highlight w:val="none"/>
          <w:lang w:eastAsia="zh-CN"/>
        </w:rPr>
        <w:t>；拟订企事业</w:t>
      </w:r>
      <w:r>
        <w:rPr>
          <w:rFonts w:hint="eastAsia" w:ascii="Times New Roman" w:hAnsi="Times New Roman" w:eastAsia="仿宋_GB2312" w:cs="仿宋_GB2312"/>
          <w:color w:val="auto"/>
          <w:kern w:val="2"/>
          <w:sz w:val="32"/>
          <w:szCs w:val="32"/>
          <w:highlight w:val="none"/>
          <w:lang w:eastAsia="zh-CN"/>
        </w:rPr>
        <w:t>单位人员福利和有关离退休政策。</w:t>
      </w:r>
    </w:p>
    <w:p w14:paraId="384CA196">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7.会同有关部门指导事业单位人事制度改革</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拟定事业单位人员和机关工勤人员管理政策</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参与人才管理工作</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拟定专业技术人员管理和继续教育政策</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牵头推进深化职称制度改革工作</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健全高层次人才管理制度</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负责高层次专业技术人才选拔和培养工作。</w:t>
      </w:r>
    </w:p>
    <w:p w14:paraId="54743F22">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8.会同有关部门拟定劳务开发及农民工工作综合性政策和规划</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并推进相关政策的落实</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协调解决重点难点问题</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维护农民工合法权益。</w:t>
      </w:r>
    </w:p>
    <w:p w14:paraId="72BFE4C3">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9.拟定并组织实施劳动、人事争议调解仲裁制度和劳动关系政策</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完善劳动关系协调机制</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制定执行消除非法使用童工政策和女工、未成年工的特殊劳动保护政策</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组织实施劳动监察</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协调劳动者维权工作</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依法查处重大案件。</w:t>
      </w:r>
    </w:p>
    <w:p w14:paraId="323C72B7">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10.负责职责范围内的安全生产和职业健康、生态环境保护、审批服务便民化等工作。</w:t>
      </w:r>
    </w:p>
    <w:p w14:paraId="0C3F5BAB">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11.完成区委和区政府交办的其他事项。</w:t>
      </w:r>
    </w:p>
    <w:p w14:paraId="3E701954">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12.职能转变。深入推进“放管服”改革</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进一步减少行政审批事项</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规范和优化对外办理事项</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减少职业资格许可和认定等审批事项</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实行职业资格目录清单管理</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加强事中事后监管</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创新就业和社会保障等公共服务方式</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加强信息共享</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提高公共服务水平。</w:t>
      </w:r>
    </w:p>
    <w:p w14:paraId="0CE3BDF0">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13.与区教育和体育局的有关职责分工。高校毕业生就业政策的拟订由遂宁市安居区人力资源和社会保障局牵头</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区教育和体育局配合。高校毕业生离校前的就业指导和服务工作由区教育和体育局负责</w:t>
      </w:r>
      <w:r>
        <w:rPr>
          <w:rFonts w:hint="eastAsia" w:ascii="Times New Roman" w:hAnsi="Times New Roman"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eastAsia="zh-CN"/>
        </w:rPr>
        <w:t>高校毕业生离校后的就业指导和服务工作由遂宁市安居区人力资源和社会保障局负责。</w:t>
      </w:r>
      <w:bookmarkEnd w:id="10"/>
      <w:bookmarkEnd w:id="11"/>
    </w:p>
    <w:p w14:paraId="6556D534">
      <w:pPr>
        <w:spacing w:line="360" w:lineRule="auto"/>
        <w:ind w:firstLine="320" w:firstLineChars="100"/>
        <w:outlineLvl w:val="1"/>
        <w:rPr>
          <w:rStyle w:val="197"/>
          <w:rFonts w:ascii="Times New Roman" w:hAnsi="Times New Roman" w:eastAsia="黑体"/>
          <w:b w:val="0"/>
          <w:i w:val="0"/>
        </w:rPr>
      </w:pPr>
      <w:r>
        <w:rPr>
          <w:rFonts w:eastAsia="黑体"/>
        </w:rPr>
        <w:t>二、机</w:t>
      </w:r>
      <w:r>
        <w:rPr>
          <w:rStyle w:val="197"/>
          <w:rFonts w:ascii="Times New Roman" w:hAnsi="Times New Roman" w:eastAsia="黑体"/>
          <w:b w:val="0"/>
          <w:i w:val="0"/>
        </w:rPr>
        <w:t>构设置</w:t>
      </w:r>
      <w:bookmarkEnd w:id="12"/>
      <w:bookmarkEnd w:id="13"/>
      <w:bookmarkEnd w:id="14"/>
    </w:p>
    <w:p w14:paraId="210BA3DB">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遂宁市安居区人力资源和社会保障局下属二级预算单位2个，其中行政单位0个，参照公务员法管理的事业单位2个，其他事业单位0个。</w:t>
      </w:r>
    </w:p>
    <w:p w14:paraId="5A03BE91">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纳入遂宁市安居区人力资源和社会保障局2023年度部门决算编制范围的二级预算单位包括：</w:t>
      </w:r>
    </w:p>
    <w:p w14:paraId="7788BB31">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1.遂宁市安居区就业服务管理局</w:t>
      </w:r>
    </w:p>
    <w:p w14:paraId="608E684E">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2.遂宁市安居区社会保险事业管理局。</w:t>
      </w:r>
    </w:p>
    <w:p w14:paraId="38FCF70F">
      <w:pPr>
        <w:widowControl/>
        <w:rPr>
          <w:rFonts w:eastAsia="仿宋"/>
          <w:szCs w:val="32"/>
        </w:rPr>
      </w:pPr>
    </w:p>
    <w:p w14:paraId="69011F13">
      <w:pPr>
        <w:widowControl/>
        <w:ind w:firstLine="872"/>
        <w:outlineLvl w:val="0"/>
        <w:rPr>
          <w:rFonts w:eastAsia="方正小标宋简体"/>
          <w:sz w:val="44"/>
          <w:szCs w:val="44"/>
        </w:rPr>
      </w:pPr>
      <w:bookmarkStart w:id="15" w:name="_Toc15396602"/>
      <w:bookmarkStart w:id="16" w:name="_Toc15377204"/>
      <w:bookmarkStart w:id="17" w:name="_Toc8685"/>
    </w:p>
    <w:p w14:paraId="596A6688">
      <w:pPr>
        <w:widowControl/>
        <w:ind w:firstLine="872"/>
        <w:outlineLvl w:val="0"/>
        <w:rPr>
          <w:rFonts w:eastAsia="方正小标宋简体"/>
          <w:sz w:val="44"/>
          <w:szCs w:val="44"/>
        </w:rPr>
      </w:pPr>
    </w:p>
    <w:p w14:paraId="18EDF504">
      <w:pPr>
        <w:widowControl/>
        <w:ind w:firstLine="872"/>
        <w:outlineLvl w:val="0"/>
        <w:rPr>
          <w:rFonts w:eastAsia="方正小标宋简体"/>
          <w:sz w:val="44"/>
          <w:szCs w:val="44"/>
        </w:rPr>
      </w:pPr>
    </w:p>
    <w:p w14:paraId="4350CF0A">
      <w:pPr>
        <w:widowControl/>
        <w:ind w:firstLine="872"/>
        <w:outlineLvl w:val="0"/>
        <w:rPr>
          <w:rFonts w:eastAsia="方正小标宋简体"/>
          <w:sz w:val="44"/>
          <w:szCs w:val="44"/>
        </w:rPr>
      </w:pPr>
    </w:p>
    <w:p w14:paraId="4ECF59F6">
      <w:pPr>
        <w:widowControl/>
        <w:ind w:firstLine="872"/>
        <w:outlineLvl w:val="0"/>
        <w:rPr>
          <w:rFonts w:eastAsia="方正小标宋简体"/>
          <w:sz w:val="44"/>
          <w:szCs w:val="44"/>
        </w:rPr>
      </w:pPr>
    </w:p>
    <w:p w14:paraId="482C1098">
      <w:pPr>
        <w:widowControl/>
        <w:ind w:firstLine="872"/>
        <w:outlineLvl w:val="0"/>
        <w:rPr>
          <w:rFonts w:eastAsia="方正小标宋简体"/>
          <w:sz w:val="44"/>
          <w:szCs w:val="44"/>
        </w:rPr>
      </w:pPr>
    </w:p>
    <w:p w14:paraId="71601919">
      <w:pPr>
        <w:widowControl/>
        <w:ind w:firstLine="872"/>
        <w:outlineLvl w:val="0"/>
        <w:rPr>
          <w:rFonts w:eastAsia="方正小标宋简体"/>
          <w:sz w:val="44"/>
          <w:szCs w:val="44"/>
        </w:rPr>
      </w:pPr>
    </w:p>
    <w:p w14:paraId="38A4670D">
      <w:pPr>
        <w:widowControl/>
        <w:ind w:firstLine="872"/>
        <w:outlineLvl w:val="0"/>
        <w:rPr>
          <w:rStyle w:val="196"/>
          <w:rFonts w:eastAsia="方正小标宋简体"/>
          <w:b w:val="0"/>
          <w:bCs w:val="0"/>
        </w:rPr>
      </w:pPr>
      <w:r>
        <w:rPr>
          <w:rFonts w:eastAsia="方正小标宋简体"/>
          <w:sz w:val="44"/>
          <w:szCs w:val="44"/>
        </w:rPr>
        <w:t>第二部分 202</w:t>
      </w:r>
      <w:r>
        <w:rPr>
          <w:rFonts w:hint="eastAsia" w:eastAsia="方正小标宋简体"/>
          <w:sz w:val="44"/>
          <w:szCs w:val="44"/>
        </w:rPr>
        <w:t>4</w:t>
      </w:r>
      <w:r>
        <w:rPr>
          <w:rFonts w:eastAsia="方正小标宋简体"/>
          <w:sz w:val="44"/>
          <w:szCs w:val="44"/>
        </w:rPr>
        <w:t>年度</w:t>
      </w:r>
      <w:r>
        <w:rPr>
          <w:rStyle w:val="196"/>
          <w:rFonts w:eastAsia="方正小标宋简体"/>
          <w:b w:val="0"/>
          <w:bCs w:val="0"/>
        </w:rPr>
        <w:t>部门决算情况说明</w:t>
      </w:r>
      <w:bookmarkEnd w:id="15"/>
      <w:bookmarkEnd w:id="16"/>
      <w:bookmarkEnd w:id="17"/>
    </w:p>
    <w:p w14:paraId="078477C2"/>
    <w:p w14:paraId="65AD8380">
      <w:pPr>
        <w:pStyle w:val="219"/>
        <w:numPr>
          <w:ilvl w:val="0"/>
          <w:numId w:val="4"/>
        </w:numPr>
        <w:spacing w:line="560" w:lineRule="exact"/>
        <w:outlineLvl w:val="1"/>
        <w:rPr>
          <w:rStyle w:val="197"/>
          <w:rFonts w:ascii="Times New Roman" w:hAnsi="Times New Roman" w:eastAsia="黑体"/>
          <w:b w:val="0"/>
          <w:i w:val="0"/>
        </w:rPr>
      </w:pPr>
      <w:bookmarkStart w:id="18" w:name="_Toc20001"/>
      <w:bookmarkStart w:id="19" w:name="_Toc15377205"/>
      <w:bookmarkStart w:id="20" w:name="_Toc15396603"/>
      <w:r>
        <w:rPr>
          <w:rFonts w:eastAsia="黑体"/>
          <w:szCs w:val="32"/>
        </w:rPr>
        <w:t>收</w:t>
      </w:r>
      <w:r>
        <w:rPr>
          <w:rStyle w:val="197"/>
          <w:rFonts w:ascii="Times New Roman" w:hAnsi="Times New Roman" w:eastAsia="黑体"/>
          <w:b w:val="0"/>
          <w:i w:val="0"/>
        </w:rPr>
        <w:t>入支出决算总体情况说明</w:t>
      </w:r>
      <w:bookmarkEnd w:id="18"/>
      <w:bookmarkEnd w:id="19"/>
      <w:bookmarkEnd w:id="20"/>
    </w:p>
    <w:p w14:paraId="459A457E">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2024年度收、支总计均为1319.99万元。与2023年度相比，收、支总计各增加341.88万元，增长34.95%。主要变动原因是</w:t>
      </w:r>
      <w:bookmarkStart w:id="21" w:name="OLE_LINK9"/>
      <w:bookmarkStart w:id="22" w:name="OLE_LINK8"/>
      <w:r>
        <w:rPr>
          <w:rFonts w:hint="eastAsia" w:ascii="Times New Roman" w:hAnsi="Times New Roman" w:eastAsia="仿宋_GB2312" w:cs="仿宋_GB2312"/>
          <w:color w:val="auto"/>
          <w:kern w:val="2"/>
          <w:sz w:val="32"/>
          <w:szCs w:val="32"/>
          <w:highlight w:val="none"/>
          <w:lang w:eastAsia="zh-CN"/>
        </w:rPr>
        <w:t>2024本年度支付了前期工程欠款。</w:t>
      </w:r>
      <w:bookmarkEnd w:id="21"/>
      <w:bookmarkEnd w:id="22"/>
    </w:p>
    <w:p w14:paraId="3B77A112">
      <w:pPr>
        <w:pStyle w:val="28"/>
      </w:pPr>
    </w:p>
    <w:p w14:paraId="790F5BBF">
      <w:pPr>
        <w:pStyle w:val="193"/>
        <w:jc w:val="center"/>
        <w:rPr>
          <w:sz w:val="32"/>
          <w:szCs w:val="32"/>
        </w:rPr>
      </w:pPr>
      <w:r>
        <w:rPr>
          <w:rFonts w:hint="eastAsia"/>
          <w:sz w:val="32"/>
          <w:szCs w:val="32"/>
        </w:rPr>
        <w:drawing>
          <wp:inline distT="0" distB="0" distL="114300" distR="114300">
            <wp:extent cx="4528820" cy="3277870"/>
            <wp:effectExtent l="0" t="0" r="24130" b="177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6CAD6C">
      <w:pPr>
        <w:spacing w:line="560" w:lineRule="exact"/>
        <w:ind w:firstLine="632"/>
        <w:rPr>
          <w:szCs w:val="32"/>
        </w:rPr>
      </w:pPr>
      <w:r>
        <w:rPr>
          <w:szCs w:val="32"/>
        </w:rPr>
        <w:t>（图1：收、支决算总计变动情况图）（柱状图）</w:t>
      </w:r>
    </w:p>
    <w:p w14:paraId="22E4FDD9">
      <w:pPr>
        <w:pStyle w:val="194"/>
        <w:ind w:left="632" w:firstLine="632"/>
        <w:jc w:val="left"/>
        <w:rPr>
          <w:rFonts w:ascii="Times New Roman"/>
        </w:rPr>
      </w:pPr>
    </w:p>
    <w:p w14:paraId="2B7AF5D2">
      <w:pPr>
        <w:pStyle w:val="219"/>
        <w:numPr>
          <w:ilvl w:val="0"/>
          <w:numId w:val="4"/>
        </w:numPr>
        <w:spacing w:line="560" w:lineRule="exact"/>
        <w:outlineLvl w:val="1"/>
        <w:rPr>
          <w:rStyle w:val="197"/>
          <w:rFonts w:ascii="Times New Roman" w:hAnsi="Times New Roman" w:eastAsia="黑体"/>
          <w:b w:val="0"/>
          <w:i w:val="0"/>
        </w:rPr>
      </w:pPr>
      <w:bookmarkStart w:id="23" w:name="_Toc25864"/>
      <w:bookmarkStart w:id="24" w:name="_Toc15396604"/>
      <w:bookmarkStart w:id="25" w:name="_Toc15377206"/>
      <w:r>
        <w:rPr>
          <w:rFonts w:eastAsia="黑体"/>
          <w:szCs w:val="32"/>
        </w:rPr>
        <w:t>收</w:t>
      </w:r>
      <w:r>
        <w:rPr>
          <w:rStyle w:val="197"/>
          <w:rFonts w:ascii="Times New Roman" w:hAnsi="Times New Roman" w:eastAsia="黑体"/>
          <w:b w:val="0"/>
          <w:i w:val="0"/>
        </w:rPr>
        <w:t>入决算情况说明</w:t>
      </w:r>
      <w:bookmarkEnd w:id="23"/>
      <w:bookmarkEnd w:id="24"/>
      <w:bookmarkEnd w:id="25"/>
    </w:p>
    <w:p w14:paraId="05EF2885">
      <w:pPr>
        <w:spacing w:line="600" w:lineRule="exact"/>
        <w:ind w:firstLine="640" w:firstLineChars="200"/>
        <w:outlineLvl w:val="1"/>
        <w:rPr>
          <w:rFonts w:ascii="Times New Roman" w:hAnsi="Times New Roman"/>
          <w:color w:val="000000"/>
          <w:szCs w:val="32"/>
        </w:rPr>
      </w:pPr>
      <w:bookmarkStart w:id="26" w:name="_Toc1914"/>
      <w:r>
        <w:rPr>
          <w:rFonts w:hint="eastAsia" w:ascii="Times New Roman" w:hAnsi="Times New Roman" w:eastAsia="仿宋_GB2312" w:cs="仿宋_GB2312"/>
          <w:color w:val="auto"/>
          <w:kern w:val="2"/>
          <w:sz w:val="32"/>
          <w:szCs w:val="32"/>
          <w:highlight w:val="none"/>
          <w:lang w:eastAsia="zh-CN"/>
        </w:rPr>
        <w:t>2024年度本年收入合计1319.99万元，其中：一般公共预算财政拨款收入870.56万元，占65.95%</w:t>
      </w:r>
      <w:bookmarkEnd w:id="26"/>
      <w:r>
        <w:rPr>
          <w:rFonts w:hint="eastAsia" w:ascii="Times New Roman" w:hAnsi="Times New Roman" w:eastAsia="仿宋_GB2312" w:cs="仿宋_GB2312"/>
          <w:color w:val="auto"/>
          <w:kern w:val="2"/>
          <w:sz w:val="32"/>
          <w:szCs w:val="32"/>
          <w:highlight w:val="none"/>
          <w:lang w:eastAsia="zh-CN"/>
        </w:rPr>
        <w:t>；政府性基金预算财政拨款收入449.43万元，占34.05%。</w:t>
      </w:r>
    </w:p>
    <w:p w14:paraId="74C17927">
      <w:pPr>
        <w:pStyle w:val="194"/>
        <w:ind w:left="632" w:firstLine="632"/>
        <w:rPr>
          <w:rFonts w:ascii="Times New Roman"/>
        </w:rPr>
      </w:pPr>
    </w:p>
    <w:p w14:paraId="76241587">
      <w:pPr>
        <w:spacing w:line="560" w:lineRule="exact"/>
        <w:rPr>
          <w:szCs w:val="32"/>
        </w:rPr>
      </w:pPr>
    </w:p>
    <w:p w14:paraId="676BC71B">
      <w:pPr>
        <w:pStyle w:val="28"/>
        <w:jc w:val="center"/>
      </w:pPr>
      <w:r>
        <w:rPr>
          <w:rFonts w:hint="eastAsia" w:ascii="Times New Roman"/>
        </w:rPr>
        <w:drawing>
          <wp:inline distT="0" distB="0" distL="114300" distR="114300">
            <wp:extent cx="2986405" cy="3154045"/>
            <wp:effectExtent l="0" t="0" r="23495" b="273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22BCC8">
      <w:pPr>
        <w:spacing w:line="560" w:lineRule="exact"/>
        <w:ind w:firstLine="1580"/>
        <w:rPr>
          <w:szCs w:val="32"/>
        </w:rPr>
      </w:pPr>
      <w:r>
        <w:rPr>
          <w:szCs w:val="32"/>
        </w:rPr>
        <w:t>（图2：收入决算结构图）（饼状图）</w:t>
      </w:r>
    </w:p>
    <w:p w14:paraId="4DF115FB">
      <w:pPr>
        <w:pStyle w:val="219"/>
        <w:numPr>
          <w:ilvl w:val="0"/>
          <w:numId w:val="4"/>
        </w:numPr>
        <w:spacing w:line="560" w:lineRule="exact"/>
        <w:outlineLvl w:val="1"/>
        <w:rPr>
          <w:rStyle w:val="197"/>
          <w:rFonts w:ascii="Times New Roman" w:hAnsi="Times New Roman" w:eastAsia="黑体"/>
          <w:b w:val="0"/>
          <w:i w:val="0"/>
        </w:rPr>
      </w:pPr>
      <w:bookmarkStart w:id="27" w:name="_Toc32156"/>
      <w:bookmarkStart w:id="28" w:name="_Toc15396605"/>
      <w:bookmarkStart w:id="29" w:name="_Toc15377207"/>
      <w:r>
        <w:rPr>
          <w:rFonts w:eastAsia="黑体"/>
          <w:szCs w:val="32"/>
        </w:rPr>
        <w:t>支</w:t>
      </w:r>
      <w:r>
        <w:rPr>
          <w:rStyle w:val="197"/>
          <w:rFonts w:ascii="Times New Roman" w:hAnsi="Times New Roman" w:eastAsia="黑体"/>
          <w:b w:val="0"/>
          <w:i w:val="0"/>
        </w:rPr>
        <w:t>出决算情况说明</w:t>
      </w:r>
      <w:bookmarkEnd w:id="27"/>
      <w:bookmarkEnd w:id="28"/>
      <w:bookmarkEnd w:id="29"/>
    </w:p>
    <w:p w14:paraId="5E3A7E6C">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bookmarkStart w:id="30" w:name="_Toc2558"/>
      <w:r>
        <w:rPr>
          <w:rFonts w:hint="eastAsia" w:ascii="Times New Roman" w:hAnsi="Times New Roman" w:eastAsia="仿宋_GB2312" w:cs="仿宋_GB2312"/>
          <w:color w:val="auto"/>
          <w:kern w:val="2"/>
          <w:sz w:val="32"/>
          <w:szCs w:val="32"/>
          <w:highlight w:val="none"/>
          <w:lang w:eastAsia="zh-CN"/>
        </w:rPr>
        <w:t>2024年度本年支出合计1319.99万元，其中：基本支出680.86万元，占51.58%；项目支出639.13万元，占48.42%。</w:t>
      </w:r>
      <w:bookmarkEnd w:id="30"/>
    </w:p>
    <w:p w14:paraId="1DFB1A36">
      <w:pPr>
        <w:pStyle w:val="193"/>
        <w:jc w:val="center"/>
        <w:rPr>
          <w:rFonts w:ascii="Times New Roman"/>
        </w:rPr>
      </w:pPr>
      <w:r>
        <w:rPr>
          <w:rFonts w:hint="eastAsia" w:ascii="Times New Roman"/>
        </w:rPr>
        <w:drawing>
          <wp:inline distT="0" distB="0" distL="114300" distR="114300">
            <wp:extent cx="2837815" cy="2717165"/>
            <wp:effectExtent l="0" t="0" r="19685" b="2603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352CA0">
      <w:pPr>
        <w:spacing w:line="560" w:lineRule="exact"/>
        <w:ind w:firstLine="1580"/>
        <w:rPr>
          <w:rFonts w:eastAsia="黑体"/>
          <w:szCs w:val="32"/>
        </w:rPr>
      </w:pPr>
      <w:bookmarkStart w:id="31" w:name="_Toc15377208"/>
      <w:bookmarkStart w:id="32" w:name="_Toc15396606"/>
      <w:r>
        <w:rPr>
          <w:szCs w:val="32"/>
        </w:rPr>
        <w:t>（图3：支出决算结构图）（饼状图）</w:t>
      </w:r>
    </w:p>
    <w:p w14:paraId="16530BBF">
      <w:pPr>
        <w:spacing w:line="560" w:lineRule="exact"/>
        <w:ind w:firstLine="632"/>
        <w:outlineLvl w:val="1"/>
        <w:rPr>
          <w:rFonts w:eastAsia="黑体"/>
          <w:szCs w:val="32"/>
        </w:rPr>
      </w:pPr>
      <w:bookmarkStart w:id="33" w:name="_Toc17137"/>
    </w:p>
    <w:p w14:paraId="6F07AD91">
      <w:pPr>
        <w:spacing w:line="560" w:lineRule="exact"/>
        <w:ind w:firstLine="632"/>
        <w:outlineLvl w:val="1"/>
        <w:rPr>
          <w:rStyle w:val="197"/>
          <w:rFonts w:ascii="Times New Roman" w:hAnsi="Times New Roman" w:eastAsia="黑体"/>
          <w:b w:val="0"/>
          <w:i w:val="0"/>
        </w:rPr>
      </w:pPr>
      <w:r>
        <w:rPr>
          <w:rFonts w:eastAsia="黑体"/>
          <w:szCs w:val="32"/>
        </w:rPr>
        <w:t>四、财</w:t>
      </w:r>
      <w:r>
        <w:rPr>
          <w:rStyle w:val="197"/>
          <w:rFonts w:ascii="Times New Roman" w:hAnsi="Times New Roman" w:eastAsia="黑体"/>
          <w:b w:val="0"/>
          <w:i w:val="0"/>
        </w:rPr>
        <w:t>政拨款收入支出决算总体情况说明</w:t>
      </w:r>
      <w:bookmarkEnd w:id="31"/>
      <w:bookmarkEnd w:id="32"/>
      <w:bookmarkEnd w:id="33"/>
    </w:p>
    <w:p w14:paraId="6ACCF706">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2024年度财政拨款收、支总计均为1319.99万元。与2023年度相比，财政拨款收、支总计各增加341.88万元，增长34.95%。主要变动原因是2024本年度支付了前期工程欠款。</w:t>
      </w:r>
    </w:p>
    <w:p w14:paraId="747B796A">
      <w:pPr>
        <w:pStyle w:val="194"/>
        <w:ind w:left="632" w:firstLine="632"/>
        <w:rPr>
          <w:rFonts w:ascii="Times New Roman" w:eastAsia="仿宋"/>
        </w:rPr>
      </w:pPr>
      <w:r>
        <w:rPr>
          <w:rFonts w:hint="eastAsia"/>
        </w:rPr>
        <w:drawing>
          <wp:inline distT="0" distB="0" distL="114300" distR="114300">
            <wp:extent cx="4495800" cy="3533775"/>
            <wp:effectExtent l="4445" t="4445" r="1460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D46DB5">
      <w:pPr>
        <w:pStyle w:val="194"/>
        <w:ind w:firstLine="0"/>
        <w:rPr>
          <w:rFonts w:ascii="Times New Roman" w:eastAsia="仿宋"/>
        </w:rPr>
      </w:pPr>
    </w:p>
    <w:p w14:paraId="004C3BF9">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bookmarkStart w:id="34" w:name="_Toc15396607"/>
      <w:bookmarkStart w:id="35" w:name="_Toc15377209"/>
      <w:r>
        <w:rPr>
          <w:rFonts w:hint="eastAsia" w:ascii="Times New Roman" w:hAnsi="Times New Roman" w:eastAsia="仿宋_GB2312" w:cs="仿宋_GB2312"/>
          <w:color w:val="auto"/>
          <w:kern w:val="2"/>
          <w:sz w:val="32"/>
          <w:szCs w:val="32"/>
          <w:highlight w:val="none"/>
          <w:lang w:eastAsia="zh-CN"/>
        </w:rPr>
        <w:t>（图4：财政拨款收、支决算总计变动情况）（柱状图）</w:t>
      </w:r>
    </w:p>
    <w:p w14:paraId="4673260A">
      <w:pPr>
        <w:spacing w:line="560" w:lineRule="exact"/>
        <w:ind w:firstLine="632"/>
        <w:outlineLvl w:val="1"/>
        <w:rPr>
          <w:rStyle w:val="197"/>
          <w:rFonts w:ascii="Times New Roman" w:hAnsi="Times New Roman" w:eastAsia="黑体"/>
          <w:b w:val="0"/>
          <w:i w:val="0"/>
        </w:rPr>
      </w:pPr>
      <w:bookmarkStart w:id="36" w:name="_Toc16000"/>
      <w:r>
        <w:rPr>
          <w:rFonts w:eastAsia="黑体"/>
          <w:szCs w:val="32"/>
        </w:rPr>
        <w:t>五、一</w:t>
      </w:r>
      <w:r>
        <w:rPr>
          <w:rStyle w:val="197"/>
          <w:rFonts w:ascii="Times New Roman" w:hAnsi="Times New Roman" w:eastAsia="黑体"/>
          <w:b w:val="0"/>
          <w:i w:val="0"/>
        </w:rPr>
        <w:t>般公共预算财政拨款支出决算情况说明</w:t>
      </w:r>
      <w:bookmarkEnd w:id="34"/>
      <w:bookmarkEnd w:id="35"/>
      <w:bookmarkEnd w:id="36"/>
    </w:p>
    <w:p w14:paraId="46889A60">
      <w:pPr>
        <w:spacing w:line="560" w:lineRule="exact"/>
        <w:ind w:firstLine="632"/>
        <w:jc w:val="left"/>
        <w:outlineLvl w:val="2"/>
        <w:rPr>
          <w:rFonts w:eastAsia="楷体_GB2312"/>
          <w:b/>
          <w:bCs/>
          <w:szCs w:val="32"/>
        </w:rPr>
      </w:pPr>
      <w:bookmarkStart w:id="37" w:name="_Toc15377210"/>
      <w:bookmarkStart w:id="38" w:name="_Toc22159"/>
      <w:r>
        <w:rPr>
          <w:rFonts w:eastAsia="楷体_GB2312"/>
          <w:b/>
          <w:bCs/>
          <w:szCs w:val="32"/>
        </w:rPr>
        <w:t>（一）一般公共预算财政拨款支出决算总体情况</w:t>
      </w:r>
      <w:bookmarkEnd w:id="37"/>
      <w:bookmarkEnd w:id="38"/>
    </w:p>
    <w:p w14:paraId="3C7CF4F3">
      <w:pPr>
        <w:spacing w:line="600" w:lineRule="exact"/>
        <w:ind w:firstLine="640" w:firstLineChars="200"/>
        <w:outlineLvl w:val="1"/>
        <w:rPr>
          <w:szCs w:val="32"/>
        </w:rPr>
      </w:pPr>
      <w:r>
        <w:rPr>
          <w:rFonts w:hint="eastAsia" w:ascii="Times New Roman" w:hAnsi="Times New Roman" w:eastAsia="仿宋_GB2312" w:cs="仿宋_GB2312"/>
          <w:color w:val="auto"/>
          <w:kern w:val="2"/>
          <w:sz w:val="32"/>
          <w:szCs w:val="32"/>
          <w:highlight w:val="none"/>
          <w:lang w:eastAsia="zh-CN"/>
        </w:rPr>
        <w:t>2024年度一般公共预算财政拨款支出870.56万元，占本年支出合计的65.95%。与2023年度相比，一般公共预算财政拨款支出减少87.6万元，下降9.14%。主要变动原因是2024年单位公用经费下降，以及单位秉承厉行节约的原则，缩减开支。</w:t>
      </w:r>
    </w:p>
    <w:p w14:paraId="1BF3C865">
      <w:pPr>
        <w:pStyle w:val="194"/>
        <w:ind w:left="632" w:firstLine="632"/>
        <w:rPr>
          <w:rFonts w:ascii="Times New Roman"/>
        </w:rPr>
      </w:pPr>
      <w:r>
        <w:rPr>
          <w:rFonts w:hint="eastAsia" w:ascii="仿宋" w:hAnsi="仿宋" w:eastAsia="仿宋"/>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385445</wp:posOffset>
            </wp:positionH>
            <wp:positionV relativeFrom="paragraph">
              <wp:posOffset>180340</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FD46AE1">
      <w:pPr>
        <w:pStyle w:val="194"/>
        <w:ind w:left="632" w:firstLine="632"/>
        <w:rPr>
          <w:rFonts w:ascii="Times New Roman"/>
        </w:rPr>
      </w:pPr>
    </w:p>
    <w:p w14:paraId="613E2519">
      <w:pPr>
        <w:pStyle w:val="194"/>
        <w:ind w:left="632" w:firstLine="632"/>
        <w:rPr>
          <w:rFonts w:ascii="Times New Roman"/>
        </w:rPr>
      </w:pPr>
    </w:p>
    <w:p w14:paraId="34F9A2F3">
      <w:pPr>
        <w:pStyle w:val="194"/>
        <w:ind w:left="632" w:firstLine="632"/>
        <w:rPr>
          <w:rFonts w:ascii="Times New Roman"/>
        </w:rPr>
      </w:pPr>
    </w:p>
    <w:p w14:paraId="316F35B7">
      <w:pPr>
        <w:pStyle w:val="194"/>
        <w:ind w:left="632" w:firstLine="632"/>
        <w:rPr>
          <w:rFonts w:ascii="Times New Roman"/>
        </w:rPr>
      </w:pPr>
    </w:p>
    <w:p w14:paraId="70D4DF5F">
      <w:pPr>
        <w:pStyle w:val="194"/>
        <w:ind w:left="632" w:firstLine="632"/>
        <w:rPr>
          <w:rFonts w:ascii="Times New Roman"/>
        </w:rPr>
      </w:pPr>
    </w:p>
    <w:p w14:paraId="77FD3CB7">
      <w:pPr>
        <w:pStyle w:val="194"/>
        <w:ind w:left="632" w:firstLine="632"/>
        <w:rPr>
          <w:rFonts w:ascii="Times New Roman"/>
        </w:rPr>
      </w:pPr>
    </w:p>
    <w:p w14:paraId="694D6347">
      <w:pPr>
        <w:pStyle w:val="194"/>
        <w:ind w:left="632" w:firstLine="632"/>
        <w:rPr>
          <w:rFonts w:ascii="Times New Roman"/>
        </w:rPr>
      </w:pPr>
    </w:p>
    <w:p w14:paraId="29D0C625">
      <w:pPr>
        <w:pStyle w:val="194"/>
        <w:ind w:left="632" w:firstLine="632"/>
        <w:rPr>
          <w:rFonts w:ascii="Times New Roman"/>
        </w:rPr>
      </w:pPr>
    </w:p>
    <w:p w14:paraId="111E921C">
      <w:pPr>
        <w:pStyle w:val="194"/>
        <w:ind w:left="632" w:firstLine="632"/>
        <w:rPr>
          <w:rFonts w:ascii="Times New Roman"/>
        </w:rPr>
      </w:pPr>
    </w:p>
    <w:p w14:paraId="27C75884">
      <w:pPr>
        <w:pStyle w:val="194"/>
        <w:ind w:left="632" w:firstLine="632"/>
        <w:rPr>
          <w:rFonts w:ascii="Times New Roman"/>
        </w:rPr>
      </w:pPr>
    </w:p>
    <w:p w14:paraId="492F40F5">
      <w:pPr>
        <w:pStyle w:val="194"/>
        <w:ind w:left="632" w:firstLine="632"/>
        <w:rPr>
          <w:rFonts w:ascii="Times New Roman"/>
        </w:rPr>
      </w:pPr>
    </w:p>
    <w:p w14:paraId="42A016C5">
      <w:pPr>
        <w:pStyle w:val="194"/>
        <w:ind w:left="632" w:firstLine="632"/>
        <w:rPr>
          <w:rFonts w:ascii="Times New Roman"/>
        </w:rPr>
      </w:pPr>
    </w:p>
    <w:p w14:paraId="7DE85DD4">
      <w:pPr>
        <w:pStyle w:val="194"/>
        <w:ind w:left="632" w:firstLine="632"/>
        <w:rPr>
          <w:rFonts w:ascii="Times New Roman"/>
        </w:rPr>
      </w:pPr>
    </w:p>
    <w:p w14:paraId="67B82818">
      <w:pPr>
        <w:spacing w:line="560" w:lineRule="exact"/>
        <w:ind w:firstLine="632"/>
        <w:rPr>
          <w:rFonts w:eastAsia="楷体_GB2312"/>
          <w:szCs w:val="32"/>
        </w:rPr>
      </w:pPr>
      <w:bookmarkStart w:id="39" w:name="_Toc15377211"/>
      <w:r>
        <w:rPr>
          <w:szCs w:val="32"/>
        </w:rPr>
        <w:t>（图5：一般公共预算财政拨款支出决算变动情况）（柱状图）</w:t>
      </w:r>
    </w:p>
    <w:p w14:paraId="7685FA93">
      <w:pPr>
        <w:spacing w:line="560" w:lineRule="exact"/>
        <w:ind w:firstLine="632"/>
        <w:jc w:val="left"/>
        <w:outlineLvl w:val="2"/>
        <w:rPr>
          <w:rFonts w:eastAsia="楷体_GB2312"/>
          <w:b/>
          <w:bCs/>
          <w:szCs w:val="32"/>
        </w:rPr>
      </w:pPr>
      <w:bookmarkStart w:id="40" w:name="_Toc13407"/>
      <w:r>
        <w:rPr>
          <w:rFonts w:eastAsia="楷体_GB2312"/>
          <w:b/>
          <w:bCs/>
          <w:szCs w:val="32"/>
        </w:rPr>
        <w:t>（二）一般公共预算财政拨款支出决算结构情况</w:t>
      </w:r>
      <w:bookmarkEnd w:id="39"/>
      <w:bookmarkEnd w:id="40"/>
    </w:p>
    <w:p w14:paraId="11E51C0D">
      <w:pPr>
        <w:spacing w:line="600" w:lineRule="exact"/>
        <w:ind w:firstLine="640" w:firstLineChars="200"/>
        <w:outlineLvl w:val="1"/>
        <w:rPr>
          <w:szCs w:val="32"/>
        </w:rPr>
      </w:pPr>
      <w:r>
        <w:rPr>
          <w:rFonts w:hint="eastAsia" w:ascii="Times New Roman" w:hAnsi="Times New Roman" w:eastAsia="仿宋_GB2312" w:cs="仿宋_GB2312"/>
          <w:color w:val="auto"/>
          <w:kern w:val="2"/>
          <w:sz w:val="32"/>
          <w:szCs w:val="32"/>
          <w:highlight w:val="none"/>
          <w:lang w:eastAsia="zh-CN"/>
        </w:rPr>
        <w:t>2024年度一般公共预算财政拨款支出870.56万元，主要用于以下方面：</w:t>
      </w:r>
      <w:bookmarkStart w:id="41" w:name="OLE_LINK6"/>
      <w:bookmarkStart w:id="42" w:name="OLE_LINK5"/>
      <w:r>
        <w:rPr>
          <w:rFonts w:hint="eastAsia" w:ascii="Times New Roman" w:hAnsi="Times New Roman" w:eastAsia="仿宋_GB2312" w:cs="仿宋_GB2312"/>
          <w:color w:val="auto"/>
          <w:kern w:val="2"/>
          <w:sz w:val="32"/>
          <w:szCs w:val="32"/>
          <w:highlight w:val="none"/>
          <w:lang w:eastAsia="zh-CN"/>
        </w:rPr>
        <w:t>一般公共服务支出</w:t>
      </w:r>
      <w:bookmarkEnd w:id="41"/>
      <w:bookmarkEnd w:id="42"/>
      <w:r>
        <w:rPr>
          <w:rFonts w:hint="eastAsia" w:ascii="Times New Roman" w:hAnsi="Times New Roman" w:eastAsia="仿宋_GB2312" w:cs="仿宋_GB2312"/>
          <w:color w:val="auto"/>
          <w:kern w:val="2"/>
          <w:sz w:val="32"/>
          <w:szCs w:val="32"/>
          <w:highlight w:val="none"/>
          <w:lang w:eastAsia="zh-CN"/>
        </w:rPr>
        <w:t>9.96万元，占1.14%；</w:t>
      </w:r>
      <w:bookmarkStart w:id="43" w:name="OLE_LINK7"/>
      <w:bookmarkStart w:id="44" w:name="OLE_LINK10"/>
      <w:r>
        <w:rPr>
          <w:rFonts w:hint="eastAsia" w:ascii="Times New Roman" w:hAnsi="Times New Roman" w:eastAsia="仿宋_GB2312" w:cs="仿宋_GB2312"/>
          <w:color w:val="auto"/>
          <w:kern w:val="2"/>
          <w:sz w:val="32"/>
          <w:szCs w:val="32"/>
          <w:highlight w:val="none"/>
          <w:lang w:eastAsia="zh-CN"/>
        </w:rPr>
        <w:t>社会保障和就业支出</w:t>
      </w:r>
      <w:bookmarkEnd w:id="43"/>
      <w:bookmarkEnd w:id="44"/>
      <w:r>
        <w:rPr>
          <w:rFonts w:hint="eastAsia" w:ascii="Times New Roman" w:hAnsi="Times New Roman" w:eastAsia="仿宋_GB2312" w:cs="仿宋_GB2312"/>
          <w:color w:val="auto"/>
          <w:kern w:val="2"/>
          <w:sz w:val="32"/>
          <w:szCs w:val="32"/>
          <w:highlight w:val="none"/>
          <w:lang w:eastAsia="zh-CN"/>
        </w:rPr>
        <w:t>782.68万元，占89.91%；</w:t>
      </w:r>
      <w:bookmarkStart w:id="45" w:name="OLE_LINK11"/>
      <w:bookmarkStart w:id="46" w:name="OLE_LINK12"/>
      <w:r>
        <w:rPr>
          <w:rFonts w:hint="eastAsia" w:ascii="Times New Roman" w:hAnsi="Times New Roman" w:eastAsia="仿宋_GB2312" w:cs="仿宋_GB2312"/>
          <w:color w:val="auto"/>
          <w:kern w:val="2"/>
          <w:sz w:val="32"/>
          <w:szCs w:val="32"/>
          <w:highlight w:val="none"/>
          <w:lang w:eastAsia="zh-CN"/>
        </w:rPr>
        <w:t>卫生健康支出</w:t>
      </w:r>
      <w:bookmarkEnd w:id="45"/>
      <w:bookmarkEnd w:id="46"/>
      <w:r>
        <w:rPr>
          <w:rFonts w:hint="eastAsia" w:ascii="Times New Roman" w:hAnsi="Times New Roman" w:eastAsia="仿宋_GB2312" w:cs="仿宋_GB2312"/>
          <w:color w:val="auto"/>
          <w:kern w:val="2"/>
          <w:sz w:val="32"/>
          <w:szCs w:val="32"/>
          <w:highlight w:val="none"/>
          <w:lang w:eastAsia="zh-CN"/>
        </w:rPr>
        <w:t>32.04万元，占3.68%；</w:t>
      </w:r>
      <w:bookmarkStart w:id="47" w:name="OLE_LINK14"/>
      <w:bookmarkStart w:id="48" w:name="OLE_LINK13"/>
      <w:r>
        <w:rPr>
          <w:rFonts w:hint="eastAsia" w:ascii="Times New Roman" w:hAnsi="Times New Roman" w:eastAsia="仿宋_GB2312" w:cs="仿宋_GB2312"/>
          <w:color w:val="auto"/>
          <w:kern w:val="2"/>
          <w:sz w:val="32"/>
          <w:szCs w:val="32"/>
          <w:highlight w:val="none"/>
          <w:lang w:eastAsia="zh-CN"/>
        </w:rPr>
        <w:t>住房保障支出</w:t>
      </w:r>
      <w:bookmarkEnd w:id="47"/>
      <w:bookmarkEnd w:id="48"/>
      <w:r>
        <w:rPr>
          <w:rFonts w:hint="eastAsia" w:ascii="Times New Roman" w:hAnsi="Times New Roman" w:eastAsia="仿宋_GB2312" w:cs="仿宋_GB2312"/>
          <w:color w:val="auto"/>
          <w:kern w:val="2"/>
          <w:sz w:val="32"/>
          <w:szCs w:val="32"/>
          <w:highlight w:val="none"/>
          <w:lang w:eastAsia="zh-CN"/>
        </w:rPr>
        <w:t>45.88.万元，占5.27%。</w:t>
      </w:r>
    </w:p>
    <w:p w14:paraId="22689D26">
      <w:pPr>
        <w:pStyle w:val="194"/>
        <w:ind w:firstLine="0"/>
        <w:rPr>
          <w:rFonts w:ascii="仿宋" w:hAnsi="仿宋" w:eastAsia="仿宋"/>
          <w:color w:val="000000"/>
        </w:rPr>
      </w:pPr>
    </w:p>
    <w:p w14:paraId="371F20EB">
      <w:pPr>
        <w:pStyle w:val="194"/>
        <w:ind w:left="632" w:firstLine="632"/>
        <w:rPr>
          <w:rFonts w:ascii="仿宋" w:hAnsi="仿宋" w:eastAsia="仿宋"/>
          <w:color w:val="000000"/>
        </w:rPr>
      </w:pPr>
      <w:r>
        <w:rPr>
          <w:rFonts w:hint="eastAsia" w:ascii="仿宋" w:hAnsi="仿宋" w:eastAsia="仿宋"/>
          <w:color w:val="000000"/>
        </w:rPr>
        <w:drawing>
          <wp:inline distT="0" distB="0" distL="0" distR="0">
            <wp:extent cx="4623435" cy="3114040"/>
            <wp:effectExtent l="0" t="0" r="24765"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B467BD">
      <w:pPr>
        <w:spacing w:line="600" w:lineRule="exact"/>
        <w:ind w:firstLine="640" w:firstLineChars="200"/>
        <w:outlineLvl w:val="1"/>
        <w:rPr>
          <w:rFonts w:eastAsia="楷体_GB2312"/>
          <w:szCs w:val="32"/>
        </w:rPr>
      </w:pPr>
      <w:bookmarkStart w:id="49" w:name="_Toc15377212"/>
      <w:r>
        <w:rPr>
          <w:rFonts w:hint="eastAsia" w:ascii="Times New Roman" w:hAnsi="Times New Roman" w:eastAsia="仿宋_GB2312" w:cs="仿宋_GB2312"/>
          <w:color w:val="auto"/>
          <w:kern w:val="2"/>
          <w:sz w:val="32"/>
          <w:szCs w:val="32"/>
          <w:highlight w:val="none"/>
          <w:lang w:eastAsia="zh-CN"/>
        </w:rPr>
        <w:t>（图6：</w:t>
      </w:r>
      <w:bookmarkStart w:id="50" w:name="OLE_LINK3"/>
      <w:bookmarkStart w:id="51" w:name="OLE_LINK4"/>
      <w:r>
        <w:rPr>
          <w:rFonts w:hint="eastAsia" w:ascii="Times New Roman" w:hAnsi="Times New Roman" w:eastAsia="仿宋_GB2312" w:cs="仿宋_GB2312"/>
          <w:color w:val="auto"/>
          <w:kern w:val="2"/>
          <w:sz w:val="32"/>
          <w:szCs w:val="32"/>
          <w:highlight w:val="none"/>
          <w:lang w:eastAsia="zh-CN"/>
        </w:rPr>
        <w:t>一般公共预算财政拨款支出决算结构</w:t>
      </w:r>
      <w:bookmarkEnd w:id="50"/>
      <w:bookmarkEnd w:id="51"/>
      <w:r>
        <w:rPr>
          <w:rFonts w:hint="eastAsia" w:ascii="Times New Roman" w:hAnsi="Times New Roman" w:eastAsia="仿宋_GB2312" w:cs="仿宋_GB2312"/>
          <w:color w:val="auto"/>
          <w:kern w:val="2"/>
          <w:sz w:val="32"/>
          <w:szCs w:val="32"/>
          <w:highlight w:val="none"/>
          <w:lang w:eastAsia="zh-CN"/>
        </w:rPr>
        <w:t>）（饼状图）</w:t>
      </w:r>
    </w:p>
    <w:p w14:paraId="6B5A6800">
      <w:pPr>
        <w:spacing w:line="560" w:lineRule="exact"/>
        <w:ind w:firstLine="632"/>
        <w:jc w:val="left"/>
        <w:outlineLvl w:val="2"/>
        <w:rPr>
          <w:rFonts w:eastAsia="楷体_GB2312"/>
          <w:b/>
          <w:bCs/>
          <w:szCs w:val="32"/>
        </w:rPr>
      </w:pPr>
      <w:bookmarkStart w:id="52" w:name="_Toc5736"/>
      <w:r>
        <w:rPr>
          <w:rFonts w:eastAsia="楷体_GB2312"/>
          <w:b/>
          <w:bCs/>
          <w:szCs w:val="32"/>
        </w:rPr>
        <w:t>（三）一般公共预算财政拨款支出决算具体情况</w:t>
      </w:r>
      <w:bookmarkEnd w:id="49"/>
      <w:bookmarkEnd w:id="52"/>
    </w:p>
    <w:p w14:paraId="0D7E5132">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bookmarkStart w:id="53" w:name="_Toc15377213"/>
      <w:bookmarkStart w:id="54" w:name="_Toc15378460"/>
      <w:bookmarkStart w:id="55" w:name="_Toc30095"/>
      <w:bookmarkStart w:id="56" w:name="_Toc15377444"/>
      <w:r>
        <w:rPr>
          <w:rFonts w:hint="eastAsia" w:ascii="Times New Roman" w:hAnsi="Times New Roman" w:eastAsia="仿宋_GB2312" w:cs="仿宋_GB2312"/>
          <w:color w:val="auto"/>
          <w:kern w:val="2"/>
          <w:sz w:val="32"/>
          <w:szCs w:val="32"/>
          <w:highlight w:val="none"/>
          <w:lang w:eastAsia="zh-CN"/>
        </w:rPr>
        <w:t>2024年度一般公共预算支出决算数为870.56万元，完成预算100%。其中：</w:t>
      </w:r>
      <w:bookmarkEnd w:id="53"/>
      <w:bookmarkEnd w:id="54"/>
      <w:bookmarkEnd w:id="55"/>
      <w:bookmarkEnd w:id="56"/>
    </w:p>
    <w:p w14:paraId="3AB22E4C">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1.一般公共服务201（类）99（款）99（项）：</w:t>
      </w:r>
      <w:r>
        <w:rPr>
          <w:rFonts w:hint="eastAsia" w:ascii="Times New Roman" w:hAnsi="Times New Roman" w:eastAsia="仿宋_GB2312" w:cs="仿宋_GB2312"/>
          <w:color w:val="auto"/>
          <w:kern w:val="2"/>
          <w:sz w:val="32"/>
          <w:szCs w:val="32"/>
          <w:highlight w:val="none"/>
          <w:lang w:eastAsia="zh-CN"/>
        </w:rPr>
        <w:t>支出决算为9.96万元，完成预算100%，决算数与预算数持平。</w:t>
      </w:r>
    </w:p>
    <w:p w14:paraId="50649DA5">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 xml:space="preserve">2.社会保障和就业208（类）01（款）01（项）: </w:t>
      </w:r>
      <w:r>
        <w:rPr>
          <w:rFonts w:hint="eastAsia" w:ascii="Times New Roman" w:hAnsi="Times New Roman" w:eastAsia="仿宋_GB2312" w:cs="仿宋_GB2312"/>
          <w:color w:val="auto"/>
          <w:kern w:val="2"/>
          <w:sz w:val="32"/>
          <w:szCs w:val="32"/>
          <w:highlight w:val="none"/>
          <w:lang w:eastAsia="zh-CN"/>
        </w:rPr>
        <w:t>支出决算为306.42万元，完成预算100%，决算数与预算数持平。</w:t>
      </w:r>
    </w:p>
    <w:p w14:paraId="221F9D11">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 xml:space="preserve">3.社会保障和就业208（类）01（款）08（项）: </w:t>
      </w:r>
      <w:r>
        <w:rPr>
          <w:rFonts w:hint="eastAsia" w:ascii="Times New Roman" w:hAnsi="Times New Roman" w:eastAsia="仿宋_GB2312" w:cs="仿宋_GB2312"/>
          <w:color w:val="auto"/>
          <w:kern w:val="2"/>
          <w:sz w:val="32"/>
          <w:szCs w:val="32"/>
          <w:highlight w:val="none"/>
          <w:lang w:eastAsia="zh-CN"/>
        </w:rPr>
        <w:t>支出决算为4.8万元，完成预算100%，决算数与预算数持平。</w:t>
      </w:r>
    </w:p>
    <w:p w14:paraId="6DEC58CD">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4.社</w:t>
      </w:r>
      <w:bookmarkStart w:id="57" w:name="OLE_LINK26"/>
      <w:bookmarkStart w:id="58" w:name="OLE_LINK25"/>
      <w:r>
        <w:rPr>
          <w:rStyle w:val="37"/>
          <w:rFonts w:hint="eastAsia" w:ascii="仿宋" w:hAnsi="仿宋" w:eastAsia="仿宋"/>
          <w:bCs/>
          <w:kern w:val="2"/>
          <w:sz w:val="32"/>
          <w:szCs w:val="32"/>
          <w:lang w:val="en-US" w:eastAsia="zh-CN"/>
        </w:rPr>
        <w:t>会保障</w:t>
      </w:r>
      <w:bookmarkEnd w:id="57"/>
      <w:bookmarkEnd w:id="58"/>
      <w:r>
        <w:rPr>
          <w:rStyle w:val="37"/>
          <w:rFonts w:hint="eastAsia" w:ascii="仿宋" w:hAnsi="仿宋" w:eastAsia="仿宋"/>
          <w:bCs/>
          <w:kern w:val="2"/>
          <w:sz w:val="32"/>
          <w:szCs w:val="32"/>
          <w:lang w:val="en-US" w:eastAsia="zh-CN"/>
        </w:rPr>
        <w:t xml:space="preserve">和就业208（类）01（款）50（项）: </w:t>
      </w:r>
      <w:r>
        <w:rPr>
          <w:rFonts w:hint="eastAsia" w:ascii="Times New Roman" w:hAnsi="Times New Roman" w:eastAsia="仿宋_GB2312" w:cs="仿宋_GB2312"/>
          <w:color w:val="auto"/>
          <w:kern w:val="2"/>
          <w:sz w:val="32"/>
          <w:szCs w:val="32"/>
          <w:highlight w:val="none"/>
          <w:lang w:eastAsia="zh-CN"/>
        </w:rPr>
        <w:t>支出决算为176.86.万元，完成预算100%，决算数与预算数持平。</w:t>
      </w:r>
    </w:p>
    <w:p w14:paraId="7F8BFEEE">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bookmarkStart w:id="59" w:name="_Toc8519"/>
      <w:bookmarkStart w:id="60" w:name="_Toc15396608"/>
      <w:bookmarkStart w:id="61" w:name="_Toc15377214"/>
      <w:r>
        <w:rPr>
          <w:rStyle w:val="37"/>
          <w:rFonts w:hint="eastAsia" w:ascii="仿宋" w:hAnsi="仿宋" w:eastAsia="仿宋"/>
          <w:bCs/>
          <w:kern w:val="2"/>
          <w:sz w:val="32"/>
          <w:szCs w:val="32"/>
          <w:lang w:val="en-US" w:eastAsia="zh-CN"/>
        </w:rPr>
        <w:t xml:space="preserve">5.社会保障和就业208（类）01（款）99（项）: </w:t>
      </w:r>
      <w:r>
        <w:rPr>
          <w:rFonts w:hint="eastAsia" w:ascii="Times New Roman" w:hAnsi="Times New Roman" w:eastAsia="仿宋_GB2312" w:cs="仿宋_GB2312"/>
          <w:color w:val="auto"/>
          <w:kern w:val="2"/>
          <w:sz w:val="32"/>
          <w:szCs w:val="32"/>
          <w:highlight w:val="none"/>
          <w:lang w:eastAsia="zh-CN"/>
        </w:rPr>
        <w:t>支出决算为155.21万元，完成预算100%，决算数与预算数持平。</w:t>
      </w:r>
    </w:p>
    <w:p w14:paraId="4D3633CE">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 xml:space="preserve">6.社会保障和就业208（类）05（款）01（项）: </w:t>
      </w:r>
      <w:r>
        <w:rPr>
          <w:rFonts w:hint="eastAsia" w:ascii="Times New Roman" w:hAnsi="Times New Roman" w:eastAsia="仿宋_GB2312" w:cs="仿宋_GB2312"/>
          <w:color w:val="auto"/>
          <w:kern w:val="2"/>
          <w:sz w:val="32"/>
          <w:szCs w:val="32"/>
          <w:highlight w:val="none"/>
          <w:lang w:eastAsia="zh-CN"/>
        </w:rPr>
        <w:t>支出决算为24.86万元，完成预算100%，决算数与预算数持平。</w:t>
      </w:r>
    </w:p>
    <w:p w14:paraId="1E2A2F09">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7.社会保障和就业208（类）05（款）05（项）:</w:t>
      </w:r>
      <w:r>
        <w:rPr>
          <w:rFonts w:hint="eastAsia" w:ascii="Times New Roman" w:hAnsi="Times New Roman" w:eastAsia="仿宋_GB2312" w:cs="仿宋_GB2312"/>
          <w:color w:val="auto"/>
          <w:kern w:val="2"/>
          <w:sz w:val="32"/>
          <w:szCs w:val="32"/>
          <w:highlight w:val="none"/>
          <w:lang w:eastAsia="zh-CN"/>
        </w:rPr>
        <w:t xml:space="preserve"> 支出决算为61.55万元，完成预算100%，决算数与预算数持平。</w:t>
      </w:r>
    </w:p>
    <w:p w14:paraId="1F3DAB92">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 xml:space="preserve">8.社会保障和就业208（类）05（款）99（项）: </w:t>
      </w:r>
      <w:r>
        <w:rPr>
          <w:rFonts w:hint="eastAsia" w:ascii="Times New Roman" w:hAnsi="Times New Roman" w:eastAsia="仿宋_GB2312" w:cs="仿宋_GB2312"/>
          <w:color w:val="auto"/>
          <w:kern w:val="2"/>
          <w:sz w:val="32"/>
          <w:szCs w:val="32"/>
          <w:highlight w:val="none"/>
          <w:lang w:eastAsia="zh-CN"/>
        </w:rPr>
        <w:t>支出决算为2.74万元，完成预算100%，决算数与预算数持平。</w:t>
      </w:r>
    </w:p>
    <w:p w14:paraId="4F38B934">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 xml:space="preserve">9.社会保障和就业208（类）07（款）99（项）: </w:t>
      </w:r>
      <w:r>
        <w:rPr>
          <w:rFonts w:hint="eastAsia" w:ascii="Times New Roman" w:hAnsi="Times New Roman" w:eastAsia="仿宋_GB2312" w:cs="仿宋_GB2312"/>
          <w:color w:val="auto"/>
          <w:kern w:val="2"/>
          <w:sz w:val="32"/>
          <w:szCs w:val="32"/>
          <w:highlight w:val="none"/>
          <w:lang w:eastAsia="zh-CN"/>
        </w:rPr>
        <w:t>支出决算为16.99万元，完成预算100%，决算数与预算数持平。</w:t>
      </w:r>
    </w:p>
    <w:p w14:paraId="18B0B144">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 xml:space="preserve">10.社会保障和就业208（类）08（款）01（项）: </w:t>
      </w:r>
      <w:r>
        <w:rPr>
          <w:rFonts w:hint="eastAsia" w:ascii="Times New Roman" w:hAnsi="Times New Roman" w:eastAsia="仿宋_GB2312" w:cs="仿宋_GB2312"/>
          <w:color w:val="auto"/>
          <w:kern w:val="2"/>
          <w:sz w:val="32"/>
          <w:szCs w:val="32"/>
          <w:highlight w:val="none"/>
          <w:lang w:eastAsia="zh-CN"/>
        </w:rPr>
        <w:t>支出决算为29.33万元，完成预算100%，决算数与预算数持平。</w:t>
      </w:r>
    </w:p>
    <w:p w14:paraId="245778CC">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11.社会保障和就业208（类）99（款）99（项）:</w:t>
      </w:r>
      <w:r>
        <w:rPr>
          <w:rFonts w:hint="eastAsia" w:ascii="Times New Roman" w:hAnsi="Times New Roman" w:eastAsia="仿宋_GB2312" w:cs="仿宋_GB2312"/>
          <w:color w:val="auto"/>
          <w:kern w:val="2"/>
          <w:sz w:val="32"/>
          <w:szCs w:val="32"/>
          <w:highlight w:val="none"/>
          <w:lang w:eastAsia="zh-CN"/>
        </w:rPr>
        <w:t xml:space="preserve"> 支出决算为3.92万元，完成预算100%，决算数与预算数持平。</w:t>
      </w:r>
    </w:p>
    <w:p w14:paraId="518015E6">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12.卫生健康210（类）11（款）01（项）：</w:t>
      </w:r>
      <w:r>
        <w:rPr>
          <w:rFonts w:hint="eastAsia" w:ascii="Times New Roman" w:hAnsi="Times New Roman" w:eastAsia="仿宋_GB2312" w:cs="仿宋_GB2312"/>
          <w:color w:val="auto"/>
          <w:kern w:val="2"/>
          <w:sz w:val="32"/>
          <w:szCs w:val="32"/>
          <w:highlight w:val="none"/>
          <w:lang w:eastAsia="zh-CN"/>
        </w:rPr>
        <w:t>支出决算为14.97万元，完成预算100%，决算数与预算数持平。</w:t>
      </w:r>
    </w:p>
    <w:p w14:paraId="479A6930">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13.卫生健康210（类）11（款）02（项）：</w:t>
      </w:r>
      <w:r>
        <w:rPr>
          <w:rFonts w:hint="eastAsia" w:ascii="Times New Roman" w:hAnsi="Times New Roman" w:eastAsia="仿宋_GB2312" w:cs="仿宋_GB2312"/>
          <w:color w:val="auto"/>
          <w:kern w:val="2"/>
          <w:sz w:val="32"/>
          <w:szCs w:val="32"/>
          <w:highlight w:val="none"/>
          <w:lang w:eastAsia="zh-CN"/>
        </w:rPr>
        <w:t>支出决算为11.06万元，完成预算100%，决算数与预算数持平。</w:t>
      </w:r>
    </w:p>
    <w:p w14:paraId="611158C3">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14.卫生健康210（类）11（款）03（项）：</w:t>
      </w:r>
      <w:r>
        <w:rPr>
          <w:rFonts w:hint="eastAsia" w:ascii="Times New Roman" w:hAnsi="Times New Roman" w:eastAsia="仿宋_GB2312" w:cs="仿宋_GB2312"/>
          <w:color w:val="auto"/>
          <w:kern w:val="2"/>
          <w:sz w:val="32"/>
          <w:szCs w:val="32"/>
          <w:highlight w:val="none"/>
          <w:lang w:eastAsia="zh-CN"/>
        </w:rPr>
        <w:t>支出决算为6.01万元，完成预算100%，决算数与预算数持平。</w:t>
      </w:r>
    </w:p>
    <w:p w14:paraId="7C49852A">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Style w:val="37"/>
          <w:rFonts w:hint="eastAsia" w:ascii="仿宋" w:hAnsi="仿宋" w:eastAsia="仿宋"/>
          <w:bCs/>
          <w:kern w:val="2"/>
          <w:sz w:val="32"/>
          <w:szCs w:val="32"/>
          <w:lang w:val="en-US" w:eastAsia="zh-CN"/>
        </w:rPr>
        <w:t>15.住房保障221（类）02（款）01（项）：</w:t>
      </w:r>
      <w:r>
        <w:rPr>
          <w:rFonts w:hint="eastAsia" w:ascii="Times New Roman" w:hAnsi="Times New Roman" w:eastAsia="仿宋_GB2312" w:cs="仿宋_GB2312"/>
          <w:color w:val="auto"/>
          <w:kern w:val="2"/>
          <w:sz w:val="32"/>
          <w:szCs w:val="32"/>
          <w:highlight w:val="none"/>
          <w:lang w:eastAsia="zh-CN"/>
        </w:rPr>
        <w:t>支出决算为45.88万元，完成预算100%，决算数与预算数持平。</w:t>
      </w:r>
    </w:p>
    <w:p w14:paraId="15877375">
      <w:pPr>
        <w:pStyle w:val="193"/>
        <w:spacing w:line="360" w:lineRule="auto"/>
        <w:ind w:firstLine="632"/>
        <w:rPr>
          <w:rStyle w:val="197"/>
          <w:rFonts w:ascii="Times New Roman" w:hAnsi="Times New Roman"/>
          <w:b w:val="0"/>
          <w:i w:val="0"/>
          <w:sz w:val="32"/>
          <w:szCs w:val="32"/>
        </w:rPr>
      </w:pPr>
      <w:r>
        <w:rPr>
          <w:rFonts w:eastAsia="黑体"/>
          <w:sz w:val="32"/>
          <w:szCs w:val="32"/>
        </w:rPr>
        <w:t>六、一</w:t>
      </w:r>
      <w:r>
        <w:rPr>
          <w:rStyle w:val="197"/>
          <w:rFonts w:ascii="Times New Roman" w:hAnsi="Times New Roman" w:eastAsia="黑体"/>
          <w:b w:val="0"/>
          <w:i w:val="0"/>
          <w:sz w:val="32"/>
          <w:szCs w:val="32"/>
        </w:rPr>
        <w:t>般公共预算财政拨款基本支出决算情况说明</w:t>
      </w:r>
      <w:bookmarkEnd w:id="59"/>
      <w:bookmarkEnd w:id="60"/>
      <w:bookmarkEnd w:id="61"/>
      <w:r>
        <w:rPr>
          <w:rStyle w:val="197"/>
          <w:rFonts w:ascii="Times New Roman" w:hAnsi="Times New Roman" w:eastAsia="黑体"/>
          <w:b w:val="0"/>
          <w:i w:val="0"/>
          <w:sz w:val="32"/>
          <w:szCs w:val="32"/>
        </w:rPr>
        <w:tab/>
      </w:r>
    </w:p>
    <w:p w14:paraId="02C6CD9D">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2024年度一般公共预算财政拨款基本支出680.86万元，其中：</w:t>
      </w:r>
    </w:p>
    <w:p w14:paraId="5792B682">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人员经费613.48万元，主要包括：基本工资、津贴补贴、奖金、伙食补助费、绩效工资、机关事业单位基本养老保险缴费、职工基本医疗保险缴费、公务员医疗补助缴费、其他社会保障缴费、其他工资福利支出、住房公积金、抚恤金、其他对个人和家庭的补助支出等。</w:t>
      </w:r>
    </w:p>
    <w:p w14:paraId="0AA56536">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公用经费67.38万元，主要包括：办公费、印刷费、水费、电费、邮电费、物业管理费、差旅费、维修（护）费、公务接待费、劳务费、工会经费、福利费、其他交通费用、其他商品和服务支出等。</w:t>
      </w:r>
    </w:p>
    <w:p w14:paraId="2DE621F8">
      <w:pPr>
        <w:spacing w:line="560" w:lineRule="exact"/>
        <w:ind w:firstLine="640"/>
        <w:outlineLvl w:val="1"/>
        <w:rPr>
          <w:rStyle w:val="197"/>
          <w:rFonts w:ascii="Times New Roman" w:hAnsi="Times New Roman" w:eastAsia="黑体"/>
          <w:b w:val="0"/>
          <w:i w:val="0"/>
        </w:rPr>
      </w:pPr>
      <w:bookmarkStart w:id="62" w:name="_Toc15396609"/>
      <w:bookmarkStart w:id="63" w:name="_Toc15377215"/>
      <w:bookmarkStart w:id="64" w:name="_Toc30667"/>
      <w:r>
        <w:rPr>
          <w:rFonts w:eastAsia="黑体"/>
          <w:szCs w:val="32"/>
        </w:rPr>
        <w:t>七、</w:t>
      </w:r>
      <w:r>
        <w:rPr>
          <w:rStyle w:val="197"/>
          <w:rFonts w:ascii="Times New Roman" w:hAnsi="Times New Roman" w:eastAsia="黑体"/>
          <w:b w:val="0"/>
          <w:i w:val="0"/>
        </w:rPr>
        <w:t>财政拨款“三公”经费支出决算情况说明</w:t>
      </w:r>
      <w:bookmarkEnd w:id="62"/>
      <w:bookmarkEnd w:id="63"/>
      <w:bookmarkEnd w:id="64"/>
    </w:p>
    <w:p w14:paraId="7196F5F8">
      <w:pPr>
        <w:spacing w:line="600" w:lineRule="exact"/>
        <w:ind w:firstLine="643" w:firstLineChars="200"/>
        <w:outlineLvl w:val="2"/>
        <w:rPr>
          <w:rFonts w:hint="eastAsia" w:ascii="Times New Roman" w:hAnsi="Times New Roman" w:eastAsia="楷体_GB2312" w:cs="楷体_GB2312"/>
          <w:b/>
          <w:color w:val="auto"/>
          <w:kern w:val="2"/>
          <w:sz w:val="32"/>
          <w:szCs w:val="32"/>
          <w:highlight w:val="none"/>
        </w:rPr>
      </w:pPr>
      <w:bookmarkStart w:id="65" w:name="_Toc15377216"/>
      <w:bookmarkStart w:id="66" w:name="_Toc1959"/>
      <w:r>
        <w:rPr>
          <w:rFonts w:hint="eastAsia" w:ascii="Times New Roman" w:hAnsi="Times New Roman" w:eastAsia="楷体_GB2312" w:cs="楷体_GB2312"/>
          <w:b/>
          <w:color w:val="auto"/>
          <w:kern w:val="2"/>
          <w:sz w:val="32"/>
          <w:szCs w:val="32"/>
          <w:highlight w:val="none"/>
        </w:rPr>
        <w:t>（一）“三公”经费财政拨款支出决算总体情况说明</w:t>
      </w:r>
      <w:bookmarkEnd w:id="65"/>
      <w:bookmarkEnd w:id="66"/>
    </w:p>
    <w:p w14:paraId="5943928F">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2024年度“三公”经费财政拨款支出决算为</w:t>
      </w:r>
      <w:r>
        <w:rPr>
          <w:rFonts w:hint="eastAsia" w:ascii="Times New Roman" w:hAnsi="Times New Roman" w:eastAsia="仿宋_GB2312" w:cs="仿宋_GB2312"/>
          <w:color w:val="auto"/>
          <w:kern w:val="2"/>
          <w:sz w:val="32"/>
          <w:szCs w:val="32"/>
          <w:highlight w:val="none"/>
          <w:lang w:val="en-US" w:eastAsia="zh-CN"/>
        </w:rPr>
        <w:t>1.56</w:t>
      </w:r>
      <w:r>
        <w:rPr>
          <w:rFonts w:hint="eastAsia" w:ascii="Times New Roman" w:hAnsi="Times New Roman" w:eastAsia="仿宋_GB2312" w:cs="仿宋_GB2312"/>
          <w:color w:val="auto"/>
          <w:kern w:val="2"/>
          <w:sz w:val="32"/>
          <w:szCs w:val="32"/>
          <w:highlight w:val="none"/>
          <w:lang w:eastAsia="zh-CN"/>
        </w:rPr>
        <w:t>万元，完成预算100%，较上年度减少</w:t>
      </w:r>
      <w:r>
        <w:rPr>
          <w:rFonts w:hint="eastAsia" w:ascii="Times New Roman" w:hAnsi="Times New Roman" w:eastAsia="仿宋_GB2312" w:cs="仿宋_GB2312"/>
          <w:color w:val="auto"/>
          <w:kern w:val="2"/>
          <w:sz w:val="32"/>
          <w:szCs w:val="32"/>
          <w:highlight w:val="none"/>
          <w:lang w:val="en-US" w:eastAsia="zh-CN"/>
        </w:rPr>
        <w:t>1.69</w:t>
      </w:r>
      <w:r>
        <w:rPr>
          <w:rFonts w:hint="eastAsia" w:ascii="Times New Roman" w:hAnsi="Times New Roman" w:eastAsia="仿宋_GB2312" w:cs="仿宋_GB2312"/>
          <w:color w:val="auto"/>
          <w:kern w:val="2"/>
          <w:sz w:val="32"/>
          <w:szCs w:val="32"/>
          <w:highlight w:val="none"/>
          <w:lang w:eastAsia="zh-CN"/>
        </w:rPr>
        <w:t>万元，下降</w:t>
      </w:r>
      <w:r>
        <w:rPr>
          <w:rFonts w:hint="eastAsia" w:ascii="Times New Roman" w:hAnsi="Times New Roman" w:eastAsia="仿宋_GB2312" w:cs="仿宋_GB2312"/>
          <w:color w:val="auto"/>
          <w:kern w:val="2"/>
          <w:sz w:val="32"/>
          <w:szCs w:val="32"/>
          <w:highlight w:val="none"/>
          <w:lang w:val="en-US" w:eastAsia="zh-CN"/>
        </w:rPr>
        <w:t>52</w:t>
      </w:r>
      <w:r>
        <w:rPr>
          <w:rFonts w:hint="eastAsia" w:ascii="Times New Roman" w:hAnsi="Times New Roman" w:eastAsia="仿宋_GB2312" w:cs="仿宋_GB2312"/>
          <w:color w:val="auto"/>
          <w:kern w:val="2"/>
          <w:sz w:val="32"/>
          <w:szCs w:val="32"/>
          <w:highlight w:val="none"/>
          <w:lang w:eastAsia="zh-CN"/>
        </w:rPr>
        <w:t>%。决算数与预算数持平。</w:t>
      </w:r>
    </w:p>
    <w:p w14:paraId="65F6D37B">
      <w:pPr>
        <w:spacing w:line="600" w:lineRule="exact"/>
        <w:ind w:firstLine="643" w:firstLineChars="200"/>
        <w:outlineLvl w:val="2"/>
        <w:rPr>
          <w:rFonts w:hint="eastAsia" w:ascii="Times New Roman" w:hAnsi="Times New Roman" w:eastAsia="楷体_GB2312" w:cs="楷体_GB2312"/>
          <w:b/>
          <w:color w:val="auto"/>
          <w:kern w:val="2"/>
          <w:sz w:val="32"/>
          <w:szCs w:val="32"/>
          <w:highlight w:val="none"/>
        </w:rPr>
      </w:pPr>
      <w:bookmarkStart w:id="67" w:name="_Toc15377217"/>
      <w:bookmarkStart w:id="68" w:name="_Toc31883"/>
      <w:r>
        <w:rPr>
          <w:rFonts w:hint="eastAsia" w:ascii="Times New Roman" w:hAnsi="Times New Roman" w:eastAsia="楷体_GB2312" w:cs="楷体_GB2312"/>
          <w:b/>
          <w:color w:val="auto"/>
          <w:kern w:val="2"/>
          <w:sz w:val="32"/>
          <w:szCs w:val="32"/>
          <w:highlight w:val="none"/>
        </w:rPr>
        <w:t>（二）“三公”经费财政拨款支出决算具体情况说明</w:t>
      </w:r>
      <w:bookmarkEnd w:id="67"/>
      <w:bookmarkEnd w:id="68"/>
    </w:p>
    <w:p w14:paraId="1C1959FB">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2024年度“三公”经费财政拨款支出决算中，因公出国（境）费支出决算0万元，占100%；公务用车购置及运行维护费支出决算</w:t>
      </w:r>
      <w:r>
        <w:rPr>
          <w:rFonts w:hint="eastAsia" w:ascii="Times New Roman" w:hAnsi="Times New Roman"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eastAsia="zh-CN"/>
        </w:rPr>
        <w:t>万元，占</w:t>
      </w:r>
      <w:r>
        <w:rPr>
          <w:rFonts w:hint="eastAsia" w:ascii="Times New Roman" w:hAnsi="Times New Roman" w:eastAsia="仿宋_GB2312" w:cs="仿宋_GB2312"/>
          <w:color w:val="auto"/>
          <w:kern w:val="2"/>
          <w:sz w:val="32"/>
          <w:szCs w:val="32"/>
          <w:highlight w:val="none"/>
          <w:lang w:val="en-US" w:eastAsia="zh-CN"/>
        </w:rPr>
        <w:t>100</w:t>
      </w:r>
      <w:r>
        <w:rPr>
          <w:rFonts w:hint="eastAsia" w:ascii="Times New Roman" w:hAnsi="Times New Roman" w:eastAsia="仿宋_GB2312" w:cs="仿宋_GB2312"/>
          <w:color w:val="auto"/>
          <w:kern w:val="2"/>
          <w:sz w:val="32"/>
          <w:szCs w:val="32"/>
          <w:highlight w:val="none"/>
          <w:lang w:eastAsia="zh-CN"/>
        </w:rPr>
        <w:t>%；公务接待费支出决算</w:t>
      </w:r>
      <w:r>
        <w:rPr>
          <w:rFonts w:hint="eastAsia" w:ascii="Times New Roman" w:hAnsi="Times New Roman" w:eastAsia="仿宋_GB2312" w:cs="仿宋_GB2312"/>
          <w:color w:val="auto"/>
          <w:kern w:val="2"/>
          <w:sz w:val="32"/>
          <w:szCs w:val="32"/>
          <w:highlight w:val="none"/>
          <w:lang w:val="en-US" w:eastAsia="zh-CN"/>
        </w:rPr>
        <w:t>1.56</w:t>
      </w:r>
      <w:r>
        <w:rPr>
          <w:rFonts w:hint="eastAsia" w:ascii="Times New Roman" w:hAnsi="Times New Roman" w:eastAsia="仿宋_GB2312" w:cs="仿宋_GB2312"/>
          <w:color w:val="auto"/>
          <w:kern w:val="2"/>
          <w:sz w:val="32"/>
          <w:szCs w:val="32"/>
          <w:highlight w:val="none"/>
          <w:lang w:eastAsia="zh-CN"/>
        </w:rPr>
        <w:t>万元，占</w:t>
      </w:r>
      <w:r>
        <w:rPr>
          <w:rFonts w:hint="eastAsia" w:ascii="Times New Roman" w:hAnsi="Times New Roman" w:eastAsia="仿宋_GB2312" w:cs="仿宋_GB2312"/>
          <w:color w:val="auto"/>
          <w:kern w:val="2"/>
          <w:sz w:val="32"/>
          <w:szCs w:val="32"/>
          <w:highlight w:val="none"/>
          <w:lang w:val="en-US" w:eastAsia="zh-CN"/>
        </w:rPr>
        <w:t>100</w:t>
      </w:r>
      <w:r>
        <w:rPr>
          <w:rFonts w:hint="eastAsia" w:ascii="Times New Roman" w:hAnsi="Times New Roman" w:eastAsia="仿宋_GB2312" w:cs="仿宋_GB2312"/>
          <w:color w:val="auto"/>
          <w:kern w:val="2"/>
          <w:sz w:val="32"/>
          <w:szCs w:val="32"/>
          <w:highlight w:val="none"/>
          <w:lang w:eastAsia="zh-CN"/>
        </w:rPr>
        <w:t>%。具体情况如下：</w:t>
      </w:r>
    </w:p>
    <w:p w14:paraId="417BFA7D">
      <w:pPr>
        <w:pStyle w:val="194"/>
        <w:ind w:firstLine="0"/>
        <w:jc w:val="center"/>
        <w:rPr>
          <w:rFonts w:ascii="Times New Roman"/>
        </w:rPr>
      </w:pPr>
      <w:r>
        <w:rPr>
          <w:rFonts w:hint="eastAsia" w:ascii="仿宋" w:hAnsi="仿宋" w:eastAsia="仿宋"/>
          <w:color w:val="000000"/>
        </w:rPr>
        <w:drawing>
          <wp:anchor distT="0" distB="0" distL="114300" distR="114300" simplePos="0" relativeHeight="251661312" behindDoc="0" locked="0" layoutInCell="1" allowOverlap="1">
            <wp:simplePos x="0" y="0"/>
            <wp:positionH relativeFrom="column">
              <wp:posOffset>393700</wp:posOffset>
            </wp:positionH>
            <wp:positionV relativeFrom="paragraph">
              <wp:posOffset>196215</wp:posOffset>
            </wp:positionV>
            <wp:extent cx="4975860" cy="3315970"/>
            <wp:effectExtent l="4445" t="4445" r="10795" b="1333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9528ACF">
      <w:pPr>
        <w:pStyle w:val="194"/>
        <w:ind w:firstLine="0"/>
        <w:jc w:val="center"/>
        <w:rPr>
          <w:rFonts w:ascii="Times New Roman"/>
        </w:rPr>
      </w:pPr>
    </w:p>
    <w:p w14:paraId="16F494B3">
      <w:pPr>
        <w:pStyle w:val="194"/>
        <w:ind w:firstLine="0"/>
        <w:jc w:val="center"/>
        <w:rPr>
          <w:rFonts w:ascii="Times New Roman"/>
        </w:rPr>
      </w:pPr>
    </w:p>
    <w:p w14:paraId="518B01A8">
      <w:pPr>
        <w:pStyle w:val="194"/>
        <w:ind w:firstLine="0"/>
        <w:jc w:val="center"/>
        <w:rPr>
          <w:rFonts w:ascii="Times New Roman"/>
        </w:rPr>
      </w:pPr>
    </w:p>
    <w:p w14:paraId="7282EAD4">
      <w:pPr>
        <w:pStyle w:val="194"/>
        <w:ind w:firstLine="0"/>
        <w:jc w:val="center"/>
        <w:rPr>
          <w:rFonts w:ascii="Times New Roman"/>
        </w:rPr>
      </w:pPr>
    </w:p>
    <w:p w14:paraId="6550CBDA">
      <w:pPr>
        <w:pStyle w:val="194"/>
        <w:ind w:firstLine="0"/>
        <w:jc w:val="center"/>
        <w:rPr>
          <w:rFonts w:ascii="Times New Roman"/>
        </w:rPr>
      </w:pPr>
    </w:p>
    <w:p w14:paraId="033D9F34">
      <w:pPr>
        <w:pStyle w:val="194"/>
        <w:ind w:firstLine="0"/>
        <w:jc w:val="center"/>
        <w:rPr>
          <w:rFonts w:ascii="Times New Roman"/>
        </w:rPr>
      </w:pPr>
    </w:p>
    <w:p w14:paraId="7BF95B06">
      <w:pPr>
        <w:pStyle w:val="194"/>
        <w:ind w:firstLine="0"/>
        <w:jc w:val="center"/>
        <w:rPr>
          <w:rFonts w:ascii="Times New Roman"/>
        </w:rPr>
      </w:pPr>
    </w:p>
    <w:p w14:paraId="0AC157B3">
      <w:pPr>
        <w:pStyle w:val="194"/>
        <w:ind w:firstLine="0"/>
        <w:jc w:val="center"/>
        <w:rPr>
          <w:rFonts w:ascii="Times New Roman"/>
        </w:rPr>
      </w:pPr>
    </w:p>
    <w:p w14:paraId="3FF47741">
      <w:pPr>
        <w:pStyle w:val="194"/>
        <w:ind w:firstLine="0"/>
        <w:jc w:val="center"/>
        <w:rPr>
          <w:rFonts w:ascii="Times New Roman"/>
        </w:rPr>
      </w:pPr>
    </w:p>
    <w:p w14:paraId="2B353E37">
      <w:pPr>
        <w:pStyle w:val="194"/>
        <w:ind w:firstLine="0"/>
        <w:jc w:val="center"/>
        <w:rPr>
          <w:rFonts w:ascii="Times New Roman"/>
        </w:rPr>
      </w:pPr>
    </w:p>
    <w:p w14:paraId="5DDDB875">
      <w:pPr>
        <w:pStyle w:val="194"/>
        <w:ind w:firstLine="0"/>
        <w:jc w:val="center"/>
        <w:rPr>
          <w:rFonts w:ascii="Times New Roman"/>
        </w:rPr>
      </w:pPr>
    </w:p>
    <w:p w14:paraId="4D6A029E">
      <w:pPr>
        <w:spacing w:line="560" w:lineRule="exact"/>
        <w:ind w:firstLine="632"/>
        <w:rPr>
          <w:szCs w:val="32"/>
        </w:rPr>
      </w:pPr>
      <w:r>
        <w:rPr>
          <w:szCs w:val="32"/>
        </w:rPr>
        <w:t>（图7：“三公”经费财政拨款支出结构）（饼状图）</w:t>
      </w:r>
    </w:p>
    <w:p w14:paraId="09A22185">
      <w:pPr>
        <w:spacing w:line="560" w:lineRule="exact"/>
        <w:ind w:firstLine="632"/>
        <w:rPr>
          <w:rFonts w:hint="eastAsia" w:ascii="Times New Roman" w:hAnsi="Times New Roman" w:eastAsia="仿宋_GB2312" w:cs="仿宋_GB2312"/>
          <w:color w:val="auto"/>
          <w:kern w:val="2"/>
          <w:sz w:val="32"/>
          <w:szCs w:val="32"/>
          <w:highlight w:val="none"/>
          <w:lang w:eastAsia="zh-CN"/>
        </w:rPr>
      </w:pPr>
      <w:r>
        <w:rPr>
          <w:rFonts w:hint="eastAsia"/>
          <w:b/>
          <w:bCs/>
          <w:szCs w:val="32"/>
        </w:rPr>
        <w:t>1、因公出国（境）经费支出0万元，完成预算100%。</w:t>
      </w:r>
      <w:r>
        <w:rPr>
          <w:szCs w:val="32"/>
        </w:rPr>
        <w:t>全年</w:t>
      </w:r>
      <w:r>
        <w:rPr>
          <w:rFonts w:hint="eastAsia" w:ascii="Times New Roman" w:hAnsi="Times New Roman" w:eastAsia="仿宋_GB2312" w:cs="仿宋_GB2312"/>
          <w:color w:val="auto"/>
          <w:kern w:val="2"/>
          <w:sz w:val="32"/>
          <w:szCs w:val="32"/>
          <w:highlight w:val="none"/>
          <w:lang w:eastAsia="zh-CN"/>
        </w:rPr>
        <w:t>安排因公出国（境）团组0次，出国（境）0人。因公出国（境）支出决算比2023年持平。</w:t>
      </w:r>
    </w:p>
    <w:p w14:paraId="39DEE5CC">
      <w:pPr>
        <w:spacing w:line="560" w:lineRule="exact"/>
        <w:ind w:firstLine="632"/>
        <w:rPr>
          <w:rFonts w:hint="eastAsia" w:ascii="Times New Roman" w:hAnsi="Times New Roman" w:eastAsia="仿宋_GB2312" w:cs="仿宋_GB2312"/>
          <w:color w:val="auto"/>
          <w:kern w:val="2"/>
          <w:sz w:val="32"/>
          <w:szCs w:val="32"/>
          <w:highlight w:val="none"/>
          <w:lang w:eastAsia="zh-CN"/>
        </w:rPr>
      </w:pPr>
      <w:r>
        <w:rPr>
          <w:b/>
          <w:bCs/>
          <w:szCs w:val="32"/>
        </w:rPr>
        <w:t>2</w:t>
      </w:r>
      <w:r>
        <w:rPr>
          <w:rFonts w:hint="eastAsia"/>
          <w:b/>
          <w:bCs/>
          <w:szCs w:val="32"/>
        </w:rPr>
        <w:t>、</w:t>
      </w:r>
      <w:r>
        <w:rPr>
          <w:b/>
          <w:bCs/>
          <w:szCs w:val="32"/>
        </w:rPr>
        <w:t>公务用车购置及运行维护费支出</w:t>
      </w:r>
      <w:r>
        <w:rPr>
          <w:rFonts w:hint="eastAsia"/>
          <w:b/>
          <w:bCs/>
          <w:szCs w:val="32"/>
          <w:lang w:val="en-US" w:eastAsia="zh-CN"/>
        </w:rPr>
        <w:t>0</w:t>
      </w:r>
      <w:r>
        <w:rPr>
          <w:b/>
          <w:bCs/>
          <w:szCs w:val="32"/>
        </w:rPr>
        <w:t>万元</w:t>
      </w:r>
      <w:r>
        <w:rPr>
          <w:rFonts w:hint="eastAsia"/>
          <w:b/>
          <w:bCs/>
          <w:szCs w:val="32"/>
          <w:lang w:eastAsia="zh-CN"/>
        </w:rPr>
        <w:t>，</w:t>
      </w:r>
      <w:r>
        <w:rPr>
          <w:rStyle w:val="212"/>
          <w:szCs w:val="32"/>
        </w:rPr>
        <w:t>完成预算</w:t>
      </w:r>
      <w:r>
        <w:rPr>
          <w:rFonts w:hint="eastAsia"/>
          <w:b/>
          <w:bCs/>
          <w:szCs w:val="32"/>
        </w:rPr>
        <w:t>100</w:t>
      </w:r>
      <w:r>
        <w:rPr>
          <w:b/>
          <w:bCs/>
          <w:szCs w:val="32"/>
        </w:rPr>
        <w:t>%。</w:t>
      </w:r>
      <w:r>
        <w:rPr>
          <w:rFonts w:hint="eastAsia" w:ascii="Times New Roman" w:hAnsi="Times New Roman" w:eastAsia="仿宋_GB2312" w:cs="仿宋_GB2312"/>
          <w:color w:val="auto"/>
          <w:kern w:val="2"/>
          <w:sz w:val="32"/>
          <w:szCs w:val="32"/>
          <w:highlight w:val="none"/>
          <w:lang w:eastAsia="zh-CN"/>
        </w:rPr>
        <w:t>公务用车购置及运行维护费支出决算与2023年度持平。</w:t>
      </w:r>
    </w:p>
    <w:p w14:paraId="4DA4E1D8">
      <w:pPr>
        <w:spacing w:line="560" w:lineRule="exact"/>
        <w:ind w:firstLine="632"/>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其中：公务用车购置支出0万元。全年按规定更新购置公务用车0辆，其中：轿车0辆、金额0万元，越野车0辆、金额0万元，载客汽车0辆、金额0万元。截至2024年12月31日，单位共有公务用车</w:t>
      </w:r>
      <w:r>
        <w:rPr>
          <w:rFonts w:hint="eastAsia" w:ascii="Times New Roman" w:hAnsi="Times New Roman"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eastAsia="zh-CN"/>
        </w:rPr>
        <w:t>辆，其中：轿车</w:t>
      </w:r>
      <w:r>
        <w:rPr>
          <w:rFonts w:hint="eastAsia" w:ascii="Times New Roman" w:hAnsi="Times New Roman"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eastAsia="zh-CN"/>
        </w:rPr>
        <w:t>辆、越野车0辆、载客汽车0辆。</w:t>
      </w:r>
    </w:p>
    <w:p w14:paraId="368C397B">
      <w:pPr>
        <w:spacing w:line="560" w:lineRule="exact"/>
        <w:ind w:firstLine="632"/>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公务用车运行维护费支出</w:t>
      </w:r>
      <w:r>
        <w:rPr>
          <w:rFonts w:hint="eastAsia" w:ascii="Times New Roman" w:hAnsi="Times New Roman"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eastAsia="zh-CN"/>
        </w:rPr>
        <w:t>万元。主要用于保障单位工作人员执行公务活动等工作开展所需的公务用车燃料费、维修费、过路过桥费、保险费等支出。</w:t>
      </w:r>
    </w:p>
    <w:p w14:paraId="2E599FCC">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b/>
          <w:bCs/>
          <w:szCs w:val="32"/>
        </w:rPr>
        <w:t>3、公务接待费支出</w:t>
      </w:r>
      <w:r>
        <w:rPr>
          <w:rFonts w:hint="eastAsia"/>
          <w:b/>
          <w:bCs/>
          <w:szCs w:val="32"/>
          <w:lang w:val="en-US" w:eastAsia="zh-CN"/>
        </w:rPr>
        <w:t>1.56</w:t>
      </w:r>
      <w:r>
        <w:rPr>
          <w:rFonts w:hint="eastAsia"/>
          <w:b/>
          <w:bCs/>
          <w:szCs w:val="32"/>
        </w:rPr>
        <w:t>万元，完成预算100%。</w:t>
      </w:r>
      <w:r>
        <w:rPr>
          <w:rFonts w:hint="eastAsia" w:ascii="Times New Roman" w:hAnsi="Times New Roman" w:eastAsia="仿宋_GB2312" w:cs="仿宋_GB2312"/>
          <w:color w:val="auto"/>
          <w:kern w:val="2"/>
          <w:sz w:val="32"/>
          <w:szCs w:val="32"/>
          <w:highlight w:val="none"/>
          <w:lang w:eastAsia="zh-CN"/>
        </w:rPr>
        <w:t>公务接待费支出决算比2023年度减少0.14万元，下降</w:t>
      </w:r>
      <w:r>
        <w:rPr>
          <w:rFonts w:hint="eastAsia" w:ascii="Times New Roman" w:hAnsi="Times New Roman" w:eastAsia="仿宋_GB2312" w:cs="仿宋_GB2312"/>
          <w:color w:val="auto"/>
          <w:kern w:val="2"/>
          <w:sz w:val="32"/>
          <w:szCs w:val="32"/>
          <w:highlight w:val="none"/>
          <w:lang w:val="en-US" w:eastAsia="zh-CN"/>
        </w:rPr>
        <w:t>52</w:t>
      </w:r>
      <w:r>
        <w:rPr>
          <w:rFonts w:hint="eastAsia" w:ascii="Times New Roman" w:hAnsi="Times New Roman" w:eastAsia="仿宋_GB2312" w:cs="仿宋_GB2312"/>
          <w:color w:val="auto"/>
          <w:kern w:val="2"/>
          <w:sz w:val="32"/>
          <w:szCs w:val="32"/>
          <w:highlight w:val="none"/>
          <w:lang w:eastAsia="zh-CN"/>
        </w:rPr>
        <w:t>%。主要原因是单位</w:t>
      </w:r>
      <w:r>
        <w:rPr>
          <w:rFonts w:hint="eastAsia" w:ascii="Times New Roman" w:hAnsi="Times New Roman" w:cs="仿宋_GB2312"/>
          <w:color w:val="auto"/>
          <w:kern w:val="2"/>
          <w:sz w:val="32"/>
          <w:szCs w:val="32"/>
          <w:highlight w:val="none"/>
          <w:lang w:eastAsia="zh-CN"/>
        </w:rPr>
        <w:t>厉行节约</w:t>
      </w:r>
      <w:r>
        <w:rPr>
          <w:rFonts w:hint="eastAsia" w:ascii="Times New Roman" w:hAnsi="Times New Roman" w:eastAsia="仿宋_GB2312" w:cs="仿宋_GB2312"/>
          <w:color w:val="auto"/>
          <w:kern w:val="2"/>
          <w:sz w:val="32"/>
          <w:szCs w:val="32"/>
          <w:highlight w:val="none"/>
          <w:lang w:eastAsia="zh-CN"/>
        </w:rPr>
        <w:t>，缩减开支。其中：</w:t>
      </w:r>
    </w:p>
    <w:p w14:paraId="3009720A">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国内公务接待支出</w:t>
      </w:r>
      <w:r>
        <w:rPr>
          <w:rFonts w:hint="eastAsia" w:ascii="Times New Roman" w:hAnsi="Times New Roman" w:eastAsia="仿宋_GB2312" w:cs="仿宋_GB2312"/>
          <w:color w:val="auto"/>
          <w:kern w:val="2"/>
          <w:sz w:val="32"/>
          <w:szCs w:val="32"/>
          <w:highlight w:val="none"/>
          <w:lang w:val="en-US" w:eastAsia="zh-CN"/>
        </w:rPr>
        <w:t>1.56</w:t>
      </w:r>
      <w:r>
        <w:rPr>
          <w:rFonts w:hint="eastAsia" w:ascii="Times New Roman" w:hAnsi="Times New Roman" w:eastAsia="仿宋_GB2312" w:cs="仿宋_GB2312"/>
          <w:color w:val="auto"/>
          <w:kern w:val="2"/>
          <w:sz w:val="32"/>
          <w:szCs w:val="32"/>
          <w:highlight w:val="none"/>
          <w:lang w:eastAsia="zh-CN"/>
        </w:rPr>
        <w:t>万元，主要用于上级部门检查、调研、用工企业招工等的交通费、住宿费、用餐费等。国内公务接待</w:t>
      </w:r>
      <w:r>
        <w:rPr>
          <w:rFonts w:hint="eastAsia" w:ascii="Times New Roman" w:hAnsi="Times New Roman" w:eastAsia="仿宋_GB2312" w:cs="仿宋_GB2312"/>
          <w:color w:val="auto"/>
          <w:kern w:val="2"/>
          <w:sz w:val="32"/>
          <w:szCs w:val="32"/>
          <w:highlight w:val="none"/>
          <w:lang w:val="en-US" w:eastAsia="zh-CN"/>
        </w:rPr>
        <w:t>5</w:t>
      </w:r>
      <w:r>
        <w:rPr>
          <w:rFonts w:hint="eastAsia" w:ascii="Times New Roman" w:hAnsi="Times New Roman" w:eastAsia="仿宋_GB2312" w:cs="仿宋_GB2312"/>
          <w:color w:val="auto"/>
          <w:kern w:val="2"/>
          <w:sz w:val="32"/>
          <w:szCs w:val="32"/>
          <w:highlight w:val="none"/>
          <w:lang w:eastAsia="zh-CN"/>
        </w:rPr>
        <w:t>批次，</w:t>
      </w:r>
      <w:r>
        <w:rPr>
          <w:rFonts w:hint="eastAsia" w:ascii="Times New Roman" w:hAnsi="Times New Roman" w:eastAsia="仿宋_GB2312" w:cs="仿宋_GB2312"/>
          <w:color w:val="auto"/>
          <w:kern w:val="2"/>
          <w:sz w:val="32"/>
          <w:szCs w:val="32"/>
          <w:highlight w:val="none"/>
          <w:lang w:val="en-US" w:eastAsia="zh-CN"/>
        </w:rPr>
        <w:t>131</w:t>
      </w:r>
      <w:r>
        <w:rPr>
          <w:rFonts w:hint="eastAsia" w:ascii="Times New Roman" w:hAnsi="Times New Roman" w:eastAsia="仿宋_GB2312" w:cs="仿宋_GB2312"/>
          <w:color w:val="auto"/>
          <w:kern w:val="2"/>
          <w:sz w:val="32"/>
          <w:szCs w:val="32"/>
          <w:highlight w:val="none"/>
          <w:lang w:eastAsia="zh-CN"/>
        </w:rPr>
        <w:t>人次（不包括陪同人员），共计支出</w:t>
      </w:r>
      <w:r>
        <w:rPr>
          <w:rFonts w:hint="eastAsia" w:ascii="Times New Roman" w:hAnsi="Times New Roman" w:eastAsia="仿宋_GB2312" w:cs="仿宋_GB2312"/>
          <w:color w:val="auto"/>
          <w:kern w:val="2"/>
          <w:sz w:val="32"/>
          <w:szCs w:val="32"/>
          <w:highlight w:val="none"/>
          <w:lang w:val="en-US" w:eastAsia="zh-CN"/>
        </w:rPr>
        <w:t>1.56</w:t>
      </w:r>
      <w:r>
        <w:rPr>
          <w:rFonts w:hint="eastAsia" w:ascii="Times New Roman" w:hAnsi="Times New Roman" w:eastAsia="仿宋_GB2312" w:cs="仿宋_GB2312"/>
          <w:color w:val="auto"/>
          <w:kern w:val="2"/>
          <w:sz w:val="32"/>
          <w:szCs w:val="32"/>
          <w:highlight w:val="none"/>
          <w:lang w:eastAsia="zh-CN"/>
        </w:rPr>
        <w:t>万元，具体内容包括：用于上级部门检查、调研、用工企业招工等的用餐费，合计</w:t>
      </w:r>
      <w:r>
        <w:rPr>
          <w:rFonts w:hint="eastAsia" w:ascii="Times New Roman" w:hAnsi="Times New Roman" w:eastAsia="仿宋_GB2312" w:cs="仿宋_GB2312"/>
          <w:color w:val="auto"/>
          <w:kern w:val="2"/>
          <w:sz w:val="32"/>
          <w:szCs w:val="32"/>
          <w:highlight w:val="none"/>
          <w:lang w:val="en-US" w:eastAsia="zh-CN"/>
        </w:rPr>
        <w:t>1.56</w:t>
      </w:r>
      <w:r>
        <w:rPr>
          <w:rFonts w:hint="eastAsia" w:ascii="Times New Roman" w:hAnsi="Times New Roman" w:eastAsia="仿宋_GB2312" w:cs="仿宋_GB2312"/>
          <w:color w:val="auto"/>
          <w:kern w:val="2"/>
          <w:sz w:val="32"/>
          <w:szCs w:val="32"/>
          <w:highlight w:val="none"/>
          <w:lang w:eastAsia="zh-CN"/>
        </w:rPr>
        <w:t>万元。</w:t>
      </w:r>
    </w:p>
    <w:p w14:paraId="00881CCA">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外事接待支出0万元。外事接待0批次，0人次（不包括陪同人员），共计支出0万元。</w:t>
      </w:r>
      <w:bookmarkStart w:id="69" w:name="_Toc15377218"/>
      <w:bookmarkStart w:id="70" w:name="_Toc15396610"/>
    </w:p>
    <w:p w14:paraId="0C99B53F">
      <w:pPr>
        <w:spacing w:line="600" w:lineRule="exact"/>
        <w:ind w:firstLine="640"/>
        <w:outlineLvl w:val="1"/>
        <w:rPr>
          <w:rFonts w:hint="eastAsia" w:ascii="Times New Roman" w:hAnsi="Times New Roman" w:eastAsia="黑体"/>
          <w:color w:val="auto"/>
          <w:kern w:val="2"/>
          <w:sz w:val="32"/>
          <w:szCs w:val="32"/>
          <w:highlight w:val="none"/>
        </w:rPr>
      </w:pPr>
      <w:bookmarkStart w:id="71" w:name="_Toc21605"/>
      <w:r>
        <w:rPr>
          <w:rFonts w:hint="eastAsia" w:ascii="Times New Roman" w:hAnsi="Times New Roman" w:eastAsia="黑体"/>
          <w:color w:val="auto"/>
          <w:kern w:val="2"/>
          <w:sz w:val="32"/>
          <w:szCs w:val="32"/>
          <w:highlight w:val="none"/>
        </w:rPr>
        <w:t>八、政府性基金预算支出决算情况说明</w:t>
      </w:r>
      <w:bookmarkEnd w:id="69"/>
      <w:bookmarkEnd w:id="70"/>
      <w:bookmarkEnd w:id="71"/>
    </w:p>
    <w:p w14:paraId="0E8035F8">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bookmarkStart w:id="72" w:name="_Toc15377219"/>
      <w:bookmarkStart w:id="73" w:name="_Toc15396611"/>
      <w:r>
        <w:rPr>
          <w:rFonts w:hint="eastAsia" w:ascii="Times New Roman" w:hAnsi="Times New Roman" w:eastAsia="仿宋_GB2312" w:cs="仿宋_GB2312"/>
          <w:color w:val="auto"/>
          <w:kern w:val="2"/>
          <w:sz w:val="32"/>
          <w:szCs w:val="32"/>
          <w:highlight w:val="none"/>
          <w:lang w:eastAsia="zh-CN"/>
        </w:rPr>
        <w:t>2024年度政府性基金预算财政拨款支出</w:t>
      </w:r>
      <w:r>
        <w:rPr>
          <w:rFonts w:hint="eastAsia" w:ascii="Times New Roman" w:hAnsi="Times New Roman" w:eastAsia="仿宋_GB2312" w:cs="仿宋_GB2312"/>
          <w:color w:val="auto"/>
          <w:kern w:val="2"/>
          <w:sz w:val="32"/>
          <w:szCs w:val="32"/>
          <w:highlight w:val="none"/>
          <w:lang w:val="en-US" w:eastAsia="zh-CN"/>
        </w:rPr>
        <w:t>449.43</w:t>
      </w:r>
      <w:r>
        <w:rPr>
          <w:rFonts w:hint="eastAsia" w:ascii="Times New Roman" w:hAnsi="Times New Roman" w:eastAsia="仿宋_GB2312" w:cs="仿宋_GB2312"/>
          <w:color w:val="auto"/>
          <w:kern w:val="2"/>
          <w:sz w:val="32"/>
          <w:szCs w:val="32"/>
          <w:highlight w:val="none"/>
          <w:lang w:eastAsia="zh-CN"/>
        </w:rPr>
        <w:t>万元。</w:t>
      </w:r>
      <w:r>
        <w:rPr>
          <w:rFonts w:hint="eastAsia" w:ascii="Times New Roman" w:hAnsi="Times New Roman" w:eastAsia="仿宋_GB2312" w:cs="仿宋_GB2312"/>
          <w:color w:val="auto"/>
          <w:kern w:val="2"/>
          <w:sz w:val="32"/>
          <w:szCs w:val="32"/>
          <w:highlight w:val="none"/>
          <w:lang w:val="en-US" w:eastAsia="zh-CN"/>
        </w:rPr>
        <w:t>占本年支出合计的34.05%。与2023年度相比，政府性基金预算财政拨款支出增加429.48万元，增长2151.84*%。</w:t>
      </w:r>
    </w:p>
    <w:p w14:paraId="4168C0ED">
      <w:pPr>
        <w:numPr>
          <w:ilvl w:val="0"/>
          <w:numId w:val="5"/>
        </w:numPr>
        <w:spacing w:line="560" w:lineRule="exact"/>
        <w:ind w:firstLine="640"/>
        <w:outlineLvl w:val="1"/>
        <w:rPr>
          <w:rStyle w:val="197"/>
          <w:rFonts w:ascii="Times New Roman" w:hAnsi="Times New Roman" w:eastAsia="黑体"/>
          <w:b w:val="0"/>
          <w:i w:val="0"/>
        </w:rPr>
      </w:pPr>
      <w:bookmarkStart w:id="74" w:name="_Toc32114"/>
      <w:r>
        <w:rPr>
          <w:rStyle w:val="197"/>
          <w:rFonts w:ascii="Times New Roman" w:hAnsi="Times New Roman" w:eastAsia="黑体"/>
          <w:b w:val="0"/>
          <w:i w:val="0"/>
        </w:rPr>
        <w:t>国有资本经营预算支出决算情况说明</w:t>
      </w:r>
      <w:bookmarkEnd w:id="72"/>
      <w:bookmarkEnd w:id="73"/>
      <w:bookmarkEnd w:id="74"/>
    </w:p>
    <w:p w14:paraId="1BF5D7A3">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bookmarkStart w:id="75" w:name="_Toc15396612"/>
      <w:bookmarkStart w:id="76" w:name="_Toc15377221"/>
      <w:r>
        <w:rPr>
          <w:rFonts w:hint="eastAsia" w:ascii="Times New Roman" w:hAnsi="Times New Roman" w:eastAsia="仿宋_GB2312" w:cs="仿宋_GB2312"/>
          <w:color w:val="auto"/>
          <w:kern w:val="2"/>
          <w:sz w:val="32"/>
          <w:szCs w:val="32"/>
          <w:highlight w:val="none"/>
          <w:lang w:eastAsia="zh-CN"/>
        </w:rPr>
        <w:t>2024年度国有资本经营预算财政拨款支出0万元。</w:t>
      </w:r>
    </w:p>
    <w:p w14:paraId="553EFF42">
      <w:pPr>
        <w:numPr>
          <w:ilvl w:val="0"/>
          <w:numId w:val="5"/>
        </w:numPr>
        <w:spacing w:line="560" w:lineRule="exact"/>
        <w:ind w:firstLine="640"/>
        <w:outlineLvl w:val="1"/>
        <w:rPr>
          <w:rStyle w:val="197"/>
          <w:rFonts w:ascii="Times New Roman" w:hAnsi="Times New Roman" w:eastAsia="黑体"/>
          <w:b w:val="0"/>
          <w:i w:val="0"/>
        </w:rPr>
      </w:pPr>
      <w:bookmarkStart w:id="77" w:name="_Toc13293"/>
      <w:r>
        <w:rPr>
          <w:rStyle w:val="197"/>
          <w:rFonts w:ascii="Times New Roman" w:hAnsi="Times New Roman" w:eastAsia="黑体"/>
          <w:b w:val="0"/>
          <w:i w:val="0"/>
        </w:rPr>
        <w:t>其他重要事项的情况说明</w:t>
      </w:r>
      <w:bookmarkEnd w:id="75"/>
      <w:bookmarkEnd w:id="76"/>
      <w:bookmarkEnd w:id="77"/>
    </w:p>
    <w:p w14:paraId="2830F273">
      <w:pPr>
        <w:spacing w:line="560" w:lineRule="exact"/>
        <w:ind w:firstLine="632"/>
        <w:jc w:val="left"/>
        <w:outlineLvl w:val="2"/>
        <w:rPr>
          <w:rFonts w:eastAsia="楷体_GB2312"/>
          <w:b/>
          <w:bCs/>
          <w:szCs w:val="32"/>
        </w:rPr>
      </w:pPr>
      <w:bookmarkStart w:id="78" w:name="_Toc28998"/>
      <w:bookmarkStart w:id="79" w:name="_Toc15377222"/>
      <w:r>
        <w:rPr>
          <w:rFonts w:eastAsia="楷体_GB2312"/>
          <w:b/>
          <w:bCs/>
          <w:szCs w:val="32"/>
        </w:rPr>
        <w:t>（一）机关运行经费支出情况</w:t>
      </w:r>
      <w:bookmarkEnd w:id="78"/>
      <w:bookmarkEnd w:id="79"/>
    </w:p>
    <w:p w14:paraId="67FA77F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bookmarkStart w:id="80" w:name="_Toc15377223"/>
      <w:r>
        <w:rPr>
          <w:rFonts w:hint="eastAsia" w:ascii="Times New Roman" w:hAnsi="Times New Roman" w:eastAsia="仿宋_GB2312" w:cs="仿宋_GB2312"/>
          <w:color w:val="auto"/>
          <w:kern w:val="2"/>
          <w:sz w:val="32"/>
          <w:szCs w:val="32"/>
          <w:highlight w:val="none"/>
          <w:lang w:val="en-US" w:eastAsia="zh-CN" w:bidi="ar-SA"/>
        </w:rPr>
        <w:t>2024年度，遂宁市安居区人力资源和社会保障局机关运行经费支出67.38万元。比2023年度减少12.04万元，下降15.16%。主要原因是单位人员退休及调出，其次单位厉行节约，缩减开支。</w:t>
      </w:r>
    </w:p>
    <w:p w14:paraId="4F5E19F1">
      <w:pPr>
        <w:spacing w:line="560" w:lineRule="exact"/>
        <w:ind w:firstLine="632"/>
        <w:jc w:val="left"/>
        <w:outlineLvl w:val="2"/>
        <w:rPr>
          <w:rFonts w:eastAsia="楷体_GB2312"/>
          <w:b/>
          <w:bCs/>
          <w:szCs w:val="32"/>
        </w:rPr>
      </w:pPr>
      <w:bookmarkStart w:id="81" w:name="_Toc30155"/>
      <w:r>
        <w:rPr>
          <w:rFonts w:eastAsia="楷体_GB2312"/>
          <w:b/>
          <w:bCs/>
          <w:szCs w:val="32"/>
        </w:rPr>
        <w:t>（二）政府采购支出情况</w:t>
      </w:r>
      <w:bookmarkEnd w:id="80"/>
      <w:bookmarkEnd w:id="81"/>
    </w:p>
    <w:p w14:paraId="1407C2F4">
      <w:pPr>
        <w:spacing w:line="600" w:lineRule="exact"/>
        <w:ind w:firstLine="640" w:firstLineChars="200"/>
        <w:outlineLvl w:val="1"/>
        <w:rPr>
          <w:szCs w:val="32"/>
        </w:rPr>
      </w:pPr>
      <w:r>
        <w:rPr>
          <w:rFonts w:hint="eastAsia" w:ascii="Times New Roman" w:hAnsi="Times New Roman" w:eastAsia="仿宋_GB2312" w:cs="仿宋_GB2312"/>
          <w:color w:val="auto"/>
          <w:kern w:val="2"/>
          <w:sz w:val="32"/>
          <w:szCs w:val="32"/>
          <w:highlight w:val="none"/>
          <w:lang w:eastAsia="zh-CN"/>
        </w:rPr>
        <w:t>2024年度，遂宁市安居区</w:t>
      </w:r>
      <w:r>
        <w:rPr>
          <w:rFonts w:hint="eastAsia" w:ascii="Times New Roman" w:hAnsi="Times New Roman" w:eastAsia="仿宋_GB2312" w:cs="仿宋_GB2312"/>
          <w:color w:val="auto"/>
          <w:kern w:val="2"/>
          <w:sz w:val="32"/>
          <w:szCs w:val="32"/>
          <w:highlight w:val="none"/>
          <w:lang w:val="en-US" w:eastAsia="zh-CN"/>
        </w:rPr>
        <w:t>人力资源和社会保障局</w:t>
      </w:r>
      <w:r>
        <w:rPr>
          <w:rFonts w:hint="eastAsia" w:ascii="Times New Roman" w:hAnsi="Times New Roman" w:eastAsia="仿宋_GB2312" w:cs="仿宋_GB2312"/>
          <w:color w:val="auto"/>
          <w:kern w:val="2"/>
          <w:sz w:val="32"/>
          <w:szCs w:val="32"/>
          <w:highlight w:val="none"/>
          <w:lang w:eastAsia="zh-CN"/>
        </w:rPr>
        <w:t>政府采购支出总额</w:t>
      </w:r>
      <w:r>
        <w:rPr>
          <w:rFonts w:hint="eastAsia" w:ascii="Times New Roman" w:hAnsi="Times New Roman" w:eastAsia="仿宋_GB2312" w:cs="仿宋_GB2312"/>
          <w:color w:val="auto"/>
          <w:kern w:val="2"/>
          <w:sz w:val="32"/>
          <w:szCs w:val="32"/>
          <w:highlight w:val="none"/>
          <w:lang w:val="en-US" w:eastAsia="zh-CN"/>
        </w:rPr>
        <w:t>5.12</w:t>
      </w:r>
      <w:r>
        <w:rPr>
          <w:rFonts w:hint="eastAsia" w:ascii="Times New Roman" w:hAnsi="Times New Roman" w:eastAsia="仿宋_GB2312" w:cs="仿宋_GB2312"/>
          <w:color w:val="auto"/>
          <w:kern w:val="2"/>
          <w:sz w:val="32"/>
          <w:szCs w:val="32"/>
          <w:highlight w:val="none"/>
          <w:lang w:eastAsia="zh-CN"/>
        </w:rPr>
        <w:t>万元，其中：政府采购货物支出</w:t>
      </w:r>
      <w:r>
        <w:rPr>
          <w:rFonts w:hint="eastAsia" w:ascii="Times New Roman" w:hAnsi="Times New Roman" w:eastAsia="仿宋_GB2312" w:cs="仿宋_GB2312"/>
          <w:color w:val="auto"/>
          <w:kern w:val="2"/>
          <w:sz w:val="32"/>
          <w:szCs w:val="32"/>
          <w:highlight w:val="none"/>
          <w:lang w:val="en-US" w:eastAsia="zh-CN"/>
        </w:rPr>
        <w:t>5.12</w:t>
      </w:r>
      <w:r>
        <w:rPr>
          <w:rFonts w:hint="eastAsia" w:ascii="Times New Roman" w:hAnsi="Times New Roman" w:eastAsia="仿宋_GB2312" w:cs="仿宋_GB2312"/>
          <w:color w:val="auto"/>
          <w:kern w:val="2"/>
          <w:sz w:val="32"/>
          <w:szCs w:val="32"/>
          <w:highlight w:val="none"/>
          <w:lang w:eastAsia="zh-CN"/>
        </w:rPr>
        <w:t>万元、政府采购工程支出0万元、政府采购服务支出0万元。授予中小企业合同金额0万元，占政府采购支出总额的0%，其中：授予小微企业合同金额0万元，占政府采购支出总额的0%。</w:t>
      </w:r>
    </w:p>
    <w:p w14:paraId="2147E283">
      <w:pPr>
        <w:spacing w:line="560" w:lineRule="exact"/>
        <w:ind w:firstLine="632"/>
        <w:jc w:val="left"/>
        <w:outlineLvl w:val="2"/>
        <w:rPr>
          <w:rFonts w:eastAsia="楷体_GB2312"/>
          <w:b/>
          <w:bCs/>
          <w:szCs w:val="32"/>
        </w:rPr>
      </w:pPr>
      <w:bookmarkStart w:id="82" w:name="_Toc15377224"/>
      <w:bookmarkStart w:id="83" w:name="_Toc21952"/>
      <w:r>
        <w:rPr>
          <w:rFonts w:eastAsia="楷体_GB2312"/>
          <w:b/>
          <w:bCs/>
          <w:szCs w:val="32"/>
        </w:rPr>
        <w:t>（三）国有资产占有使用情况</w:t>
      </w:r>
      <w:bookmarkEnd w:id="82"/>
      <w:bookmarkEnd w:id="83"/>
    </w:p>
    <w:p w14:paraId="083340F1">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rPr>
        <w:t>截至2024年12月31日，遂宁市安居区人力资源和社会保障局共有车辆0辆，其中：主要领导干部用车0辆、机要通信用车0辆、应急保障用车0辆、其他用车0辆，其他用车主要是用于保障单位工作人员执行公务活动等工作。单价100万元以上设备（不含车辆）0台（套）。</w:t>
      </w:r>
    </w:p>
    <w:p w14:paraId="5ED8090E">
      <w:pPr>
        <w:spacing w:line="560" w:lineRule="exact"/>
        <w:ind w:firstLine="632"/>
        <w:jc w:val="left"/>
        <w:outlineLvl w:val="2"/>
        <w:rPr>
          <w:rFonts w:eastAsia="楷体_GB2312"/>
          <w:b/>
          <w:bCs/>
          <w:szCs w:val="32"/>
        </w:rPr>
      </w:pPr>
      <w:bookmarkStart w:id="84" w:name="_Toc17351"/>
      <w:r>
        <w:rPr>
          <w:rFonts w:eastAsia="楷体_GB2312"/>
          <w:b/>
          <w:bCs/>
          <w:szCs w:val="32"/>
        </w:rPr>
        <w:t>（四）预算绩效管理情况</w:t>
      </w:r>
      <w:bookmarkEnd w:id="84"/>
    </w:p>
    <w:p w14:paraId="19FA83D7">
      <w:pPr>
        <w:pStyle w:val="220"/>
        <w:autoSpaceDE w:val="0"/>
        <w:autoSpaceDN w:val="0"/>
        <w:adjustRightInd w:val="0"/>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根据预算绩效管理要求，本部门在2024年度预算编制阶段，组织对社保卡“一卡通”网络服务费、人事档案管理费、人事考试考务费、基层就业和社会保障服务设施建设项目等7个项目开展了预算事前绩效评估，对7个项目编制了绩效目标，预算执行过程中，选取7个项目开展绩效监控。组织对2024年度一般公共预算、政府性基金预算、国有资本经营预算、社会保险基金预算以及资本资产、债券资金等全面开展绩效自评，形成人力资源和社会保障</w:t>
      </w:r>
      <w:bookmarkStart w:id="119" w:name="_GoBack"/>
      <w:bookmarkEnd w:id="119"/>
      <w:r>
        <w:rPr>
          <w:rFonts w:hint="eastAsia" w:ascii="Times New Roman" w:hAnsi="Times New Roman" w:eastAsia="仿宋_GB2312" w:cs="仿宋_GB2312"/>
          <w:color w:val="auto"/>
          <w:kern w:val="2"/>
          <w:sz w:val="32"/>
          <w:szCs w:val="32"/>
          <w:highlight w:val="none"/>
          <w:lang w:val="en-US" w:eastAsia="zh-CN"/>
        </w:rPr>
        <w:t>部门整体（含部门预算项目）绩效自评报告、社保卡“一卡通”网络服务费、人事档案管理费、人事考试考务费、基层就业和社会保障服务设施建设项目等专项预算项目绩效自评报告，其中，人力资源和社会保障部门整体（含部门预算项目）绩效自评得分为97分。一是预算完成情况。我局上年结转0万元，2024年年初预算778.06万元，年中调整预算数为541.93万元，年末结余0万元。二是预算管理。我局严格按照《中华人民共和国预算法》、省委“两包一转”（保运转、保民生、转变支持产业发展方式）的财政工作方针编制预算。将我局全部收支纳入预算管理，没有隐匿或转移收入现象，没有超预算或无预算安排支出现象。执行管理情况方面。</w:t>
      </w:r>
      <w:r>
        <w:rPr>
          <w:rFonts w:hint="eastAsia" w:ascii="Times New Roman" w:hAnsi="Times New Roman" w:eastAsia="仿宋_GB2312" w:cs="仿宋_GB2312"/>
          <w:color w:val="auto"/>
          <w:kern w:val="2"/>
          <w:sz w:val="32"/>
          <w:szCs w:val="32"/>
          <w:highlight w:val="none"/>
          <w:lang w:val="en-US" w:eastAsia="zh-CN"/>
        </w:rPr>
        <w:tab/>
      </w:r>
      <w:r>
        <w:rPr>
          <w:rFonts w:hint="eastAsia" w:ascii="Times New Roman" w:hAnsi="Times New Roman" w:eastAsia="仿宋_GB2312" w:cs="仿宋_GB2312"/>
          <w:color w:val="auto"/>
          <w:kern w:val="2"/>
          <w:sz w:val="32"/>
          <w:szCs w:val="32"/>
          <w:highlight w:val="none"/>
          <w:lang w:val="en-US" w:eastAsia="zh-CN"/>
        </w:rPr>
        <w:t>一是“三公”经费执行情况。2024年“三公”经费预算数为3.2万元，2023年“三公”经费预算数为4万元。与2023年减少0.8万元。二是政府采购执行情况。2024年政府采购预算数为0万元，实际政府采购金额为0万元，政府采购执行率为100 %。综合管理情况方面。一是管理制度健全性。为规范机关财务管理，我局建立了合法合规、较为完整的、具有很强的可操作性财务管理制度。各下属单位都建立了内控制度管理。坚持经费预算科学化、精细化，执行控制规范化、责任化、监督检查常态化、同步化。二是资金使用合规性。资金的支付符合国家财经法规和财务管理制度规定，以及有关专项资金管理办法的规定；资金拨付有完整的审批程序和手续；经费支出符合部门预算批复的用途；资金使用除部门支出预算不足有调剂使用外，无截留、挪用、虚列支出等情况。三是预决算信息公开性。部门预决算信息按规定内容，在规定时间内予以公开。基础数据信息和会计信息资料真实、完整、准确。人才发展资金，绩效自评得分为100分，主要为持续深化人才体制机制改革，加强专业技术人才队伍建设，规范事业单位人事管理，全年力争引进各类高层次紧缺人才，争创“博士工作站”和“大师工作室”建立。社保公共服务能力建设资金，绩效自评得分为100分，主要为加强标准化建设，通过专业培训提升服务供给能力，积极引进先进的信息化技术，通过专业培训、经验交流等方式提高工作人员的业务素质和服务意识。基层就业和社会保障中心标准化建设项目，绩效自评得分为100分，主要用于2021年初，对全区前期已规划的基层平台建设点位配备电脑及打印机的购置。基层就业和社会保障服务设施建设项目，绩效自评得分为100分，主要用于</w:t>
      </w:r>
      <w:r>
        <w:rPr>
          <w:rFonts w:hint="eastAsia" w:ascii="Times New Roman" w:hAnsi="Times New Roman" w:eastAsia="仿宋_GB2312" w:cs="仿宋_GB2312"/>
          <w:color w:val="auto"/>
          <w:kern w:val="2"/>
          <w:sz w:val="32"/>
          <w:szCs w:val="32"/>
          <w:highlight w:val="none"/>
          <w:lang w:val="zh-CN" w:eastAsia="zh-CN"/>
        </w:rPr>
        <w:t>建立区级就业和社会保障服务中心1处4000㎡</w:t>
      </w:r>
      <w:r>
        <w:rPr>
          <w:rFonts w:hint="eastAsia" w:ascii="Times New Roman" w:hAnsi="Times New Roman" w:eastAsia="仿宋_GB2312" w:cs="仿宋_GB2312"/>
          <w:color w:val="auto"/>
          <w:kern w:val="2"/>
          <w:sz w:val="32"/>
          <w:szCs w:val="32"/>
          <w:highlight w:val="none"/>
          <w:lang w:val="en-US" w:eastAsia="zh-CN"/>
        </w:rPr>
        <w:t>。人事档案管理费，绩效自评得分为100分，主要用于全区每年新增人事档案进行数字化整理，档案室安装监控设备，以及档案接收和转递等方面的工作。人事考试考务费，绩效自评得分为100分，</w:t>
      </w:r>
      <w:r>
        <w:rPr>
          <w:rFonts w:hint="eastAsia" w:ascii="Times New Roman" w:hAnsi="Times New Roman" w:eastAsia="仿宋_GB2312" w:cs="仿宋_GB2312"/>
          <w:color w:val="auto"/>
          <w:kern w:val="2"/>
          <w:sz w:val="32"/>
          <w:szCs w:val="32"/>
          <w:highlight w:val="none"/>
          <w:lang w:val="zh-CN" w:eastAsia="zh-CN"/>
        </w:rPr>
        <w:t>按照人事招聘考聘相关要求，</w:t>
      </w:r>
      <w:r>
        <w:rPr>
          <w:rFonts w:hint="eastAsia" w:ascii="Times New Roman" w:hAnsi="Times New Roman" w:eastAsia="仿宋_GB2312" w:cs="仿宋_GB2312"/>
          <w:color w:val="auto"/>
          <w:kern w:val="2"/>
          <w:sz w:val="32"/>
          <w:szCs w:val="32"/>
          <w:highlight w:val="none"/>
          <w:lang w:val="en-US" w:eastAsia="zh-CN"/>
        </w:rPr>
        <w:t>2024年，通过公开考试招聘引进事业人员46人；通过干部调动的方式引进区外优秀事业干部10人。社保卡“一卡通”网络服务费，绩效自评得分为100分，主要用于全区社保卡“一卡通”网络服务费等方面的工作。</w:t>
      </w:r>
    </w:p>
    <w:p w14:paraId="0C8BBAE4">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p>
    <w:p w14:paraId="145B1797">
      <w:pPr>
        <w:spacing w:line="600" w:lineRule="exact"/>
        <w:jc w:val="center"/>
        <w:outlineLvl w:val="0"/>
        <w:rPr>
          <w:rFonts w:eastAsia="方正小标宋简体"/>
          <w:sz w:val="44"/>
          <w:szCs w:val="44"/>
        </w:rPr>
      </w:pPr>
      <w:bookmarkStart w:id="85" w:name="_Toc3245"/>
      <w:bookmarkStart w:id="86" w:name="_Toc15377225"/>
      <w:bookmarkStart w:id="87" w:name="_Toc15396613"/>
    </w:p>
    <w:p w14:paraId="331B2CBA">
      <w:pPr>
        <w:spacing w:line="600" w:lineRule="exact"/>
        <w:jc w:val="both"/>
        <w:outlineLvl w:val="0"/>
        <w:rPr>
          <w:rFonts w:eastAsia="方正小标宋简体"/>
          <w:sz w:val="44"/>
          <w:szCs w:val="44"/>
        </w:rPr>
      </w:pPr>
    </w:p>
    <w:p w14:paraId="267A1491">
      <w:pPr>
        <w:spacing w:line="600" w:lineRule="exact"/>
        <w:jc w:val="center"/>
        <w:outlineLvl w:val="0"/>
        <w:rPr>
          <w:rStyle w:val="196"/>
          <w:rFonts w:eastAsia="黑体"/>
          <w:b w:val="0"/>
          <w:bCs w:val="0"/>
        </w:rPr>
      </w:pPr>
      <w:r>
        <w:rPr>
          <w:rFonts w:eastAsia="方正小标宋简体"/>
          <w:sz w:val="44"/>
          <w:szCs w:val="44"/>
        </w:rPr>
        <w:t>第三部分 名</w:t>
      </w:r>
      <w:r>
        <w:rPr>
          <w:rStyle w:val="196"/>
          <w:rFonts w:eastAsia="方正小标宋简体"/>
          <w:b w:val="0"/>
          <w:bCs w:val="0"/>
        </w:rPr>
        <w:t>词解释</w:t>
      </w:r>
      <w:bookmarkEnd w:id="85"/>
      <w:bookmarkEnd w:id="86"/>
      <w:bookmarkEnd w:id="87"/>
    </w:p>
    <w:p w14:paraId="7E6C0BA5">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p>
    <w:p w14:paraId="28B22D2F">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财政拨款收入：指单位从同级财政部门取得的财政预算资金。</w:t>
      </w:r>
    </w:p>
    <w:p w14:paraId="12F16696">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2.使用非财政拨款结余（含专用结余）：指事业单位使用以前年度积累的非财政拨款结余弥补当年收支差额的金额。 </w:t>
      </w:r>
    </w:p>
    <w:p w14:paraId="05DD0A20">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3.年初结转和结余：指以前年度尚未完成、结转到本年按有关规定继续使用的资金。 </w:t>
      </w:r>
    </w:p>
    <w:p w14:paraId="16A5B993">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4.结余分配：指事业单位按照会计制度规定缴纳的所得税、提取的专用结余以及转入非财政拨款结余的金额等。</w:t>
      </w:r>
    </w:p>
    <w:p w14:paraId="5D08EC29">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5.年末结转和结余：指单位按有关规定结转到下年或以后年度继续使用的资金。</w:t>
      </w:r>
    </w:p>
    <w:p w14:paraId="2709347C">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6.一般公共服务支出（类）其他一般公共服务支出（款）其他一般公共服务支出（项）：指除事业运行、机关服务、行政运行、一般行政管理事务等以外的其他一般公共服务支出。</w:t>
      </w:r>
    </w:p>
    <w:p w14:paraId="223EA0E8">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7.社会保障和就业（类）人力资源和社会保障管理事务（款）行政运行（项）：指行政单位（包括实行公务员管理的事业单位）的基本支出。</w:t>
      </w:r>
    </w:p>
    <w:p w14:paraId="5EF79DB3">
      <w:pPr>
        <w:spacing w:line="600" w:lineRule="exact"/>
        <w:ind w:firstLine="640" w:firstLineChars="200"/>
        <w:outlineLvl w:val="1"/>
        <w:rPr>
          <w:rFonts w:hint="default"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8.社会保障和就业（类）人力资源和社会保障管理事务（款）信息化建设（项）：指人力资源和社会保障部门用于信息化建设、运行维护和数据分析等方面的支出、如金保工程、社会保障卡建设和运行维护、人力资源市场信息化等支出。</w:t>
      </w:r>
    </w:p>
    <w:p w14:paraId="3C137956">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9.社会保障和就业（类）人力资源和社会保障管理事务（款）事业运行（项）：指事业单位的基本支出，不包括行政单位（包括实行公务员管理的事业单位）后勤服务中心、医务室等附属事业单位。</w:t>
      </w:r>
    </w:p>
    <w:p w14:paraId="460F374B">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10.社会保障和就业（类）人力资源和社会保障管理事务（款）其他人力资源和社会保障管理事务支出（项）：指除了上述项目以外其他用于社会保障和就业方面的支出。</w:t>
      </w:r>
    </w:p>
    <w:p w14:paraId="2BB75A35">
      <w:pPr>
        <w:spacing w:line="600" w:lineRule="exact"/>
        <w:ind w:firstLine="640" w:firstLineChars="200"/>
        <w:outlineLvl w:val="1"/>
        <w:rPr>
          <w:rFonts w:hint="default"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11.社会保障和就业（类）行政事业单位养老支出（款）行政单位离退休（项）：指行政单位（包括实行公务员管理的事业单位）开支的离退休经费。</w:t>
      </w:r>
    </w:p>
    <w:p w14:paraId="21C96BB1">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12.社会保障和就业（类）行政事业单位养老支出（款）机关事业单位基本养老保险缴费支出（项）：指机关事业单位实施养老保险制度由单位缴纳的基本养老保险费支出。</w:t>
      </w:r>
    </w:p>
    <w:p w14:paraId="793F30C6">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13.社会保障和就业支出（类）行政事业单位养老支出（款）其他社会保障和就业支出（项）：指除上述项目以外其他用于行政事业单位养老方面的支出。</w:t>
      </w:r>
    </w:p>
    <w:p w14:paraId="14C68772">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ab/>
      </w:r>
      <w:r>
        <w:rPr>
          <w:rFonts w:hint="eastAsia" w:ascii="Times New Roman" w:hAnsi="Times New Roman" w:eastAsia="仿宋_GB2312" w:cs="仿宋_GB2312"/>
          <w:color w:val="auto"/>
          <w:kern w:val="2"/>
          <w:sz w:val="32"/>
          <w:szCs w:val="32"/>
          <w:highlight w:val="none"/>
          <w:lang w:val="en-US" w:eastAsia="zh-CN"/>
        </w:rPr>
        <w:t xml:space="preserve"> 14.社会保障和就业支出（类）就业补助（款）其他社会保障和就业支出（项）：指除就业创业服务补贴、职业培训补贴、社会保险补贴、公益性岗位补贴、职业技能鉴定补贴、就业见习补贴、高技能人才培养补助、促进创业补贴以外按规定确定的其他用于促进就业的补助支出。</w:t>
      </w:r>
    </w:p>
    <w:p w14:paraId="602ACA10">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15.社会保障和就业支出（类）其他社会保障和就业支出（款）其他社会保障和就业支出（项）：指除上述项目以外其他用于社会保障和就业方面的支出。</w:t>
      </w:r>
    </w:p>
    <w:p w14:paraId="175522E9">
      <w:pPr>
        <w:spacing w:line="600" w:lineRule="exact"/>
        <w:ind w:firstLine="640" w:firstLineChars="200"/>
        <w:outlineLvl w:val="1"/>
        <w:rPr>
          <w:rFonts w:hint="default"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16.卫生健康支出（类）行政事业单位医疗（款）行政单位医疗（项）：指财政部门安排的行政单位基本医疗保险缴费经费，未参加医疗保险的行政单位的公费医疗经费，按国家规定享受离休人员、红军老战士待遇人员的医疗经费。</w:t>
      </w:r>
    </w:p>
    <w:p w14:paraId="791457A4">
      <w:pPr>
        <w:spacing w:line="600" w:lineRule="exact"/>
        <w:ind w:firstLine="640" w:firstLineChars="200"/>
        <w:outlineLvl w:val="1"/>
        <w:rPr>
          <w:rFonts w:hint="default"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17.卫生健康支出（类）行政事业单位医疗（款）事业单位医疗（项）：指财政部门安排的事业单位基本医疗保险缴费经费，未参加医疗保险的事业单位的公费医疗经费，按国家规定享受离休人员待遇的医疗经费。</w:t>
      </w:r>
    </w:p>
    <w:p w14:paraId="0A580DBC">
      <w:pPr>
        <w:spacing w:line="600" w:lineRule="exact"/>
        <w:ind w:firstLine="640" w:firstLineChars="200"/>
        <w:outlineLvl w:val="1"/>
        <w:rPr>
          <w:rFonts w:hint="default"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18</w:t>
      </w:r>
      <w:r>
        <w:rPr>
          <w:rFonts w:hint="default" w:ascii="Times New Roman" w:hAnsi="Times New Roman" w:eastAsia="仿宋_GB2312" w:cs="仿宋_GB2312"/>
          <w:color w:val="auto"/>
          <w:kern w:val="2"/>
          <w:sz w:val="32"/>
          <w:szCs w:val="32"/>
          <w:highlight w:val="none"/>
          <w:lang w:val="en-US" w:eastAsia="zh-CN"/>
        </w:rPr>
        <w:t>.卫生健康</w:t>
      </w:r>
      <w:r>
        <w:rPr>
          <w:rFonts w:hint="eastAsia" w:ascii="Times New Roman" w:hAnsi="Times New Roman" w:eastAsia="仿宋_GB2312" w:cs="仿宋_GB2312"/>
          <w:color w:val="auto"/>
          <w:kern w:val="2"/>
          <w:sz w:val="32"/>
          <w:szCs w:val="32"/>
          <w:highlight w:val="none"/>
          <w:lang w:val="en-US" w:eastAsia="zh-CN"/>
        </w:rPr>
        <w:t>（类</w:t>
      </w:r>
      <w:r>
        <w:rPr>
          <w:rFonts w:hint="default" w:ascii="Times New Roman" w:hAnsi="Times New Roman"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行政事业单位医疗（款</w:t>
      </w:r>
      <w:r>
        <w:rPr>
          <w:rFonts w:hint="default" w:ascii="Times New Roman" w:hAnsi="Times New Roman"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公务员医疗补助（项）</w:t>
      </w:r>
      <w:r>
        <w:rPr>
          <w:rFonts w:hint="default" w:ascii="Times New Roman" w:hAnsi="Times New Roman" w:eastAsia="仿宋_GB2312" w:cs="仿宋_GB2312"/>
          <w:color w:val="auto"/>
          <w:kern w:val="2"/>
          <w:sz w:val="32"/>
          <w:szCs w:val="32"/>
          <w:highlight w:val="none"/>
          <w:lang w:val="en-US" w:eastAsia="zh-CN"/>
        </w:rPr>
        <w:t>：指</w:t>
      </w:r>
      <w:r>
        <w:rPr>
          <w:rFonts w:hint="eastAsia" w:ascii="Times New Roman" w:hAnsi="Times New Roman" w:eastAsia="仿宋_GB2312" w:cs="仿宋_GB2312"/>
          <w:color w:val="auto"/>
          <w:kern w:val="2"/>
          <w:sz w:val="32"/>
          <w:szCs w:val="32"/>
          <w:highlight w:val="none"/>
          <w:lang w:val="en-US" w:eastAsia="zh-CN"/>
        </w:rPr>
        <w:t>财政部门安排的公务员医疗补助经费。</w:t>
      </w:r>
    </w:p>
    <w:p w14:paraId="727E1DFC">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19.住房保障支出（类）住房改革支出（款）住房公积金（项）：指行政事业单位按人力资源和社会保障部、财政部规定的基本工资和津贴补贴以及规定比例为职工缴纳的住房公积金。</w:t>
      </w:r>
    </w:p>
    <w:p w14:paraId="7BEB9210">
      <w:pPr>
        <w:spacing w:line="600" w:lineRule="exact"/>
        <w:ind w:firstLine="640" w:firstLineChars="200"/>
        <w:outlineLvl w:val="1"/>
        <w:rPr>
          <w:rFonts w:hint="default"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w:t>
      </w:r>
      <w:r>
        <w:rPr>
          <w:rFonts w:hint="default" w:ascii="Times New Roman" w:hAnsi="Times New Roman" w:eastAsia="仿宋_GB2312" w:cs="仿宋_GB2312"/>
          <w:color w:val="auto"/>
          <w:kern w:val="2"/>
          <w:sz w:val="32"/>
          <w:szCs w:val="32"/>
          <w:highlight w:val="none"/>
          <w:lang w:val="en-US" w:eastAsia="zh-CN"/>
        </w:rPr>
        <w:t>基本支出：指为保障机构正常运转、完成日常工作任务而发生的人员支出和公用支出。</w:t>
      </w:r>
    </w:p>
    <w:p w14:paraId="7FD90984">
      <w:pPr>
        <w:spacing w:line="600" w:lineRule="exact"/>
        <w:ind w:firstLine="640" w:firstLineChars="200"/>
        <w:outlineLvl w:val="1"/>
        <w:rPr>
          <w:rFonts w:hint="default"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21</w:t>
      </w:r>
      <w:r>
        <w:rPr>
          <w:rFonts w:hint="default" w:ascii="Times New Roman" w:hAnsi="Times New Roman" w:eastAsia="仿宋_GB2312" w:cs="仿宋_GB2312"/>
          <w:color w:val="auto"/>
          <w:kern w:val="2"/>
          <w:sz w:val="32"/>
          <w:szCs w:val="32"/>
          <w:highlight w:val="none"/>
          <w:lang w:val="en-US" w:eastAsia="zh-CN"/>
        </w:rPr>
        <w:t xml:space="preserve">.项目支出：指在基本支出之外为完成特定行政任务和事业发展目标所发生的支出。 </w:t>
      </w:r>
    </w:p>
    <w:p w14:paraId="496B1AE1">
      <w:pPr>
        <w:spacing w:line="600" w:lineRule="exact"/>
        <w:ind w:firstLine="640" w:firstLineChars="200"/>
        <w:outlineLvl w:val="1"/>
        <w:rPr>
          <w:rFonts w:hint="default"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22</w:t>
      </w:r>
      <w:r>
        <w:rPr>
          <w:rFonts w:hint="default" w:ascii="Times New Roman" w:hAnsi="Times New Roman" w:eastAsia="仿宋_GB2312" w:cs="仿宋_GB2312"/>
          <w:color w:val="auto"/>
          <w:kern w:val="2"/>
          <w:sz w:val="32"/>
          <w:szCs w:val="32"/>
          <w:highlight w:val="none"/>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718AA6D">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23.</w:t>
      </w:r>
      <w:r>
        <w:rPr>
          <w:rFonts w:hint="default" w:ascii="Times New Roman" w:hAnsi="Times New Roman" w:eastAsia="仿宋_GB2312" w:cs="仿宋_GB2312"/>
          <w:color w:val="auto"/>
          <w:kern w:val="2"/>
          <w:sz w:val="32"/>
          <w:szCs w:val="32"/>
          <w:highlight w:val="none"/>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rPr>
        <w:t>。</w:t>
      </w:r>
    </w:p>
    <w:p w14:paraId="1048427D">
      <w:pPr>
        <w:pStyle w:val="220"/>
        <w:spacing w:line="560" w:lineRule="exact"/>
        <w:ind w:firstLine="632"/>
        <w:rPr>
          <w:rFonts w:ascii="Times New Roman" w:hAnsi="Times New Roman" w:eastAsia="仿宋_GB2312" w:cs="Times New Roman"/>
          <w:sz w:val="32"/>
          <w:szCs w:val="32"/>
        </w:rPr>
      </w:pPr>
    </w:p>
    <w:p w14:paraId="277C9F70">
      <w:pPr>
        <w:spacing w:line="600" w:lineRule="exact"/>
        <w:jc w:val="center"/>
        <w:outlineLvl w:val="0"/>
        <w:rPr>
          <w:rFonts w:eastAsia="方正小标宋简体"/>
          <w:sz w:val="44"/>
          <w:szCs w:val="44"/>
        </w:rPr>
      </w:pPr>
      <w:bookmarkStart w:id="88" w:name="_Toc15396614"/>
      <w:bookmarkStart w:id="89" w:name="_Toc766"/>
      <w:bookmarkStart w:id="90" w:name="_Toc15377226"/>
    </w:p>
    <w:p w14:paraId="4217E219">
      <w:pPr>
        <w:spacing w:line="600" w:lineRule="exact"/>
        <w:jc w:val="center"/>
        <w:outlineLvl w:val="0"/>
        <w:rPr>
          <w:rFonts w:eastAsia="方正小标宋简体"/>
          <w:sz w:val="44"/>
          <w:szCs w:val="44"/>
        </w:rPr>
      </w:pPr>
    </w:p>
    <w:p w14:paraId="00495275">
      <w:pPr>
        <w:spacing w:line="600" w:lineRule="exact"/>
        <w:jc w:val="center"/>
        <w:outlineLvl w:val="0"/>
        <w:rPr>
          <w:rFonts w:eastAsia="方正小标宋简体"/>
          <w:sz w:val="44"/>
          <w:szCs w:val="44"/>
        </w:rPr>
      </w:pPr>
    </w:p>
    <w:p w14:paraId="0910CA64">
      <w:pPr>
        <w:spacing w:line="600" w:lineRule="exact"/>
        <w:jc w:val="center"/>
        <w:outlineLvl w:val="0"/>
        <w:rPr>
          <w:rFonts w:eastAsia="方正小标宋简体"/>
          <w:sz w:val="44"/>
          <w:szCs w:val="44"/>
        </w:rPr>
      </w:pPr>
    </w:p>
    <w:p w14:paraId="4BEB34DD">
      <w:pPr>
        <w:spacing w:line="600" w:lineRule="exact"/>
        <w:jc w:val="center"/>
        <w:outlineLvl w:val="0"/>
        <w:rPr>
          <w:rFonts w:eastAsia="方正小标宋简体"/>
          <w:sz w:val="44"/>
          <w:szCs w:val="44"/>
        </w:rPr>
      </w:pPr>
    </w:p>
    <w:p w14:paraId="5EF9981C">
      <w:pPr>
        <w:spacing w:line="600" w:lineRule="exact"/>
        <w:jc w:val="center"/>
        <w:outlineLvl w:val="0"/>
        <w:rPr>
          <w:rFonts w:eastAsia="方正小标宋简体"/>
          <w:sz w:val="44"/>
          <w:szCs w:val="44"/>
        </w:rPr>
      </w:pPr>
    </w:p>
    <w:p w14:paraId="4381BAAD">
      <w:pPr>
        <w:spacing w:line="600" w:lineRule="exact"/>
        <w:jc w:val="center"/>
        <w:outlineLvl w:val="0"/>
        <w:rPr>
          <w:rFonts w:eastAsia="方正小标宋简体"/>
          <w:sz w:val="44"/>
          <w:szCs w:val="44"/>
        </w:rPr>
      </w:pPr>
    </w:p>
    <w:p w14:paraId="3DFDEDC5">
      <w:pPr>
        <w:spacing w:line="600" w:lineRule="exact"/>
        <w:jc w:val="center"/>
        <w:outlineLvl w:val="0"/>
        <w:rPr>
          <w:rFonts w:eastAsia="方正小标宋简体"/>
          <w:sz w:val="44"/>
          <w:szCs w:val="44"/>
        </w:rPr>
      </w:pPr>
    </w:p>
    <w:p w14:paraId="7A4F7AAF">
      <w:pPr>
        <w:spacing w:line="600" w:lineRule="exact"/>
        <w:jc w:val="center"/>
        <w:outlineLvl w:val="0"/>
        <w:rPr>
          <w:rStyle w:val="196"/>
          <w:rFonts w:eastAsia="方正小标宋简体"/>
          <w:b w:val="0"/>
          <w:bCs w:val="0"/>
        </w:rPr>
      </w:pPr>
      <w:r>
        <w:rPr>
          <w:rFonts w:eastAsia="方正小标宋简体"/>
          <w:sz w:val="44"/>
          <w:szCs w:val="44"/>
        </w:rPr>
        <w:t>第</w:t>
      </w:r>
      <w:r>
        <w:rPr>
          <w:rStyle w:val="196"/>
          <w:rFonts w:eastAsia="方正小标宋简体"/>
          <w:b w:val="0"/>
          <w:bCs w:val="0"/>
        </w:rPr>
        <w:t>四部分 附件</w:t>
      </w:r>
      <w:bookmarkEnd w:id="88"/>
      <w:bookmarkEnd w:id="89"/>
    </w:p>
    <w:p w14:paraId="215B8788">
      <w:pPr>
        <w:spacing w:line="572" w:lineRule="exact"/>
        <w:jc w:val="left"/>
        <w:rPr>
          <w:rFonts w:eastAsia="黑体"/>
          <w:color w:val="FF0000"/>
          <w:szCs w:val="32"/>
        </w:rPr>
      </w:pPr>
    </w:p>
    <w:p w14:paraId="55FCFEE1">
      <w:pPr>
        <w:spacing w:line="572" w:lineRule="exact"/>
        <w:jc w:val="left"/>
        <w:outlineLvl w:val="0"/>
        <w:rPr>
          <w:rFonts w:eastAsia="黑体"/>
          <w:szCs w:val="32"/>
        </w:rPr>
      </w:pPr>
      <w:bookmarkStart w:id="91" w:name="_Toc20274"/>
      <w:r>
        <w:rPr>
          <w:rFonts w:eastAsia="黑体"/>
          <w:szCs w:val="32"/>
        </w:rPr>
        <w:t>附件1</w:t>
      </w:r>
      <w:bookmarkEnd w:id="91"/>
    </w:p>
    <w:p w14:paraId="67B16390">
      <w:pPr>
        <w:spacing w:line="572" w:lineRule="exact"/>
        <w:jc w:val="left"/>
        <w:outlineLvl w:val="0"/>
        <w:rPr>
          <w:rFonts w:eastAsia="黑体"/>
          <w:szCs w:val="32"/>
        </w:rPr>
      </w:pPr>
    </w:p>
    <w:p w14:paraId="492FD614">
      <w:pPr>
        <w:widowControl/>
        <w:spacing w:line="578" w:lineRule="exact"/>
        <w:contextualSpacing/>
        <w:jc w:val="center"/>
        <w:rPr>
          <w:rFonts w:eastAsia="方正小标宋简体"/>
          <w:sz w:val="44"/>
          <w:szCs w:val="44"/>
          <w:shd w:val="clear" w:color="auto" w:fill="FFFFFF"/>
        </w:rPr>
      </w:pPr>
      <w:r>
        <w:rPr>
          <w:rFonts w:eastAsia="方正小标宋简体"/>
          <w:sz w:val="44"/>
          <w:szCs w:val="44"/>
          <w:shd w:val="clear" w:color="auto" w:fill="FFFFFF"/>
        </w:rPr>
        <w:t>部门预算绩效评价报告</w:t>
      </w:r>
    </w:p>
    <w:p w14:paraId="6EC5AD8C">
      <w:pPr>
        <w:widowControl/>
        <w:spacing w:line="578" w:lineRule="exact"/>
        <w:ind w:firstLine="472"/>
        <w:contextualSpacing/>
        <w:jc w:val="left"/>
        <w:rPr>
          <w:rFonts w:eastAsia="黑体"/>
          <w:color w:val="000000"/>
          <w:sz w:val="24"/>
          <w:szCs w:val="32"/>
          <w:shd w:val="clear" w:color="auto" w:fill="FFFFFF"/>
        </w:rPr>
      </w:pPr>
    </w:p>
    <w:p w14:paraId="5F48CDC4">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一、部门（单位）基本情况</w:t>
      </w:r>
    </w:p>
    <w:p w14:paraId="2B2EDB57">
      <w:pPr>
        <w:widowControl/>
        <w:spacing w:line="578" w:lineRule="exact"/>
        <w:ind w:firstLine="632"/>
        <w:contextualSpacing/>
        <w:jc w:val="left"/>
        <w:rPr>
          <w:rFonts w:eastAsia="楷体_GB2312"/>
          <w:b/>
          <w:bCs/>
          <w:color w:val="000000"/>
          <w:szCs w:val="32"/>
          <w:shd w:val="clear" w:color="auto" w:fill="FFFFFF"/>
          <w:lang w:val="zh-CN"/>
        </w:rPr>
      </w:pPr>
      <w:r>
        <w:rPr>
          <w:rFonts w:eastAsia="楷体_GB2312"/>
          <w:b/>
          <w:bCs/>
          <w:color w:val="000000"/>
          <w:szCs w:val="32"/>
          <w:shd w:val="clear" w:color="auto" w:fill="FFFFFF"/>
          <w:lang w:val="zh-CN"/>
        </w:rPr>
        <w:t>（一）机构组成。</w:t>
      </w:r>
    </w:p>
    <w:p w14:paraId="27CED109">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人社局下属二级单位2个，其中：参照公务员法管理的事业单位2个。局机关内设办公室（人事教育股）、规划财务与基金监督股、就业促进股（农民工工作股）、人事人才管理股（人力资源开发股）、工资福利与保险保险股、劳动监察与信访调解仲裁股。</w:t>
      </w:r>
    </w:p>
    <w:p w14:paraId="1DA2B413">
      <w:pPr>
        <w:numPr>
          <w:ilvl w:val="0"/>
          <w:numId w:val="6"/>
        </w:numPr>
        <w:spacing w:line="360" w:lineRule="auto"/>
        <w:ind w:firstLine="632"/>
        <w:rPr>
          <w:rFonts w:eastAsia="楷体_GB2312"/>
          <w:b/>
          <w:bCs/>
          <w:color w:val="000000"/>
          <w:szCs w:val="32"/>
          <w:shd w:val="clear" w:color="auto" w:fill="FFFFFF"/>
          <w:lang w:val="zh-CN"/>
        </w:rPr>
      </w:pPr>
      <w:r>
        <w:rPr>
          <w:rFonts w:eastAsia="楷体_GB2312"/>
          <w:b/>
          <w:bCs/>
          <w:color w:val="000000"/>
          <w:szCs w:val="32"/>
          <w:shd w:val="clear" w:color="auto" w:fill="FFFFFF"/>
          <w:lang w:val="zh-CN"/>
        </w:rPr>
        <w:t>机构职能</w:t>
      </w:r>
    </w:p>
    <w:p w14:paraId="23961108">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1.贯彻执行人力资源和社会保障工作的相关法律、 法规、 规章和政策</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w:t>
      </w:r>
      <w:r>
        <w:rPr>
          <w:rFonts w:hint="eastAsia" w:ascii="Times New Roman" w:hAnsi="Times New Roman" w:cs="Times New Roman"/>
          <w:b w:val="0"/>
          <w:color w:val="000000"/>
          <w:kern w:val="2"/>
          <w:sz w:val="32"/>
          <w:szCs w:val="32"/>
          <w:lang w:val="en-US" w:eastAsia="zh-CN" w:bidi="ar-SA"/>
        </w:rPr>
        <w:t>拟订全区</w:t>
      </w:r>
      <w:r>
        <w:rPr>
          <w:rFonts w:hint="eastAsia" w:ascii="Times New Roman" w:hAnsi="Times New Roman" w:eastAsia="仿宋_GB2312" w:cs="Times New Roman"/>
          <w:b w:val="0"/>
          <w:color w:val="000000"/>
          <w:kern w:val="2"/>
          <w:sz w:val="32"/>
          <w:szCs w:val="32"/>
          <w:lang w:val="en-US" w:eastAsia="zh-CN" w:bidi="ar-SA"/>
        </w:rPr>
        <w:t>人力资源和社会保障事业发展规划、政策并组织实施和监督检查。</w:t>
      </w:r>
    </w:p>
    <w:p w14:paraId="40537239">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2.拟定并组织实施人力资源市场发展规划和人力资源流动政策</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建立全区统一规范的人力资源市场</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促进人力资源合理流动、有效配置。</w:t>
      </w:r>
    </w:p>
    <w:p w14:paraId="35838558">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3.负责促进就业工作。拟定统筹城乡的就业发展规划和政策</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完善公共就业服务体系</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拟定创业、 就业援助制度</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并组织实施</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完善职业资格认定制度</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统筹建立面向城乡劳动者的职业培训制度和高校毕业生就业政策</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会同有关部门拟定高技能人才、 农村实用人才培养和激励政策。</w:t>
      </w:r>
    </w:p>
    <w:p w14:paraId="3E113BBC">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4.统筹建立覆盖城乡的社会保障体系。 贯彻落实全区城乡社会保险及其补充保险政策和标准</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贯彻落实全国统一的社会保险关系转续办法</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贯彻执行机关企事业单位基本养老保险政策。 会同有关部门</w:t>
      </w:r>
      <w:r>
        <w:rPr>
          <w:rFonts w:hint="eastAsia" w:ascii="Times New Roman" w:hAnsi="Times New Roman" w:cs="Times New Roman"/>
          <w:b w:val="0"/>
          <w:color w:val="000000"/>
          <w:kern w:val="2"/>
          <w:sz w:val="32"/>
          <w:szCs w:val="32"/>
          <w:lang w:val="en-US" w:eastAsia="zh-CN" w:bidi="ar-SA"/>
        </w:rPr>
        <w:t>拟订全区</w:t>
      </w:r>
      <w:r>
        <w:rPr>
          <w:rFonts w:hint="eastAsia" w:ascii="Times New Roman" w:hAnsi="Times New Roman" w:eastAsia="仿宋_GB2312" w:cs="Times New Roman"/>
          <w:b w:val="0"/>
          <w:color w:val="000000"/>
          <w:kern w:val="2"/>
          <w:sz w:val="32"/>
          <w:szCs w:val="32"/>
          <w:lang w:val="en-US" w:eastAsia="zh-CN" w:bidi="ar-SA"/>
        </w:rPr>
        <w:t>社会保险及其补充保险基金管理和监督办法</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编制全区社会保险基金预决算草案</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参与制定全区社会保障基金投资政策。</w:t>
      </w:r>
    </w:p>
    <w:p w14:paraId="5F062BFB">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5.负责对就业、失业、社会保险基金预测预警和信息引导</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拟定应对预案</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实施预防、 调节和控制</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保持就业形势稳定和社会保险基金总体收支平衡。</w:t>
      </w:r>
    </w:p>
    <w:p w14:paraId="096594E0">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6.会同有关部门拟定事业单位人员工资收入分配政策和企业职工工资收入分配调控政策</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建立企事业单位人员工资正常增长和支付保障机制</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w:t>
      </w:r>
      <w:r>
        <w:rPr>
          <w:rFonts w:hint="eastAsia" w:ascii="Times New Roman" w:hAnsi="Times New Roman" w:cs="Times New Roman"/>
          <w:b w:val="0"/>
          <w:color w:val="000000"/>
          <w:kern w:val="2"/>
          <w:sz w:val="32"/>
          <w:szCs w:val="32"/>
          <w:lang w:val="en-US" w:eastAsia="zh-CN" w:bidi="ar-SA"/>
        </w:rPr>
        <w:t>拟订企事业</w:t>
      </w:r>
      <w:r>
        <w:rPr>
          <w:rFonts w:hint="eastAsia" w:ascii="Times New Roman" w:hAnsi="Times New Roman" w:eastAsia="仿宋_GB2312" w:cs="Times New Roman"/>
          <w:b w:val="0"/>
          <w:color w:val="000000"/>
          <w:kern w:val="2"/>
          <w:sz w:val="32"/>
          <w:szCs w:val="32"/>
          <w:lang w:val="en-US" w:eastAsia="zh-CN" w:bidi="ar-SA"/>
        </w:rPr>
        <w:t>单位人员福利和有关离退休政策。</w:t>
      </w:r>
    </w:p>
    <w:p w14:paraId="6A088B10">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7.会同有关部门指导事业单位人事制度改革</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拟定事业单位人员和机关工勤人员管理政策</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参与人才管理工作</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拟定专业技术人员管理和继续教育政策</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牵头推进深化职称制度改革工作</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健全高层次人才管理制度</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负责高层次专业技术人才选拔和培养工作。</w:t>
      </w:r>
    </w:p>
    <w:p w14:paraId="09F5708E">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8.会同有关部门拟定劳务开发及农民工工作综合性政策和规划</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并推进相关政策的落实</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协调解决重点难点问题</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维护农民工合法权益。</w:t>
      </w:r>
    </w:p>
    <w:p w14:paraId="729F2CB9">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9. 拟定并组织实施劳动、人事争议调解仲裁制度和劳动关系政策</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完善劳动关系协调机制</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制定执行消除非法使用童工政策和女工、未成年工的特殊劳动保护政策</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组织实施劳动监察</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协调劳动者维权工作</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依法查处重大案件。</w:t>
      </w:r>
    </w:p>
    <w:p w14:paraId="1C781649">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10.负责职责范围内的安全生产和职业健康、生态环境保护、审批服务便民化等工作。</w:t>
      </w:r>
    </w:p>
    <w:p w14:paraId="01782CDF">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11.完成区委和区政府交办的其他事项。</w:t>
      </w:r>
    </w:p>
    <w:p w14:paraId="5B9B6BF7">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12.职能转变。深入推进 “放管服”改革</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进一步减少行政审批事项</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规范和优化对外办理事项</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减少职业资格许可和认定等审批事项</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实行职业资格目录清单管理</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加强事中事后监管</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创新就业和社会保障等公共服务方式</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加强信息共享</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提高公共服务水平。</w:t>
      </w:r>
    </w:p>
    <w:p w14:paraId="116297E1">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0" w:line="560" w:lineRule="exact"/>
        <w:ind w:firstLine="640" w:firstLineChars="200"/>
        <w:textAlignment w:val="auto"/>
        <w:rPr>
          <w:rFonts w:hint="eastAsia" w:ascii="Times New Roman" w:hAnsi="Times New Roman" w:eastAsia="仿宋_GB2312" w:cs="Times New Roman"/>
          <w:b w:val="0"/>
          <w:color w:val="000000"/>
          <w:kern w:val="2"/>
          <w:sz w:val="32"/>
          <w:szCs w:val="32"/>
          <w:lang w:val="zh-CN" w:eastAsia="zh-CN" w:bidi="ar-SA"/>
        </w:rPr>
      </w:pPr>
      <w:r>
        <w:rPr>
          <w:rFonts w:hint="eastAsia" w:ascii="Times New Roman" w:hAnsi="Times New Roman" w:eastAsia="仿宋_GB2312" w:cs="Times New Roman"/>
          <w:b w:val="0"/>
          <w:color w:val="000000"/>
          <w:kern w:val="2"/>
          <w:sz w:val="32"/>
          <w:szCs w:val="32"/>
          <w:lang w:val="en-US" w:eastAsia="zh-CN" w:bidi="ar-SA"/>
        </w:rPr>
        <w:t>13.与区教育和体育局的有关职责分工。高校毕业生就业政策的拟订由</w:t>
      </w:r>
      <w:r>
        <w:rPr>
          <w:rFonts w:hint="eastAsia" w:ascii="Times New Roman" w:hAnsi="Times New Roman" w:cs="Times New Roman"/>
          <w:b w:val="0"/>
          <w:color w:val="000000"/>
          <w:kern w:val="2"/>
          <w:sz w:val="32"/>
          <w:szCs w:val="32"/>
          <w:lang w:val="en-US" w:eastAsia="zh-CN" w:bidi="ar-SA"/>
        </w:rPr>
        <w:t>区人力资源和社会保障局</w:t>
      </w:r>
      <w:r>
        <w:rPr>
          <w:rFonts w:hint="eastAsia" w:ascii="Times New Roman" w:hAnsi="Times New Roman" w:eastAsia="仿宋_GB2312" w:cs="Times New Roman"/>
          <w:b w:val="0"/>
          <w:color w:val="000000"/>
          <w:kern w:val="2"/>
          <w:sz w:val="32"/>
          <w:szCs w:val="32"/>
          <w:lang w:val="en-US" w:eastAsia="zh-CN" w:bidi="ar-SA"/>
        </w:rPr>
        <w:t>牵头</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区教育和体育局配合。 高校毕业生离校前的就业指导和服务工作由区教育和体育局负责</w:t>
      </w:r>
      <w:r>
        <w:rPr>
          <w:rFonts w:hint="eastAsia" w:ascii="Times New Roman" w:hAnsi="Times New Roman"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 xml:space="preserve"> 高校毕业生离校后的就业指导和服务工作由</w:t>
      </w:r>
      <w:r>
        <w:rPr>
          <w:rFonts w:hint="eastAsia" w:ascii="Times New Roman" w:hAnsi="Times New Roman" w:cs="Times New Roman"/>
          <w:b w:val="0"/>
          <w:color w:val="000000"/>
          <w:kern w:val="2"/>
          <w:sz w:val="32"/>
          <w:szCs w:val="32"/>
          <w:lang w:val="en-US" w:eastAsia="zh-CN" w:bidi="ar-SA"/>
        </w:rPr>
        <w:t>区人力资源和社会保障局</w:t>
      </w:r>
      <w:r>
        <w:rPr>
          <w:rFonts w:hint="eastAsia" w:ascii="Times New Roman" w:hAnsi="Times New Roman" w:eastAsia="仿宋_GB2312" w:cs="Times New Roman"/>
          <w:b w:val="0"/>
          <w:color w:val="000000"/>
          <w:kern w:val="2"/>
          <w:sz w:val="32"/>
          <w:szCs w:val="32"/>
          <w:lang w:val="en-US" w:eastAsia="zh-CN" w:bidi="ar-SA"/>
        </w:rPr>
        <w:t>负责。</w:t>
      </w:r>
    </w:p>
    <w:p w14:paraId="1935AF05">
      <w:pPr>
        <w:spacing w:line="600" w:lineRule="exact"/>
        <w:ind w:firstLine="632"/>
        <w:rPr>
          <w:szCs w:val="32"/>
        </w:rPr>
      </w:pPr>
      <w:r>
        <w:rPr>
          <w:rFonts w:eastAsia="楷体_GB2312"/>
          <w:b/>
          <w:bCs/>
          <w:szCs w:val="32"/>
          <w:shd w:val="clear" w:color="auto" w:fill="FFFFFF"/>
          <w:lang w:val="zh-CN"/>
        </w:rPr>
        <w:t>（三）人员概况</w:t>
      </w:r>
      <w:r>
        <w:rPr>
          <w:rFonts w:eastAsia="楷体_GB2312"/>
          <w:szCs w:val="32"/>
          <w:shd w:val="clear" w:color="auto" w:fill="FFFFFF"/>
          <w:lang w:val="zh-CN"/>
        </w:rPr>
        <w:t>。</w:t>
      </w:r>
      <w:r>
        <w:rPr>
          <w:rFonts w:hint="eastAsia" w:ascii="Times New Roman" w:hAnsi="Times New Roman" w:eastAsia="仿宋_GB2312" w:cs="Times New Roman"/>
          <w:b w:val="0"/>
          <w:color w:val="000000"/>
          <w:kern w:val="2"/>
          <w:sz w:val="32"/>
          <w:szCs w:val="32"/>
          <w:lang w:val="en-US" w:eastAsia="zh-CN" w:bidi="ar-SA"/>
        </w:rPr>
        <w:t>截至2024年末，区人社局在编人数29人。其中：行政人员11人，参公人员3人，事业人员15人。</w:t>
      </w:r>
    </w:p>
    <w:p w14:paraId="435F8F66">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二、部门资金收支情况</w:t>
      </w:r>
    </w:p>
    <w:p w14:paraId="787A7761">
      <w:pPr>
        <w:widowControl/>
        <w:spacing w:line="578" w:lineRule="exact"/>
        <w:ind w:firstLine="632"/>
        <w:contextualSpacing/>
        <w:jc w:val="left"/>
        <w:rPr>
          <w:rFonts w:hint="eastAsia" w:ascii="Times New Roman" w:hAnsi="Times New Roman" w:eastAsia="仿宋_GB2312" w:cs="仿宋_GB2312"/>
          <w:color w:val="auto"/>
          <w:kern w:val="2"/>
          <w:sz w:val="32"/>
          <w:szCs w:val="32"/>
          <w:highlight w:val="none"/>
          <w:lang w:eastAsia="zh-CN"/>
        </w:rPr>
      </w:pPr>
      <w:r>
        <w:rPr>
          <w:rFonts w:eastAsia="楷体_GB2312"/>
          <w:b/>
          <w:bCs/>
          <w:color w:val="000000"/>
          <w:szCs w:val="32"/>
          <w:shd w:val="clear" w:color="auto" w:fill="FFFFFF"/>
          <w:lang w:val="zh-CN"/>
        </w:rPr>
        <w:t>（一）收入情况</w:t>
      </w:r>
      <w:r>
        <w:rPr>
          <w:rFonts w:eastAsia="楷体_GB2312"/>
          <w:color w:val="000000"/>
          <w:szCs w:val="32"/>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rPr>
        <w:t>遂宁市安居区</w:t>
      </w:r>
      <w:r>
        <w:rPr>
          <w:rFonts w:hint="eastAsia" w:ascii="Times New Roman" w:hAnsi="Times New Roman" w:eastAsia="仿宋_GB2312" w:cs="仿宋_GB2312"/>
          <w:color w:val="auto"/>
          <w:kern w:val="2"/>
          <w:sz w:val="32"/>
          <w:szCs w:val="32"/>
          <w:highlight w:val="none"/>
          <w:lang w:eastAsia="zh-CN"/>
        </w:rPr>
        <w:t>人力资源和社会保障</w:t>
      </w:r>
      <w:r>
        <w:rPr>
          <w:rFonts w:hint="eastAsia" w:ascii="Times New Roman" w:hAnsi="Times New Roman" w:eastAsia="仿宋_GB2312" w:cs="仿宋_GB2312"/>
          <w:color w:val="auto"/>
          <w:kern w:val="2"/>
          <w:sz w:val="32"/>
          <w:szCs w:val="32"/>
          <w:highlight w:val="none"/>
          <w:lang w:val="en-US" w:eastAsia="zh-CN"/>
        </w:rPr>
        <w:t>局</w:t>
      </w:r>
      <w:r>
        <w:rPr>
          <w:rFonts w:hint="eastAsia" w:ascii="Times New Roman" w:hAnsi="Times New Roman" w:eastAsia="仿宋_GB2312" w:cs="仿宋_GB2312"/>
          <w:color w:val="auto"/>
          <w:kern w:val="2"/>
          <w:sz w:val="32"/>
          <w:szCs w:val="32"/>
          <w:highlight w:val="none"/>
          <w:lang w:eastAsia="zh-CN"/>
        </w:rPr>
        <w:t>2024年年初预算收入</w:t>
      </w:r>
      <w:r>
        <w:rPr>
          <w:rFonts w:hint="eastAsia" w:ascii="Times New Roman" w:hAnsi="Times New Roman" w:eastAsia="仿宋_GB2312" w:cs="仿宋_GB2312"/>
          <w:color w:val="auto"/>
          <w:kern w:val="2"/>
          <w:sz w:val="32"/>
          <w:szCs w:val="32"/>
          <w:highlight w:val="none"/>
          <w:lang w:val="en-US" w:eastAsia="zh-CN"/>
        </w:rPr>
        <w:t>778.06</w:t>
      </w:r>
      <w:r>
        <w:rPr>
          <w:rFonts w:hint="eastAsia" w:ascii="Times New Roman" w:hAnsi="Times New Roman" w:eastAsia="仿宋_GB2312" w:cs="仿宋_GB2312"/>
          <w:color w:val="auto"/>
          <w:kern w:val="2"/>
          <w:sz w:val="32"/>
          <w:szCs w:val="32"/>
          <w:highlight w:val="none"/>
          <w:lang w:eastAsia="zh-CN"/>
        </w:rPr>
        <w:t>万元、决算报表收入</w:t>
      </w:r>
      <w:r>
        <w:rPr>
          <w:rFonts w:hint="eastAsia" w:ascii="Times New Roman" w:hAnsi="Times New Roman" w:eastAsia="仿宋_GB2312" w:cs="仿宋_GB2312"/>
          <w:color w:val="auto"/>
          <w:kern w:val="2"/>
          <w:sz w:val="32"/>
          <w:szCs w:val="32"/>
          <w:highlight w:val="none"/>
          <w:lang w:val="en-US" w:eastAsia="zh-CN"/>
        </w:rPr>
        <w:t>1319.99</w:t>
      </w:r>
      <w:r>
        <w:rPr>
          <w:rFonts w:hint="eastAsia" w:ascii="Times New Roman" w:hAnsi="Times New Roman" w:eastAsia="仿宋_GB2312" w:cs="仿宋_GB2312"/>
          <w:color w:val="auto"/>
          <w:kern w:val="2"/>
          <w:sz w:val="32"/>
          <w:szCs w:val="32"/>
          <w:highlight w:val="none"/>
          <w:lang w:eastAsia="zh-CN"/>
        </w:rPr>
        <w:t>万元。</w:t>
      </w:r>
    </w:p>
    <w:p w14:paraId="445A1F10">
      <w:pPr>
        <w:widowControl/>
        <w:spacing w:line="578" w:lineRule="exact"/>
        <w:ind w:firstLine="632"/>
        <w:contextualSpacing/>
        <w:jc w:val="left"/>
        <w:rPr>
          <w:rFonts w:hint="eastAsia" w:ascii="Times New Roman" w:hAnsi="Times New Roman" w:eastAsia="仿宋_GB2312" w:cs="仿宋_GB2312"/>
          <w:color w:val="auto"/>
          <w:kern w:val="2"/>
          <w:sz w:val="32"/>
          <w:szCs w:val="32"/>
          <w:highlight w:val="none"/>
          <w:lang w:val="zh-CN" w:eastAsia="zh-CN"/>
        </w:rPr>
      </w:pPr>
      <w:r>
        <w:rPr>
          <w:rFonts w:eastAsia="楷体_GB2312"/>
          <w:b/>
          <w:bCs/>
          <w:color w:val="000000"/>
          <w:szCs w:val="32"/>
          <w:shd w:val="clear" w:color="auto" w:fill="FFFFFF"/>
          <w:lang w:val="zh-CN"/>
        </w:rPr>
        <w:t>（二）支出情况。</w:t>
      </w:r>
      <w:r>
        <w:rPr>
          <w:rFonts w:hint="eastAsia" w:ascii="Times New Roman" w:hAnsi="Times New Roman" w:eastAsia="仿宋_GB2312" w:cs="仿宋_GB2312"/>
          <w:color w:val="auto"/>
          <w:kern w:val="2"/>
          <w:sz w:val="32"/>
          <w:szCs w:val="32"/>
          <w:highlight w:val="none"/>
          <w:lang w:val="en-US" w:eastAsia="zh-CN"/>
        </w:rPr>
        <w:t>遂宁市安居区人力资源和社会保障局2024年年初预算支出778.06万元、决算报表支出1319.99万元。</w:t>
      </w:r>
    </w:p>
    <w:p w14:paraId="5008789B">
      <w:pPr>
        <w:widowControl/>
        <w:spacing w:line="578" w:lineRule="exact"/>
        <w:ind w:firstLine="632"/>
        <w:contextualSpacing/>
        <w:jc w:val="left"/>
      </w:pPr>
      <w:r>
        <w:rPr>
          <w:rFonts w:eastAsia="楷体_GB2312"/>
          <w:b/>
          <w:bCs/>
          <w:color w:val="000000"/>
          <w:szCs w:val="32"/>
          <w:shd w:val="clear" w:color="auto" w:fill="FFFFFF"/>
          <w:lang w:val="zh-CN"/>
        </w:rPr>
        <w:t>（三）结余分配和结转结余情况。</w:t>
      </w:r>
      <w:r>
        <w:rPr>
          <w:rFonts w:hint="eastAsia" w:ascii="Times New Roman" w:hAnsi="Times New Roman" w:eastAsia="仿宋_GB2312" w:cs="仿宋_GB2312"/>
          <w:color w:val="auto"/>
          <w:kern w:val="2"/>
          <w:sz w:val="32"/>
          <w:szCs w:val="32"/>
          <w:highlight w:val="none"/>
          <w:lang w:val="en-US" w:eastAsia="zh-CN"/>
        </w:rPr>
        <w:t>遂宁市安居区人力资源和社会保障局2024年决算报表无结转结余情况。</w:t>
      </w:r>
    </w:p>
    <w:p w14:paraId="77FBA427">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三、部门预算绩效分析</w:t>
      </w:r>
    </w:p>
    <w:p w14:paraId="684E3D05">
      <w:pPr>
        <w:spacing w:line="578" w:lineRule="exact"/>
        <w:ind w:firstLine="632"/>
        <w:contextualSpacing/>
        <w:jc w:val="left"/>
        <w:rPr>
          <w:rFonts w:hint="eastAsia" w:ascii="Times New Roman" w:hAnsi="Times New Roman" w:eastAsia="仿宋_GB2312" w:cs="仿宋_GB2312"/>
          <w:color w:val="auto"/>
          <w:kern w:val="2"/>
          <w:sz w:val="32"/>
          <w:szCs w:val="32"/>
          <w:highlight w:val="none"/>
          <w:lang w:val="zh-CN" w:eastAsia="zh-CN"/>
        </w:rPr>
      </w:pPr>
      <w:r>
        <w:rPr>
          <w:rFonts w:eastAsia="楷体_GB2312"/>
          <w:b/>
          <w:bCs/>
          <w:color w:val="000000"/>
          <w:szCs w:val="32"/>
          <w:shd w:val="clear" w:color="auto" w:fill="FFFFFF"/>
          <w:lang w:val="zh-CN"/>
        </w:rPr>
        <w:t>（一）部门预算总体绩效分析。</w:t>
      </w:r>
      <w:r>
        <w:rPr>
          <w:rFonts w:hint="eastAsia" w:ascii="Times New Roman" w:hAnsi="Times New Roman" w:eastAsia="仿宋_GB2312" w:cs="仿宋_GB2312"/>
          <w:color w:val="auto"/>
          <w:kern w:val="2"/>
          <w:sz w:val="32"/>
          <w:szCs w:val="32"/>
          <w:highlight w:val="none"/>
          <w:lang w:val="zh-CN" w:eastAsia="zh-CN"/>
        </w:rPr>
        <w:t>根据部门预算绩效评价指标体系“总体绩效”涉及二、三级指标进行逐项绩效分析并评分，依次包括履职效能、预算管理、财务管理、资产管理、采购管理等情况。</w:t>
      </w:r>
    </w:p>
    <w:p w14:paraId="7757F8CD">
      <w:pPr>
        <w:spacing w:line="578" w:lineRule="exact"/>
        <w:ind w:firstLine="632"/>
        <w:contextualSpacing/>
        <w:jc w:val="left"/>
        <w:rPr>
          <w:color w:val="000000"/>
          <w:szCs w:val="32"/>
          <w:shd w:val="clear" w:color="auto" w:fill="FFFFFF"/>
          <w:lang w:val="zh-CN"/>
        </w:rPr>
      </w:pPr>
      <w:r>
        <w:rPr>
          <w:color w:val="000000"/>
          <w:szCs w:val="32"/>
          <w:shd w:val="clear" w:color="auto" w:fill="FFFFFF"/>
        </w:rPr>
        <w:t>1</w:t>
      </w:r>
      <w:r>
        <w:rPr>
          <w:rFonts w:hint="eastAsia"/>
          <w:color w:val="000000"/>
          <w:szCs w:val="32"/>
          <w:shd w:val="clear" w:color="auto" w:fill="FFFFFF"/>
        </w:rPr>
        <w:t>、</w:t>
      </w:r>
      <w:r>
        <w:rPr>
          <w:color w:val="000000"/>
          <w:szCs w:val="32"/>
          <w:shd w:val="clear" w:color="auto" w:fill="FFFFFF"/>
          <w:lang w:val="zh-CN"/>
        </w:rPr>
        <w:t>履职效能。</w:t>
      </w:r>
    </w:p>
    <w:p w14:paraId="027CD498">
      <w:pPr>
        <w:spacing w:line="578" w:lineRule="exact"/>
        <w:ind w:firstLine="632"/>
        <w:contextualSpacing/>
        <w:jc w:val="left"/>
        <w:rPr>
          <w:szCs w:val="32"/>
        </w:rPr>
      </w:pPr>
      <w:r>
        <w:rPr>
          <w:rFonts w:hint="eastAsia" w:ascii="Times New Roman" w:hAnsi="Times New Roman" w:eastAsia="仿宋_GB2312" w:cs="仿宋_GB2312"/>
          <w:color w:val="auto"/>
          <w:kern w:val="2"/>
          <w:sz w:val="32"/>
          <w:szCs w:val="32"/>
          <w:highlight w:val="none"/>
          <w:lang w:val="zh-CN" w:eastAsia="zh-CN"/>
        </w:rPr>
        <w:t>2024年</w:t>
      </w:r>
      <w:r>
        <w:rPr>
          <w:rFonts w:hint="default" w:ascii="Times New Roman" w:hAnsi="Times New Roman" w:eastAsia="仿宋_GB2312" w:cs="仿宋_GB2312"/>
          <w:color w:val="auto"/>
          <w:kern w:val="2"/>
          <w:sz w:val="32"/>
          <w:szCs w:val="32"/>
          <w:highlight w:val="none"/>
          <w:lang w:val="en-US" w:eastAsia="zh-CN"/>
        </w:rPr>
        <w:t>全区城镇新增就业3385人，促进城镇失业人员再就业1358人，就业困难人员就业145人，</w:t>
      </w:r>
      <w:r>
        <w:rPr>
          <w:rFonts w:hint="eastAsia" w:ascii="Times New Roman" w:hAnsi="Times New Roman" w:eastAsia="仿宋_GB2312" w:cs="仿宋_GB2312"/>
          <w:color w:val="auto"/>
          <w:kern w:val="2"/>
          <w:sz w:val="32"/>
          <w:szCs w:val="32"/>
          <w:highlight w:val="none"/>
          <w:lang w:val="zh-CN" w:eastAsia="zh-CN"/>
        </w:rPr>
        <w:t>促进</w:t>
      </w:r>
      <w:r>
        <w:rPr>
          <w:rFonts w:hint="default" w:ascii="Times New Roman" w:hAnsi="Times New Roman" w:eastAsia="仿宋_GB2312" w:cs="仿宋_GB2312"/>
          <w:color w:val="auto"/>
          <w:kern w:val="2"/>
          <w:sz w:val="32"/>
          <w:szCs w:val="32"/>
          <w:highlight w:val="none"/>
          <w:lang w:val="en-US" w:eastAsia="zh-CN"/>
        </w:rPr>
        <w:t>脱贫劳动力转移就业</w:t>
      </w:r>
      <w:r>
        <w:rPr>
          <w:rFonts w:hint="eastAsia" w:ascii="Times New Roman" w:hAnsi="Times New Roman" w:eastAsia="仿宋_GB2312" w:cs="仿宋_GB2312"/>
          <w:color w:val="auto"/>
          <w:kern w:val="2"/>
          <w:sz w:val="32"/>
          <w:szCs w:val="32"/>
          <w:highlight w:val="none"/>
          <w:lang w:val="en-US" w:eastAsia="zh-CN"/>
        </w:rPr>
        <w:t>2.39万</w:t>
      </w:r>
      <w:r>
        <w:rPr>
          <w:rFonts w:hint="default" w:ascii="Times New Roman" w:hAnsi="Times New Roman" w:eastAsia="仿宋_GB2312" w:cs="仿宋_GB2312"/>
          <w:color w:val="auto"/>
          <w:kern w:val="2"/>
          <w:sz w:val="32"/>
          <w:szCs w:val="32"/>
          <w:highlight w:val="none"/>
          <w:lang w:val="en-US" w:eastAsia="zh-CN"/>
        </w:rPr>
        <w:t>人，</w:t>
      </w:r>
      <w:r>
        <w:rPr>
          <w:rFonts w:hint="eastAsia" w:ascii="Times New Roman" w:hAnsi="Times New Roman" w:eastAsia="仿宋_GB2312" w:cs="仿宋_GB2312"/>
          <w:color w:val="auto"/>
          <w:kern w:val="2"/>
          <w:sz w:val="32"/>
          <w:szCs w:val="32"/>
          <w:highlight w:val="none"/>
          <w:lang w:val="en-US" w:eastAsia="zh-CN"/>
        </w:rPr>
        <w:t>均超额</w:t>
      </w:r>
      <w:r>
        <w:rPr>
          <w:rFonts w:hint="default" w:ascii="Times New Roman" w:hAnsi="Times New Roman" w:eastAsia="仿宋_GB2312" w:cs="仿宋_GB2312"/>
          <w:color w:val="auto"/>
          <w:kern w:val="2"/>
          <w:sz w:val="32"/>
          <w:szCs w:val="32"/>
          <w:highlight w:val="none"/>
          <w:lang w:val="en-US" w:eastAsia="zh-CN"/>
        </w:rPr>
        <w:t>完成年度目标任务</w:t>
      </w:r>
      <w:r>
        <w:rPr>
          <w:rFonts w:hint="eastAsia" w:ascii="Times New Roman" w:hAnsi="Times New Roman" w:eastAsia="仿宋_GB2312" w:cs="仿宋_GB2312"/>
          <w:color w:val="auto"/>
          <w:kern w:val="2"/>
          <w:sz w:val="32"/>
          <w:szCs w:val="32"/>
          <w:highlight w:val="none"/>
          <w:lang w:val="en-US" w:eastAsia="zh-CN"/>
        </w:rPr>
        <w:t>；吸纳就业见习人员</w:t>
      </w:r>
      <w:r>
        <w:rPr>
          <w:rFonts w:hint="default" w:ascii="Times New Roman" w:hAnsi="Times New Roman" w:eastAsia="仿宋_GB2312" w:cs="仿宋_GB2312"/>
          <w:color w:val="auto"/>
          <w:kern w:val="2"/>
          <w:sz w:val="32"/>
          <w:szCs w:val="32"/>
          <w:highlight w:val="none"/>
          <w:lang w:val="zh-CN" w:eastAsia="zh-CN"/>
        </w:rPr>
        <w:t>61人</w:t>
      </w:r>
      <w:r>
        <w:rPr>
          <w:rFonts w:hint="eastAsia" w:ascii="Times New Roman" w:hAnsi="Times New Roman" w:eastAsia="仿宋_GB2312" w:cs="仿宋_GB2312"/>
          <w:color w:val="auto"/>
          <w:kern w:val="2"/>
          <w:sz w:val="32"/>
          <w:szCs w:val="32"/>
          <w:highlight w:val="none"/>
          <w:lang w:val="en-US" w:eastAsia="zh-CN"/>
        </w:rPr>
        <w:t>；兜底安置各类乡村公益性岗位</w:t>
      </w:r>
      <w:r>
        <w:rPr>
          <w:rFonts w:hint="default" w:ascii="Times New Roman" w:hAnsi="Times New Roman" w:eastAsia="仿宋_GB2312" w:cs="仿宋_GB2312"/>
          <w:color w:val="auto"/>
          <w:kern w:val="2"/>
          <w:sz w:val="32"/>
          <w:szCs w:val="32"/>
          <w:highlight w:val="none"/>
          <w:lang w:val="zh-CN" w:eastAsia="zh-CN"/>
        </w:rPr>
        <w:t>667</w:t>
      </w:r>
      <w:r>
        <w:rPr>
          <w:rFonts w:hint="eastAsia" w:ascii="Times New Roman" w:hAnsi="Times New Roman" w:eastAsia="仿宋_GB2312" w:cs="仿宋_GB2312"/>
          <w:color w:val="auto"/>
          <w:kern w:val="2"/>
          <w:sz w:val="32"/>
          <w:szCs w:val="32"/>
          <w:highlight w:val="none"/>
          <w:lang w:val="en-US" w:eastAsia="zh-CN"/>
        </w:rPr>
        <w:t>人次；</w:t>
      </w:r>
      <w:r>
        <w:rPr>
          <w:rFonts w:hint="default" w:ascii="Times New Roman" w:hAnsi="Times New Roman" w:eastAsia="仿宋_GB2312" w:cs="仿宋_GB2312"/>
          <w:color w:val="auto"/>
          <w:kern w:val="2"/>
          <w:sz w:val="32"/>
          <w:szCs w:val="32"/>
          <w:highlight w:val="none"/>
          <w:lang w:val="zh-CN" w:eastAsia="zh-CN"/>
        </w:rPr>
        <w:t>发放创业担保贷款293笔7620万元、创业补贴198万元，直接扶持198人创业，带动吸纳就业人数1280余人</w:t>
      </w:r>
      <w:r>
        <w:rPr>
          <w:rFonts w:hint="eastAsia" w:ascii="Times New Roman" w:hAnsi="Times New Roman"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开展各类线上线下专场招聘会</w:t>
      </w:r>
      <w:r>
        <w:rPr>
          <w:rFonts w:hint="default" w:ascii="Times New Roman" w:hAnsi="Times New Roman" w:eastAsia="仿宋_GB2312" w:cs="仿宋_GB2312"/>
          <w:color w:val="auto"/>
          <w:kern w:val="2"/>
          <w:sz w:val="32"/>
          <w:szCs w:val="32"/>
          <w:highlight w:val="none"/>
          <w:lang w:val="zh-CN" w:eastAsia="zh-CN"/>
        </w:rPr>
        <w:t>60</w:t>
      </w:r>
      <w:r>
        <w:rPr>
          <w:rFonts w:hint="eastAsia" w:ascii="Times New Roman" w:hAnsi="Times New Roman" w:eastAsia="仿宋_GB2312" w:cs="仿宋_GB2312"/>
          <w:color w:val="auto"/>
          <w:kern w:val="2"/>
          <w:sz w:val="32"/>
          <w:szCs w:val="32"/>
          <w:highlight w:val="none"/>
          <w:lang w:val="en-US" w:eastAsia="zh-CN"/>
        </w:rPr>
        <w:t>场次，达成就业意向</w:t>
      </w:r>
      <w:r>
        <w:rPr>
          <w:rFonts w:hint="default" w:ascii="Times New Roman" w:hAnsi="Times New Roman" w:eastAsia="仿宋_GB2312" w:cs="仿宋_GB2312"/>
          <w:color w:val="auto"/>
          <w:kern w:val="2"/>
          <w:sz w:val="32"/>
          <w:szCs w:val="32"/>
          <w:highlight w:val="none"/>
          <w:lang w:val="zh-CN" w:eastAsia="zh-CN"/>
        </w:rPr>
        <w:t>2700</w:t>
      </w:r>
      <w:r>
        <w:rPr>
          <w:rFonts w:hint="eastAsia" w:ascii="Times New Roman" w:hAnsi="Times New Roman" w:eastAsia="仿宋_GB2312" w:cs="仿宋_GB2312"/>
          <w:color w:val="auto"/>
          <w:kern w:val="2"/>
          <w:sz w:val="32"/>
          <w:szCs w:val="32"/>
          <w:highlight w:val="none"/>
          <w:lang w:val="en-US" w:eastAsia="zh-CN"/>
        </w:rPr>
        <w:t>余人；</w:t>
      </w:r>
      <w:r>
        <w:rPr>
          <w:rFonts w:hint="eastAsia" w:ascii="Times New Roman" w:hAnsi="Times New Roman" w:eastAsia="仿宋_GB2312" w:cs="仿宋_GB2312"/>
          <w:color w:val="auto"/>
          <w:kern w:val="2"/>
          <w:sz w:val="32"/>
          <w:szCs w:val="32"/>
          <w:highlight w:val="none"/>
          <w:lang w:val="zh-CN" w:eastAsia="zh-CN"/>
        </w:rPr>
        <w:t>开展</w:t>
      </w:r>
      <w:r>
        <w:rPr>
          <w:rFonts w:hint="default" w:ascii="Times New Roman" w:hAnsi="Times New Roman" w:eastAsia="仿宋_GB2312" w:cs="仿宋_GB2312"/>
          <w:color w:val="auto"/>
          <w:kern w:val="2"/>
          <w:sz w:val="32"/>
          <w:szCs w:val="32"/>
          <w:highlight w:val="none"/>
          <w:lang w:val="zh-CN" w:eastAsia="zh-CN"/>
        </w:rPr>
        <w:t>职业技能培训995人次，创业培训220人次</w:t>
      </w:r>
      <w:r>
        <w:rPr>
          <w:rFonts w:hint="default" w:ascii="Times New Roman" w:hAnsi="Times New Roman"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全区城镇职工养老保险、工伤保险、机关养老保险和城乡居民养老保险参保人数分别达4.1万人、2.74万人、0.7624万人、31.46万人；征收保险费分别为18265万元、429万元、16245万元、11678万元；享受待遇人数分别为2.6万人、129人、0.38万人、12.6万人，发放保险待遇分别为42796万元、675万元、20107万元 、20806万元。按照100元/人的代缴标准，代缴困难群体城乡居民基本养老保险13757人，代缴资金137.57万元。2024年通过公开考试招聘引进事业人员46人；通过干部调动的方式引进区外优秀事业干部10人；通过</w:t>
      </w:r>
      <w:r>
        <w:rPr>
          <w:rFonts w:hint="eastAsia" w:ascii="Times New Roman" w:hAnsi="Times New Roman" w:eastAsia="仿宋_GB2312" w:cs="仿宋_GB2312"/>
          <w:color w:val="auto"/>
          <w:kern w:val="2"/>
          <w:sz w:val="32"/>
          <w:szCs w:val="32"/>
          <w:highlight w:val="none"/>
          <w:lang w:val="zh-CN" w:eastAsia="zh-CN"/>
        </w:rPr>
        <w:t>“遂企智造·职等你来”招聘各类专业人才</w:t>
      </w:r>
      <w:r>
        <w:rPr>
          <w:rFonts w:hint="eastAsia" w:ascii="Times New Roman" w:hAnsi="Times New Roman" w:eastAsia="仿宋_GB2312" w:cs="仿宋_GB2312"/>
          <w:color w:val="auto"/>
          <w:kern w:val="2"/>
          <w:sz w:val="32"/>
          <w:szCs w:val="32"/>
          <w:highlight w:val="none"/>
          <w:lang w:val="en-US" w:eastAsia="zh-CN"/>
        </w:rPr>
        <w:t>150余人。集中开展了管理职员等级晋升工作，晋升七级职员1人，八级职员19人；成功推荐遂宁市第三批“金荷花”领军人才1人。向90名高层次引进人才共计发放人才补贴167.7万余元；成功组织50名高层次人才前往北京大学开展高层次人才国情省情研修班，为人才能力提升进一步添砖加瓦。梳理回复全区政府服务热线12345欠薪2327件、四川省信访系统欠薪信访13件、麻辣社区和问政四川欠薪留言29件、全国欠薪平台反映欠薪线索222件，（回复率100%，满意率96.35%）。</w:t>
      </w:r>
      <w:r>
        <w:rPr>
          <w:rFonts w:hint="eastAsia" w:ascii="Times New Roman" w:hAnsi="Times New Roman" w:eastAsia="仿宋_GB2312" w:cs="仿宋_GB2312"/>
          <w:color w:val="auto"/>
          <w:kern w:val="2"/>
          <w:sz w:val="32"/>
          <w:szCs w:val="32"/>
          <w:highlight w:val="none"/>
          <w:lang w:val="zh-CN" w:eastAsia="zh-CN"/>
        </w:rPr>
        <w:t>受理现场举报投诉欠薪</w:t>
      </w:r>
      <w:r>
        <w:rPr>
          <w:rFonts w:hint="eastAsia" w:ascii="Times New Roman" w:hAnsi="Times New Roman" w:eastAsia="仿宋_GB2312" w:cs="仿宋_GB2312"/>
          <w:color w:val="auto"/>
          <w:kern w:val="2"/>
          <w:sz w:val="32"/>
          <w:szCs w:val="32"/>
          <w:highlight w:val="none"/>
          <w:lang w:val="en-US" w:eastAsia="zh-CN"/>
        </w:rPr>
        <w:t>277件，涉及3244人，涉及金额3652.33万元；已完全处理133件，涉及1635人，兑付工资1824.35万余元。</w:t>
      </w:r>
      <w:r>
        <w:rPr>
          <w:rFonts w:hint="eastAsia" w:ascii="Times New Roman" w:hAnsi="Times New Roman" w:eastAsia="仿宋_GB2312" w:cs="仿宋_GB2312"/>
          <w:color w:val="auto"/>
          <w:kern w:val="2"/>
          <w:sz w:val="32"/>
          <w:szCs w:val="32"/>
          <w:highlight w:val="none"/>
          <w:lang w:val="zh-CN" w:eastAsia="zh-CN"/>
        </w:rPr>
        <w:t>全区</w:t>
      </w:r>
      <w:r>
        <w:rPr>
          <w:rFonts w:hint="default" w:ascii="Times New Roman" w:hAnsi="Times New Roman" w:eastAsia="仿宋_GB2312" w:cs="仿宋_GB2312"/>
          <w:color w:val="auto"/>
          <w:kern w:val="2"/>
          <w:sz w:val="32"/>
          <w:szCs w:val="32"/>
          <w:highlight w:val="none"/>
          <w:lang w:val="zh-CN" w:eastAsia="zh-CN"/>
        </w:rPr>
        <w:t>政府投资项目和社会投资项目欠薪</w:t>
      </w:r>
      <w:r>
        <w:rPr>
          <w:rFonts w:hint="eastAsia" w:ascii="Times New Roman" w:hAnsi="Times New Roman" w:eastAsia="仿宋_GB2312" w:cs="仿宋_GB2312"/>
          <w:color w:val="auto"/>
          <w:kern w:val="2"/>
          <w:sz w:val="32"/>
          <w:szCs w:val="32"/>
          <w:highlight w:val="none"/>
          <w:lang w:val="zh-CN" w:eastAsia="zh-CN"/>
        </w:rPr>
        <w:t>动态</w:t>
      </w:r>
      <w:r>
        <w:rPr>
          <w:rFonts w:hint="default" w:ascii="Times New Roman" w:hAnsi="Times New Roman" w:eastAsia="仿宋_GB2312" w:cs="仿宋_GB2312"/>
          <w:color w:val="auto"/>
          <w:kern w:val="2"/>
          <w:sz w:val="32"/>
          <w:szCs w:val="32"/>
          <w:highlight w:val="none"/>
          <w:lang w:val="zh-CN" w:eastAsia="zh-CN"/>
        </w:rPr>
        <w:t>清零，有力维护了社会和谐稳定。</w:t>
      </w:r>
    </w:p>
    <w:p w14:paraId="51B0B481">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eastAsia" w:ascii="Times New Roman" w:hAnsi="Times New Roman" w:eastAsia="仿宋_GB2312" w:cs="仿宋_GB2312"/>
          <w:color w:val="auto"/>
          <w:kern w:val="2"/>
          <w:sz w:val="32"/>
          <w:szCs w:val="32"/>
          <w:highlight w:val="none"/>
          <w:lang w:eastAsia="zh-CN"/>
        </w:rPr>
        <w:t>2、</w:t>
      </w:r>
      <w:r>
        <w:rPr>
          <w:rFonts w:hint="eastAsia" w:ascii="Times New Roman" w:hAnsi="Times New Roman" w:eastAsia="仿宋_GB2312" w:cs="仿宋_GB2312"/>
          <w:color w:val="auto"/>
          <w:kern w:val="2"/>
          <w:sz w:val="32"/>
          <w:szCs w:val="32"/>
          <w:highlight w:val="none"/>
          <w:lang w:val="zh-CN" w:eastAsia="zh-CN"/>
        </w:rPr>
        <w:t>预算管理。</w:t>
      </w:r>
      <w:r>
        <w:rPr>
          <w:rFonts w:hint="eastAsia" w:ascii="Times New Roman" w:hAnsi="Times New Roman" w:eastAsia="仿宋_GB2312" w:cs="仿宋_GB2312"/>
          <w:color w:val="auto"/>
          <w:kern w:val="2"/>
          <w:sz w:val="32"/>
          <w:szCs w:val="32"/>
          <w:highlight w:val="none"/>
          <w:lang w:eastAsia="zh-CN"/>
        </w:rPr>
        <w:t>严格按照财政部门预算编制通知和有关要求，按时完成2024年预算编制工作，并按时提交部门预算草案和编制说明。按规定编制预算，预算编制全面、科学。</w:t>
      </w:r>
    </w:p>
    <w:p w14:paraId="76183A0D">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3、</w:t>
      </w:r>
      <w:r>
        <w:rPr>
          <w:rFonts w:hint="eastAsia" w:ascii="Times New Roman" w:hAnsi="Times New Roman" w:eastAsia="仿宋_GB2312" w:cs="仿宋_GB2312"/>
          <w:color w:val="auto"/>
          <w:kern w:val="2"/>
          <w:sz w:val="32"/>
          <w:szCs w:val="32"/>
          <w:highlight w:val="none"/>
          <w:lang w:val="zh-CN" w:eastAsia="zh-CN"/>
        </w:rPr>
        <w:t>财务管理。</w:t>
      </w:r>
      <w:r>
        <w:rPr>
          <w:rFonts w:hint="eastAsia" w:ascii="Times New Roman" w:hAnsi="Times New Roman" w:eastAsia="仿宋_GB2312" w:cs="仿宋_GB2312"/>
          <w:color w:val="auto"/>
          <w:kern w:val="2"/>
          <w:sz w:val="32"/>
          <w:szCs w:val="32"/>
          <w:highlight w:val="none"/>
          <w:lang w:eastAsia="zh-CN"/>
        </w:rPr>
        <w:t>为进一步加强财务管理，规范公务支付业务，减少现金支付结算，提高支付透明度，强化资金安全，制定了《财务管理制度》等内部控制制度，包括：预算管理、采购管理、结算管理、资产管理、财务机构、财务监督等管理事项。</w:t>
      </w:r>
    </w:p>
    <w:p w14:paraId="3095509F">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eastAsia" w:ascii="Times New Roman" w:hAnsi="Times New Roman" w:eastAsia="仿宋_GB2312" w:cs="仿宋_GB2312"/>
          <w:color w:val="auto"/>
          <w:kern w:val="2"/>
          <w:sz w:val="32"/>
          <w:szCs w:val="32"/>
          <w:highlight w:val="none"/>
          <w:lang w:eastAsia="zh-CN"/>
        </w:rPr>
        <w:t>4、</w:t>
      </w:r>
      <w:r>
        <w:rPr>
          <w:rFonts w:hint="eastAsia" w:ascii="Times New Roman" w:hAnsi="Times New Roman" w:eastAsia="仿宋_GB2312" w:cs="仿宋_GB2312"/>
          <w:color w:val="auto"/>
          <w:kern w:val="2"/>
          <w:sz w:val="32"/>
          <w:szCs w:val="32"/>
          <w:highlight w:val="none"/>
          <w:lang w:val="zh-CN" w:eastAsia="zh-CN"/>
        </w:rPr>
        <w:t>资产管理。围绕人均资产变化率、资产利用率、资产盘活率进行绩效分析。</w:t>
      </w:r>
    </w:p>
    <w:p w14:paraId="14ECB2C8">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val="zh-CN" w:eastAsia="zh-CN"/>
        </w:rPr>
        <w:t>截止</w:t>
      </w:r>
      <w:r>
        <w:rPr>
          <w:rFonts w:hint="eastAsia" w:ascii="Times New Roman" w:hAnsi="Times New Roman" w:eastAsia="仿宋_GB2312" w:cs="仿宋_GB2312"/>
          <w:color w:val="auto"/>
          <w:kern w:val="2"/>
          <w:sz w:val="32"/>
          <w:szCs w:val="32"/>
          <w:highlight w:val="none"/>
          <w:lang w:eastAsia="zh-CN"/>
        </w:rPr>
        <w:t>2024年末，资产总值</w:t>
      </w:r>
      <w:r>
        <w:rPr>
          <w:rFonts w:hint="eastAsia" w:ascii="Times New Roman" w:hAnsi="Times New Roman" w:eastAsia="仿宋_GB2312" w:cs="仿宋_GB2312"/>
          <w:color w:val="auto"/>
          <w:kern w:val="2"/>
          <w:sz w:val="32"/>
          <w:szCs w:val="32"/>
          <w:highlight w:val="none"/>
          <w:lang w:val="en-US" w:eastAsia="zh-CN"/>
        </w:rPr>
        <w:t>606.42</w:t>
      </w:r>
      <w:r>
        <w:rPr>
          <w:rFonts w:hint="eastAsia" w:ascii="Times New Roman" w:hAnsi="Times New Roman" w:eastAsia="仿宋_GB2312" w:cs="仿宋_GB2312"/>
          <w:color w:val="auto"/>
          <w:kern w:val="2"/>
          <w:sz w:val="32"/>
          <w:szCs w:val="32"/>
          <w:highlight w:val="none"/>
          <w:lang w:eastAsia="zh-CN"/>
        </w:rPr>
        <w:t>万元，比2023年增长</w:t>
      </w:r>
      <w:r>
        <w:rPr>
          <w:rFonts w:hint="eastAsia" w:ascii="Times New Roman" w:hAnsi="Times New Roman" w:eastAsia="仿宋_GB2312" w:cs="仿宋_GB2312"/>
          <w:color w:val="auto"/>
          <w:kern w:val="2"/>
          <w:sz w:val="32"/>
          <w:szCs w:val="32"/>
          <w:highlight w:val="none"/>
          <w:lang w:val="en-US" w:eastAsia="zh-CN"/>
        </w:rPr>
        <w:t>5.57</w:t>
      </w:r>
      <w:r>
        <w:rPr>
          <w:rFonts w:hint="eastAsia" w:ascii="Times New Roman" w:hAnsi="Times New Roman" w:eastAsia="仿宋_GB2312" w:cs="仿宋_GB2312"/>
          <w:color w:val="auto"/>
          <w:kern w:val="2"/>
          <w:sz w:val="32"/>
          <w:szCs w:val="32"/>
          <w:highlight w:val="none"/>
          <w:lang w:eastAsia="zh-CN"/>
        </w:rPr>
        <w:t>万元，增幅</w:t>
      </w:r>
      <w:r>
        <w:rPr>
          <w:rFonts w:hint="eastAsia" w:ascii="Times New Roman" w:hAnsi="Times New Roman" w:eastAsia="仿宋_GB2312" w:cs="仿宋_GB2312"/>
          <w:color w:val="auto"/>
          <w:kern w:val="2"/>
          <w:sz w:val="32"/>
          <w:szCs w:val="32"/>
          <w:highlight w:val="none"/>
          <w:lang w:val="en-US" w:eastAsia="zh-CN"/>
        </w:rPr>
        <w:t>0.93</w:t>
      </w:r>
      <w:r>
        <w:rPr>
          <w:rFonts w:hint="eastAsia" w:ascii="Times New Roman" w:hAnsi="Times New Roman" w:eastAsia="仿宋_GB2312"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val="zh-CN" w:eastAsia="zh-CN"/>
        </w:rPr>
        <w:t>为了提高资产利用率，保证资产管理的安全性，将资产管理的各个权利和责任明确，提升单位资产管理的科学性。建立闲置资产盘活台账，落实专人专责，加大对办公设备、办公家具等闲置可用资产的回收力度，进一步提高资产使用率。单位</w:t>
      </w:r>
      <w:r>
        <w:rPr>
          <w:rFonts w:hint="eastAsia" w:ascii="Times New Roman" w:hAnsi="Times New Roman" w:eastAsia="仿宋_GB2312" w:cs="仿宋_GB2312"/>
          <w:color w:val="auto"/>
          <w:kern w:val="2"/>
          <w:sz w:val="32"/>
          <w:szCs w:val="32"/>
          <w:highlight w:val="none"/>
          <w:lang w:eastAsia="zh-CN"/>
        </w:rPr>
        <w:t>无截留、挤占、挪用、虚列支出等情况。</w:t>
      </w:r>
    </w:p>
    <w:p w14:paraId="04BBFA63">
      <w:pPr>
        <w:spacing w:line="600" w:lineRule="exact"/>
        <w:ind w:firstLine="640" w:firstLineChars="200"/>
        <w:outlineLvl w:val="1"/>
        <w:rPr>
          <w:rFonts w:eastAsia="楷体_GB2312"/>
          <w:color w:val="FF0000"/>
          <w:szCs w:val="32"/>
          <w:shd w:val="clear" w:color="auto" w:fill="FFFFFF"/>
          <w:lang w:val="zh-CN"/>
        </w:rPr>
      </w:pPr>
      <w:r>
        <w:rPr>
          <w:rFonts w:hint="eastAsia" w:ascii="Times New Roman" w:hAnsi="Times New Roman" w:eastAsia="仿宋_GB2312" w:cs="仿宋_GB2312"/>
          <w:color w:val="auto"/>
          <w:kern w:val="2"/>
          <w:sz w:val="32"/>
          <w:szCs w:val="32"/>
          <w:highlight w:val="none"/>
          <w:lang w:eastAsia="zh-CN"/>
        </w:rPr>
        <w:t>5、</w:t>
      </w:r>
      <w:r>
        <w:rPr>
          <w:rFonts w:hint="eastAsia" w:ascii="Times New Roman" w:hAnsi="Times New Roman" w:eastAsia="仿宋_GB2312" w:cs="仿宋_GB2312"/>
          <w:color w:val="auto"/>
          <w:kern w:val="2"/>
          <w:sz w:val="32"/>
          <w:szCs w:val="32"/>
          <w:highlight w:val="none"/>
          <w:lang w:val="zh-CN" w:eastAsia="zh-CN"/>
        </w:rPr>
        <w:t>采购管理。</w:t>
      </w:r>
      <w:r>
        <w:rPr>
          <w:rFonts w:hint="eastAsia" w:ascii="Times New Roman" w:hAnsi="Times New Roman" w:eastAsia="仿宋_GB2312" w:cs="仿宋_GB2312"/>
          <w:color w:val="auto"/>
          <w:kern w:val="2"/>
          <w:sz w:val="32"/>
          <w:szCs w:val="32"/>
          <w:highlight w:val="none"/>
          <w:lang w:eastAsia="zh-CN"/>
        </w:rPr>
        <w:t>落实促进中小企业发展等政府采购政策，科学编制政府采购预算，建立本单位政府采购内部控制制度，实现“阳光采购”，确保采购过程公开透明，提高采购效率。</w:t>
      </w:r>
    </w:p>
    <w:p w14:paraId="17D2C4E5">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Fonts w:eastAsia="楷体_GB2312"/>
          <w:b/>
          <w:bCs/>
          <w:color w:val="000000"/>
          <w:szCs w:val="32"/>
          <w:shd w:val="clear" w:color="auto" w:fill="FFFFFF"/>
          <w:lang w:val="zh-CN"/>
        </w:rPr>
        <w:t>（二）部门预算项目绩效分析</w:t>
      </w:r>
      <w:r>
        <w:rPr>
          <w:rFonts w:eastAsia="楷体_GB2312"/>
          <w:color w:val="000000"/>
          <w:szCs w:val="32"/>
          <w:shd w:val="clear" w:color="auto" w:fill="FFFFFF"/>
          <w:lang w:val="zh-CN"/>
        </w:rPr>
        <w:t>。</w:t>
      </w:r>
      <w:r>
        <w:rPr>
          <w:rFonts w:hint="eastAsia" w:ascii="Times New Roman" w:hAnsi="Times New Roman" w:eastAsia="仿宋_GB2312" w:cs="仿宋_GB2312"/>
          <w:color w:val="auto"/>
          <w:kern w:val="2"/>
          <w:sz w:val="32"/>
          <w:szCs w:val="32"/>
          <w:highlight w:val="none"/>
          <w:lang w:val="zh-CN" w:eastAsia="zh-CN"/>
        </w:rPr>
        <w:t>填报以下数据，并根据部门预算绩效评价指标体系“项目绩效”涉及二、三级指标进行逐项绩效分析并评分，依次包括项目</w:t>
      </w:r>
      <w:r>
        <w:rPr>
          <w:rFonts w:hint="eastAsia" w:ascii="Times New Roman" w:hAnsi="Times New Roman" w:eastAsia="仿宋_GB2312" w:cs="仿宋_GB2312"/>
          <w:color w:val="auto"/>
          <w:kern w:val="2"/>
          <w:sz w:val="32"/>
          <w:szCs w:val="32"/>
          <w:highlight w:val="none"/>
          <w:lang w:eastAsia="zh-CN"/>
        </w:rPr>
        <w:t>决策、项目执行、目标实现等情况。</w:t>
      </w:r>
    </w:p>
    <w:p w14:paraId="1BF8E764">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eastAsia" w:ascii="Times New Roman" w:hAnsi="Times New Roman" w:eastAsia="仿宋_GB2312" w:cs="仿宋_GB2312"/>
          <w:color w:val="auto"/>
          <w:kern w:val="2"/>
          <w:sz w:val="32"/>
          <w:szCs w:val="32"/>
          <w:highlight w:val="none"/>
          <w:lang w:val="en-US" w:eastAsia="zh-CN"/>
        </w:rPr>
        <w:t>常年项目绩效分析。</w:t>
      </w:r>
      <w:r>
        <w:rPr>
          <w:rFonts w:hint="eastAsia" w:ascii="Times New Roman" w:hAnsi="Times New Roman" w:eastAsia="仿宋_GB2312" w:cs="仿宋_GB2312"/>
          <w:color w:val="auto"/>
          <w:kern w:val="2"/>
          <w:sz w:val="32"/>
          <w:szCs w:val="32"/>
          <w:highlight w:val="none"/>
          <w:lang w:val="zh-CN" w:eastAsia="zh-CN"/>
        </w:rPr>
        <w:t>该类项目总数</w:t>
      </w:r>
      <w:r>
        <w:rPr>
          <w:rFonts w:hint="eastAsia" w:ascii="Times New Roman" w:hAnsi="Times New Roman" w:eastAsia="仿宋_GB2312" w:cs="仿宋_GB2312"/>
          <w:color w:val="auto"/>
          <w:kern w:val="2"/>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zh-CN" w:eastAsia="zh-CN"/>
        </w:rPr>
        <w:t>个，涉及预算总金额</w:t>
      </w:r>
      <w:r>
        <w:rPr>
          <w:rFonts w:hint="eastAsia" w:ascii="Times New Roman" w:hAnsi="Times New Roman" w:eastAsia="仿宋_GB2312" w:cs="仿宋_GB2312"/>
          <w:color w:val="auto"/>
          <w:kern w:val="2"/>
          <w:sz w:val="32"/>
          <w:szCs w:val="32"/>
          <w:highlight w:val="none"/>
          <w:lang w:val="en-US" w:eastAsia="zh-CN"/>
        </w:rPr>
        <w:t xml:space="preserve">   30</w:t>
      </w:r>
      <w:r>
        <w:rPr>
          <w:rFonts w:hint="eastAsia" w:ascii="Times New Roman" w:hAnsi="Times New Roman" w:eastAsia="仿宋_GB2312" w:cs="仿宋_GB2312"/>
          <w:color w:val="auto"/>
          <w:kern w:val="2"/>
          <w:sz w:val="32"/>
          <w:szCs w:val="32"/>
          <w:highlight w:val="none"/>
          <w:lang w:val="zh-CN" w:eastAsia="zh-CN"/>
        </w:rPr>
        <w:t>万元，1—1</w:t>
      </w:r>
      <w:r>
        <w:rPr>
          <w:rFonts w:hint="eastAsia" w:ascii="Times New Roman" w:hAnsi="Times New Roman" w:eastAsia="仿宋_GB2312" w:cs="仿宋_GB2312"/>
          <w:color w:val="auto"/>
          <w:kern w:val="2"/>
          <w:sz w:val="32"/>
          <w:szCs w:val="32"/>
          <w:highlight w:val="none"/>
          <w:lang w:val="en-US" w:eastAsia="zh-CN"/>
        </w:rPr>
        <w:t>2</w:t>
      </w:r>
      <w:r>
        <w:rPr>
          <w:rFonts w:hint="eastAsia" w:ascii="Times New Roman" w:hAnsi="Times New Roman" w:eastAsia="仿宋_GB2312" w:cs="仿宋_GB2312"/>
          <w:color w:val="auto"/>
          <w:kern w:val="2"/>
          <w:sz w:val="32"/>
          <w:szCs w:val="32"/>
          <w:highlight w:val="none"/>
          <w:lang w:val="zh-CN" w:eastAsia="zh-CN"/>
        </w:rPr>
        <w:t>月预算执行总体进度为</w:t>
      </w:r>
      <w:r>
        <w:rPr>
          <w:rFonts w:hint="eastAsia" w:ascii="Times New Roman" w:hAnsi="Times New Roman" w:eastAsia="仿宋_GB2312" w:cs="仿宋_GB2312"/>
          <w:color w:val="auto"/>
          <w:kern w:val="2"/>
          <w:sz w:val="32"/>
          <w:szCs w:val="32"/>
          <w:highlight w:val="none"/>
          <w:lang w:val="en-US" w:eastAsia="zh-CN"/>
        </w:rPr>
        <w:t xml:space="preserve"> 100 </w:t>
      </w:r>
      <w:r>
        <w:rPr>
          <w:rFonts w:hint="eastAsia" w:ascii="Times New Roman" w:hAnsi="Times New Roman" w:eastAsia="仿宋_GB2312" w:cs="仿宋_GB2312"/>
          <w:color w:val="auto"/>
          <w:kern w:val="2"/>
          <w:sz w:val="32"/>
          <w:szCs w:val="32"/>
          <w:highlight w:val="none"/>
          <w:lang w:val="zh-CN" w:eastAsia="zh-CN"/>
        </w:rPr>
        <w:t>%，其中：预算结余率大于</w:t>
      </w:r>
      <w:r>
        <w:rPr>
          <w:rFonts w:hint="eastAsia" w:ascii="Times New Roman" w:hAnsi="Times New Roman" w:eastAsia="仿宋_GB2312" w:cs="仿宋_GB2312"/>
          <w:color w:val="auto"/>
          <w:kern w:val="2"/>
          <w:sz w:val="32"/>
          <w:szCs w:val="32"/>
          <w:highlight w:val="none"/>
          <w:lang w:val="en-US" w:eastAsia="zh-CN"/>
        </w:rPr>
        <w:t>10%</w:t>
      </w:r>
      <w:r>
        <w:rPr>
          <w:rFonts w:hint="eastAsia" w:ascii="Times New Roman" w:hAnsi="Times New Roman" w:eastAsia="仿宋_GB2312" w:cs="仿宋_GB2312"/>
          <w:color w:val="auto"/>
          <w:kern w:val="2"/>
          <w:sz w:val="32"/>
          <w:szCs w:val="32"/>
          <w:highlight w:val="none"/>
          <w:lang w:val="zh-CN" w:eastAsia="zh-CN"/>
        </w:rPr>
        <w:t>的项目共计</w:t>
      </w:r>
      <w:r>
        <w:rPr>
          <w:rFonts w:hint="eastAsia" w:ascii="Times New Roman" w:hAnsi="Times New Roman" w:eastAsia="仿宋_GB2312" w:cs="仿宋_GB2312"/>
          <w:color w:val="auto"/>
          <w:kern w:val="2"/>
          <w:sz w:val="32"/>
          <w:szCs w:val="32"/>
          <w:highlight w:val="none"/>
          <w:lang w:val="en-US" w:eastAsia="zh-CN"/>
        </w:rPr>
        <w:t xml:space="preserve"> 0 </w:t>
      </w:r>
      <w:r>
        <w:rPr>
          <w:rFonts w:hint="eastAsia" w:ascii="Times New Roman" w:hAnsi="Times New Roman" w:eastAsia="仿宋_GB2312" w:cs="仿宋_GB2312"/>
          <w:color w:val="auto"/>
          <w:kern w:val="2"/>
          <w:sz w:val="32"/>
          <w:szCs w:val="32"/>
          <w:highlight w:val="none"/>
          <w:lang w:val="zh-CN" w:eastAsia="zh-CN"/>
        </w:rPr>
        <w:t>个。</w:t>
      </w:r>
    </w:p>
    <w:p w14:paraId="65AF8FE4">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eastAsia" w:ascii="Times New Roman" w:hAnsi="Times New Roman" w:eastAsia="仿宋_GB2312" w:cs="仿宋_GB2312"/>
          <w:color w:val="auto"/>
          <w:kern w:val="2"/>
          <w:sz w:val="32"/>
          <w:szCs w:val="32"/>
          <w:highlight w:val="none"/>
          <w:lang w:val="en-US" w:eastAsia="zh-CN"/>
        </w:rPr>
        <w:t>阶段（一次性）项目绩效分析。</w:t>
      </w:r>
      <w:r>
        <w:rPr>
          <w:rFonts w:hint="eastAsia" w:ascii="Times New Roman" w:hAnsi="Times New Roman" w:eastAsia="仿宋_GB2312" w:cs="仿宋_GB2312"/>
          <w:color w:val="auto"/>
          <w:kern w:val="2"/>
          <w:sz w:val="32"/>
          <w:szCs w:val="32"/>
          <w:highlight w:val="none"/>
          <w:lang w:val="zh-CN" w:eastAsia="zh-CN"/>
        </w:rPr>
        <w:t>该类项目总数</w:t>
      </w:r>
      <w:r>
        <w:rPr>
          <w:rFonts w:hint="eastAsia" w:ascii="Times New Roman" w:hAnsi="Times New Roman" w:eastAsia="仿宋_GB2312" w:cs="仿宋_GB2312"/>
          <w:color w:val="auto"/>
          <w:kern w:val="2"/>
          <w:sz w:val="32"/>
          <w:szCs w:val="32"/>
          <w:highlight w:val="none"/>
          <w:lang w:val="en-US" w:eastAsia="zh-CN"/>
        </w:rPr>
        <w:t>4</w:t>
      </w:r>
      <w:r>
        <w:rPr>
          <w:rFonts w:hint="eastAsia" w:ascii="Times New Roman" w:hAnsi="Times New Roman" w:eastAsia="仿宋_GB2312" w:cs="仿宋_GB2312"/>
          <w:color w:val="auto"/>
          <w:kern w:val="2"/>
          <w:sz w:val="32"/>
          <w:szCs w:val="32"/>
          <w:highlight w:val="none"/>
          <w:lang w:val="zh-CN" w:eastAsia="zh-CN"/>
        </w:rPr>
        <w:t>个，涉及预算总金额</w:t>
      </w:r>
      <w:r>
        <w:rPr>
          <w:rFonts w:hint="eastAsia" w:ascii="Times New Roman" w:hAnsi="Times New Roman" w:eastAsia="仿宋_GB2312" w:cs="仿宋_GB2312"/>
          <w:color w:val="auto"/>
          <w:kern w:val="2"/>
          <w:sz w:val="32"/>
          <w:szCs w:val="32"/>
          <w:highlight w:val="none"/>
          <w:lang w:val="en-US" w:eastAsia="zh-CN"/>
        </w:rPr>
        <w:t>222.96</w:t>
      </w:r>
      <w:r>
        <w:rPr>
          <w:rFonts w:hint="eastAsia" w:ascii="Times New Roman" w:hAnsi="Times New Roman" w:eastAsia="仿宋_GB2312" w:cs="仿宋_GB2312"/>
          <w:color w:val="auto"/>
          <w:kern w:val="2"/>
          <w:sz w:val="32"/>
          <w:szCs w:val="32"/>
          <w:highlight w:val="none"/>
          <w:lang w:val="zh-CN" w:eastAsia="zh-CN"/>
        </w:rPr>
        <w:t>万元，1—1</w:t>
      </w:r>
      <w:r>
        <w:rPr>
          <w:rFonts w:hint="eastAsia" w:ascii="Times New Roman" w:hAnsi="Times New Roman" w:eastAsia="仿宋_GB2312" w:cs="仿宋_GB2312"/>
          <w:color w:val="auto"/>
          <w:kern w:val="2"/>
          <w:sz w:val="32"/>
          <w:szCs w:val="32"/>
          <w:highlight w:val="none"/>
          <w:lang w:val="en-US" w:eastAsia="zh-CN"/>
        </w:rPr>
        <w:t>2</w:t>
      </w:r>
      <w:r>
        <w:rPr>
          <w:rFonts w:hint="eastAsia" w:ascii="Times New Roman" w:hAnsi="Times New Roman" w:eastAsia="仿宋_GB2312" w:cs="仿宋_GB2312"/>
          <w:color w:val="auto"/>
          <w:kern w:val="2"/>
          <w:sz w:val="32"/>
          <w:szCs w:val="32"/>
          <w:highlight w:val="none"/>
          <w:lang w:val="zh-CN" w:eastAsia="zh-CN"/>
        </w:rPr>
        <w:t>月预算执行总体进度为</w:t>
      </w:r>
      <w:r>
        <w:rPr>
          <w:rFonts w:hint="eastAsia" w:ascii="Times New Roman" w:hAnsi="Times New Roman" w:eastAsia="仿宋_GB2312" w:cs="仿宋_GB2312"/>
          <w:color w:val="auto"/>
          <w:kern w:val="2"/>
          <w:sz w:val="32"/>
          <w:szCs w:val="32"/>
          <w:highlight w:val="none"/>
          <w:lang w:val="en-US" w:eastAsia="zh-CN"/>
        </w:rPr>
        <w:t xml:space="preserve"> 100 </w:t>
      </w:r>
      <w:r>
        <w:rPr>
          <w:rFonts w:hint="eastAsia" w:ascii="Times New Roman" w:hAnsi="Times New Roman" w:eastAsia="仿宋_GB2312" w:cs="仿宋_GB2312"/>
          <w:color w:val="auto"/>
          <w:kern w:val="2"/>
          <w:sz w:val="32"/>
          <w:szCs w:val="32"/>
          <w:highlight w:val="none"/>
          <w:lang w:val="zh-CN" w:eastAsia="zh-CN"/>
        </w:rPr>
        <w:t>%，其中：预算结余率大于</w:t>
      </w:r>
      <w:r>
        <w:rPr>
          <w:rFonts w:hint="eastAsia" w:ascii="Times New Roman" w:hAnsi="Times New Roman" w:eastAsia="仿宋_GB2312" w:cs="仿宋_GB2312"/>
          <w:color w:val="auto"/>
          <w:kern w:val="2"/>
          <w:sz w:val="32"/>
          <w:szCs w:val="32"/>
          <w:highlight w:val="none"/>
          <w:lang w:val="en-US" w:eastAsia="zh-CN"/>
        </w:rPr>
        <w:t>10%</w:t>
      </w:r>
      <w:r>
        <w:rPr>
          <w:rFonts w:hint="eastAsia" w:ascii="Times New Roman" w:hAnsi="Times New Roman" w:eastAsia="仿宋_GB2312" w:cs="仿宋_GB2312"/>
          <w:color w:val="auto"/>
          <w:kern w:val="2"/>
          <w:sz w:val="32"/>
          <w:szCs w:val="32"/>
          <w:highlight w:val="none"/>
          <w:lang w:val="zh-CN" w:eastAsia="zh-CN"/>
        </w:rPr>
        <w:t>的项目共计</w:t>
      </w:r>
      <w:r>
        <w:rPr>
          <w:rFonts w:hint="eastAsia" w:ascii="Times New Roman" w:hAnsi="Times New Roman"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zh-CN" w:eastAsia="zh-CN"/>
        </w:rPr>
        <w:t>个。</w:t>
      </w:r>
    </w:p>
    <w:p w14:paraId="4AA0A570">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eastAsia" w:ascii="Times New Roman" w:hAnsi="Times New Roman" w:eastAsia="仿宋_GB2312" w:cs="仿宋_GB2312"/>
          <w:color w:val="auto"/>
          <w:kern w:val="2"/>
          <w:sz w:val="32"/>
          <w:szCs w:val="32"/>
          <w:highlight w:val="none"/>
          <w:lang w:eastAsia="zh-CN"/>
        </w:rPr>
        <w:t>1、</w:t>
      </w:r>
      <w:r>
        <w:rPr>
          <w:rFonts w:hint="eastAsia" w:ascii="Times New Roman" w:hAnsi="Times New Roman" w:eastAsia="仿宋_GB2312" w:cs="仿宋_GB2312"/>
          <w:color w:val="auto"/>
          <w:kern w:val="2"/>
          <w:sz w:val="32"/>
          <w:szCs w:val="32"/>
          <w:highlight w:val="none"/>
          <w:lang w:val="zh-CN" w:eastAsia="zh-CN"/>
        </w:rPr>
        <w:t>项目决策。</w:t>
      </w:r>
      <w:r>
        <w:rPr>
          <w:rFonts w:hint="eastAsia" w:ascii="Times New Roman" w:hAnsi="Times New Roman" w:eastAsia="仿宋_GB2312" w:cs="仿宋_GB2312"/>
          <w:color w:val="auto"/>
          <w:kern w:val="2"/>
          <w:sz w:val="32"/>
          <w:szCs w:val="32"/>
          <w:highlight w:val="none"/>
          <w:lang w:eastAsia="zh-CN"/>
        </w:rPr>
        <w:t>认真履行最大民生部门、经济社会发展重要助推部门两大职能职责，全力实施就业优先、社会保障和分配制度改革、人才支撑、和谐劳动关系、“温暖人社”等五大行动，</w:t>
      </w:r>
      <w:r>
        <w:rPr>
          <w:rFonts w:hint="eastAsia" w:ascii="Times New Roman" w:hAnsi="Times New Roman" w:eastAsia="仿宋_GB2312" w:cs="仿宋_GB2312"/>
          <w:color w:val="auto"/>
          <w:kern w:val="2"/>
          <w:sz w:val="32"/>
          <w:szCs w:val="32"/>
          <w:highlight w:val="none"/>
          <w:lang w:val="zh-CN" w:eastAsia="zh-CN"/>
        </w:rPr>
        <w:t>通过规范化，系统化的流程，成立专业研究小组全面评估项目可行性、必要性和合理性，提出具体实施方案和预算安排，专家评审后经单位领导审批同意后项目开始实施。</w:t>
      </w:r>
      <w:r>
        <w:rPr>
          <w:rFonts w:hint="default" w:ascii="Times New Roman" w:hAnsi="Times New Roman" w:eastAsia="仿宋_GB2312" w:cs="仿宋_GB2312"/>
          <w:color w:val="auto"/>
          <w:kern w:val="2"/>
          <w:sz w:val="32"/>
          <w:szCs w:val="32"/>
          <w:highlight w:val="none"/>
          <w:lang w:val="zh-CN" w:eastAsia="zh-CN"/>
        </w:rPr>
        <w:t>项目入库</w:t>
      </w:r>
      <w:r>
        <w:rPr>
          <w:rFonts w:hint="eastAsia" w:ascii="Times New Roman" w:hAnsi="Times New Roman" w:eastAsia="仿宋_GB2312" w:cs="仿宋_GB2312"/>
          <w:color w:val="auto"/>
          <w:kern w:val="2"/>
          <w:sz w:val="32"/>
          <w:szCs w:val="32"/>
          <w:highlight w:val="none"/>
          <w:lang w:val="zh-CN" w:eastAsia="zh-CN"/>
        </w:rPr>
        <w:t>全部到位</w:t>
      </w:r>
      <w:r>
        <w:rPr>
          <w:rFonts w:hint="eastAsia" w:ascii="Times New Roman" w:hAnsi="Times New Roman" w:eastAsia="仿宋_GB2312" w:cs="仿宋_GB2312"/>
          <w:color w:val="auto"/>
          <w:kern w:val="2"/>
          <w:sz w:val="32"/>
          <w:szCs w:val="32"/>
          <w:highlight w:val="none"/>
          <w:lang w:val="en-US" w:eastAsia="zh-CN"/>
        </w:rPr>
        <w:t>。</w:t>
      </w:r>
    </w:p>
    <w:p w14:paraId="7CE3BE13">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eastAsia="zh-CN"/>
        </w:rPr>
        <w:t>2、项目执行</w:t>
      </w:r>
      <w:r>
        <w:rPr>
          <w:rFonts w:hint="eastAsia" w:ascii="Times New Roman" w:hAnsi="Times New Roman" w:eastAsia="仿宋_GB2312" w:cs="仿宋_GB2312"/>
          <w:color w:val="auto"/>
          <w:kern w:val="2"/>
          <w:sz w:val="32"/>
          <w:szCs w:val="32"/>
          <w:highlight w:val="none"/>
          <w:lang w:val="zh-CN" w:eastAsia="zh-CN"/>
        </w:rPr>
        <w:t>。</w:t>
      </w:r>
      <w:r>
        <w:rPr>
          <w:rFonts w:hint="eastAsia" w:ascii="Times New Roman" w:hAnsi="Times New Roman" w:eastAsia="仿宋_GB2312" w:cs="仿宋_GB2312"/>
          <w:color w:val="auto"/>
          <w:kern w:val="2"/>
          <w:sz w:val="32"/>
          <w:szCs w:val="32"/>
          <w:highlight w:val="none"/>
          <w:lang w:val="en-US" w:eastAsia="zh-CN"/>
        </w:rPr>
        <w:t>项目资金年初预算98.02</w:t>
      </w:r>
      <w:r>
        <w:rPr>
          <w:rFonts w:hint="eastAsia" w:ascii="Times New Roman" w:hAnsi="Times New Roman" w:eastAsia="仿宋_GB2312" w:cs="仿宋_GB2312"/>
          <w:color w:val="auto"/>
          <w:kern w:val="2"/>
          <w:sz w:val="32"/>
          <w:szCs w:val="32"/>
          <w:highlight w:val="none"/>
          <w:lang w:eastAsia="zh-CN"/>
        </w:rPr>
        <w:t>万元，使用</w:t>
      </w:r>
      <w:r>
        <w:rPr>
          <w:rFonts w:hint="eastAsia" w:ascii="Times New Roman" w:hAnsi="Times New Roman" w:eastAsia="仿宋_GB2312" w:cs="仿宋_GB2312"/>
          <w:color w:val="auto"/>
          <w:kern w:val="2"/>
          <w:sz w:val="32"/>
          <w:szCs w:val="32"/>
          <w:highlight w:val="none"/>
          <w:lang w:val="en-US" w:eastAsia="zh-CN"/>
        </w:rPr>
        <w:t>639.13</w:t>
      </w:r>
      <w:r>
        <w:rPr>
          <w:rFonts w:hint="eastAsia" w:ascii="Times New Roman" w:hAnsi="Times New Roman" w:eastAsia="仿宋_GB2312" w:cs="仿宋_GB2312"/>
          <w:color w:val="auto"/>
          <w:kern w:val="2"/>
          <w:sz w:val="32"/>
          <w:szCs w:val="32"/>
          <w:highlight w:val="none"/>
          <w:lang w:eastAsia="zh-CN"/>
        </w:rPr>
        <w:t>万元（其中：预算支出</w:t>
      </w:r>
      <w:r>
        <w:rPr>
          <w:rFonts w:hint="eastAsia" w:ascii="Times New Roman" w:hAnsi="Times New Roman" w:eastAsia="仿宋_GB2312" w:cs="仿宋_GB2312"/>
          <w:color w:val="auto"/>
          <w:kern w:val="2"/>
          <w:sz w:val="32"/>
          <w:szCs w:val="32"/>
          <w:highlight w:val="none"/>
          <w:lang w:val="en-US" w:eastAsia="zh-CN"/>
        </w:rPr>
        <w:t>639.13</w:t>
      </w:r>
      <w:r>
        <w:rPr>
          <w:rFonts w:hint="eastAsia" w:ascii="Times New Roman" w:hAnsi="Times New Roman" w:eastAsia="仿宋_GB2312" w:cs="仿宋_GB2312"/>
          <w:color w:val="auto"/>
          <w:kern w:val="2"/>
          <w:sz w:val="32"/>
          <w:szCs w:val="32"/>
          <w:highlight w:val="none"/>
          <w:lang w:eastAsia="zh-CN"/>
        </w:rPr>
        <w:t>万元，年度</w:t>
      </w:r>
      <w:r>
        <w:rPr>
          <w:rFonts w:hint="eastAsia" w:ascii="Times New Roman" w:hAnsi="Times New Roman" w:eastAsia="仿宋_GB2312" w:cs="仿宋_GB2312"/>
          <w:color w:val="auto"/>
          <w:kern w:val="2"/>
          <w:sz w:val="32"/>
          <w:szCs w:val="32"/>
          <w:highlight w:val="none"/>
          <w:lang w:val="en-US" w:eastAsia="zh-CN"/>
        </w:rPr>
        <w:t>调增</w:t>
      </w:r>
      <w:r>
        <w:rPr>
          <w:rFonts w:hint="eastAsia" w:ascii="Times New Roman" w:hAnsi="Times New Roman" w:eastAsia="仿宋_GB2312" w:cs="仿宋_GB2312"/>
          <w:color w:val="auto"/>
          <w:kern w:val="2"/>
          <w:sz w:val="32"/>
          <w:szCs w:val="32"/>
          <w:highlight w:val="none"/>
          <w:lang w:eastAsia="zh-CN"/>
        </w:rPr>
        <w:t>预算</w:t>
      </w:r>
      <w:r>
        <w:rPr>
          <w:rFonts w:hint="eastAsia" w:ascii="Times New Roman" w:hAnsi="Times New Roman" w:eastAsia="仿宋_GB2312" w:cs="仿宋_GB2312"/>
          <w:color w:val="auto"/>
          <w:kern w:val="2"/>
          <w:sz w:val="32"/>
          <w:szCs w:val="32"/>
          <w:highlight w:val="none"/>
          <w:lang w:val="en-US" w:eastAsia="zh-CN"/>
        </w:rPr>
        <w:t>541.11</w:t>
      </w:r>
      <w:r>
        <w:rPr>
          <w:rFonts w:hint="eastAsia" w:ascii="Times New Roman" w:hAnsi="Times New Roman" w:eastAsia="仿宋_GB2312" w:cs="仿宋_GB2312"/>
          <w:color w:val="auto"/>
          <w:kern w:val="2"/>
          <w:sz w:val="32"/>
          <w:szCs w:val="32"/>
          <w:highlight w:val="none"/>
          <w:lang w:eastAsia="zh-CN"/>
        </w:rPr>
        <w:t>万元)。</w:t>
      </w:r>
    </w:p>
    <w:p w14:paraId="788C01A3">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eastAsia" w:ascii="Times New Roman" w:hAnsi="Times New Roman" w:eastAsia="仿宋_GB2312" w:cs="仿宋_GB2312"/>
          <w:color w:val="auto"/>
          <w:kern w:val="2"/>
          <w:sz w:val="32"/>
          <w:szCs w:val="32"/>
          <w:highlight w:val="none"/>
          <w:lang w:eastAsia="zh-CN"/>
        </w:rPr>
        <w:t>3、</w:t>
      </w:r>
      <w:r>
        <w:rPr>
          <w:rFonts w:hint="eastAsia" w:ascii="Times New Roman" w:hAnsi="Times New Roman" w:eastAsia="仿宋_GB2312" w:cs="仿宋_GB2312"/>
          <w:color w:val="auto"/>
          <w:kern w:val="2"/>
          <w:sz w:val="32"/>
          <w:szCs w:val="32"/>
          <w:highlight w:val="none"/>
          <w:lang w:val="zh-CN" w:eastAsia="zh-CN"/>
        </w:rPr>
        <w:t>目标实现。202</w:t>
      </w:r>
      <w:r>
        <w:rPr>
          <w:rFonts w:hint="eastAsia" w:ascii="Times New Roman" w:hAnsi="Times New Roman" w:eastAsia="仿宋_GB2312" w:cs="仿宋_GB2312"/>
          <w:color w:val="auto"/>
          <w:kern w:val="2"/>
          <w:sz w:val="32"/>
          <w:szCs w:val="32"/>
          <w:highlight w:val="none"/>
          <w:lang w:eastAsia="zh-CN"/>
        </w:rPr>
        <w:t>4</w:t>
      </w:r>
      <w:r>
        <w:rPr>
          <w:rFonts w:hint="eastAsia" w:ascii="Times New Roman" w:hAnsi="Times New Roman" w:eastAsia="仿宋_GB2312" w:cs="仿宋_GB2312"/>
          <w:color w:val="auto"/>
          <w:kern w:val="2"/>
          <w:sz w:val="32"/>
          <w:szCs w:val="32"/>
          <w:highlight w:val="none"/>
          <w:lang w:val="zh-CN" w:eastAsia="zh-CN"/>
        </w:rPr>
        <w:t>年</w:t>
      </w:r>
      <w:r>
        <w:rPr>
          <w:rFonts w:hint="default" w:ascii="Times New Roman" w:hAnsi="Times New Roman" w:eastAsia="仿宋_GB2312" w:cs="仿宋_GB2312"/>
          <w:color w:val="auto"/>
          <w:kern w:val="2"/>
          <w:sz w:val="32"/>
          <w:szCs w:val="32"/>
          <w:highlight w:val="none"/>
          <w:lang w:val="en-US" w:eastAsia="zh-CN"/>
        </w:rPr>
        <w:t>全区城镇新增就业3385人，促进城镇失业人员再就业1358人，就业困难人员就业145人，</w:t>
      </w:r>
      <w:r>
        <w:rPr>
          <w:rFonts w:hint="eastAsia" w:ascii="Times New Roman" w:hAnsi="Times New Roman" w:eastAsia="仿宋_GB2312" w:cs="仿宋_GB2312"/>
          <w:color w:val="auto"/>
          <w:kern w:val="2"/>
          <w:sz w:val="32"/>
          <w:szCs w:val="32"/>
          <w:highlight w:val="none"/>
          <w:lang w:eastAsia="zh-CN"/>
        </w:rPr>
        <w:t>促进</w:t>
      </w:r>
      <w:r>
        <w:rPr>
          <w:rFonts w:hint="default" w:ascii="Times New Roman" w:hAnsi="Times New Roman" w:eastAsia="仿宋_GB2312" w:cs="仿宋_GB2312"/>
          <w:color w:val="auto"/>
          <w:kern w:val="2"/>
          <w:sz w:val="32"/>
          <w:szCs w:val="32"/>
          <w:highlight w:val="none"/>
          <w:lang w:val="en-US" w:eastAsia="zh-CN"/>
        </w:rPr>
        <w:t>脱贫劳动力转移就业</w:t>
      </w:r>
      <w:r>
        <w:rPr>
          <w:rFonts w:hint="eastAsia" w:ascii="Times New Roman" w:hAnsi="Times New Roman" w:eastAsia="仿宋_GB2312" w:cs="仿宋_GB2312"/>
          <w:color w:val="auto"/>
          <w:kern w:val="2"/>
          <w:sz w:val="32"/>
          <w:szCs w:val="32"/>
          <w:highlight w:val="none"/>
          <w:lang w:val="en-US" w:eastAsia="zh-CN"/>
        </w:rPr>
        <w:t>2.39万</w:t>
      </w:r>
      <w:r>
        <w:rPr>
          <w:rFonts w:hint="default" w:ascii="Times New Roman" w:hAnsi="Times New Roman" w:eastAsia="仿宋_GB2312" w:cs="仿宋_GB2312"/>
          <w:color w:val="auto"/>
          <w:kern w:val="2"/>
          <w:sz w:val="32"/>
          <w:szCs w:val="32"/>
          <w:highlight w:val="none"/>
          <w:lang w:val="en-US" w:eastAsia="zh-CN"/>
        </w:rPr>
        <w:t>人，</w:t>
      </w:r>
      <w:r>
        <w:rPr>
          <w:rFonts w:hint="eastAsia" w:ascii="Times New Roman" w:hAnsi="Times New Roman" w:eastAsia="仿宋_GB2312" w:cs="仿宋_GB2312"/>
          <w:color w:val="auto"/>
          <w:kern w:val="2"/>
          <w:sz w:val="32"/>
          <w:szCs w:val="32"/>
          <w:highlight w:val="none"/>
          <w:lang w:val="en-US" w:eastAsia="zh-CN"/>
        </w:rPr>
        <w:t>均超额</w:t>
      </w:r>
      <w:r>
        <w:rPr>
          <w:rFonts w:hint="default" w:ascii="Times New Roman" w:hAnsi="Times New Roman" w:eastAsia="仿宋_GB2312" w:cs="仿宋_GB2312"/>
          <w:color w:val="auto"/>
          <w:kern w:val="2"/>
          <w:sz w:val="32"/>
          <w:szCs w:val="32"/>
          <w:highlight w:val="none"/>
          <w:lang w:val="en-US" w:eastAsia="zh-CN"/>
        </w:rPr>
        <w:t>完成年度目标任务</w:t>
      </w:r>
      <w:r>
        <w:rPr>
          <w:rFonts w:hint="eastAsia" w:ascii="Times New Roman" w:hAnsi="Times New Roman" w:eastAsia="仿宋_GB2312" w:cs="仿宋_GB2312"/>
          <w:color w:val="auto"/>
          <w:kern w:val="2"/>
          <w:sz w:val="32"/>
          <w:szCs w:val="32"/>
          <w:highlight w:val="none"/>
          <w:lang w:val="en-US" w:eastAsia="zh-CN"/>
        </w:rPr>
        <w:t>；吸纳就业见习人员</w:t>
      </w:r>
      <w:r>
        <w:rPr>
          <w:rFonts w:hint="default" w:ascii="Times New Roman" w:hAnsi="Times New Roman" w:eastAsia="仿宋_GB2312" w:cs="仿宋_GB2312"/>
          <w:color w:val="auto"/>
          <w:kern w:val="2"/>
          <w:sz w:val="32"/>
          <w:szCs w:val="32"/>
          <w:highlight w:val="none"/>
          <w:lang w:eastAsia="zh-CN"/>
        </w:rPr>
        <w:t>61人</w:t>
      </w:r>
      <w:r>
        <w:rPr>
          <w:rFonts w:hint="eastAsia" w:ascii="Times New Roman" w:hAnsi="Times New Roman" w:eastAsia="仿宋_GB2312" w:cs="仿宋_GB2312"/>
          <w:color w:val="auto"/>
          <w:kern w:val="2"/>
          <w:sz w:val="32"/>
          <w:szCs w:val="32"/>
          <w:highlight w:val="none"/>
          <w:lang w:val="en-US" w:eastAsia="zh-CN"/>
        </w:rPr>
        <w:t>；兜底安置各类乡村公益性岗位</w:t>
      </w:r>
      <w:r>
        <w:rPr>
          <w:rFonts w:hint="default" w:ascii="Times New Roman" w:hAnsi="Times New Roman" w:eastAsia="仿宋_GB2312" w:cs="仿宋_GB2312"/>
          <w:color w:val="auto"/>
          <w:kern w:val="2"/>
          <w:sz w:val="32"/>
          <w:szCs w:val="32"/>
          <w:highlight w:val="none"/>
          <w:lang w:eastAsia="zh-CN"/>
        </w:rPr>
        <w:t>667</w:t>
      </w:r>
      <w:r>
        <w:rPr>
          <w:rFonts w:hint="eastAsia" w:ascii="Times New Roman" w:hAnsi="Times New Roman" w:eastAsia="仿宋_GB2312" w:cs="仿宋_GB2312"/>
          <w:color w:val="auto"/>
          <w:kern w:val="2"/>
          <w:sz w:val="32"/>
          <w:szCs w:val="32"/>
          <w:highlight w:val="none"/>
          <w:lang w:val="en-US" w:eastAsia="zh-CN"/>
        </w:rPr>
        <w:t>人次；</w:t>
      </w:r>
      <w:r>
        <w:rPr>
          <w:rFonts w:hint="default" w:ascii="Times New Roman" w:hAnsi="Times New Roman" w:eastAsia="仿宋_GB2312" w:cs="仿宋_GB2312"/>
          <w:color w:val="auto"/>
          <w:kern w:val="2"/>
          <w:sz w:val="32"/>
          <w:szCs w:val="32"/>
          <w:highlight w:val="none"/>
          <w:lang w:eastAsia="zh-CN"/>
        </w:rPr>
        <w:t>发放创业担保贷款293笔7620万元、创业补贴198万元，直接扶持198人创业，带动吸纳就业人数1280余人</w:t>
      </w:r>
      <w:r>
        <w:rPr>
          <w:rFonts w:hint="eastAsia" w:ascii="Times New Roman" w:hAnsi="Times New Roman"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开展各类线上线下专场招聘会</w:t>
      </w:r>
      <w:r>
        <w:rPr>
          <w:rFonts w:hint="default" w:ascii="Times New Roman" w:hAnsi="Times New Roman" w:eastAsia="仿宋_GB2312" w:cs="仿宋_GB2312"/>
          <w:color w:val="auto"/>
          <w:kern w:val="2"/>
          <w:sz w:val="32"/>
          <w:szCs w:val="32"/>
          <w:highlight w:val="none"/>
          <w:lang w:eastAsia="zh-CN"/>
        </w:rPr>
        <w:t>60</w:t>
      </w:r>
      <w:r>
        <w:rPr>
          <w:rFonts w:hint="eastAsia" w:ascii="Times New Roman" w:hAnsi="Times New Roman" w:eastAsia="仿宋_GB2312" w:cs="仿宋_GB2312"/>
          <w:color w:val="auto"/>
          <w:kern w:val="2"/>
          <w:sz w:val="32"/>
          <w:szCs w:val="32"/>
          <w:highlight w:val="none"/>
          <w:lang w:val="en-US" w:eastAsia="zh-CN"/>
        </w:rPr>
        <w:t>场次，达成就业意向</w:t>
      </w:r>
      <w:r>
        <w:rPr>
          <w:rFonts w:hint="default" w:ascii="Times New Roman" w:hAnsi="Times New Roman" w:eastAsia="仿宋_GB2312" w:cs="仿宋_GB2312"/>
          <w:color w:val="auto"/>
          <w:kern w:val="2"/>
          <w:sz w:val="32"/>
          <w:szCs w:val="32"/>
          <w:highlight w:val="none"/>
          <w:lang w:eastAsia="zh-CN"/>
        </w:rPr>
        <w:t>2700</w:t>
      </w:r>
      <w:r>
        <w:rPr>
          <w:rFonts w:hint="eastAsia" w:ascii="Times New Roman" w:hAnsi="Times New Roman" w:eastAsia="仿宋_GB2312" w:cs="仿宋_GB2312"/>
          <w:color w:val="auto"/>
          <w:kern w:val="2"/>
          <w:sz w:val="32"/>
          <w:szCs w:val="32"/>
          <w:highlight w:val="none"/>
          <w:lang w:val="en-US" w:eastAsia="zh-CN"/>
        </w:rPr>
        <w:t>余人；</w:t>
      </w:r>
      <w:r>
        <w:rPr>
          <w:rFonts w:hint="eastAsia" w:ascii="Times New Roman" w:hAnsi="Times New Roman" w:eastAsia="仿宋_GB2312" w:cs="仿宋_GB2312"/>
          <w:color w:val="auto"/>
          <w:kern w:val="2"/>
          <w:sz w:val="32"/>
          <w:szCs w:val="32"/>
          <w:highlight w:val="none"/>
          <w:lang w:eastAsia="zh-CN"/>
        </w:rPr>
        <w:t>开展</w:t>
      </w:r>
      <w:r>
        <w:rPr>
          <w:rFonts w:hint="default" w:ascii="Times New Roman" w:hAnsi="Times New Roman" w:eastAsia="仿宋_GB2312" w:cs="仿宋_GB2312"/>
          <w:color w:val="auto"/>
          <w:kern w:val="2"/>
          <w:sz w:val="32"/>
          <w:szCs w:val="32"/>
          <w:highlight w:val="none"/>
          <w:lang w:eastAsia="zh-CN"/>
        </w:rPr>
        <w:t>职业技能培训995人次，创业培训220人次</w:t>
      </w:r>
      <w:r>
        <w:rPr>
          <w:rFonts w:hint="eastAsia" w:ascii="Times New Roman" w:hAnsi="Times New Roman" w:eastAsia="仿宋_GB2312" w:cs="仿宋_GB2312"/>
          <w:color w:val="auto"/>
          <w:kern w:val="2"/>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rPr>
        <w:t>2024年全区城镇职工养老保险、工伤保险、机关养老保险和城乡居民养老保险参保人数分别达4.1万人、2.74万人、0.7624万人、31.46万人；征收保险费分别为18265万元、429万元、16245万元、11678万元；享受待遇人数分别为2.6万人、129人、0.38万人、12.6万人，发放保险待遇分别为42796万元、675万元、20107万元 、20806万元。按照100元/人的代缴标准，代缴困难群体城乡居民基本养老保险13757人，代缴资金137.57万元。2024年，通过公开考试招聘引进事业人员46人；通过干部调动的方式引进区外优秀事业干部10人；通过</w:t>
      </w:r>
      <w:r>
        <w:rPr>
          <w:rFonts w:hint="eastAsia" w:ascii="Times New Roman" w:hAnsi="Times New Roman" w:eastAsia="仿宋_GB2312" w:cs="仿宋_GB2312"/>
          <w:color w:val="auto"/>
          <w:kern w:val="2"/>
          <w:sz w:val="32"/>
          <w:szCs w:val="32"/>
          <w:highlight w:val="none"/>
          <w:lang w:eastAsia="zh-CN"/>
        </w:rPr>
        <w:t>“遂企智造·职等你来”招聘各类专业人才</w:t>
      </w:r>
      <w:r>
        <w:rPr>
          <w:rFonts w:hint="eastAsia" w:ascii="Times New Roman" w:hAnsi="Times New Roman" w:eastAsia="仿宋_GB2312" w:cs="仿宋_GB2312"/>
          <w:color w:val="auto"/>
          <w:kern w:val="2"/>
          <w:sz w:val="32"/>
          <w:szCs w:val="32"/>
          <w:highlight w:val="none"/>
          <w:lang w:val="en-US" w:eastAsia="zh-CN"/>
        </w:rPr>
        <w:t>150余人。集中开展了管理职员等级晋升工作，晋升七级职员1人，八级职员19人；成功推荐遂宁市第三批“金荷花”领军人才1人。向90名高层次引进人才共计发放人才补贴167.7万余元；成功组织50名高层次人才前往北京大学开展高层次人才国情省情研修班，为人才能力提升进一步添砖加瓦。梳理回复全区政府服务热线12345欠薪2327件、四川省信访系统欠薪信访13件、麻辣社区和问政四川欠薪留言29件、全国欠薪平台反映欠薪线索222件，（回复率100%，满意率96.35%）。</w:t>
      </w:r>
      <w:r>
        <w:rPr>
          <w:rFonts w:hint="eastAsia" w:ascii="Times New Roman" w:hAnsi="Times New Roman" w:eastAsia="仿宋_GB2312" w:cs="仿宋_GB2312"/>
          <w:color w:val="auto"/>
          <w:kern w:val="2"/>
          <w:sz w:val="32"/>
          <w:szCs w:val="32"/>
          <w:highlight w:val="none"/>
          <w:lang w:eastAsia="zh-CN"/>
        </w:rPr>
        <w:t>受理现场举报投诉欠薪</w:t>
      </w:r>
      <w:r>
        <w:rPr>
          <w:rFonts w:hint="eastAsia" w:ascii="Times New Roman" w:hAnsi="Times New Roman" w:eastAsia="仿宋_GB2312" w:cs="仿宋_GB2312"/>
          <w:color w:val="auto"/>
          <w:kern w:val="2"/>
          <w:sz w:val="32"/>
          <w:szCs w:val="32"/>
          <w:highlight w:val="none"/>
          <w:lang w:val="en-US" w:eastAsia="zh-CN"/>
        </w:rPr>
        <w:t>277件，涉及3244人，涉及金额3652.33万元；已完全处理133件，涉及1635人，兑付工资1824.35万余元。</w:t>
      </w:r>
      <w:r>
        <w:rPr>
          <w:rFonts w:hint="eastAsia" w:ascii="Times New Roman" w:hAnsi="Times New Roman" w:eastAsia="仿宋_GB2312" w:cs="仿宋_GB2312"/>
          <w:color w:val="auto"/>
          <w:kern w:val="2"/>
          <w:sz w:val="32"/>
          <w:szCs w:val="32"/>
          <w:highlight w:val="none"/>
          <w:lang w:val="zh-CN" w:eastAsia="zh-CN"/>
        </w:rPr>
        <w:t>全区</w:t>
      </w:r>
      <w:r>
        <w:rPr>
          <w:rFonts w:hint="default" w:ascii="Times New Roman" w:hAnsi="Times New Roman" w:eastAsia="仿宋_GB2312" w:cs="仿宋_GB2312"/>
          <w:color w:val="auto"/>
          <w:kern w:val="2"/>
          <w:sz w:val="32"/>
          <w:szCs w:val="32"/>
          <w:highlight w:val="none"/>
          <w:lang w:val="zh-CN" w:eastAsia="zh-CN"/>
        </w:rPr>
        <w:t>政府投资项目和社会投资项目欠薪</w:t>
      </w:r>
      <w:r>
        <w:rPr>
          <w:rFonts w:hint="eastAsia" w:ascii="Times New Roman" w:hAnsi="Times New Roman" w:eastAsia="仿宋_GB2312" w:cs="仿宋_GB2312"/>
          <w:color w:val="auto"/>
          <w:kern w:val="2"/>
          <w:sz w:val="32"/>
          <w:szCs w:val="32"/>
          <w:highlight w:val="none"/>
          <w:lang w:val="zh-CN" w:eastAsia="zh-CN"/>
        </w:rPr>
        <w:t>动态</w:t>
      </w:r>
      <w:r>
        <w:rPr>
          <w:rFonts w:hint="default" w:ascii="Times New Roman" w:hAnsi="Times New Roman" w:eastAsia="仿宋_GB2312" w:cs="仿宋_GB2312"/>
          <w:color w:val="auto"/>
          <w:kern w:val="2"/>
          <w:sz w:val="32"/>
          <w:szCs w:val="32"/>
          <w:highlight w:val="none"/>
          <w:lang w:val="zh-CN" w:eastAsia="zh-CN"/>
        </w:rPr>
        <w:t>清零，有力维护了社会和谐稳定</w:t>
      </w:r>
    </w:p>
    <w:p w14:paraId="135E3E6F">
      <w:pPr>
        <w:spacing w:line="600" w:lineRule="exact"/>
        <w:ind w:firstLine="632"/>
        <w:rPr>
          <w:rFonts w:hint="eastAsia" w:ascii="Times New Roman" w:hAnsi="Times New Roman" w:eastAsia="仿宋_GB2312" w:cs="仿宋_GB2312"/>
          <w:color w:val="auto"/>
          <w:kern w:val="2"/>
          <w:sz w:val="32"/>
          <w:szCs w:val="32"/>
          <w:highlight w:val="none"/>
          <w:lang w:val="zh-CN" w:eastAsia="zh-CN"/>
        </w:rPr>
      </w:pPr>
      <w:r>
        <w:rPr>
          <w:rFonts w:eastAsia="楷体_GB2312"/>
          <w:b/>
          <w:bCs/>
          <w:color w:val="000000"/>
          <w:szCs w:val="32"/>
          <w:shd w:val="clear" w:color="auto" w:fill="FFFFFF"/>
          <w:lang w:val="zh-CN"/>
        </w:rPr>
        <w:t>（</w:t>
      </w:r>
      <w:r>
        <w:rPr>
          <w:rFonts w:hint="eastAsia" w:eastAsia="楷体_GB2312"/>
          <w:b/>
          <w:bCs/>
          <w:color w:val="000000"/>
          <w:szCs w:val="32"/>
          <w:shd w:val="clear" w:color="auto" w:fill="FFFFFF"/>
          <w:lang w:val="zh-CN"/>
        </w:rPr>
        <w:t>三</w:t>
      </w:r>
      <w:r>
        <w:rPr>
          <w:rFonts w:eastAsia="楷体_GB2312"/>
          <w:b/>
          <w:bCs/>
          <w:color w:val="000000"/>
          <w:szCs w:val="32"/>
          <w:shd w:val="clear" w:color="auto" w:fill="FFFFFF"/>
          <w:lang w:val="zh-CN"/>
        </w:rPr>
        <w:t>）绩效结果应用情况</w:t>
      </w:r>
      <w:r>
        <w:rPr>
          <w:rFonts w:eastAsia="楷体_GB2312"/>
          <w:color w:val="000000"/>
          <w:szCs w:val="32"/>
          <w:shd w:val="clear" w:color="auto" w:fill="FFFFFF"/>
          <w:lang w:val="zh-CN"/>
        </w:rPr>
        <w:t>。</w:t>
      </w:r>
      <w:r>
        <w:rPr>
          <w:rFonts w:hint="eastAsia" w:ascii="Times New Roman" w:hAnsi="Times New Roman" w:eastAsia="仿宋_GB2312" w:cs="仿宋_GB2312"/>
          <w:color w:val="auto"/>
          <w:kern w:val="2"/>
          <w:sz w:val="32"/>
          <w:szCs w:val="32"/>
          <w:highlight w:val="none"/>
          <w:lang w:val="zh-CN" w:eastAsia="zh-CN"/>
        </w:rPr>
        <w:t>在今后编制预算时，根据信息公开按要求将我单位整体绩效自评情况和自行组织的评价情况向社会公开；根据整改反馈问题、完善政策、改进管理的情况并及时向财政部门反馈结果应用情况；将绩效自评价结果作为改进预算管理和安排以后年度预算的重要依据。</w:t>
      </w:r>
    </w:p>
    <w:p w14:paraId="528030CA">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四、评价结论及建议</w:t>
      </w:r>
    </w:p>
    <w:p w14:paraId="05D56162">
      <w:pPr>
        <w:spacing w:line="576" w:lineRule="exact"/>
        <w:ind w:firstLine="632"/>
        <w:jc w:val="left"/>
        <w:rPr>
          <w:rFonts w:eastAsia="楷体_GB2312"/>
          <w:b/>
          <w:bCs/>
          <w:color w:val="000000"/>
          <w:szCs w:val="32"/>
          <w:shd w:val="clear" w:color="auto" w:fill="FFFFFF"/>
          <w:lang w:val="zh-CN"/>
        </w:rPr>
      </w:pPr>
      <w:r>
        <w:rPr>
          <w:rFonts w:eastAsia="楷体_GB2312"/>
          <w:b/>
          <w:bCs/>
          <w:color w:val="000000"/>
          <w:szCs w:val="32"/>
          <w:shd w:val="clear" w:color="auto" w:fill="FFFFFF"/>
          <w:lang w:val="zh-CN"/>
        </w:rPr>
        <w:t>（一）评价结论。</w:t>
      </w:r>
    </w:p>
    <w:p w14:paraId="444CEF94">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rPr>
        <w:t>项目目标申报科学合理，资金使用合规，绩效目标完成情况良好，自评得分97分</w:t>
      </w:r>
      <w:r>
        <w:rPr>
          <w:rFonts w:hint="eastAsia" w:ascii="Times New Roman" w:hAnsi="Times New Roman" w:eastAsia="仿宋_GB2312" w:cs="仿宋_GB2312"/>
          <w:color w:val="auto"/>
          <w:kern w:val="2"/>
          <w:sz w:val="32"/>
          <w:szCs w:val="32"/>
          <w:highlight w:val="none"/>
          <w:lang w:eastAsia="zh-CN"/>
        </w:rPr>
        <w:t>。</w:t>
      </w:r>
    </w:p>
    <w:p w14:paraId="6A6CB1A9">
      <w:pPr>
        <w:spacing w:line="576" w:lineRule="exact"/>
        <w:ind w:firstLine="643" w:firstLineChars="200"/>
        <w:rPr>
          <w:b/>
          <w:bCs/>
          <w:szCs w:val="32"/>
        </w:rPr>
      </w:pPr>
      <w:r>
        <w:rPr>
          <w:rFonts w:hint="eastAsia" w:eastAsia="楷体_GB2312"/>
          <w:b/>
          <w:bCs/>
          <w:color w:val="000000"/>
          <w:szCs w:val="32"/>
          <w:shd w:val="clear" w:color="auto" w:fill="FFFFFF"/>
          <w:lang w:val="zh-CN"/>
        </w:rPr>
        <w:t>（二）</w:t>
      </w:r>
      <w:r>
        <w:rPr>
          <w:rFonts w:eastAsia="楷体_GB2312"/>
          <w:b/>
          <w:bCs/>
          <w:color w:val="000000"/>
          <w:szCs w:val="32"/>
          <w:shd w:val="clear" w:color="auto" w:fill="FFFFFF"/>
          <w:lang w:val="zh-CN"/>
        </w:rPr>
        <w:t>存在问题。</w:t>
      </w:r>
    </w:p>
    <w:p w14:paraId="46E144D6">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部门整体支出绩效目标需进一步细化。业务类支出未能根据部门职能及当年度工作规划等进行细化，不利于部门整体支出绩效评价工作的开展。</w:t>
      </w:r>
    </w:p>
    <w:p w14:paraId="4BB6B190">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eastAsia="楷体_GB2312"/>
          <w:b/>
          <w:bCs/>
          <w:color w:val="000000"/>
          <w:szCs w:val="32"/>
          <w:shd w:val="clear" w:color="auto" w:fill="FFFFFF"/>
          <w:lang w:val="zh-CN"/>
        </w:rPr>
        <w:t>改进建议。</w:t>
      </w:r>
      <w:bookmarkStart w:id="92" w:name="_Hlk110546638"/>
      <w:r>
        <w:rPr>
          <w:rFonts w:hint="eastAsia" w:ascii="Times New Roman" w:hAnsi="Times New Roman" w:eastAsia="仿宋_GB2312" w:cs="仿宋_GB2312"/>
          <w:color w:val="auto"/>
          <w:kern w:val="2"/>
          <w:sz w:val="32"/>
          <w:szCs w:val="32"/>
          <w:highlight w:val="none"/>
          <w:lang w:val="en-US" w:eastAsia="zh-CN"/>
        </w:rPr>
        <w:t>一是优化预算编制，加强预算执行力。进一步提高预算编制到位率，做准做全基本支出预算，做全项目支出预算，加强预算支出的审核、跟踪及预算执行情况分析，提高预算编制严谨性和可控性。二是进一步加强对绩效目标监控的重视。定期对预算执行情况进行监督，使绩效目标监控与政府工作、财务工作挂钩，做到及时监控，及时控制，避免疏忽。三是应立足实际，坚持推行精细化管理，强化预算绩效目标管理、细化绩效目标，并将绩效目标细化分解为具体工作计划，同时，计划应明确规定在一定时间内完成的目标、任务和应达到的要求，任务和要求应具体明确任务数量、质量。严格执行财务管理制度，做到了财务处理及时，会计核算规范，严格按照计划进度支付。</w:t>
      </w:r>
      <w:bookmarkEnd w:id="90"/>
    </w:p>
    <w:p w14:paraId="2CE6620F">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附表：1.部门整体支出绩效自评表 </w:t>
      </w:r>
    </w:p>
    <w:p w14:paraId="55A1EFBC">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2.部门预算项目支出绩效自评表（2024年度）</w:t>
      </w:r>
    </w:p>
    <w:tbl>
      <w:tblPr>
        <w:tblStyle w:val="34"/>
        <w:tblpPr w:leftFromText="180" w:rightFromText="180" w:vertAnchor="text" w:horzAnchor="page" w:tblpX="909" w:tblpY="548"/>
        <w:tblOverlap w:val="never"/>
        <w:tblW w:w="10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656"/>
        <w:gridCol w:w="1536"/>
        <w:gridCol w:w="599"/>
        <w:gridCol w:w="1535"/>
        <w:gridCol w:w="4364"/>
        <w:gridCol w:w="653"/>
      </w:tblGrid>
      <w:tr w14:paraId="5826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002" w:type="dxa"/>
            <w:gridSpan w:val="7"/>
            <w:tcBorders>
              <w:top w:val="single" w:color="000000" w:sz="4" w:space="0"/>
              <w:left w:val="single" w:color="000000" w:sz="4" w:space="0"/>
              <w:bottom w:val="single" w:color="000000" w:sz="4" w:space="0"/>
              <w:right w:val="nil"/>
            </w:tcBorders>
            <w:shd w:val="clear" w:color="auto" w:fill="auto"/>
            <w:noWrap/>
            <w:vAlign w:val="center"/>
          </w:tcPr>
          <w:p w14:paraId="41FA9B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439A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94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0FE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指标解释</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0B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评分说明</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05C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w:t>
            </w:r>
          </w:p>
        </w:tc>
      </w:tr>
      <w:tr w14:paraId="383B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6C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4FA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A3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39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指标分值</w:t>
            </w: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B8BB5">
            <w:pPr>
              <w:jc w:val="center"/>
              <w:rPr>
                <w:rFonts w:hint="eastAsia" w:ascii="宋体" w:hAnsi="宋体" w:eastAsia="宋体" w:cs="宋体"/>
                <w:b/>
                <w:bCs/>
                <w:i w:val="0"/>
                <w:iCs w:val="0"/>
                <w:color w:val="000000"/>
                <w:sz w:val="22"/>
                <w:szCs w:val="22"/>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018F">
            <w:pPr>
              <w:jc w:val="center"/>
              <w:rPr>
                <w:rFonts w:hint="eastAsia" w:ascii="宋体" w:hAnsi="宋体" w:eastAsia="宋体" w:cs="宋体"/>
                <w:b/>
                <w:bCs/>
                <w:i w:val="0"/>
                <w:iCs w:val="0"/>
                <w:color w:val="000000"/>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FBF0B">
            <w:pPr>
              <w:jc w:val="center"/>
              <w:rPr>
                <w:rFonts w:hint="eastAsia" w:ascii="宋体" w:hAnsi="宋体" w:eastAsia="宋体" w:cs="宋体"/>
                <w:b/>
                <w:bCs/>
                <w:i w:val="0"/>
                <w:iCs w:val="0"/>
                <w:color w:val="000000"/>
                <w:sz w:val="22"/>
                <w:szCs w:val="22"/>
                <w:u w:val="none"/>
              </w:rPr>
            </w:pPr>
          </w:p>
        </w:tc>
      </w:tr>
      <w:tr w14:paraId="52AB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858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总体绩效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（56分）</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53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履职效能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9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社保卡“一卡通”网络服务费</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00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07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部门整体绩效目标中选定4-6个核心职能目标，反映该项职能目标完成效果情况</w:t>
            </w:r>
          </w:p>
        </w:tc>
        <w:tc>
          <w:tcPr>
            <w:tcW w:w="4364" w:type="dxa"/>
            <w:vMerge w:val="restart"/>
            <w:tcBorders>
              <w:top w:val="single" w:color="000000" w:sz="4" w:space="0"/>
              <w:left w:val="single" w:color="000000" w:sz="4" w:space="0"/>
              <w:bottom w:val="single" w:color="000000" w:sz="4" w:space="0"/>
              <w:right w:val="nil"/>
            </w:tcBorders>
            <w:shd w:val="clear" w:color="auto" w:fill="auto"/>
            <w:vAlign w:val="center"/>
          </w:tcPr>
          <w:p w14:paraId="2C632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560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F24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C6BB">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F68C">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A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基层就业和社会保障服务设施建设项目</w:t>
            </w: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C09B">
            <w:pPr>
              <w:jc w:val="center"/>
              <w:rPr>
                <w:rFonts w:hint="eastAsia" w:ascii="宋体" w:hAnsi="宋体" w:eastAsia="宋体" w:cs="宋体"/>
                <w:i w:val="0"/>
                <w:iCs w:val="0"/>
                <w:color w:val="000000"/>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C5A5">
            <w:pPr>
              <w:jc w:val="left"/>
              <w:rPr>
                <w:rFonts w:hint="eastAsia" w:ascii="宋体" w:hAnsi="宋体" w:eastAsia="宋体" w:cs="宋体"/>
                <w:i w:val="0"/>
                <w:iCs w:val="0"/>
                <w:color w:val="000000"/>
                <w:sz w:val="22"/>
                <w:szCs w:val="22"/>
                <w:u w:val="none"/>
              </w:rPr>
            </w:pPr>
          </w:p>
        </w:tc>
        <w:tc>
          <w:tcPr>
            <w:tcW w:w="4364" w:type="dxa"/>
            <w:vMerge w:val="continue"/>
            <w:tcBorders>
              <w:top w:val="single" w:color="000000" w:sz="4" w:space="0"/>
              <w:left w:val="single" w:color="000000" w:sz="4" w:space="0"/>
              <w:bottom w:val="single" w:color="000000" w:sz="4" w:space="0"/>
              <w:right w:val="nil"/>
            </w:tcBorders>
            <w:shd w:val="clear" w:color="auto" w:fill="auto"/>
            <w:vAlign w:val="center"/>
          </w:tcPr>
          <w:p w14:paraId="6935B685">
            <w:pPr>
              <w:jc w:val="left"/>
              <w:rPr>
                <w:rFonts w:hint="eastAsia" w:ascii="宋体" w:hAnsi="宋体" w:eastAsia="宋体" w:cs="宋体"/>
                <w:i w:val="0"/>
                <w:iCs w:val="0"/>
                <w:color w:val="000000"/>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24F7">
            <w:pPr>
              <w:jc w:val="right"/>
              <w:rPr>
                <w:rFonts w:hint="eastAsia" w:ascii="宋体" w:hAnsi="宋体" w:eastAsia="宋体" w:cs="宋体"/>
                <w:i w:val="0"/>
                <w:iCs w:val="0"/>
                <w:color w:val="000000"/>
                <w:sz w:val="22"/>
                <w:szCs w:val="22"/>
                <w:u w:val="none"/>
              </w:rPr>
            </w:pPr>
          </w:p>
        </w:tc>
      </w:tr>
      <w:tr w14:paraId="44F2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BED9">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E1C1">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C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人事档案管理费</w:t>
            </w: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4E312">
            <w:pPr>
              <w:jc w:val="center"/>
              <w:rPr>
                <w:rFonts w:hint="eastAsia" w:ascii="宋体" w:hAnsi="宋体" w:eastAsia="宋体" w:cs="宋体"/>
                <w:i w:val="0"/>
                <w:iCs w:val="0"/>
                <w:color w:val="000000"/>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613C2">
            <w:pPr>
              <w:jc w:val="left"/>
              <w:rPr>
                <w:rFonts w:hint="eastAsia" w:ascii="宋体" w:hAnsi="宋体" w:eastAsia="宋体" w:cs="宋体"/>
                <w:i w:val="0"/>
                <w:iCs w:val="0"/>
                <w:color w:val="000000"/>
                <w:sz w:val="22"/>
                <w:szCs w:val="22"/>
                <w:u w:val="none"/>
              </w:rPr>
            </w:pPr>
          </w:p>
        </w:tc>
        <w:tc>
          <w:tcPr>
            <w:tcW w:w="4364" w:type="dxa"/>
            <w:vMerge w:val="continue"/>
            <w:tcBorders>
              <w:top w:val="single" w:color="000000" w:sz="4" w:space="0"/>
              <w:left w:val="single" w:color="000000" w:sz="4" w:space="0"/>
              <w:bottom w:val="single" w:color="000000" w:sz="4" w:space="0"/>
              <w:right w:val="nil"/>
            </w:tcBorders>
            <w:shd w:val="clear" w:color="auto" w:fill="auto"/>
            <w:vAlign w:val="center"/>
          </w:tcPr>
          <w:p w14:paraId="77EEC1A3">
            <w:pPr>
              <w:jc w:val="left"/>
              <w:rPr>
                <w:rFonts w:hint="eastAsia" w:ascii="宋体" w:hAnsi="宋体" w:eastAsia="宋体" w:cs="宋体"/>
                <w:i w:val="0"/>
                <w:iCs w:val="0"/>
                <w:color w:val="000000"/>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17B6D">
            <w:pPr>
              <w:jc w:val="right"/>
              <w:rPr>
                <w:rFonts w:hint="eastAsia" w:ascii="宋体" w:hAnsi="宋体" w:eastAsia="宋体" w:cs="宋体"/>
                <w:i w:val="0"/>
                <w:iCs w:val="0"/>
                <w:color w:val="000000"/>
                <w:sz w:val="22"/>
                <w:szCs w:val="22"/>
                <w:u w:val="none"/>
              </w:rPr>
            </w:pPr>
          </w:p>
        </w:tc>
      </w:tr>
      <w:tr w14:paraId="4D35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2DEB">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4AED">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5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基层就业和社会保障中心标准化建设项目</w:t>
            </w: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4A1C">
            <w:pPr>
              <w:jc w:val="center"/>
              <w:rPr>
                <w:rFonts w:hint="eastAsia" w:ascii="宋体" w:hAnsi="宋体" w:eastAsia="宋体" w:cs="宋体"/>
                <w:i w:val="0"/>
                <w:iCs w:val="0"/>
                <w:color w:val="000000"/>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1EC5">
            <w:pPr>
              <w:jc w:val="left"/>
              <w:rPr>
                <w:rFonts w:hint="eastAsia" w:ascii="宋体" w:hAnsi="宋体" w:eastAsia="宋体" w:cs="宋体"/>
                <w:i w:val="0"/>
                <w:iCs w:val="0"/>
                <w:color w:val="000000"/>
                <w:sz w:val="22"/>
                <w:szCs w:val="22"/>
                <w:u w:val="none"/>
              </w:rPr>
            </w:pPr>
          </w:p>
        </w:tc>
        <w:tc>
          <w:tcPr>
            <w:tcW w:w="4364" w:type="dxa"/>
            <w:vMerge w:val="continue"/>
            <w:tcBorders>
              <w:top w:val="single" w:color="000000" w:sz="4" w:space="0"/>
              <w:left w:val="single" w:color="000000" w:sz="4" w:space="0"/>
              <w:bottom w:val="single" w:color="000000" w:sz="4" w:space="0"/>
              <w:right w:val="nil"/>
            </w:tcBorders>
            <w:shd w:val="clear" w:color="auto" w:fill="auto"/>
            <w:vAlign w:val="center"/>
          </w:tcPr>
          <w:p w14:paraId="074BECAE">
            <w:pPr>
              <w:jc w:val="left"/>
              <w:rPr>
                <w:rFonts w:hint="eastAsia" w:ascii="宋体" w:hAnsi="宋体" w:eastAsia="宋体" w:cs="宋体"/>
                <w:i w:val="0"/>
                <w:iCs w:val="0"/>
                <w:color w:val="000000"/>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2688">
            <w:pPr>
              <w:jc w:val="right"/>
              <w:rPr>
                <w:rFonts w:hint="eastAsia" w:ascii="宋体" w:hAnsi="宋体" w:eastAsia="宋体" w:cs="宋体"/>
                <w:i w:val="0"/>
                <w:iCs w:val="0"/>
                <w:color w:val="000000"/>
                <w:sz w:val="22"/>
                <w:szCs w:val="22"/>
                <w:u w:val="none"/>
              </w:rPr>
            </w:pPr>
          </w:p>
        </w:tc>
      </w:tr>
      <w:tr w14:paraId="6B6F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2139">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CB51">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AB9B">
            <w:pPr>
              <w:rPr>
                <w:rFonts w:hint="eastAsia" w:ascii="宋体" w:hAnsi="宋体" w:eastAsia="宋体" w:cs="宋体"/>
                <w:i w:val="0"/>
                <w:iCs w:val="0"/>
                <w:color w:val="000000"/>
                <w:sz w:val="22"/>
                <w:szCs w:val="22"/>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B911">
            <w:pPr>
              <w:jc w:val="center"/>
              <w:rPr>
                <w:rFonts w:hint="eastAsia" w:ascii="宋体" w:hAnsi="宋体" w:eastAsia="宋体" w:cs="宋体"/>
                <w:i w:val="0"/>
                <w:iCs w:val="0"/>
                <w:color w:val="000000"/>
                <w:sz w:val="22"/>
                <w:szCs w:val="22"/>
                <w:u w:val="none"/>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F3EF">
            <w:pPr>
              <w:jc w:val="left"/>
              <w:rPr>
                <w:rFonts w:hint="eastAsia" w:ascii="宋体" w:hAnsi="宋体" w:eastAsia="宋体" w:cs="宋体"/>
                <w:i w:val="0"/>
                <w:iCs w:val="0"/>
                <w:color w:val="000000"/>
                <w:sz w:val="22"/>
                <w:szCs w:val="22"/>
                <w:u w:val="none"/>
              </w:rPr>
            </w:pPr>
          </w:p>
        </w:tc>
        <w:tc>
          <w:tcPr>
            <w:tcW w:w="4364" w:type="dxa"/>
            <w:vMerge w:val="continue"/>
            <w:tcBorders>
              <w:top w:val="single" w:color="000000" w:sz="4" w:space="0"/>
              <w:left w:val="single" w:color="000000" w:sz="4" w:space="0"/>
              <w:bottom w:val="single" w:color="000000" w:sz="4" w:space="0"/>
              <w:right w:val="nil"/>
            </w:tcBorders>
            <w:shd w:val="clear" w:color="auto" w:fill="auto"/>
            <w:vAlign w:val="center"/>
          </w:tcPr>
          <w:p w14:paraId="3BC724DF">
            <w:pPr>
              <w:jc w:val="left"/>
              <w:rPr>
                <w:rFonts w:hint="eastAsia" w:ascii="宋体" w:hAnsi="宋体" w:eastAsia="宋体" w:cs="宋体"/>
                <w:i w:val="0"/>
                <w:iCs w:val="0"/>
                <w:color w:val="000000"/>
                <w:sz w:val="22"/>
                <w:szCs w:val="22"/>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B8C7">
            <w:pPr>
              <w:jc w:val="right"/>
              <w:rPr>
                <w:rFonts w:hint="eastAsia" w:ascii="宋体" w:hAnsi="宋体" w:eastAsia="宋体" w:cs="宋体"/>
                <w:i w:val="0"/>
                <w:iCs w:val="0"/>
                <w:color w:val="000000"/>
                <w:sz w:val="22"/>
                <w:szCs w:val="22"/>
                <w:u w:val="none"/>
              </w:rPr>
            </w:pPr>
          </w:p>
        </w:tc>
      </w:tr>
      <w:tr w14:paraId="2590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CA70">
            <w:pPr>
              <w:jc w:val="center"/>
              <w:rPr>
                <w:rFonts w:hint="eastAsia" w:ascii="宋体" w:hAnsi="宋体" w:eastAsia="宋体" w:cs="宋体"/>
                <w:b/>
                <w:bCs/>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97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B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预算编制质量</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D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D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部门是否严格按要求编制年初部门预算，年初预算编制的科学性和准确性</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9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该项指标得分=（1-财政拨款预算偏离度）×100%×8。偏离度=|预算执行数-调整预算数|÷调整预算数。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2509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5C0B">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6344">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9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支出执行进度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9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部门1至12月预算执行情况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该项指标得分=中央、省委转移支付资金1至12月实际支出数÷1-12月部门预算数*3+专项债券资金实际支出数÷1-12月部门预算数*3+专项预算项目1至12月实际支出数÷1-12月预算数*3。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3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32E5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74C6">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38B5F">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3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预算年终结余</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0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7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部门整体年终预算结余情况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D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该项指标得分=（1-部门整体预算结余率）×100%×8部门整体预算结余率为当年年终部门预算注销金额和结转金额占部门预算总金额的比率。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F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0051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FE5A">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0559">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5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严控一般性支出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E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部门严控“三公”经费、会议、培训、差旅、办节办展、办公设备购置、信息网络及软件购置更新、课题经费等8项一般性支出情况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C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该项指标得分=基础分值+加分值。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2.加分值。一般性支出财政拨款年初预算较上年每压减1%得0.2分，累计不超过1分；一般性支出财政拨款预算执行较上年每压减1%得0.4分，累计不超过2分。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9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9B3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7DC1">
            <w:pPr>
              <w:jc w:val="center"/>
              <w:rPr>
                <w:rFonts w:hint="eastAsia" w:ascii="宋体" w:hAnsi="宋体" w:eastAsia="宋体" w:cs="宋体"/>
                <w:b/>
                <w:bCs/>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6B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6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人均资产变化率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2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7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部门人均资产变化情况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B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7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37E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AA43">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DC85">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C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资产利用率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C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B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部门资产超最低使用年限情况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A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超最低使用年限的办公家具账面原值÷办公家具账面原值×100%×1.5）省级平均值办公家具为N=16.77%。Y≥N，得1.5分；0.8N≤Y＜N，得1分；0.5N≤Y＜0.8N，得0.5分；Y＜0.5N，得0分。+（超最低使用年限的办公设备账面原值÷办公设备账面原值×100%×1.5）。省级平均值办公设备为N=16.77%。Y≥N，得1.5分；0.8N≤Y＜N，得1分；0.5N≤Y＜0.8N，得0.5分；Y＜0.5N，得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3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A38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63777">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47F80">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E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资产盘活率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C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部门闲置一年以上的资产盘活情况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6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F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2B5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E7B35">
            <w:pPr>
              <w:jc w:val="center"/>
              <w:rPr>
                <w:rFonts w:hint="eastAsia" w:ascii="宋体" w:hAnsi="宋体" w:eastAsia="宋体" w:cs="宋体"/>
                <w:b/>
                <w:bCs/>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69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4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0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6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部门是否严格执行政府采购促进中小企业发展相关管理办法</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F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对适宜由中小企业提供的采购项目和采购包，预留采购份额专门面向中小企业采购，并在采购预算中单独列示，不符合要求的扣3分。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3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40C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1B9B">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1E50">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C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采购执行率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2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E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部门政府采购项目资金支付比例情况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3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该项指标得分=当年政府采购实际支付总金额÷（当年政府采购总预算数-当年已完成采购项目节约金额）×100%×3。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A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C0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22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项目绩效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（44分）</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A9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项目决策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决策程序</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8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部门预算项目设立是否按规定履行评估论证、申报程序</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B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981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94EF9">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E736">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A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目标设置</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A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8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部门预算项目绩效目标与计划期内的任务量、预算安排的资金量匹配情况，绩效目标设置是否科学合理、规范完整、量化细化、预算匹配</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B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3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C1F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A915A">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6024">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A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项目入库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D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部门预算项目是否在规定时间完成项目入库</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4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该项指标得分=4-规定时间未入财政库部门预算阶段项目（含一次性项目）数量÷最终安排部门预算阶段项目（含一次性项目）总数×100%×4。（默认满分）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5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A26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ED28">
            <w:pPr>
              <w:jc w:val="center"/>
              <w:rPr>
                <w:rFonts w:hint="eastAsia" w:ascii="宋体" w:hAnsi="宋体" w:eastAsia="宋体" w:cs="宋体"/>
                <w:b/>
                <w:bCs/>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A1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3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执行同向</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9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3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部门预算项目实际列支内容是否与绩效目标设置方向相符</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A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该项指标得分=4-实际列支内容与绩效目标设置方向不相符的部门预算阶段项目（含一次性项目）数量÷部门预算阶段项目（含一次性项目）总数×100%×5。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9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91D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24C5">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C1BA">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A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项目调整</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A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部门预算项目是否采取对应调整措施</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5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0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F9E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D368">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C9BE">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9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执行结果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E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5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部门预算项目预算执行情况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1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0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877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7DD7">
            <w:pPr>
              <w:jc w:val="center"/>
              <w:rPr>
                <w:rFonts w:hint="eastAsia" w:ascii="宋体" w:hAnsi="宋体" w:eastAsia="宋体" w:cs="宋体"/>
                <w:b/>
                <w:bCs/>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0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7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目标完成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6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E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部门预算项目绩效目标数量指标完成情况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E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该项指标得分=完成绩效目标数量指标的部门预算阶段项目（含一次性项目）数量÷部门预算阶段项目（含一次性项目）总数×100%×6。</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6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D58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D83E">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F7CC">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6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目标偏离</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6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部门预算项目绩效目标数量指标实现程度与预期目标的偏离情况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3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A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2A2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2611">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72D9">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4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实现效果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5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6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部门预算项目绩效目标效益指标实施效果</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B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该项指标得分=完成绩效目标效益指标的部门预算阶段项目（含一次性项目）数量÷部门预算阶段项目（含一次性项目）总数×100%×5。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62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7CE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513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扣分项</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21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财务管理制度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2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5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部门财务管理制度建立情况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2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部门未制定内部财务管理制度等制度机制的，财务管理制度未得到落实，发现一处扣1分，扣完为止。</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7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D96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CB14C">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749D0">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6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财务岗位设置</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C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E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部门财务岗位设置是否符合相关财务管理制度要求</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9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部门未合理设置财务工作岗位，职责权限不明确，未严格实行不相容岗位分离，发现一处扣1分，扣完为止。</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3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390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E7868">
            <w:pPr>
              <w:jc w:val="center"/>
              <w:rPr>
                <w:rFonts w:hint="eastAsia" w:ascii="宋体" w:hAnsi="宋体" w:eastAsia="宋体" w:cs="宋体"/>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207B">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1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资金使用规范</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A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部门资金使用是否符合相关财务管理制度规定</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8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部门资金使用不符合相关财务管理制度规定的，发现一处扣1分，扣完为止。</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8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340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5CCDF">
            <w:pPr>
              <w:jc w:val="center"/>
              <w:rPr>
                <w:rFonts w:hint="eastAsia" w:ascii="宋体" w:hAnsi="宋体" w:eastAsia="宋体" w:cs="宋体"/>
                <w:b/>
                <w:bCs/>
                <w:i w:val="0"/>
                <w:iCs w:val="0"/>
                <w:color w:val="000000"/>
                <w:sz w:val="22"/>
                <w:szCs w:val="22"/>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85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预算绩效存在问题</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4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预算管理和绩效管理工作存在问题</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3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B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022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F647D">
            <w:pPr>
              <w:jc w:val="center"/>
              <w:rPr>
                <w:rFonts w:hint="eastAsia" w:ascii="宋体" w:hAnsi="宋体" w:eastAsia="宋体" w:cs="宋体"/>
                <w:b/>
                <w:bCs/>
                <w:i w:val="0"/>
                <w:iCs w:val="0"/>
                <w:color w:val="000000"/>
                <w:sz w:val="22"/>
                <w:szCs w:val="22"/>
                <w:u w:val="none"/>
              </w:rPr>
            </w:pP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C4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被评价部门配合度</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8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7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被评价对象工作配合情况</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A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评价工作开展过程中，被评价对象拖延推诿、提交资料不及时等拒不配合评价工作的，每发现一次扣1分，扣完为止。</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9A2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6D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9280">
            <w:pPr>
              <w:rPr>
                <w:rFonts w:hint="eastAsia" w:ascii="宋体" w:hAnsi="宋体" w:eastAsia="宋体" w:cs="宋体"/>
                <w:i w:val="0"/>
                <w:iCs w:val="0"/>
                <w:color w:val="000000"/>
                <w:sz w:val="22"/>
                <w:szCs w:val="22"/>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F580">
            <w:pPr>
              <w:rPr>
                <w:rFonts w:hint="eastAsia" w:ascii="宋体" w:hAnsi="宋体" w:eastAsia="宋体" w:cs="宋体"/>
                <w:i w:val="0"/>
                <w:iCs w:val="0"/>
                <w:color w:val="000000"/>
                <w:sz w:val="22"/>
                <w:szCs w:val="22"/>
                <w:u w:val="none"/>
              </w:rPr>
            </w:pP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710E">
            <w:pPr>
              <w:rPr>
                <w:rFonts w:hint="eastAsia" w:ascii="宋体" w:hAnsi="宋体" w:eastAsia="宋体" w:cs="宋体"/>
                <w:i w:val="0"/>
                <w:iCs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6B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r>
    </w:tbl>
    <w:p w14:paraId="2CF19606">
      <w:pPr>
        <w:pStyle w:val="28"/>
        <w:ind w:left="632"/>
      </w:pPr>
    </w:p>
    <w:p w14:paraId="669C1173">
      <w:pPr>
        <w:pStyle w:val="194"/>
        <w:spacing w:line="560" w:lineRule="exact"/>
        <w:rPr>
          <w:rFonts w:ascii="Times New Roman" w:eastAsia="黑体"/>
          <w:shd w:val="clear" w:color="auto" w:fill="FFFFFF"/>
        </w:rPr>
      </w:pPr>
    </w:p>
    <w:p w14:paraId="0C122C57">
      <w:pPr>
        <w:pStyle w:val="194"/>
        <w:ind w:firstLine="0"/>
        <w:rPr>
          <w:rFonts w:hint="eastAsia" w:ascii="Times New Roman" w:eastAsia="黑体"/>
          <w:shd w:val="clear" w:color="auto" w:fill="FFFFFF"/>
          <w:lang w:val="en-US" w:eastAsia="zh-CN"/>
        </w:rPr>
      </w:pPr>
      <w:r>
        <w:rPr>
          <w:rFonts w:hint="eastAsia" w:ascii="Times New Roman" w:eastAsia="黑体"/>
          <w:shd w:val="clear" w:color="auto" w:fill="FFFFFF"/>
          <w:lang w:val="en-US" w:eastAsia="zh-CN"/>
        </w:rPr>
        <w:t xml:space="preserve">  </w:t>
      </w:r>
    </w:p>
    <w:p w14:paraId="20C807D9">
      <w:pPr>
        <w:pStyle w:val="194"/>
        <w:ind w:firstLine="0"/>
        <w:rPr>
          <w:rFonts w:hint="eastAsia" w:ascii="Times New Roman" w:eastAsia="黑体"/>
          <w:shd w:val="clear" w:color="auto" w:fill="FFFFFF"/>
          <w:lang w:val="en-US" w:eastAsia="zh-CN"/>
        </w:rPr>
      </w:pPr>
    </w:p>
    <w:p w14:paraId="0681EBD3">
      <w:pPr>
        <w:pStyle w:val="194"/>
        <w:ind w:firstLine="0"/>
        <w:rPr>
          <w:rFonts w:hint="eastAsia" w:ascii="Times New Roman" w:eastAsia="黑体"/>
          <w:shd w:val="clear" w:color="auto" w:fill="FFFFFF"/>
          <w:lang w:val="en-US" w:eastAsia="zh-CN"/>
        </w:rPr>
      </w:pPr>
    </w:p>
    <w:p w14:paraId="0B39D70C">
      <w:pPr>
        <w:pStyle w:val="194"/>
        <w:ind w:firstLine="0"/>
        <w:rPr>
          <w:rFonts w:hint="eastAsia" w:ascii="Times New Roman" w:eastAsia="黑体"/>
          <w:shd w:val="clear" w:color="auto" w:fill="FFFFFF"/>
          <w:lang w:val="en-US" w:eastAsia="zh-CN"/>
        </w:rPr>
      </w:pPr>
    </w:p>
    <w:p w14:paraId="474E52F3">
      <w:pPr>
        <w:pStyle w:val="194"/>
        <w:ind w:firstLine="0"/>
        <w:rPr>
          <w:rFonts w:hint="eastAsia" w:ascii="Times New Roman" w:eastAsia="黑体"/>
          <w:shd w:val="clear" w:color="auto" w:fill="FFFFFF"/>
          <w:lang w:val="en-US" w:eastAsia="zh-CN"/>
        </w:rPr>
      </w:pPr>
    </w:p>
    <w:p w14:paraId="7C88E2CF">
      <w:pPr>
        <w:pStyle w:val="194"/>
        <w:ind w:firstLine="0"/>
        <w:rPr>
          <w:rFonts w:hint="eastAsia" w:ascii="Times New Roman" w:eastAsia="黑体"/>
          <w:shd w:val="clear" w:color="auto" w:fill="FFFFFF"/>
          <w:lang w:val="en-US" w:eastAsia="zh-CN"/>
        </w:rPr>
      </w:pPr>
    </w:p>
    <w:p w14:paraId="6A531F58">
      <w:pPr>
        <w:pStyle w:val="194"/>
        <w:ind w:firstLine="0"/>
        <w:rPr>
          <w:rFonts w:hint="eastAsia" w:ascii="Times New Roman" w:eastAsia="黑体"/>
          <w:shd w:val="clear" w:color="auto" w:fill="FFFFFF"/>
          <w:lang w:val="en-US" w:eastAsia="zh-CN"/>
        </w:rPr>
      </w:pPr>
    </w:p>
    <w:p w14:paraId="3C51E9F5">
      <w:pPr>
        <w:pStyle w:val="194"/>
        <w:ind w:firstLine="0"/>
        <w:rPr>
          <w:rFonts w:hint="eastAsia" w:ascii="Times New Roman" w:eastAsia="黑体"/>
          <w:shd w:val="clear" w:color="auto" w:fill="FFFFFF"/>
          <w:lang w:val="en-US" w:eastAsia="zh-CN"/>
        </w:rPr>
      </w:pPr>
    </w:p>
    <w:p w14:paraId="482503DD">
      <w:pPr>
        <w:pStyle w:val="194"/>
        <w:ind w:firstLine="0"/>
        <w:rPr>
          <w:rFonts w:hint="eastAsia" w:ascii="Times New Roman" w:eastAsia="黑体"/>
          <w:shd w:val="clear" w:color="auto" w:fill="FFFFFF"/>
          <w:lang w:val="en-US" w:eastAsia="zh-CN"/>
        </w:rPr>
      </w:pPr>
    </w:p>
    <w:p w14:paraId="2B0E844D">
      <w:pPr>
        <w:pStyle w:val="194"/>
        <w:ind w:firstLine="0"/>
        <w:rPr>
          <w:rFonts w:hint="eastAsia" w:ascii="Times New Roman" w:eastAsia="黑体"/>
          <w:shd w:val="clear" w:color="auto" w:fill="FFFFFF"/>
          <w:lang w:val="en-US" w:eastAsia="zh-CN"/>
        </w:rPr>
      </w:pPr>
    </w:p>
    <w:p w14:paraId="3887E49F">
      <w:pPr>
        <w:pStyle w:val="194"/>
        <w:ind w:firstLine="0"/>
        <w:rPr>
          <w:rFonts w:hint="eastAsia" w:ascii="Times New Roman" w:eastAsia="黑体"/>
          <w:shd w:val="clear" w:color="auto" w:fill="FFFFFF"/>
          <w:lang w:val="en-US" w:eastAsia="zh-CN"/>
        </w:rPr>
      </w:pPr>
    </w:p>
    <w:p w14:paraId="5E7D7A63">
      <w:pPr>
        <w:pStyle w:val="194"/>
        <w:ind w:firstLine="0"/>
        <w:rPr>
          <w:rFonts w:hint="eastAsia" w:ascii="Times New Roman" w:eastAsia="黑体"/>
          <w:shd w:val="clear" w:color="auto" w:fill="FFFFFF"/>
          <w:lang w:val="en-US" w:eastAsia="zh-CN"/>
        </w:rPr>
      </w:pPr>
    </w:p>
    <w:p w14:paraId="08C24C49">
      <w:pPr>
        <w:pStyle w:val="194"/>
        <w:ind w:firstLine="0"/>
        <w:rPr>
          <w:rFonts w:hint="eastAsia" w:ascii="Times New Roman" w:eastAsia="黑体"/>
          <w:shd w:val="clear" w:color="auto" w:fill="FFFFFF"/>
          <w:lang w:val="en-US" w:eastAsia="zh-CN"/>
        </w:rPr>
      </w:pPr>
    </w:p>
    <w:p w14:paraId="03A9FD18">
      <w:pPr>
        <w:pStyle w:val="194"/>
        <w:ind w:firstLine="0"/>
        <w:rPr>
          <w:rFonts w:hint="eastAsia" w:ascii="Times New Roman" w:eastAsia="黑体"/>
          <w:shd w:val="clear" w:color="auto" w:fill="FFFFFF"/>
          <w:lang w:val="en-US" w:eastAsia="zh-CN"/>
        </w:rPr>
      </w:pPr>
    </w:p>
    <w:p w14:paraId="1654791B">
      <w:pPr>
        <w:pStyle w:val="194"/>
        <w:ind w:firstLine="0"/>
        <w:rPr>
          <w:rFonts w:hint="eastAsia" w:ascii="Times New Roman" w:eastAsia="黑体"/>
          <w:shd w:val="clear" w:color="auto" w:fill="FFFFFF"/>
          <w:lang w:val="en-US" w:eastAsia="zh-CN"/>
        </w:rPr>
      </w:pPr>
    </w:p>
    <w:p w14:paraId="1343AE53">
      <w:pPr>
        <w:pStyle w:val="194"/>
        <w:ind w:firstLine="0"/>
        <w:rPr>
          <w:rFonts w:hint="eastAsia" w:ascii="Times New Roman" w:eastAsia="黑体"/>
          <w:shd w:val="clear" w:color="auto" w:fill="FFFFFF"/>
          <w:lang w:val="en-US" w:eastAsia="zh-CN"/>
        </w:rPr>
      </w:pPr>
    </w:p>
    <w:p w14:paraId="71A1347B">
      <w:pPr>
        <w:pStyle w:val="194"/>
        <w:ind w:firstLine="0"/>
        <w:rPr>
          <w:rFonts w:hint="eastAsia" w:ascii="Times New Roman" w:eastAsia="黑体"/>
          <w:shd w:val="clear" w:color="auto" w:fill="FFFFFF"/>
          <w:lang w:val="en-US" w:eastAsia="zh-CN"/>
        </w:rPr>
      </w:pPr>
    </w:p>
    <w:p w14:paraId="75122481">
      <w:pPr>
        <w:pStyle w:val="194"/>
        <w:ind w:firstLine="0"/>
        <w:rPr>
          <w:rFonts w:hint="eastAsia" w:ascii="Times New Roman" w:eastAsia="黑体"/>
          <w:shd w:val="clear" w:color="auto" w:fill="FFFFFF"/>
          <w:lang w:val="en-US" w:eastAsia="zh-CN"/>
        </w:rPr>
      </w:pPr>
    </w:p>
    <w:p w14:paraId="30D8659F">
      <w:pPr>
        <w:pStyle w:val="194"/>
        <w:ind w:firstLine="0"/>
        <w:rPr>
          <w:rFonts w:hint="eastAsia" w:ascii="Times New Roman" w:eastAsia="黑体"/>
          <w:shd w:val="clear" w:color="auto" w:fill="FFFFFF"/>
          <w:lang w:val="en-US" w:eastAsia="zh-CN"/>
        </w:rPr>
      </w:pPr>
    </w:p>
    <w:p w14:paraId="1A1806EB">
      <w:pPr>
        <w:pStyle w:val="194"/>
        <w:ind w:firstLine="0"/>
        <w:rPr>
          <w:rFonts w:hint="eastAsia" w:ascii="Times New Roman" w:eastAsia="黑体"/>
          <w:shd w:val="clear" w:color="auto" w:fill="FFFFFF"/>
          <w:lang w:val="en-US" w:eastAsia="zh-CN"/>
        </w:rPr>
      </w:pPr>
    </w:p>
    <w:p w14:paraId="19AC667B">
      <w:pPr>
        <w:pStyle w:val="194"/>
        <w:ind w:firstLine="0"/>
        <w:rPr>
          <w:rFonts w:hint="default" w:ascii="Times New Roman" w:eastAsia="黑体"/>
          <w:shd w:val="clear" w:color="auto" w:fill="FFFFFF"/>
          <w:lang w:val="en-US" w:eastAsia="zh-CN"/>
        </w:rPr>
      </w:pPr>
    </w:p>
    <w:tbl>
      <w:tblPr>
        <w:tblStyle w:val="34"/>
        <w:tblW w:w="5000" w:type="pct"/>
        <w:tblInd w:w="0" w:type="dxa"/>
        <w:shd w:val="clear" w:color="auto" w:fill="auto"/>
        <w:tblLayout w:type="autofit"/>
        <w:tblCellMar>
          <w:top w:w="0" w:type="dxa"/>
          <w:left w:w="0" w:type="dxa"/>
          <w:bottom w:w="0" w:type="dxa"/>
          <w:right w:w="0" w:type="dxa"/>
        </w:tblCellMar>
      </w:tblPr>
      <w:tblGrid>
        <w:gridCol w:w="437"/>
        <w:gridCol w:w="1316"/>
        <w:gridCol w:w="1138"/>
        <w:gridCol w:w="1452"/>
        <w:gridCol w:w="334"/>
        <w:gridCol w:w="1075"/>
        <w:gridCol w:w="334"/>
        <w:gridCol w:w="702"/>
        <w:gridCol w:w="321"/>
        <w:gridCol w:w="301"/>
        <w:gridCol w:w="1646"/>
      </w:tblGrid>
      <w:tr w14:paraId="5D03E94E">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9899">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F80D884">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9B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669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51090422T000000402259-基层就业和社会保障中心标准化建设项目</w:t>
            </w:r>
          </w:p>
        </w:tc>
      </w:tr>
      <w:tr w14:paraId="4CAC02F9">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F7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50E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遂宁市安居区人力资源和社会保障局部门</w:t>
            </w:r>
          </w:p>
        </w:tc>
        <w:tc>
          <w:tcPr>
            <w:tcW w:w="386" w:type="pct"/>
            <w:tcBorders>
              <w:top w:val="nil"/>
              <w:left w:val="nil"/>
              <w:bottom w:val="nil"/>
              <w:right w:val="nil"/>
            </w:tcBorders>
            <w:shd w:val="clear" w:color="auto" w:fill="auto"/>
            <w:tcMar>
              <w:top w:w="15" w:type="dxa"/>
              <w:left w:w="15" w:type="dxa"/>
              <w:right w:w="15" w:type="dxa"/>
            </w:tcMar>
            <w:vAlign w:val="center"/>
          </w:tcPr>
          <w:p w14:paraId="129F4887">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1E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w:t>
            </w:r>
          </w:p>
        </w:tc>
      </w:tr>
      <w:tr w14:paraId="7FC73D96">
        <w:tblPrEx>
          <w:tblCellMar>
            <w:top w:w="0" w:type="dxa"/>
            <w:left w:w="0" w:type="dxa"/>
            <w:bottom w:w="0" w:type="dxa"/>
            <w:right w:w="0"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2CA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23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F6D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AF91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CC449B7">
        <w:tblPrEx>
          <w:tblCellMar>
            <w:top w:w="0" w:type="dxa"/>
            <w:left w:w="0" w:type="dxa"/>
            <w:bottom w:w="0" w:type="dxa"/>
            <w:right w:w="0"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CA50F">
            <w:pP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BCCE">
            <w:pPr>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92CA">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基层就业和社会保障</w:t>
            </w:r>
            <w:r>
              <w:rPr>
                <w:rFonts w:ascii="宋体" w:hAnsi="宋体" w:eastAsia="宋体" w:cs="宋体"/>
                <w:i w:val="0"/>
                <w:color w:val="000000"/>
                <w:kern w:val="0"/>
                <w:sz w:val="18"/>
                <w:szCs w:val="18"/>
                <w:u w:val="none"/>
                <w:lang w:val="en-US" w:eastAsia="zh-CN" w:bidi="ar"/>
              </w:rPr>
              <w:t>中心标准化建设项目</w:t>
            </w:r>
            <w:r>
              <w:rPr>
                <w:rFonts w:hint="eastAsia" w:ascii="宋体" w:hAnsi="宋体" w:eastAsia="宋体" w:cs="宋体"/>
                <w:i w:val="0"/>
                <w:color w:val="000000"/>
                <w:kern w:val="0"/>
                <w:sz w:val="18"/>
                <w:szCs w:val="18"/>
                <w:u w:val="none"/>
                <w:lang w:val="en-US" w:eastAsia="zh-CN" w:bidi="ar"/>
              </w:rPr>
              <w:t>2021年建设已完工</w:t>
            </w:r>
            <w:r>
              <w:rPr>
                <w:rFonts w:hint="eastAsia" w:ascii="宋体" w:hAnsi="宋体" w:eastAsia="宋体" w:cs="宋体"/>
                <w:i w:val="0"/>
                <w:color w:val="000000"/>
                <w:sz w:val="18"/>
                <w:szCs w:val="18"/>
                <w:u w:val="none"/>
              </w:rPr>
              <w:t>，</w:t>
            </w:r>
            <w:r>
              <w:rPr>
                <w:rFonts w:hint="eastAsia" w:ascii="宋体" w:hAnsi="宋体" w:eastAsia="宋体" w:cs="宋体"/>
                <w:i w:val="0"/>
                <w:color w:val="000000"/>
                <w:sz w:val="18"/>
                <w:szCs w:val="18"/>
                <w:u w:val="none"/>
                <w:lang w:val="en-US" w:eastAsia="zh-CN"/>
              </w:rPr>
              <w:t>2024年支</w:t>
            </w:r>
            <w:r>
              <w:rPr>
                <w:rFonts w:hint="eastAsia" w:ascii="宋体" w:hAnsi="宋体" w:eastAsia="宋体" w:cs="宋体"/>
                <w:i w:val="0"/>
                <w:color w:val="000000"/>
                <w:sz w:val="18"/>
                <w:szCs w:val="18"/>
                <w:u w:val="none"/>
              </w:rPr>
              <w:t>付</w:t>
            </w:r>
            <w:r>
              <w:rPr>
                <w:rFonts w:hint="eastAsia" w:ascii="宋体" w:hAnsi="宋体" w:eastAsia="宋体" w:cs="宋体"/>
                <w:i w:val="0"/>
                <w:color w:val="000000"/>
                <w:sz w:val="18"/>
                <w:szCs w:val="18"/>
                <w:u w:val="none"/>
                <w:lang w:eastAsia="zh-CN"/>
              </w:rPr>
              <w:t>剩余</w:t>
            </w:r>
            <w:r>
              <w:rPr>
                <w:rFonts w:hint="eastAsia" w:ascii="宋体" w:hAnsi="宋体" w:eastAsia="宋体" w:cs="宋体"/>
                <w:i w:val="0"/>
                <w:color w:val="000000"/>
                <w:sz w:val="18"/>
                <w:szCs w:val="18"/>
                <w:u w:val="none"/>
              </w:rPr>
              <w:t>工程款。</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8CA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已按照年初计划执行进度完成目标</w:t>
            </w:r>
          </w:p>
        </w:tc>
      </w:tr>
      <w:tr w14:paraId="4A6DF4DF">
        <w:tblPrEx>
          <w:tblCellMar>
            <w:top w:w="0" w:type="dxa"/>
            <w:left w:w="0" w:type="dxa"/>
            <w:bottom w:w="0" w:type="dxa"/>
            <w:right w:w="0"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0E57">
            <w:pP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E0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3CFA">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2021年开始购置</w:t>
            </w:r>
            <w:r>
              <w:rPr>
                <w:rFonts w:ascii="宋体" w:hAnsi="宋体" w:eastAsia="宋体" w:cs="宋体"/>
                <w:i w:val="0"/>
                <w:color w:val="000000"/>
                <w:kern w:val="0"/>
                <w:sz w:val="18"/>
                <w:szCs w:val="18"/>
                <w:u w:val="none"/>
                <w:lang w:val="en-US" w:eastAsia="zh-CN" w:bidi="ar"/>
              </w:rPr>
              <w:t>基层就业和社会保障</w:t>
            </w:r>
            <w:r>
              <w:rPr>
                <w:rFonts w:hint="eastAsia" w:ascii="宋体" w:hAnsi="宋体" w:eastAsia="宋体" w:cs="宋体"/>
                <w:i w:val="0"/>
                <w:color w:val="000000"/>
                <w:kern w:val="0"/>
                <w:sz w:val="18"/>
                <w:szCs w:val="18"/>
                <w:u w:val="none"/>
                <w:lang w:val="en-US" w:eastAsia="zh-CN" w:bidi="ar"/>
              </w:rPr>
              <w:t>中心</w:t>
            </w:r>
            <w:r>
              <w:rPr>
                <w:rFonts w:hint="eastAsia" w:ascii="宋体" w:hAnsi="宋体" w:eastAsia="宋体" w:cs="宋体"/>
                <w:i w:val="0"/>
                <w:color w:val="000000"/>
                <w:sz w:val="18"/>
                <w:szCs w:val="18"/>
                <w:u w:val="none"/>
                <w:lang w:val="en-US" w:eastAsia="zh-CN"/>
              </w:rPr>
              <w:t>平台建设电脑及打印机，后逐年支付工程款。</w:t>
            </w:r>
          </w:p>
        </w:tc>
      </w:tr>
      <w:tr w14:paraId="484EEBC8">
        <w:tblPrEx>
          <w:tblCellMar>
            <w:top w:w="0" w:type="dxa"/>
            <w:left w:w="0" w:type="dxa"/>
            <w:bottom w:w="0" w:type="dxa"/>
            <w:right w:w="0"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810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98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BA4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558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C39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0C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28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17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CB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DD84E27">
        <w:tblPrEx>
          <w:tblCellMar>
            <w:top w:w="0" w:type="dxa"/>
            <w:left w:w="0" w:type="dxa"/>
            <w:bottom w:w="0" w:type="dxa"/>
            <w:right w:w="0"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B7BA">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5F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85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7A6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78.49</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A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78.49</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84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35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20710">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E636F">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907FC6C">
        <w:tblPrEx>
          <w:tblCellMar>
            <w:top w:w="0" w:type="dxa"/>
            <w:left w:w="0" w:type="dxa"/>
            <w:bottom w:w="0" w:type="dxa"/>
            <w:right w:w="0"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15824">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60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C59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54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78.49</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EF0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78.49</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C31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181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2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AEEB5">
            <w:pPr>
              <w:rPr>
                <w:rFonts w:hint="eastAsia" w:ascii="黑体" w:hAnsi="黑体" w:eastAsia="黑体" w:cs="黑体"/>
                <w:i/>
                <w:color w:val="000000"/>
                <w:sz w:val="18"/>
                <w:szCs w:val="18"/>
                <w:u w:val="none"/>
              </w:rPr>
            </w:pPr>
          </w:p>
        </w:tc>
      </w:tr>
      <w:tr w14:paraId="490D193A">
        <w:tblPrEx>
          <w:tblCellMar>
            <w:top w:w="0" w:type="dxa"/>
            <w:left w:w="0" w:type="dxa"/>
            <w:bottom w:w="0" w:type="dxa"/>
            <w:right w:w="0"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68799">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7A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C4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152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6C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5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7C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B06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61191">
            <w:pPr>
              <w:rPr>
                <w:rFonts w:hint="eastAsia" w:ascii="黑体" w:hAnsi="黑体" w:eastAsia="黑体" w:cs="黑体"/>
                <w:i/>
                <w:color w:val="000000"/>
                <w:sz w:val="18"/>
                <w:szCs w:val="18"/>
                <w:u w:val="none"/>
              </w:rPr>
            </w:pPr>
          </w:p>
        </w:tc>
      </w:tr>
      <w:tr w14:paraId="6931C735">
        <w:tblPrEx>
          <w:tblCellMar>
            <w:top w:w="0" w:type="dxa"/>
            <w:left w:w="0" w:type="dxa"/>
            <w:bottom w:w="0" w:type="dxa"/>
            <w:right w:w="0"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3CFEF">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D8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E8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E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A1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68B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E2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930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8EC4E">
            <w:pPr>
              <w:rPr>
                <w:rFonts w:hint="eastAsia" w:ascii="黑体" w:hAnsi="黑体" w:eastAsia="黑体" w:cs="黑体"/>
                <w:i/>
                <w:color w:val="000000"/>
                <w:sz w:val="18"/>
                <w:szCs w:val="18"/>
                <w:u w:val="none"/>
              </w:rPr>
            </w:pPr>
          </w:p>
        </w:tc>
      </w:tr>
      <w:tr w14:paraId="4FB89C02">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55233">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7142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509DAF">
            <w:pPr>
              <w:jc w:val="center"/>
              <w:rPr>
                <w:rFonts w:hint="eastAsia" w:ascii="微软雅黑" w:hAnsi="微软雅黑" w:eastAsia="微软雅黑" w:cs="微软雅黑"/>
                <w:i/>
                <w:color w:val="000000"/>
                <w:sz w:val="16"/>
                <w:szCs w:val="16"/>
                <w:u w:val="none"/>
              </w:rPr>
            </w:pPr>
          </w:p>
        </w:tc>
        <w:tc>
          <w:tcPr>
            <w:tcW w:w="8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6D5BEA">
            <w:pPr>
              <w:jc w:val="center"/>
              <w:rPr>
                <w:rFonts w:hint="eastAsia" w:ascii="微软雅黑" w:hAnsi="微软雅黑" w:eastAsia="微软雅黑" w:cs="微软雅黑"/>
                <w:i/>
                <w:color w:val="000000"/>
                <w:sz w:val="16"/>
                <w:szCs w:val="16"/>
                <w:u w:val="none"/>
              </w:rPr>
            </w:pPr>
          </w:p>
        </w:tc>
        <w:tc>
          <w:tcPr>
            <w:tcW w:w="964" w:type="pct"/>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9D15E7">
            <w:pPr>
              <w:jc w:val="center"/>
              <w:rPr>
                <w:rFonts w:hint="eastAsia" w:ascii="微软雅黑" w:hAnsi="微软雅黑" w:eastAsia="微软雅黑" w:cs="微软雅黑"/>
                <w:i/>
                <w:color w:val="000000"/>
                <w:sz w:val="16"/>
                <w:szCs w:val="16"/>
                <w:u w:val="none"/>
              </w:rPr>
            </w:pPr>
          </w:p>
        </w:tc>
        <w:tc>
          <w:tcPr>
            <w:tcW w:w="38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E51348">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3AD9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3557A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D1C60">
            <w:pPr>
              <w:rPr>
                <w:rFonts w:hint="eastAsia" w:ascii="黑体" w:hAnsi="黑体" w:eastAsia="黑体" w:cs="黑体"/>
                <w:i/>
                <w:color w:val="000000"/>
                <w:sz w:val="18"/>
                <w:szCs w:val="18"/>
                <w:u w:val="none"/>
              </w:rPr>
            </w:pPr>
          </w:p>
        </w:tc>
      </w:tr>
      <w:tr w14:paraId="7F6C4631">
        <w:tblPrEx>
          <w:tblCellMar>
            <w:top w:w="0" w:type="dxa"/>
            <w:left w:w="0" w:type="dxa"/>
            <w:bottom w:w="0" w:type="dxa"/>
            <w:right w:w="0"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F6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4B4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4DD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4E0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7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B8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93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C8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74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36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60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2425B986">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91B1">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E91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8FB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37E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打印机</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1DF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7BC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86A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94651">
            <w:pPr>
              <w:jc w:val="center"/>
              <w:rPr>
                <w:rFonts w:hint="eastAsia" w:ascii="微软雅黑" w:hAnsi="微软雅黑" w:eastAsia="微软雅黑" w:cs="微软雅黑"/>
                <w:i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309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4D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D80DC">
            <w:pPr>
              <w:jc w:val="center"/>
              <w:rPr>
                <w:rFonts w:hint="eastAsia" w:ascii="微软雅黑" w:hAnsi="微软雅黑" w:eastAsia="微软雅黑" w:cs="微软雅黑"/>
                <w:i w:val="0"/>
                <w:color w:val="000000"/>
                <w:sz w:val="16"/>
                <w:szCs w:val="16"/>
                <w:u w:val="none"/>
              </w:rPr>
            </w:pPr>
          </w:p>
        </w:tc>
      </w:tr>
      <w:tr w14:paraId="1DD50D40">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AC7EB">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BB38">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182F">
            <w:pPr>
              <w:jc w:val="center"/>
              <w:rPr>
                <w:rFonts w:hint="eastAsia" w:ascii="宋体" w:hAnsi="宋体" w:eastAsia="宋体" w:cs="宋体"/>
                <w:i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4A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电脑购买数</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842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E04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55D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08AC">
            <w:pPr>
              <w:jc w:val="center"/>
              <w:rPr>
                <w:rFonts w:hint="eastAsia" w:ascii="微软雅黑" w:hAnsi="微软雅黑" w:eastAsia="微软雅黑" w:cs="微软雅黑"/>
                <w:i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9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B9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8471">
            <w:pPr>
              <w:jc w:val="center"/>
              <w:rPr>
                <w:rFonts w:hint="eastAsia" w:ascii="微软雅黑" w:hAnsi="微软雅黑" w:eastAsia="微软雅黑" w:cs="微软雅黑"/>
                <w:i w:val="0"/>
                <w:color w:val="000000"/>
                <w:sz w:val="16"/>
                <w:szCs w:val="16"/>
                <w:u w:val="none"/>
              </w:rPr>
            </w:pPr>
          </w:p>
        </w:tc>
      </w:tr>
      <w:tr w14:paraId="77340DCF">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696E3">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F146">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C49A">
            <w:pPr>
              <w:jc w:val="center"/>
              <w:rPr>
                <w:rFonts w:hint="eastAsia" w:ascii="宋体" w:hAnsi="宋体" w:eastAsia="宋体" w:cs="宋体"/>
                <w:i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F3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防火墙</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77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394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4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1034">
            <w:pPr>
              <w:jc w:val="center"/>
              <w:rPr>
                <w:rFonts w:hint="eastAsia" w:ascii="微软雅黑" w:hAnsi="微软雅黑" w:eastAsia="微软雅黑" w:cs="微软雅黑"/>
                <w:i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C2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AD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4B158">
            <w:pPr>
              <w:jc w:val="center"/>
              <w:rPr>
                <w:rFonts w:hint="eastAsia" w:ascii="微软雅黑" w:hAnsi="微软雅黑" w:eastAsia="微软雅黑" w:cs="微软雅黑"/>
                <w:i w:val="0"/>
                <w:color w:val="000000"/>
                <w:sz w:val="16"/>
                <w:szCs w:val="16"/>
                <w:u w:val="none"/>
              </w:rPr>
            </w:pPr>
          </w:p>
        </w:tc>
      </w:tr>
      <w:tr w14:paraId="786B77CB">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A710">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87B2">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BB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59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39A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7A6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E83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BA5FB">
            <w:pPr>
              <w:jc w:val="center"/>
              <w:rPr>
                <w:rFonts w:hint="eastAsia" w:ascii="微软雅黑" w:hAnsi="微软雅黑" w:eastAsia="微软雅黑" w:cs="微软雅黑"/>
                <w:i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1B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DD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1E6FA">
            <w:pPr>
              <w:jc w:val="center"/>
              <w:rPr>
                <w:rFonts w:hint="eastAsia" w:ascii="微软雅黑" w:hAnsi="微软雅黑" w:eastAsia="微软雅黑" w:cs="微软雅黑"/>
                <w:i w:val="0"/>
                <w:color w:val="000000"/>
                <w:sz w:val="16"/>
                <w:szCs w:val="16"/>
                <w:u w:val="none"/>
              </w:rPr>
            </w:pPr>
          </w:p>
        </w:tc>
      </w:tr>
      <w:tr w14:paraId="59799DF5">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32F6">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3DB2C">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CC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F3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DC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FE0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F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E5C48">
            <w:pPr>
              <w:jc w:val="center"/>
              <w:rPr>
                <w:rFonts w:hint="eastAsia" w:ascii="微软雅黑" w:hAnsi="微软雅黑" w:eastAsia="微软雅黑" w:cs="微软雅黑"/>
                <w:i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46C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8BE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CAE94">
            <w:pPr>
              <w:jc w:val="center"/>
              <w:rPr>
                <w:rFonts w:hint="eastAsia" w:ascii="微软雅黑" w:hAnsi="微软雅黑" w:eastAsia="微软雅黑" w:cs="微软雅黑"/>
                <w:i w:val="0"/>
                <w:color w:val="000000"/>
                <w:sz w:val="16"/>
                <w:szCs w:val="16"/>
                <w:u w:val="none"/>
              </w:rPr>
            </w:pPr>
          </w:p>
        </w:tc>
      </w:tr>
      <w:tr w14:paraId="2B9AFBE8">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9EC64">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2F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781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30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增加社会影响力</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A4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8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16545">
            <w:pPr>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FC4B">
            <w:pPr>
              <w:jc w:val="center"/>
              <w:rPr>
                <w:rFonts w:hint="eastAsia" w:ascii="微软雅黑" w:hAnsi="微软雅黑" w:eastAsia="微软雅黑" w:cs="微软雅黑"/>
                <w:i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417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71588">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3B81">
            <w:pPr>
              <w:jc w:val="center"/>
              <w:rPr>
                <w:rFonts w:hint="eastAsia" w:ascii="微软雅黑" w:hAnsi="微软雅黑" w:eastAsia="微软雅黑" w:cs="微软雅黑"/>
                <w:i w:val="0"/>
                <w:color w:val="000000"/>
                <w:sz w:val="16"/>
                <w:szCs w:val="16"/>
                <w:u w:val="none"/>
              </w:rPr>
            </w:pPr>
          </w:p>
        </w:tc>
      </w:tr>
      <w:tr w14:paraId="69491651">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D2B8F">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810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D3F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42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DA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5BD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32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89FB0">
            <w:pPr>
              <w:jc w:val="center"/>
              <w:rPr>
                <w:rFonts w:hint="eastAsia" w:ascii="微软雅黑" w:hAnsi="微软雅黑" w:eastAsia="微软雅黑" w:cs="微软雅黑"/>
                <w:i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C5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EFDC">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FBA1">
            <w:pPr>
              <w:jc w:val="center"/>
              <w:rPr>
                <w:rFonts w:hint="eastAsia" w:ascii="微软雅黑" w:hAnsi="微软雅黑" w:eastAsia="微软雅黑" w:cs="微软雅黑"/>
                <w:i w:val="0"/>
                <w:color w:val="000000"/>
                <w:sz w:val="16"/>
                <w:szCs w:val="16"/>
                <w:u w:val="none"/>
              </w:rPr>
            </w:pPr>
          </w:p>
        </w:tc>
      </w:tr>
      <w:tr w14:paraId="32967C1F">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E9CF">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35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50E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86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电脑购买成本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9E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FCE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7A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59E9E">
            <w:pPr>
              <w:jc w:val="center"/>
              <w:rPr>
                <w:rFonts w:hint="eastAsia" w:ascii="微软雅黑" w:hAnsi="微软雅黑" w:eastAsia="微软雅黑" w:cs="微软雅黑"/>
                <w:i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B72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ACE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DAB92">
            <w:pPr>
              <w:jc w:val="center"/>
              <w:rPr>
                <w:rFonts w:hint="eastAsia" w:ascii="微软雅黑" w:hAnsi="微软雅黑" w:eastAsia="微软雅黑" w:cs="微软雅黑"/>
                <w:i w:val="0"/>
                <w:color w:val="000000"/>
                <w:sz w:val="16"/>
                <w:szCs w:val="16"/>
                <w:u w:val="none"/>
              </w:rPr>
            </w:pPr>
          </w:p>
        </w:tc>
      </w:tr>
      <w:tr w14:paraId="7B0C24D5">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44143">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0E252">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9B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81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打印机</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1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47A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2B4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11D39">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DB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7F2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A699E">
            <w:pPr>
              <w:jc w:val="center"/>
              <w:rPr>
                <w:rFonts w:hint="eastAsia" w:ascii="微软雅黑" w:hAnsi="微软雅黑" w:eastAsia="微软雅黑" w:cs="微软雅黑"/>
                <w:i/>
                <w:color w:val="000000"/>
                <w:sz w:val="16"/>
                <w:szCs w:val="16"/>
                <w:u w:val="none"/>
              </w:rPr>
            </w:pPr>
          </w:p>
        </w:tc>
      </w:tr>
      <w:tr w14:paraId="78CAF788">
        <w:tblPrEx>
          <w:tblCellMar>
            <w:top w:w="0" w:type="dxa"/>
            <w:left w:w="0" w:type="dxa"/>
            <w:bottom w:w="0" w:type="dxa"/>
            <w:right w:w="0" w:type="dxa"/>
          </w:tblCellMar>
        </w:tblPrEx>
        <w:trPr>
          <w:trHeight w:val="339"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E7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380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3F69">
            <w:pPr>
              <w:keepNext w:val="0"/>
              <w:keepLines w:val="0"/>
              <w:widowControl/>
              <w:suppressLineNumbers w:val="0"/>
              <w:jc w:val="both"/>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E501">
            <w:pPr>
              <w:rPr>
                <w:rFonts w:hint="eastAsia" w:ascii="宋体" w:hAnsi="宋体" w:eastAsia="宋体" w:cs="宋体"/>
                <w:i w:val="0"/>
                <w:color w:val="000000"/>
                <w:sz w:val="22"/>
                <w:szCs w:val="22"/>
                <w:u w:val="none"/>
              </w:rPr>
            </w:pPr>
          </w:p>
        </w:tc>
      </w:tr>
      <w:tr w14:paraId="346D5DE0">
        <w:tblPrEx>
          <w:tblCellMar>
            <w:top w:w="0" w:type="dxa"/>
            <w:left w:w="0" w:type="dxa"/>
            <w:bottom w:w="0" w:type="dxa"/>
            <w:right w:w="0"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383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5991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color w:val="000000"/>
                <w:kern w:val="0"/>
                <w:sz w:val="18"/>
                <w:szCs w:val="18"/>
                <w:u w:val="none"/>
                <w:lang w:val="en-US" w:eastAsia="zh-CN" w:bidi="ar"/>
              </w:rPr>
              <w:t>基层就业和社会保障中心标准化建设项目项目绩效总体评价良好。</w:t>
            </w:r>
          </w:p>
        </w:tc>
      </w:tr>
      <w:tr w14:paraId="600C49C8">
        <w:tblPrEx>
          <w:tblCellMar>
            <w:top w:w="0" w:type="dxa"/>
            <w:left w:w="0" w:type="dxa"/>
            <w:bottom w:w="0" w:type="dxa"/>
            <w:right w:w="0"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A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FAC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lang w:val="en-US" w:eastAsia="zh-CN"/>
              </w:rPr>
            </w:pPr>
            <w:r>
              <w:rPr>
                <w:rFonts w:hint="eastAsia" w:ascii="微软雅黑" w:hAnsi="微软雅黑" w:eastAsia="微软雅黑" w:cs="微软雅黑"/>
                <w:i/>
                <w:color w:val="000000"/>
                <w:sz w:val="16"/>
                <w:szCs w:val="16"/>
                <w:u w:val="none"/>
                <w:lang w:val="en-US" w:eastAsia="zh-CN"/>
              </w:rPr>
              <w:t>无</w:t>
            </w:r>
          </w:p>
        </w:tc>
      </w:tr>
      <w:tr w14:paraId="58EF3067">
        <w:tblPrEx>
          <w:tblCellMar>
            <w:top w:w="0" w:type="dxa"/>
            <w:left w:w="0" w:type="dxa"/>
            <w:bottom w:w="0" w:type="dxa"/>
            <w:right w:w="0"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F7F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C8A0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B2CAA0D">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56B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项目负责人：熊东</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00D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财务负责人：王双</w:t>
            </w:r>
          </w:p>
        </w:tc>
      </w:tr>
    </w:tbl>
    <w:p w14:paraId="57DBD796">
      <w:pPr>
        <w:pStyle w:val="194"/>
        <w:ind w:left="632" w:firstLine="632"/>
        <w:rPr>
          <w:rFonts w:ascii="Times New Roman" w:eastAsia="黑体"/>
          <w:shd w:val="clear" w:color="auto" w:fill="FFFFFF"/>
          <w:lang w:val="zh-CN"/>
        </w:rPr>
      </w:pPr>
    </w:p>
    <w:p w14:paraId="0FBB98F8">
      <w:pPr>
        <w:pStyle w:val="194"/>
        <w:ind w:left="632" w:firstLine="632"/>
        <w:rPr>
          <w:rFonts w:ascii="Times New Roman" w:eastAsia="黑体"/>
          <w:shd w:val="clear" w:color="auto" w:fill="FFFFFF"/>
          <w:lang w:val="zh-CN"/>
        </w:rPr>
      </w:pPr>
    </w:p>
    <w:tbl>
      <w:tblPr>
        <w:tblStyle w:val="34"/>
        <w:tblW w:w="5000" w:type="pct"/>
        <w:tblInd w:w="0" w:type="dxa"/>
        <w:shd w:val="clear" w:color="auto" w:fill="auto"/>
        <w:tblLayout w:type="autofit"/>
        <w:tblCellMar>
          <w:top w:w="0" w:type="dxa"/>
          <w:left w:w="0" w:type="dxa"/>
          <w:bottom w:w="0" w:type="dxa"/>
          <w:right w:w="0" w:type="dxa"/>
        </w:tblCellMar>
      </w:tblPr>
      <w:tblGrid>
        <w:gridCol w:w="437"/>
        <w:gridCol w:w="1316"/>
        <w:gridCol w:w="1138"/>
        <w:gridCol w:w="1452"/>
        <w:gridCol w:w="334"/>
        <w:gridCol w:w="1075"/>
        <w:gridCol w:w="334"/>
        <w:gridCol w:w="702"/>
        <w:gridCol w:w="321"/>
        <w:gridCol w:w="301"/>
        <w:gridCol w:w="1646"/>
      </w:tblGrid>
      <w:tr w14:paraId="33EADE57">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7D1BD">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14D05E6">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83D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2E8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51090422T000000402724-人事档案管理费</w:t>
            </w:r>
          </w:p>
        </w:tc>
      </w:tr>
      <w:tr w14:paraId="41CB34A4">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97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470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遂宁市安居区人力资源和社会保障局部门</w:t>
            </w:r>
          </w:p>
        </w:tc>
        <w:tc>
          <w:tcPr>
            <w:tcW w:w="386" w:type="pct"/>
            <w:tcBorders>
              <w:top w:val="nil"/>
              <w:left w:val="nil"/>
              <w:bottom w:val="nil"/>
              <w:right w:val="nil"/>
            </w:tcBorders>
            <w:shd w:val="clear" w:color="auto" w:fill="auto"/>
            <w:tcMar>
              <w:top w:w="15" w:type="dxa"/>
              <w:left w:w="15" w:type="dxa"/>
              <w:right w:w="15" w:type="dxa"/>
            </w:tcMar>
            <w:vAlign w:val="center"/>
          </w:tcPr>
          <w:p w14:paraId="000B0074">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5C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w:t>
            </w:r>
          </w:p>
        </w:tc>
      </w:tr>
      <w:tr w14:paraId="24634088">
        <w:tblPrEx>
          <w:tblCellMar>
            <w:top w:w="0" w:type="dxa"/>
            <w:left w:w="0" w:type="dxa"/>
            <w:bottom w:w="0" w:type="dxa"/>
            <w:right w:w="0"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7E1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849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35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CCF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36E7C82">
        <w:tblPrEx>
          <w:tblCellMar>
            <w:top w:w="0" w:type="dxa"/>
            <w:left w:w="0" w:type="dxa"/>
            <w:bottom w:w="0" w:type="dxa"/>
            <w:right w:w="0"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4062">
            <w:pP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B54FB">
            <w:pPr>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CDC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一是对全区每年新增人事档案进行数字化整理，二是档案室安装监控设备，三是档案接收、转递工作</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767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已按照年初计划执行进度完成目标</w:t>
            </w:r>
          </w:p>
        </w:tc>
      </w:tr>
      <w:tr w14:paraId="7A7DA6A0">
        <w:tblPrEx>
          <w:tblCellMar>
            <w:top w:w="0" w:type="dxa"/>
            <w:left w:w="0" w:type="dxa"/>
            <w:bottom w:w="0" w:type="dxa"/>
            <w:right w:w="0"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10ACF">
            <w:pP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EF1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FEF15">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在职在编干部人事档案数字化一期工作已完成6740份档案。二期在职在编人员新增散件材料数字化5740份，在职在编新调入、新聘、安置、高新划转570份。</w:t>
            </w:r>
          </w:p>
        </w:tc>
      </w:tr>
      <w:tr w14:paraId="496DD29A">
        <w:tblPrEx>
          <w:tblCellMar>
            <w:top w:w="0" w:type="dxa"/>
            <w:left w:w="0" w:type="dxa"/>
            <w:bottom w:w="0" w:type="dxa"/>
            <w:right w:w="0"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01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757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054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C6B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6E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27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F5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18E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690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FAA6BCB">
        <w:tblPrEx>
          <w:tblCellMar>
            <w:top w:w="0" w:type="dxa"/>
            <w:left w:w="0" w:type="dxa"/>
            <w:bottom w:w="0" w:type="dxa"/>
            <w:right w:w="0"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9972C">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9D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3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DAB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89.29</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81C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89.29</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514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2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336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38A9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54BE88">
        <w:tblPrEx>
          <w:tblCellMar>
            <w:top w:w="0" w:type="dxa"/>
            <w:left w:w="0" w:type="dxa"/>
            <w:bottom w:w="0" w:type="dxa"/>
            <w:right w:w="0"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D4D28">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5A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B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15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89.29</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C1A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89.29</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A2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AC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646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FEE3">
            <w:pPr>
              <w:rPr>
                <w:rFonts w:hint="eastAsia" w:ascii="黑体" w:hAnsi="黑体" w:eastAsia="黑体" w:cs="黑体"/>
                <w:i/>
                <w:color w:val="000000"/>
                <w:sz w:val="18"/>
                <w:szCs w:val="18"/>
                <w:u w:val="none"/>
              </w:rPr>
            </w:pPr>
          </w:p>
        </w:tc>
      </w:tr>
      <w:tr w14:paraId="1B383999">
        <w:tblPrEx>
          <w:tblCellMar>
            <w:top w:w="0" w:type="dxa"/>
            <w:left w:w="0" w:type="dxa"/>
            <w:bottom w:w="0" w:type="dxa"/>
            <w:right w:w="0"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AFCAC">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9B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ADD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F0C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A7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D6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1C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38A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2ED1">
            <w:pPr>
              <w:rPr>
                <w:rFonts w:hint="eastAsia" w:ascii="黑体" w:hAnsi="黑体" w:eastAsia="黑体" w:cs="黑体"/>
                <w:i/>
                <w:color w:val="000000"/>
                <w:sz w:val="18"/>
                <w:szCs w:val="18"/>
                <w:u w:val="none"/>
              </w:rPr>
            </w:pPr>
          </w:p>
        </w:tc>
      </w:tr>
      <w:tr w14:paraId="7A05B147">
        <w:tblPrEx>
          <w:tblCellMar>
            <w:top w:w="0" w:type="dxa"/>
            <w:left w:w="0" w:type="dxa"/>
            <w:bottom w:w="0" w:type="dxa"/>
            <w:right w:w="0"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1C8A7">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53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AF1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F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E40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BE6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AA1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66D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79E20">
            <w:pPr>
              <w:rPr>
                <w:rFonts w:hint="eastAsia" w:ascii="黑体" w:hAnsi="黑体" w:eastAsia="黑体" w:cs="黑体"/>
                <w:i/>
                <w:color w:val="000000"/>
                <w:sz w:val="18"/>
                <w:szCs w:val="18"/>
                <w:u w:val="none"/>
              </w:rPr>
            </w:pPr>
          </w:p>
        </w:tc>
      </w:tr>
      <w:tr w14:paraId="55698971">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A2641">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C61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4E86">
            <w:pPr>
              <w:jc w:val="center"/>
              <w:rPr>
                <w:rFonts w:hint="eastAsia" w:ascii="微软雅黑" w:hAnsi="微软雅黑" w:eastAsia="微软雅黑" w:cs="微软雅黑"/>
                <w:i/>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7620">
            <w:pPr>
              <w:jc w:val="center"/>
              <w:rPr>
                <w:rFonts w:hint="eastAsia" w:ascii="微软雅黑" w:hAnsi="微软雅黑" w:eastAsia="微软雅黑" w:cs="微软雅黑"/>
                <w:i/>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093A">
            <w:pPr>
              <w:jc w:val="center"/>
              <w:rPr>
                <w:rFonts w:hint="eastAsia" w:ascii="微软雅黑" w:hAnsi="微软雅黑" w:eastAsia="微软雅黑" w:cs="微软雅黑"/>
                <w:i/>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CE7C">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80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A60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7EF17">
            <w:pPr>
              <w:rPr>
                <w:rFonts w:hint="eastAsia" w:ascii="黑体" w:hAnsi="黑体" w:eastAsia="黑体" w:cs="黑体"/>
                <w:i/>
                <w:color w:val="000000"/>
                <w:sz w:val="18"/>
                <w:szCs w:val="18"/>
                <w:u w:val="none"/>
              </w:rPr>
            </w:pPr>
          </w:p>
        </w:tc>
      </w:tr>
      <w:tr w14:paraId="14D4A638">
        <w:tblPrEx>
          <w:tblCellMar>
            <w:top w:w="0" w:type="dxa"/>
            <w:left w:w="0" w:type="dxa"/>
            <w:bottom w:w="0" w:type="dxa"/>
            <w:right w:w="0"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6B8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3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52E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094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AB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D0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22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212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CD2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AA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67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A1A4F5F">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B9E4">
            <w:pPr>
              <w:jc w:val="center"/>
              <w:rPr>
                <w:rFonts w:hint="eastAsia" w:ascii="宋体" w:hAnsi="宋体" w:eastAsia="宋体" w:cs="宋体"/>
                <w:i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268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BD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83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预计新增档案</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75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54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2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9247">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F54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B4D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5887E">
            <w:pPr>
              <w:jc w:val="center"/>
              <w:rPr>
                <w:rFonts w:hint="eastAsia" w:ascii="微软雅黑" w:hAnsi="微软雅黑" w:eastAsia="微软雅黑" w:cs="微软雅黑"/>
                <w:i/>
                <w:color w:val="000000"/>
                <w:sz w:val="16"/>
                <w:szCs w:val="16"/>
                <w:u w:val="none"/>
              </w:rPr>
            </w:pPr>
          </w:p>
        </w:tc>
      </w:tr>
      <w:tr w14:paraId="5176F608">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311B6">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8A68">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9E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F10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档案管理的有效性</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32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F8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33F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2C8A7">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A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D49AB">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1790">
            <w:pPr>
              <w:jc w:val="center"/>
              <w:rPr>
                <w:rFonts w:hint="eastAsia" w:ascii="微软雅黑" w:hAnsi="微软雅黑" w:eastAsia="微软雅黑" w:cs="微软雅黑"/>
                <w:i/>
                <w:color w:val="000000"/>
                <w:sz w:val="16"/>
                <w:szCs w:val="16"/>
                <w:u w:val="none"/>
              </w:rPr>
            </w:pPr>
          </w:p>
        </w:tc>
      </w:tr>
      <w:tr w14:paraId="5B48A1DD">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F15CD">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2550">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2D3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F86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950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E8D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C68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0D728">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7C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AAB3">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EC1AA">
            <w:pPr>
              <w:jc w:val="center"/>
              <w:rPr>
                <w:rFonts w:hint="eastAsia" w:ascii="微软雅黑" w:hAnsi="微软雅黑" w:eastAsia="微软雅黑" w:cs="微软雅黑"/>
                <w:i/>
                <w:color w:val="000000"/>
                <w:sz w:val="16"/>
                <w:szCs w:val="16"/>
                <w:u w:val="none"/>
              </w:rPr>
            </w:pPr>
          </w:p>
        </w:tc>
      </w:tr>
      <w:tr w14:paraId="27D4ED75">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50A8">
            <w:pPr>
              <w:jc w:val="center"/>
              <w:rPr>
                <w:rFonts w:hint="eastAsia" w:ascii="宋体" w:hAnsi="宋体" w:eastAsia="宋体" w:cs="宋体"/>
                <w:i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8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2F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1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增加社会影响力</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1A9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FB1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查询档案更方便快捷</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B43B">
            <w:pPr>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FEB9">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F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EC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0D3B9">
            <w:pPr>
              <w:jc w:val="center"/>
              <w:rPr>
                <w:rFonts w:hint="eastAsia" w:ascii="微软雅黑" w:hAnsi="微软雅黑" w:eastAsia="微软雅黑" w:cs="微软雅黑"/>
                <w:i/>
                <w:color w:val="000000"/>
                <w:sz w:val="16"/>
                <w:szCs w:val="16"/>
                <w:u w:val="none"/>
              </w:rPr>
            </w:pPr>
          </w:p>
        </w:tc>
      </w:tr>
      <w:tr w14:paraId="0569BA28">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16CA">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9A58">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F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59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方便群众</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6E5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9B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C2EC">
            <w:pPr>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A345E">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F6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E0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F7911">
            <w:pPr>
              <w:jc w:val="center"/>
              <w:rPr>
                <w:rFonts w:hint="eastAsia" w:ascii="微软雅黑" w:hAnsi="微软雅黑" w:eastAsia="微软雅黑" w:cs="微软雅黑"/>
                <w:i/>
                <w:color w:val="000000"/>
                <w:sz w:val="16"/>
                <w:szCs w:val="16"/>
                <w:u w:val="none"/>
              </w:rPr>
            </w:pPr>
          </w:p>
        </w:tc>
      </w:tr>
      <w:tr w14:paraId="5585F5B2">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3DA09">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A7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C8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9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获评人员满意度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E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1A8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735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131A">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29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9E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5975">
            <w:pPr>
              <w:jc w:val="center"/>
              <w:rPr>
                <w:rFonts w:hint="eastAsia" w:ascii="微软雅黑" w:hAnsi="微软雅黑" w:eastAsia="微软雅黑" w:cs="微软雅黑"/>
                <w:i/>
                <w:color w:val="000000"/>
                <w:sz w:val="16"/>
                <w:szCs w:val="16"/>
                <w:u w:val="none"/>
              </w:rPr>
            </w:pPr>
          </w:p>
        </w:tc>
      </w:tr>
      <w:tr w14:paraId="40783775">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D5FF">
            <w:pPr>
              <w:jc w:val="center"/>
              <w:rPr>
                <w:rFonts w:hint="eastAsia" w:ascii="宋体" w:hAnsi="宋体" w:eastAsia="宋体" w:cs="宋体"/>
                <w:i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1AD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2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FC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其他运维费4.9万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4C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4A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9C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4F5A">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A36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E50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8C24">
            <w:pPr>
              <w:jc w:val="center"/>
              <w:rPr>
                <w:rFonts w:hint="eastAsia" w:ascii="微软雅黑" w:hAnsi="微软雅黑" w:eastAsia="微软雅黑" w:cs="微软雅黑"/>
                <w:i/>
                <w:color w:val="000000"/>
                <w:sz w:val="16"/>
                <w:szCs w:val="16"/>
                <w:u w:val="none"/>
              </w:rPr>
            </w:pPr>
          </w:p>
        </w:tc>
      </w:tr>
      <w:tr w14:paraId="4105ADAD">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A56FA">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3CDB">
            <w:pPr>
              <w:jc w:val="center"/>
              <w:rPr>
                <w:rFonts w:hint="eastAsia" w:ascii="宋体" w:hAnsi="宋体" w:eastAsia="宋体" w:cs="宋体"/>
                <w:i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11021">
            <w:pPr>
              <w:jc w:val="center"/>
              <w:rPr>
                <w:rFonts w:hint="eastAsia" w:ascii="宋体" w:hAnsi="宋体" w:eastAsia="宋体" w:cs="宋体"/>
                <w:i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93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劳务费3万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65A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E5F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4DB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EFE8E">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5D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456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995CF">
            <w:pPr>
              <w:jc w:val="center"/>
              <w:rPr>
                <w:rFonts w:hint="eastAsia" w:ascii="微软雅黑" w:hAnsi="微软雅黑" w:eastAsia="微软雅黑" w:cs="微软雅黑"/>
                <w:i/>
                <w:color w:val="000000"/>
                <w:sz w:val="16"/>
                <w:szCs w:val="16"/>
                <w:u w:val="none"/>
              </w:rPr>
            </w:pPr>
          </w:p>
        </w:tc>
      </w:tr>
      <w:tr w14:paraId="0465E51F">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5A7B">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2EDF">
            <w:pPr>
              <w:jc w:val="center"/>
              <w:rPr>
                <w:rFonts w:hint="eastAsia" w:ascii="宋体" w:hAnsi="宋体" w:eastAsia="宋体" w:cs="宋体"/>
                <w:i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71AF">
            <w:pPr>
              <w:jc w:val="center"/>
              <w:rPr>
                <w:rFonts w:hint="eastAsia" w:ascii="宋体" w:hAnsi="宋体" w:eastAsia="宋体" w:cs="宋体"/>
                <w:i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7D4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印刷费2.1万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28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1DA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CD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44B7">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FF2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E7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5EFF8">
            <w:pPr>
              <w:jc w:val="center"/>
              <w:rPr>
                <w:rFonts w:hint="eastAsia" w:ascii="微软雅黑" w:hAnsi="微软雅黑" w:eastAsia="微软雅黑" w:cs="微软雅黑"/>
                <w:i/>
                <w:color w:val="000000"/>
                <w:sz w:val="16"/>
                <w:szCs w:val="16"/>
                <w:u w:val="none"/>
              </w:rPr>
            </w:pPr>
          </w:p>
        </w:tc>
      </w:tr>
      <w:tr w14:paraId="14C60224">
        <w:tblPrEx>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78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6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64C00">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4F2C">
            <w:pPr>
              <w:rPr>
                <w:rFonts w:hint="eastAsia" w:ascii="宋体" w:hAnsi="宋体" w:eastAsia="宋体" w:cs="宋体"/>
                <w:i w:val="0"/>
                <w:color w:val="000000"/>
                <w:sz w:val="18"/>
                <w:szCs w:val="18"/>
                <w:u w:val="none"/>
              </w:rPr>
            </w:pPr>
          </w:p>
        </w:tc>
      </w:tr>
      <w:tr w14:paraId="05043512">
        <w:tblPrEx>
          <w:tblCellMar>
            <w:top w:w="0" w:type="dxa"/>
            <w:left w:w="0" w:type="dxa"/>
            <w:bottom w:w="0" w:type="dxa"/>
            <w:right w:w="0"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483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08EC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人事档案管理费项目绩效总体评价良好</w:t>
            </w:r>
            <w:r>
              <w:rPr>
                <w:rFonts w:hint="eastAsia" w:ascii="微软雅黑" w:hAnsi="微软雅黑" w:eastAsia="微软雅黑" w:cs="微软雅黑"/>
                <w:i/>
                <w:color w:val="000000"/>
                <w:kern w:val="0"/>
                <w:sz w:val="16"/>
                <w:szCs w:val="16"/>
                <w:u w:val="none"/>
                <w:lang w:val="en-US" w:eastAsia="zh-CN" w:bidi="ar"/>
              </w:rPr>
              <w:t>。</w:t>
            </w:r>
          </w:p>
        </w:tc>
      </w:tr>
      <w:tr w14:paraId="6FEA63AA">
        <w:tblPrEx>
          <w:tblCellMar>
            <w:top w:w="0" w:type="dxa"/>
            <w:left w:w="0" w:type="dxa"/>
            <w:bottom w:w="0" w:type="dxa"/>
            <w:right w:w="0"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374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68DE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660BC76">
        <w:tblPrEx>
          <w:tblCellMar>
            <w:top w:w="0" w:type="dxa"/>
            <w:left w:w="0" w:type="dxa"/>
            <w:bottom w:w="0" w:type="dxa"/>
            <w:right w:w="0"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37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BEE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1B316B8">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29E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项目负责人：熊东</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BBD8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财务负责人：王双</w:t>
            </w:r>
          </w:p>
        </w:tc>
      </w:tr>
    </w:tbl>
    <w:p w14:paraId="73094B9A">
      <w:pPr>
        <w:pStyle w:val="194"/>
        <w:ind w:left="632" w:firstLine="632"/>
        <w:rPr>
          <w:rFonts w:ascii="Times New Roman" w:eastAsia="黑体"/>
          <w:shd w:val="clear" w:color="auto" w:fill="FFFFFF"/>
          <w:lang w:val="zh-CN"/>
        </w:rPr>
      </w:pPr>
    </w:p>
    <w:p w14:paraId="3D2200BE">
      <w:pPr>
        <w:pStyle w:val="194"/>
        <w:ind w:left="632" w:firstLine="632"/>
        <w:rPr>
          <w:rFonts w:ascii="Times New Roman" w:eastAsia="黑体"/>
          <w:shd w:val="clear" w:color="auto" w:fill="FFFFFF"/>
          <w:lang w:val="zh-CN"/>
        </w:rPr>
      </w:pPr>
    </w:p>
    <w:tbl>
      <w:tblPr>
        <w:tblStyle w:val="34"/>
        <w:tblW w:w="5000" w:type="pct"/>
        <w:tblInd w:w="0" w:type="dxa"/>
        <w:shd w:val="clear" w:color="auto" w:fill="auto"/>
        <w:tblLayout w:type="autofit"/>
        <w:tblCellMar>
          <w:top w:w="0" w:type="dxa"/>
          <w:left w:w="0" w:type="dxa"/>
          <w:bottom w:w="0" w:type="dxa"/>
          <w:right w:w="0" w:type="dxa"/>
        </w:tblCellMar>
      </w:tblPr>
      <w:tblGrid>
        <w:gridCol w:w="437"/>
        <w:gridCol w:w="1316"/>
        <w:gridCol w:w="1138"/>
        <w:gridCol w:w="1452"/>
        <w:gridCol w:w="334"/>
        <w:gridCol w:w="1075"/>
        <w:gridCol w:w="334"/>
        <w:gridCol w:w="702"/>
        <w:gridCol w:w="321"/>
        <w:gridCol w:w="301"/>
        <w:gridCol w:w="1646"/>
      </w:tblGrid>
      <w:tr w14:paraId="2B9052FB">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4C5D">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1A8FA90">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9E1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0C5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51090422T000000402732-基层就业和社会保障服务设施建设项目</w:t>
            </w:r>
          </w:p>
        </w:tc>
      </w:tr>
      <w:tr w14:paraId="1B139DCF">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9ED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281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遂宁市安居区人力资源和社会保障局部门</w:t>
            </w:r>
          </w:p>
        </w:tc>
        <w:tc>
          <w:tcPr>
            <w:tcW w:w="386" w:type="pct"/>
            <w:tcBorders>
              <w:top w:val="nil"/>
              <w:left w:val="nil"/>
              <w:bottom w:val="nil"/>
              <w:right w:val="nil"/>
            </w:tcBorders>
            <w:shd w:val="clear" w:color="auto" w:fill="auto"/>
            <w:tcMar>
              <w:top w:w="15" w:type="dxa"/>
              <w:left w:w="15" w:type="dxa"/>
              <w:right w:w="15" w:type="dxa"/>
            </w:tcMar>
            <w:vAlign w:val="center"/>
          </w:tcPr>
          <w:p w14:paraId="1C20F0E4">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F88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w:t>
            </w:r>
          </w:p>
        </w:tc>
      </w:tr>
      <w:tr w14:paraId="4EC1AC41">
        <w:tblPrEx>
          <w:tblCellMar>
            <w:top w:w="0" w:type="dxa"/>
            <w:left w:w="0" w:type="dxa"/>
            <w:bottom w:w="0" w:type="dxa"/>
            <w:right w:w="0"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4F1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CCD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F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DB6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825C157">
        <w:tblPrEx>
          <w:tblCellMar>
            <w:top w:w="0" w:type="dxa"/>
            <w:left w:w="0" w:type="dxa"/>
            <w:bottom w:w="0" w:type="dxa"/>
            <w:right w:w="0"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C0896">
            <w:pP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80CEB">
            <w:pPr>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0DE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基层就业和社会保障服务设施建设项目已完工，但未付工程款。</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B6C9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已按照年初计划执行进度完成目标</w:t>
            </w:r>
          </w:p>
        </w:tc>
      </w:tr>
      <w:tr w14:paraId="7300E488">
        <w:tblPrEx>
          <w:tblCellMar>
            <w:top w:w="0" w:type="dxa"/>
            <w:left w:w="0" w:type="dxa"/>
            <w:bottom w:w="0" w:type="dxa"/>
            <w:right w:w="0"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1C8F">
            <w:pP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97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91549">
            <w:pP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修建区级基层就业和社会保障服务中心，结算剩余尾款。</w:t>
            </w:r>
          </w:p>
        </w:tc>
      </w:tr>
      <w:tr w14:paraId="41384813">
        <w:tblPrEx>
          <w:tblCellMar>
            <w:top w:w="0" w:type="dxa"/>
            <w:left w:w="0" w:type="dxa"/>
            <w:bottom w:w="0" w:type="dxa"/>
            <w:right w:w="0"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E6C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E3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7C9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06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21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AC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24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0C7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705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1BA6E26">
        <w:tblPrEx>
          <w:tblCellMar>
            <w:top w:w="0" w:type="dxa"/>
            <w:left w:w="0" w:type="dxa"/>
            <w:bottom w:w="0" w:type="dxa"/>
            <w:right w:w="0"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B2F6">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A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1F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66B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162.18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12D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162.18</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54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43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748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28C1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23606E">
        <w:tblPrEx>
          <w:tblCellMar>
            <w:top w:w="0" w:type="dxa"/>
            <w:left w:w="0" w:type="dxa"/>
            <w:bottom w:w="0" w:type="dxa"/>
            <w:right w:w="0"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56CA">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C3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F3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B0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162.18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16A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162.18</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82D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A15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3F3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E003">
            <w:pPr>
              <w:rPr>
                <w:rFonts w:hint="eastAsia" w:ascii="黑体" w:hAnsi="黑体" w:eastAsia="黑体" w:cs="黑体"/>
                <w:i/>
                <w:color w:val="000000"/>
                <w:sz w:val="18"/>
                <w:szCs w:val="18"/>
                <w:u w:val="none"/>
              </w:rPr>
            </w:pPr>
          </w:p>
        </w:tc>
      </w:tr>
      <w:tr w14:paraId="38AAC757">
        <w:tblPrEx>
          <w:tblCellMar>
            <w:top w:w="0" w:type="dxa"/>
            <w:left w:w="0" w:type="dxa"/>
            <w:bottom w:w="0" w:type="dxa"/>
            <w:right w:w="0"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C4D30">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8F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C48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6F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F0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73C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CBF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E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3D5B">
            <w:pPr>
              <w:rPr>
                <w:rFonts w:hint="eastAsia" w:ascii="黑体" w:hAnsi="黑体" w:eastAsia="黑体" w:cs="黑体"/>
                <w:i/>
                <w:color w:val="000000"/>
                <w:sz w:val="18"/>
                <w:szCs w:val="18"/>
                <w:u w:val="none"/>
              </w:rPr>
            </w:pPr>
          </w:p>
        </w:tc>
      </w:tr>
      <w:tr w14:paraId="2978B664">
        <w:tblPrEx>
          <w:tblCellMar>
            <w:top w:w="0" w:type="dxa"/>
            <w:left w:w="0" w:type="dxa"/>
            <w:bottom w:w="0" w:type="dxa"/>
            <w:right w:w="0"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8E342">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ABF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8B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60E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EA8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01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F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941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F6115">
            <w:pPr>
              <w:rPr>
                <w:rFonts w:hint="eastAsia" w:ascii="黑体" w:hAnsi="黑体" w:eastAsia="黑体" w:cs="黑体"/>
                <w:i/>
                <w:color w:val="000000"/>
                <w:sz w:val="18"/>
                <w:szCs w:val="18"/>
                <w:u w:val="none"/>
              </w:rPr>
            </w:pPr>
          </w:p>
        </w:tc>
      </w:tr>
      <w:tr w14:paraId="4E5036FE">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9B74F">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BAF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923A">
            <w:pPr>
              <w:jc w:val="center"/>
              <w:rPr>
                <w:rFonts w:hint="eastAsia" w:ascii="微软雅黑" w:hAnsi="微软雅黑" w:eastAsia="微软雅黑" w:cs="微软雅黑"/>
                <w:i/>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D6631">
            <w:pPr>
              <w:jc w:val="center"/>
              <w:rPr>
                <w:rFonts w:hint="eastAsia" w:ascii="微软雅黑" w:hAnsi="微软雅黑" w:eastAsia="微软雅黑" w:cs="微软雅黑"/>
                <w:i/>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7EDD">
            <w:pPr>
              <w:jc w:val="center"/>
              <w:rPr>
                <w:rFonts w:hint="eastAsia" w:ascii="微软雅黑" w:hAnsi="微软雅黑" w:eastAsia="微软雅黑" w:cs="微软雅黑"/>
                <w:i/>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46E05">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BC5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9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18039">
            <w:pPr>
              <w:rPr>
                <w:rFonts w:hint="eastAsia" w:ascii="黑体" w:hAnsi="黑体" w:eastAsia="黑体" w:cs="黑体"/>
                <w:i/>
                <w:color w:val="000000"/>
                <w:sz w:val="18"/>
                <w:szCs w:val="18"/>
                <w:u w:val="none"/>
              </w:rPr>
            </w:pPr>
          </w:p>
        </w:tc>
      </w:tr>
      <w:tr w14:paraId="0FCBB777">
        <w:tblPrEx>
          <w:tblCellMar>
            <w:top w:w="0" w:type="dxa"/>
            <w:left w:w="0" w:type="dxa"/>
            <w:bottom w:w="0" w:type="dxa"/>
            <w:right w:w="0"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A5D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F17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01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79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47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4D3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810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CA4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8A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2E2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9D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0C83691">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3185E">
            <w:pPr>
              <w:jc w:val="center"/>
              <w:rPr>
                <w:rFonts w:hint="eastAsia" w:ascii="宋体" w:hAnsi="宋体" w:eastAsia="宋体" w:cs="宋体"/>
                <w:i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EB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E6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350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500平米修建</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AE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9F1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0A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3DC8">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28F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08A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B761">
            <w:pPr>
              <w:jc w:val="center"/>
              <w:rPr>
                <w:rFonts w:hint="eastAsia" w:ascii="微软雅黑" w:hAnsi="微软雅黑" w:eastAsia="微软雅黑" w:cs="微软雅黑"/>
                <w:i/>
                <w:color w:val="000000"/>
                <w:sz w:val="16"/>
                <w:szCs w:val="16"/>
                <w:u w:val="none"/>
              </w:rPr>
            </w:pPr>
          </w:p>
        </w:tc>
      </w:tr>
      <w:tr w14:paraId="4C3F76FE">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065A8">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1B9AA">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0FA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1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E16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118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8B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573B">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33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D1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CF5FD">
            <w:pPr>
              <w:jc w:val="center"/>
              <w:rPr>
                <w:rFonts w:hint="eastAsia" w:ascii="微软雅黑" w:hAnsi="微软雅黑" w:eastAsia="微软雅黑" w:cs="微软雅黑"/>
                <w:i/>
                <w:color w:val="000000"/>
                <w:sz w:val="16"/>
                <w:szCs w:val="16"/>
                <w:u w:val="none"/>
              </w:rPr>
            </w:pPr>
          </w:p>
        </w:tc>
      </w:tr>
      <w:tr w14:paraId="220F985B">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75D6">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668B">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128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EDD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B2F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5FA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2B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358BF">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FA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E2E27">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A0B0C">
            <w:pPr>
              <w:jc w:val="center"/>
              <w:rPr>
                <w:rFonts w:hint="eastAsia" w:ascii="微软雅黑" w:hAnsi="微软雅黑" w:eastAsia="微软雅黑" w:cs="微软雅黑"/>
                <w:i/>
                <w:color w:val="000000"/>
                <w:sz w:val="16"/>
                <w:szCs w:val="16"/>
                <w:u w:val="none"/>
              </w:rPr>
            </w:pPr>
          </w:p>
        </w:tc>
      </w:tr>
      <w:tr w14:paraId="79FDDA5B">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9F4C3">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A3A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2F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71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017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58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C2040">
            <w:pPr>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DF32">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EC3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54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FBB5">
            <w:pPr>
              <w:jc w:val="center"/>
              <w:rPr>
                <w:rFonts w:hint="eastAsia" w:ascii="微软雅黑" w:hAnsi="微软雅黑" w:eastAsia="微软雅黑" w:cs="微软雅黑"/>
                <w:i/>
                <w:color w:val="000000"/>
                <w:sz w:val="16"/>
                <w:szCs w:val="16"/>
                <w:u w:val="none"/>
              </w:rPr>
            </w:pPr>
          </w:p>
        </w:tc>
      </w:tr>
      <w:tr w14:paraId="50D22CEF">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D8C67">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03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077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174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7D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19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F14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5BED6">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204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1F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9EAA">
            <w:pPr>
              <w:jc w:val="center"/>
              <w:rPr>
                <w:rFonts w:hint="eastAsia" w:ascii="微软雅黑" w:hAnsi="微软雅黑" w:eastAsia="微软雅黑" w:cs="微软雅黑"/>
                <w:i/>
                <w:color w:val="000000"/>
                <w:sz w:val="16"/>
                <w:szCs w:val="16"/>
                <w:u w:val="none"/>
              </w:rPr>
            </w:pPr>
          </w:p>
        </w:tc>
      </w:tr>
      <w:tr w14:paraId="45D46C59">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E68ED">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A31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35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882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基层就业和社会保障服务设施建设项目未付工程款</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7B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D9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F2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80C6C">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1E8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7A87">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59D36">
            <w:pPr>
              <w:jc w:val="center"/>
              <w:rPr>
                <w:rFonts w:hint="eastAsia" w:ascii="微软雅黑" w:hAnsi="微软雅黑" w:eastAsia="微软雅黑" w:cs="微软雅黑"/>
                <w:i/>
                <w:color w:val="000000"/>
                <w:sz w:val="16"/>
                <w:szCs w:val="16"/>
                <w:u w:val="none"/>
              </w:rPr>
            </w:pPr>
          </w:p>
        </w:tc>
      </w:tr>
      <w:tr w14:paraId="44C1E6F6">
        <w:tblPrEx>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73C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A3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014B">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257B3">
            <w:pPr>
              <w:rPr>
                <w:rFonts w:hint="eastAsia" w:ascii="宋体" w:hAnsi="宋体" w:eastAsia="宋体" w:cs="宋体"/>
                <w:i w:val="0"/>
                <w:color w:val="000000"/>
                <w:sz w:val="18"/>
                <w:szCs w:val="18"/>
                <w:u w:val="none"/>
              </w:rPr>
            </w:pPr>
          </w:p>
        </w:tc>
      </w:tr>
      <w:tr w14:paraId="7B5A149A">
        <w:tblPrEx>
          <w:tblCellMar>
            <w:top w:w="0" w:type="dxa"/>
            <w:left w:w="0" w:type="dxa"/>
            <w:bottom w:w="0" w:type="dxa"/>
            <w:right w:w="0"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19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729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基层就业和社会保障服务设施建设</w:t>
            </w:r>
            <w:r>
              <w:rPr>
                <w:rFonts w:hint="eastAsia" w:ascii="宋体" w:hAnsi="宋体" w:eastAsia="宋体" w:cs="宋体"/>
                <w:i w:val="0"/>
                <w:iCs w:val="0"/>
                <w:color w:val="000000"/>
                <w:kern w:val="0"/>
                <w:sz w:val="18"/>
                <w:szCs w:val="18"/>
                <w:u w:val="none"/>
                <w:lang w:val="en-US" w:eastAsia="zh-CN" w:bidi="ar"/>
              </w:rPr>
              <w:t>项目绩效总体评价良好</w:t>
            </w:r>
            <w:r>
              <w:rPr>
                <w:rFonts w:hint="eastAsia" w:ascii="微软雅黑" w:hAnsi="微软雅黑" w:eastAsia="微软雅黑" w:cs="微软雅黑"/>
                <w:i/>
                <w:color w:val="000000"/>
                <w:kern w:val="0"/>
                <w:sz w:val="16"/>
                <w:szCs w:val="16"/>
                <w:u w:val="none"/>
                <w:lang w:val="en-US" w:eastAsia="zh-CN" w:bidi="ar"/>
              </w:rPr>
              <w:t>。</w:t>
            </w:r>
          </w:p>
        </w:tc>
      </w:tr>
      <w:tr w14:paraId="631C5877">
        <w:tblPrEx>
          <w:tblCellMar>
            <w:top w:w="0" w:type="dxa"/>
            <w:left w:w="0" w:type="dxa"/>
            <w:bottom w:w="0" w:type="dxa"/>
            <w:right w:w="0"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43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2A3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C55C9C1">
        <w:tblPrEx>
          <w:tblCellMar>
            <w:top w:w="0" w:type="dxa"/>
            <w:left w:w="0" w:type="dxa"/>
            <w:bottom w:w="0" w:type="dxa"/>
            <w:right w:w="0"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45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6061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A4E4885">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0E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项目负责人：熊东</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448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财务负责人：王双</w:t>
            </w:r>
          </w:p>
        </w:tc>
      </w:tr>
    </w:tbl>
    <w:p w14:paraId="37563B05">
      <w:pPr>
        <w:pStyle w:val="194"/>
        <w:ind w:firstLine="0"/>
        <w:rPr>
          <w:rFonts w:ascii="Times New Roman" w:eastAsia="黑体"/>
          <w:shd w:val="clear" w:color="auto" w:fill="FFFFFF"/>
          <w:lang w:val="zh-CN"/>
        </w:rPr>
      </w:pPr>
    </w:p>
    <w:p w14:paraId="024E1E42">
      <w:pPr>
        <w:spacing w:line="560" w:lineRule="exact"/>
        <w:jc w:val="center"/>
        <w:outlineLvl w:val="0"/>
        <w:rPr>
          <w:rFonts w:eastAsia="方正小标宋简体"/>
          <w:sz w:val="44"/>
          <w:szCs w:val="44"/>
        </w:rPr>
      </w:pPr>
      <w:bookmarkStart w:id="93" w:name="_Toc14542"/>
      <w:bookmarkStart w:id="94" w:name="_Toc15396618"/>
    </w:p>
    <w:tbl>
      <w:tblPr>
        <w:tblStyle w:val="34"/>
        <w:tblW w:w="5000" w:type="pct"/>
        <w:tblInd w:w="0" w:type="dxa"/>
        <w:shd w:val="clear" w:color="auto" w:fill="auto"/>
        <w:tblLayout w:type="autofit"/>
        <w:tblCellMar>
          <w:top w:w="0" w:type="dxa"/>
          <w:left w:w="0" w:type="dxa"/>
          <w:bottom w:w="0" w:type="dxa"/>
          <w:right w:w="0" w:type="dxa"/>
        </w:tblCellMar>
      </w:tblPr>
      <w:tblGrid>
        <w:gridCol w:w="437"/>
        <w:gridCol w:w="1316"/>
        <w:gridCol w:w="1138"/>
        <w:gridCol w:w="1452"/>
        <w:gridCol w:w="334"/>
        <w:gridCol w:w="1075"/>
        <w:gridCol w:w="334"/>
        <w:gridCol w:w="702"/>
        <w:gridCol w:w="321"/>
        <w:gridCol w:w="301"/>
        <w:gridCol w:w="1646"/>
      </w:tblGrid>
      <w:tr w14:paraId="1F0046DF">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FA174">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64D7F92">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BD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F12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51090422T000000402802-人事考试考务费</w:t>
            </w:r>
          </w:p>
        </w:tc>
      </w:tr>
      <w:tr w14:paraId="62C28B3F">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8A9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97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遂宁市安居区人力资源和社会保障局部门</w:t>
            </w:r>
          </w:p>
        </w:tc>
        <w:tc>
          <w:tcPr>
            <w:tcW w:w="386" w:type="pct"/>
            <w:tcBorders>
              <w:top w:val="nil"/>
              <w:left w:val="nil"/>
              <w:bottom w:val="nil"/>
              <w:right w:val="nil"/>
            </w:tcBorders>
            <w:shd w:val="clear" w:color="auto" w:fill="auto"/>
            <w:tcMar>
              <w:top w:w="15" w:type="dxa"/>
              <w:left w:w="15" w:type="dxa"/>
              <w:right w:w="15" w:type="dxa"/>
            </w:tcMar>
            <w:vAlign w:val="center"/>
          </w:tcPr>
          <w:p w14:paraId="2E88DEA1">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E0F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w:t>
            </w:r>
          </w:p>
        </w:tc>
      </w:tr>
      <w:tr w14:paraId="470C467F">
        <w:tblPrEx>
          <w:tblCellMar>
            <w:top w:w="0" w:type="dxa"/>
            <w:left w:w="0" w:type="dxa"/>
            <w:bottom w:w="0" w:type="dxa"/>
            <w:right w:w="0"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65D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EC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9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5F13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CDE8FA7">
        <w:tblPrEx>
          <w:tblCellMar>
            <w:top w:w="0" w:type="dxa"/>
            <w:left w:w="0" w:type="dxa"/>
            <w:bottom w:w="0" w:type="dxa"/>
            <w:right w:w="0" w:type="dxa"/>
          </w:tblCellMar>
        </w:tblPrEx>
        <w:trPr>
          <w:trHeight w:val="51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7025E">
            <w:pP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096DB">
            <w:pPr>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E888C">
            <w:pPr>
              <w:keepNext w:val="0"/>
              <w:keepLines w:val="0"/>
              <w:widowControl/>
              <w:suppressLineNumbers w:val="0"/>
              <w:jc w:val="lef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2024年拟开展2场</w:t>
            </w:r>
            <w:r>
              <w:rPr>
                <w:rFonts w:ascii="宋体" w:hAnsi="宋体" w:eastAsia="宋体" w:cs="宋体"/>
                <w:i w:val="0"/>
                <w:color w:val="000000"/>
                <w:kern w:val="0"/>
                <w:sz w:val="18"/>
                <w:szCs w:val="18"/>
                <w:u w:val="none"/>
                <w:lang w:val="en-US" w:eastAsia="zh-CN" w:bidi="ar"/>
              </w:rPr>
              <w:t>事业单位公开考试招聘</w:t>
            </w:r>
            <w:r>
              <w:rPr>
                <w:rFonts w:hint="eastAsia" w:ascii="宋体" w:hAnsi="宋体" w:eastAsia="宋体" w:cs="宋体"/>
                <w:i w:val="0"/>
                <w:color w:val="000000"/>
                <w:kern w:val="0"/>
                <w:sz w:val="18"/>
                <w:szCs w:val="18"/>
                <w:u w:val="none"/>
                <w:lang w:val="en-US" w:eastAsia="zh-CN" w:bidi="ar"/>
              </w:rPr>
              <w:t>。</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134C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已按照年初计划执行进度完成目标</w:t>
            </w:r>
          </w:p>
        </w:tc>
      </w:tr>
      <w:tr w14:paraId="70E7406F">
        <w:tblPrEx>
          <w:tblCellMar>
            <w:top w:w="0" w:type="dxa"/>
            <w:left w:w="0" w:type="dxa"/>
            <w:bottom w:w="0" w:type="dxa"/>
            <w:right w:w="0"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16F9">
            <w:pP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F1A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7FBA">
            <w:pP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2024年拟开展事业单位公开考试招聘上半年和下半年共计2场，面向全省考调事业人员上半年和下半年共计2场(命题1.5万元</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面试考官、工作人员和巡视费6.5万元</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租用考场、车辆2万元)</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合计10万元</w:t>
            </w:r>
            <w:r>
              <w:rPr>
                <w:rFonts w:hint="eastAsia" w:ascii="宋体" w:hAnsi="宋体" w:eastAsia="宋体" w:cs="宋体"/>
                <w:i w:val="0"/>
                <w:color w:val="000000"/>
                <w:kern w:val="0"/>
                <w:sz w:val="18"/>
                <w:szCs w:val="18"/>
                <w:u w:val="none"/>
                <w:lang w:val="en-US" w:eastAsia="zh-CN" w:bidi="ar"/>
              </w:rPr>
              <w:t>。</w:t>
            </w:r>
          </w:p>
        </w:tc>
      </w:tr>
      <w:tr w14:paraId="29439A0C">
        <w:tblPrEx>
          <w:tblCellMar>
            <w:top w:w="0" w:type="dxa"/>
            <w:left w:w="0" w:type="dxa"/>
            <w:bottom w:w="0" w:type="dxa"/>
            <w:right w:w="0"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045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44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EF4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D0D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78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48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AB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F1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26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CF8D88E">
        <w:tblPrEx>
          <w:tblCellMar>
            <w:top w:w="0" w:type="dxa"/>
            <w:left w:w="0" w:type="dxa"/>
            <w:bottom w:w="0" w:type="dxa"/>
            <w:right w:w="0"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4351D">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C57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971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2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0A6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2.44</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55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BB9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03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49CE">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F3BB75">
        <w:tblPrEx>
          <w:tblCellMar>
            <w:top w:w="0" w:type="dxa"/>
            <w:left w:w="0" w:type="dxa"/>
            <w:bottom w:w="0" w:type="dxa"/>
            <w:right w:w="0"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287E8">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2C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14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EB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ED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2.44</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8C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29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ADF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FB0F">
            <w:pPr>
              <w:rPr>
                <w:rFonts w:hint="eastAsia" w:ascii="黑体" w:hAnsi="黑体" w:eastAsia="黑体" w:cs="黑体"/>
                <w:i/>
                <w:color w:val="000000"/>
                <w:sz w:val="18"/>
                <w:szCs w:val="18"/>
                <w:u w:val="none"/>
              </w:rPr>
            </w:pPr>
          </w:p>
        </w:tc>
      </w:tr>
      <w:tr w14:paraId="7A0B3D57">
        <w:tblPrEx>
          <w:tblCellMar>
            <w:top w:w="0" w:type="dxa"/>
            <w:left w:w="0" w:type="dxa"/>
            <w:bottom w:w="0" w:type="dxa"/>
            <w:right w:w="0"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3AA9">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DD7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EDA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3E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4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4E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C0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86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C5EB7">
            <w:pPr>
              <w:rPr>
                <w:rFonts w:hint="eastAsia" w:ascii="黑体" w:hAnsi="黑体" w:eastAsia="黑体" w:cs="黑体"/>
                <w:i/>
                <w:color w:val="000000"/>
                <w:sz w:val="18"/>
                <w:szCs w:val="18"/>
                <w:u w:val="none"/>
              </w:rPr>
            </w:pPr>
          </w:p>
        </w:tc>
      </w:tr>
      <w:tr w14:paraId="1CE00552">
        <w:tblPrEx>
          <w:tblCellMar>
            <w:top w:w="0" w:type="dxa"/>
            <w:left w:w="0" w:type="dxa"/>
            <w:bottom w:w="0" w:type="dxa"/>
            <w:right w:w="0"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9F37">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175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90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D0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A4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39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38D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8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B6EE">
            <w:pPr>
              <w:rPr>
                <w:rFonts w:hint="eastAsia" w:ascii="黑体" w:hAnsi="黑体" w:eastAsia="黑体" w:cs="黑体"/>
                <w:i/>
                <w:color w:val="000000"/>
                <w:sz w:val="18"/>
                <w:szCs w:val="18"/>
                <w:u w:val="none"/>
              </w:rPr>
            </w:pPr>
          </w:p>
        </w:tc>
      </w:tr>
      <w:tr w14:paraId="2069A0D2">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1E7BA">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9C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11413">
            <w:pPr>
              <w:jc w:val="center"/>
              <w:rPr>
                <w:rFonts w:hint="eastAsia" w:ascii="微软雅黑" w:hAnsi="微软雅黑" w:eastAsia="微软雅黑" w:cs="微软雅黑"/>
                <w:i/>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4AD79">
            <w:pPr>
              <w:jc w:val="center"/>
              <w:rPr>
                <w:rFonts w:hint="eastAsia" w:ascii="微软雅黑" w:hAnsi="微软雅黑" w:eastAsia="微软雅黑" w:cs="微软雅黑"/>
                <w:i/>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4CE1">
            <w:pPr>
              <w:jc w:val="center"/>
              <w:rPr>
                <w:rFonts w:hint="eastAsia" w:ascii="微软雅黑" w:hAnsi="微软雅黑" w:eastAsia="微软雅黑" w:cs="微软雅黑"/>
                <w:i/>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4FD2">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5ED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F6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4787">
            <w:pPr>
              <w:rPr>
                <w:rFonts w:hint="eastAsia" w:ascii="黑体" w:hAnsi="黑体" w:eastAsia="黑体" w:cs="黑体"/>
                <w:i/>
                <w:color w:val="000000"/>
                <w:sz w:val="18"/>
                <w:szCs w:val="18"/>
                <w:u w:val="none"/>
              </w:rPr>
            </w:pPr>
          </w:p>
        </w:tc>
      </w:tr>
      <w:tr w14:paraId="07F369B7">
        <w:tblPrEx>
          <w:tblCellMar>
            <w:top w:w="0" w:type="dxa"/>
            <w:left w:w="0" w:type="dxa"/>
            <w:bottom w:w="0" w:type="dxa"/>
            <w:right w:w="0"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BE9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6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0A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79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8F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D12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C69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76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7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AF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75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FB71174">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D83DC">
            <w:pPr>
              <w:jc w:val="center"/>
              <w:rPr>
                <w:rFonts w:hint="eastAsia" w:ascii="宋体" w:hAnsi="宋体" w:eastAsia="宋体" w:cs="宋体"/>
                <w:i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BEC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65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0C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公开招聘次数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C14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ABC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03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FE62F">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49F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DD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7D6DC">
            <w:pPr>
              <w:jc w:val="center"/>
              <w:rPr>
                <w:rFonts w:hint="eastAsia" w:ascii="微软雅黑" w:hAnsi="微软雅黑" w:eastAsia="微软雅黑" w:cs="微软雅黑"/>
                <w:i/>
                <w:color w:val="000000"/>
                <w:sz w:val="16"/>
                <w:szCs w:val="16"/>
                <w:u w:val="none"/>
              </w:rPr>
            </w:pPr>
          </w:p>
        </w:tc>
      </w:tr>
      <w:tr w14:paraId="09DB4054">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BB3B">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1C9F0">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479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AD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计划完成率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58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9A5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15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0E5F4">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5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CF1CE">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4E9D">
            <w:pPr>
              <w:jc w:val="center"/>
              <w:rPr>
                <w:rFonts w:hint="eastAsia" w:ascii="微软雅黑" w:hAnsi="微软雅黑" w:eastAsia="微软雅黑" w:cs="微软雅黑"/>
                <w:i/>
                <w:color w:val="000000"/>
                <w:sz w:val="16"/>
                <w:szCs w:val="16"/>
                <w:u w:val="none"/>
              </w:rPr>
            </w:pPr>
          </w:p>
        </w:tc>
      </w:tr>
      <w:tr w14:paraId="4DEBD272">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CC69">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25EC6">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2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25C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9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5D7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E1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C84A">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594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7BA05">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C1849">
            <w:pPr>
              <w:jc w:val="center"/>
              <w:rPr>
                <w:rFonts w:hint="eastAsia" w:ascii="微软雅黑" w:hAnsi="微软雅黑" w:eastAsia="微软雅黑" w:cs="微软雅黑"/>
                <w:i/>
                <w:color w:val="000000"/>
                <w:sz w:val="16"/>
                <w:szCs w:val="16"/>
                <w:u w:val="none"/>
              </w:rPr>
            </w:pPr>
          </w:p>
        </w:tc>
      </w:tr>
      <w:tr w14:paraId="08E7D4CA">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D3394">
            <w:pPr>
              <w:jc w:val="center"/>
              <w:rPr>
                <w:rFonts w:hint="eastAsia" w:ascii="宋体" w:hAnsi="宋体" w:eastAsia="宋体" w:cs="宋体"/>
                <w:i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E0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2A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C6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增加就业率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EE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1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3ADDD">
            <w:pPr>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FC57">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A89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54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5F22">
            <w:pPr>
              <w:jc w:val="center"/>
              <w:rPr>
                <w:rFonts w:hint="eastAsia" w:ascii="微软雅黑" w:hAnsi="微软雅黑" w:eastAsia="微软雅黑" w:cs="微软雅黑"/>
                <w:i/>
                <w:color w:val="000000"/>
                <w:sz w:val="16"/>
                <w:szCs w:val="16"/>
                <w:u w:val="none"/>
              </w:rPr>
            </w:pPr>
          </w:p>
        </w:tc>
      </w:tr>
      <w:tr w14:paraId="461B4C52">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496F">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14A3">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0C1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0D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社会认可度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5A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CC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918A9">
            <w:pPr>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DC157">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88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2AF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27C6">
            <w:pPr>
              <w:jc w:val="center"/>
              <w:rPr>
                <w:rFonts w:hint="eastAsia" w:ascii="微软雅黑" w:hAnsi="微软雅黑" w:eastAsia="微软雅黑" w:cs="微软雅黑"/>
                <w:i/>
                <w:color w:val="000000"/>
                <w:sz w:val="16"/>
                <w:szCs w:val="16"/>
                <w:u w:val="none"/>
              </w:rPr>
            </w:pPr>
          </w:p>
        </w:tc>
      </w:tr>
      <w:tr w14:paraId="20FE1312">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BB13">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2A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68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31F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F9F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754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D3A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CD95E">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92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F0C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F60D">
            <w:pPr>
              <w:jc w:val="center"/>
              <w:rPr>
                <w:rFonts w:hint="eastAsia" w:ascii="微软雅黑" w:hAnsi="微软雅黑" w:eastAsia="微软雅黑" w:cs="微软雅黑"/>
                <w:i/>
                <w:color w:val="000000"/>
                <w:sz w:val="16"/>
                <w:szCs w:val="16"/>
                <w:u w:val="none"/>
              </w:rPr>
            </w:pPr>
          </w:p>
        </w:tc>
      </w:tr>
      <w:tr w14:paraId="55DDD3D2">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34264">
            <w:pPr>
              <w:jc w:val="center"/>
              <w:rPr>
                <w:rFonts w:hint="eastAsia" w:ascii="宋体" w:hAnsi="宋体" w:eastAsia="宋体" w:cs="宋体"/>
                <w:i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55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97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01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租赁费1.9万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F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4D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0D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941FC">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56A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7F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22421">
            <w:pPr>
              <w:jc w:val="center"/>
              <w:rPr>
                <w:rFonts w:hint="eastAsia" w:ascii="微软雅黑" w:hAnsi="微软雅黑" w:eastAsia="微软雅黑" w:cs="微软雅黑"/>
                <w:i/>
                <w:color w:val="000000"/>
                <w:sz w:val="16"/>
                <w:szCs w:val="16"/>
                <w:u w:val="none"/>
              </w:rPr>
            </w:pPr>
          </w:p>
        </w:tc>
      </w:tr>
      <w:tr w14:paraId="5B20BF40">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99F1">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AD7FC">
            <w:pPr>
              <w:jc w:val="center"/>
              <w:rPr>
                <w:rFonts w:hint="eastAsia" w:ascii="宋体" w:hAnsi="宋体" w:eastAsia="宋体" w:cs="宋体"/>
                <w:i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77D2B">
            <w:pPr>
              <w:jc w:val="center"/>
              <w:rPr>
                <w:rFonts w:hint="eastAsia" w:ascii="宋体" w:hAnsi="宋体" w:eastAsia="宋体" w:cs="宋体"/>
                <w:i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11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委托业务费1.2万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377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CEB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358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33B4">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4BB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9BD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A06DD">
            <w:pPr>
              <w:jc w:val="center"/>
              <w:rPr>
                <w:rFonts w:hint="eastAsia" w:ascii="微软雅黑" w:hAnsi="微软雅黑" w:eastAsia="微软雅黑" w:cs="微软雅黑"/>
                <w:i/>
                <w:color w:val="000000"/>
                <w:sz w:val="16"/>
                <w:szCs w:val="16"/>
                <w:u w:val="none"/>
              </w:rPr>
            </w:pPr>
          </w:p>
        </w:tc>
      </w:tr>
      <w:tr w14:paraId="63D525A6">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476F">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F77C5">
            <w:pPr>
              <w:jc w:val="center"/>
              <w:rPr>
                <w:rFonts w:hint="eastAsia" w:ascii="宋体" w:hAnsi="宋体" w:eastAsia="宋体" w:cs="宋体"/>
                <w:i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EE88">
            <w:pPr>
              <w:jc w:val="center"/>
              <w:rPr>
                <w:rFonts w:hint="eastAsia" w:ascii="宋体" w:hAnsi="宋体" w:eastAsia="宋体" w:cs="宋体"/>
                <w:i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68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其他运维费6.9万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CB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93C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1A9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A5620">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FB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CED4B">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2F9D8">
            <w:pPr>
              <w:jc w:val="center"/>
              <w:rPr>
                <w:rFonts w:hint="eastAsia" w:ascii="微软雅黑" w:hAnsi="微软雅黑" w:eastAsia="微软雅黑" w:cs="微软雅黑"/>
                <w:i/>
                <w:color w:val="000000"/>
                <w:sz w:val="16"/>
                <w:szCs w:val="16"/>
                <w:u w:val="none"/>
              </w:rPr>
            </w:pPr>
          </w:p>
        </w:tc>
      </w:tr>
      <w:tr w14:paraId="5029EEEC">
        <w:tblPrEx>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C59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50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1B17B">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930C">
            <w:pPr>
              <w:rPr>
                <w:rFonts w:hint="eastAsia" w:ascii="宋体" w:hAnsi="宋体" w:eastAsia="宋体" w:cs="宋体"/>
                <w:i w:val="0"/>
                <w:color w:val="000000"/>
                <w:sz w:val="18"/>
                <w:szCs w:val="18"/>
                <w:u w:val="none"/>
              </w:rPr>
            </w:pPr>
          </w:p>
        </w:tc>
      </w:tr>
      <w:tr w14:paraId="7D7E65D9">
        <w:tblPrEx>
          <w:tblCellMar>
            <w:top w:w="0" w:type="dxa"/>
            <w:left w:w="0" w:type="dxa"/>
            <w:bottom w:w="0" w:type="dxa"/>
            <w:right w:w="0"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8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9D1E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人事考试考务费</w:t>
            </w:r>
            <w:r>
              <w:rPr>
                <w:rFonts w:hint="eastAsia" w:ascii="宋体" w:hAnsi="宋体" w:eastAsia="宋体" w:cs="宋体"/>
                <w:i w:val="0"/>
                <w:iCs w:val="0"/>
                <w:color w:val="000000"/>
                <w:kern w:val="0"/>
                <w:sz w:val="18"/>
                <w:szCs w:val="18"/>
                <w:u w:val="none"/>
                <w:lang w:val="en-US" w:eastAsia="zh-CN" w:bidi="ar"/>
              </w:rPr>
              <w:t>项目绩效总体评价良好</w:t>
            </w:r>
            <w:r>
              <w:rPr>
                <w:rFonts w:hint="eastAsia" w:ascii="微软雅黑" w:hAnsi="微软雅黑" w:eastAsia="微软雅黑" w:cs="微软雅黑"/>
                <w:i/>
                <w:color w:val="000000"/>
                <w:kern w:val="0"/>
                <w:sz w:val="16"/>
                <w:szCs w:val="16"/>
                <w:u w:val="none"/>
                <w:lang w:val="en-US" w:eastAsia="zh-CN" w:bidi="ar"/>
              </w:rPr>
              <w:t>。</w:t>
            </w:r>
          </w:p>
        </w:tc>
      </w:tr>
      <w:tr w14:paraId="1F21719C">
        <w:tblPrEx>
          <w:tblCellMar>
            <w:top w:w="0" w:type="dxa"/>
            <w:left w:w="0" w:type="dxa"/>
            <w:bottom w:w="0" w:type="dxa"/>
            <w:right w:w="0"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7D6B">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1E40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p>
        </w:tc>
      </w:tr>
      <w:tr w14:paraId="44D73F7D">
        <w:tblPrEx>
          <w:tblCellMar>
            <w:top w:w="0" w:type="dxa"/>
            <w:left w:w="0" w:type="dxa"/>
            <w:bottom w:w="0" w:type="dxa"/>
            <w:right w:w="0"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05C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E0B7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FC27923">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B1F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项目负责人：熊东</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B61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财务负责人：王双</w:t>
            </w:r>
          </w:p>
        </w:tc>
      </w:tr>
    </w:tbl>
    <w:p w14:paraId="6C3039FA">
      <w:pPr>
        <w:spacing w:line="560" w:lineRule="exact"/>
        <w:jc w:val="center"/>
        <w:outlineLvl w:val="0"/>
        <w:rPr>
          <w:rFonts w:eastAsia="方正小标宋简体"/>
          <w:sz w:val="44"/>
          <w:szCs w:val="44"/>
        </w:rPr>
      </w:pPr>
    </w:p>
    <w:p w14:paraId="289BA486">
      <w:pPr>
        <w:spacing w:line="560" w:lineRule="exact"/>
        <w:jc w:val="center"/>
        <w:outlineLvl w:val="0"/>
        <w:rPr>
          <w:rFonts w:eastAsia="方正小标宋简体"/>
          <w:sz w:val="44"/>
          <w:szCs w:val="44"/>
        </w:rPr>
      </w:pPr>
    </w:p>
    <w:p w14:paraId="3B2E3EBC">
      <w:pPr>
        <w:spacing w:line="560" w:lineRule="exact"/>
        <w:jc w:val="center"/>
        <w:outlineLvl w:val="0"/>
        <w:rPr>
          <w:rFonts w:eastAsia="方正小标宋简体"/>
          <w:sz w:val="44"/>
          <w:szCs w:val="44"/>
        </w:rPr>
      </w:pPr>
    </w:p>
    <w:p w14:paraId="597C0BB7">
      <w:pPr>
        <w:spacing w:line="560" w:lineRule="exact"/>
        <w:jc w:val="center"/>
        <w:outlineLvl w:val="0"/>
        <w:rPr>
          <w:rFonts w:eastAsia="方正小标宋简体"/>
          <w:sz w:val="44"/>
          <w:szCs w:val="44"/>
        </w:rPr>
      </w:pPr>
    </w:p>
    <w:tbl>
      <w:tblPr>
        <w:tblStyle w:val="34"/>
        <w:tblW w:w="5000" w:type="pct"/>
        <w:tblInd w:w="0" w:type="dxa"/>
        <w:shd w:val="clear" w:color="auto" w:fill="auto"/>
        <w:tblLayout w:type="autofit"/>
        <w:tblCellMar>
          <w:top w:w="0" w:type="dxa"/>
          <w:left w:w="0" w:type="dxa"/>
          <w:bottom w:w="0" w:type="dxa"/>
          <w:right w:w="0" w:type="dxa"/>
        </w:tblCellMar>
      </w:tblPr>
      <w:tblGrid>
        <w:gridCol w:w="437"/>
        <w:gridCol w:w="1316"/>
        <w:gridCol w:w="1138"/>
        <w:gridCol w:w="1452"/>
        <w:gridCol w:w="334"/>
        <w:gridCol w:w="1075"/>
        <w:gridCol w:w="334"/>
        <w:gridCol w:w="702"/>
        <w:gridCol w:w="321"/>
        <w:gridCol w:w="301"/>
        <w:gridCol w:w="1646"/>
      </w:tblGrid>
      <w:tr w14:paraId="781D9AC7">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E0DB">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22BE21B">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106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977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51090422T000000404011-社保卡“一卡通”网络服务费</w:t>
            </w:r>
          </w:p>
        </w:tc>
      </w:tr>
      <w:tr w14:paraId="49A54536">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2A6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917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遂宁市安居区人力资源和社会保障局部门</w:t>
            </w:r>
          </w:p>
        </w:tc>
        <w:tc>
          <w:tcPr>
            <w:tcW w:w="386" w:type="pct"/>
            <w:tcBorders>
              <w:top w:val="nil"/>
              <w:left w:val="nil"/>
              <w:bottom w:val="nil"/>
              <w:right w:val="nil"/>
            </w:tcBorders>
            <w:shd w:val="clear" w:color="auto" w:fill="auto"/>
            <w:tcMar>
              <w:top w:w="15" w:type="dxa"/>
              <w:left w:w="15" w:type="dxa"/>
              <w:right w:w="15" w:type="dxa"/>
            </w:tcMar>
            <w:vAlign w:val="center"/>
          </w:tcPr>
          <w:p w14:paraId="0AC29872">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4E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w:t>
            </w:r>
          </w:p>
        </w:tc>
      </w:tr>
      <w:tr w14:paraId="1AA67AD6">
        <w:tblPrEx>
          <w:tblCellMar>
            <w:top w:w="0" w:type="dxa"/>
            <w:left w:w="0" w:type="dxa"/>
            <w:bottom w:w="0" w:type="dxa"/>
            <w:right w:w="0"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36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9E1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A70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F526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AD57B64">
        <w:tblPrEx>
          <w:tblCellMar>
            <w:top w:w="0" w:type="dxa"/>
            <w:left w:w="0" w:type="dxa"/>
            <w:bottom w:w="0" w:type="dxa"/>
            <w:right w:w="0"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87B5">
            <w:pP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E88FA">
            <w:pPr>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24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社保卡“一卡通”网络运行正常快捷，能保障社保卡功能正常使用</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BF9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已按照年初计划执行进度完成目标</w:t>
            </w:r>
          </w:p>
        </w:tc>
      </w:tr>
      <w:tr w14:paraId="7D1B53C1">
        <w:tblPrEx>
          <w:tblCellMar>
            <w:top w:w="0" w:type="dxa"/>
            <w:left w:w="0" w:type="dxa"/>
            <w:bottom w:w="0" w:type="dxa"/>
            <w:right w:w="0"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5ED4">
            <w:pP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AD9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E9DA">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2024年18个乡镇（街道）及部分区直部门社保卡“一卡通”系统使用平稳运行。</w:t>
            </w:r>
          </w:p>
        </w:tc>
      </w:tr>
      <w:tr w14:paraId="07F559F8">
        <w:tblPrEx>
          <w:tblCellMar>
            <w:top w:w="0" w:type="dxa"/>
            <w:left w:w="0" w:type="dxa"/>
            <w:bottom w:w="0" w:type="dxa"/>
            <w:right w:w="0"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69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CED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08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46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C9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01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D3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3BB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34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1C5AEF1">
        <w:tblPrEx>
          <w:tblCellMar>
            <w:top w:w="0" w:type="dxa"/>
            <w:left w:w="0" w:type="dxa"/>
            <w:bottom w:w="0" w:type="dxa"/>
            <w:right w:w="0"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1CF4">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668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56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8E5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FC6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B3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2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21C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C24F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97330F">
        <w:tblPrEx>
          <w:tblCellMar>
            <w:top w:w="0" w:type="dxa"/>
            <w:left w:w="0" w:type="dxa"/>
            <w:bottom w:w="0" w:type="dxa"/>
            <w:right w:w="0"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C0D39">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56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8F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573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459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812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FC1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99C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EEF1">
            <w:pPr>
              <w:rPr>
                <w:rFonts w:hint="eastAsia" w:ascii="黑体" w:hAnsi="黑体" w:eastAsia="黑体" w:cs="黑体"/>
                <w:i/>
                <w:color w:val="000000"/>
                <w:sz w:val="18"/>
                <w:szCs w:val="18"/>
                <w:u w:val="none"/>
              </w:rPr>
            </w:pPr>
          </w:p>
        </w:tc>
      </w:tr>
      <w:tr w14:paraId="5A15B7BA">
        <w:tblPrEx>
          <w:tblCellMar>
            <w:top w:w="0" w:type="dxa"/>
            <w:left w:w="0" w:type="dxa"/>
            <w:bottom w:w="0" w:type="dxa"/>
            <w:right w:w="0"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7B2F5">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62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D0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0DD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5E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1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91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7D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FF22F">
            <w:pPr>
              <w:rPr>
                <w:rFonts w:hint="eastAsia" w:ascii="黑体" w:hAnsi="黑体" w:eastAsia="黑体" w:cs="黑体"/>
                <w:i/>
                <w:color w:val="000000"/>
                <w:sz w:val="18"/>
                <w:szCs w:val="18"/>
                <w:u w:val="none"/>
              </w:rPr>
            </w:pPr>
          </w:p>
        </w:tc>
      </w:tr>
      <w:tr w14:paraId="4A200F1A">
        <w:tblPrEx>
          <w:tblCellMar>
            <w:top w:w="0" w:type="dxa"/>
            <w:left w:w="0" w:type="dxa"/>
            <w:bottom w:w="0" w:type="dxa"/>
            <w:right w:w="0"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31FA5">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FCA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EE0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F52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D67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4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B7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BCE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2D93E">
            <w:pPr>
              <w:rPr>
                <w:rFonts w:hint="eastAsia" w:ascii="黑体" w:hAnsi="黑体" w:eastAsia="黑体" w:cs="黑体"/>
                <w:i/>
                <w:color w:val="000000"/>
                <w:sz w:val="18"/>
                <w:szCs w:val="18"/>
                <w:u w:val="none"/>
              </w:rPr>
            </w:pPr>
          </w:p>
        </w:tc>
      </w:tr>
      <w:tr w14:paraId="0AD23AD6">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B59B">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FF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0DFF">
            <w:pPr>
              <w:jc w:val="center"/>
              <w:rPr>
                <w:rFonts w:hint="eastAsia" w:ascii="微软雅黑" w:hAnsi="微软雅黑" w:eastAsia="微软雅黑" w:cs="微软雅黑"/>
                <w:i/>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B42B">
            <w:pPr>
              <w:jc w:val="center"/>
              <w:rPr>
                <w:rFonts w:hint="eastAsia" w:ascii="微软雅黑" w:hAnsi="微软雅黑" w:eastAsia="微软雅黑" w:cs="微软雅黑"/>
                <w:i/>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87DF9">
            <w:pPr>
              <w:jc w:val="center"/>
              <w:rPr>
                <w:rFonts w:hint="eastAsia" w:ascii="微软雅黑" w:hAnsi="微软雅黑" w:eastAsia="微软雅黑" w:cs="微软雅黑"/>
                <w:i/>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1E08">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AE9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66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1801">
            <w:pPr>
              <w:rPr>
                <w:rFonts w:hint="eastAsia" w:ascii="黑体" w:hAnsi="黑体" w:eastAsia="黑体" w:cs="黑体"/>
                <w:i/>
                <w:color w:val="000000"/>
                <w:sz w:val="18"/>
                <w:szCs w:val="18"/>
                <w:u w:val="none"/>
              </w:rPr>
            </w:pPr>
          </w:p>
        </w:tc>
      </w:tr>
      <w:tr w14:paraId="032C568F">
        <w:tblPrEx>
          <w:tblCellMar>
            <w:top w:w="0" w:type="dxa"/>
            <w:left w:w="0" w:type="dxa"/>
            <w:bottom w:w="0" w:type="dxa"/>
            <w:right w:w="0"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7F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E77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97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E55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C3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FC0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F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A6C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113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BBF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082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F40E555">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FB06">
            <w:pPr>
              <w:jc w:val="center"/>
              <w:rPr>
                <w:rFonts w:hint="eastAsia" w:ascii="宋体" w:hAnsi="宋体" w:eastAsia="宋体" w:cs="宋体"/>
                <w:i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1C8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D8D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60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网络专线条数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16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A9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00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条</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B935">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AEF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33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3C7A4">
            <w:pPr>
              <w:jc w:val="center"/>
              <w:rPr>
                <w:rFonts w:hint="eastAsia" w:ascii="微软雅黑" w:hAnsi="微软雅黑" w:eastAsia="微软雅黑" w:cs="微软雅黑"/>
                <w:i/>
                <w:color w:val="000000"/>
                <w:sz w:val="16"/>
                <w:szCs w:val="16"/>
                <w:u w:val="none"/>
              </w:rPr>
            </w:pPr>
          </w:p>
        </w:tc>
      </w:tr>
      <w:tr w14:paraId="4538157B">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0BB7">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82F63">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34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79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一体化系统网络运转率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679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3A1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216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6F54">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D9E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9FB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61CA2">
            <w:pPr>
              <w:jc w:val="center"/>
              <w:rPr>
                <w:rFonts w:hint="eastAsia" w:ascii="微软雅黑" w:hAnsi="微软雅黑" w:eastAsia="微软雅黑" w:cs="微软雅黑"/>
                <w:i/>
                <w:color w:val="000000"/>
                <w:sz w:val="16"/>
                <w:szCs w:val="16"/>
                <w:u w:val="none"/>
              </w:rPr>
            </w:pPr>
          </w:p>
        </w:tc>
      </w:tr>
      <w:tr w14:paraId="7E0E8B2C">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90A5">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13F2">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B5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14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23A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79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F3F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9F3DB">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79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7BF4">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DE96">
            <w:pPr>
              <w:jc w:val="center"/>
              <w:rPr>
                <w:rFonts w:hint="eastAsia" w:ascii="微软雅黑" w:hAnsi="微软雅黑" w:eastAsia="微软雅黑" w:cs="微软雅黑"/>
                <w:i/>
                <w:color w:val="000000"/>
                <w:sz w:val="16"/>
                <w:szCs w:val="16"/>
                <w:u w:val="none"/>
              </w:rPr>
            </w:pPr>
          </w:p>
        </w:tc>
      </w:tr>
      <w:tr w14:paraId="158FF527">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4AC38">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2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446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02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增加社会影响力</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3E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68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让办事人员更方便快捷</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5D62">
            <w:pPr>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0FE88">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16A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D4F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0AD2">
            <w:pPr>
              <w:jc w:val="center"/>
              <w:rPr>
                <w:rFonts w:hint="eastAsia" w:ascii="微软雅黑" w:hAnsi="微软雅黑" w:eastAsia="微软雅黑" w:cs="微软雅黑"/>
                <w:i/>
                <w:color w:val="000000"/>
                <w:sz w:val="16"/>
                <w:szCs w:val="16"/>
                <w:u w:val="none"/>
              </w:rPr>
            </w:pPr>
          </w:p>
        </w:tc>
      </w:tr>
      <w:tr w14:paraId="6565343E">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42329">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63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70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2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40A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ABE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25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0F363">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0B7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1C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DCAD8">
            <w:pPr>
              <w:jc w:val="center"/>
              <w:rPr>
                <w:rFonts w:hint="eastAsia" w:ascii="微软雅黑" w:hAnsi="微软雅黑" w:eastAsia="微软雅黑" w:cs="微软雅黑"/>
                <w:i/>
                <w:color w:val="000000"/>
                <w:sz w:val="16"/>
                <w:szCs w:val="16"/>
                <w:u w:val="none"/>
              </w:rPr>
            </w:pPr>
          </w:p>
        </w:tc>
      </w:tr>
      <w:tr w14:paraId="218BEEB7">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DD146">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F3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28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AB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社保卡“一卡通”</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A5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C8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E05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元/月</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F3A3">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A1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2FA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432AD">
            <w:pPr>
              <w:jc w:val="center"/>
              <w:rPr>
                <w:rFonts w:hint="eastAsia" w:ascii="微软雅黑" w:hAnsi="微软雅黑" w:eastAsia="微软雅黑" w:cs="微软雅黑"/>
                <w:i/>
                <w:color w:val="000000"/>
                <w:sz w:val="16"/>
                <w:szCs w:val="16"/>
                <w:u w:val="none"/>
              </w:rPr>
            </w:pPr>
          </w:p>
        </w:tc>
      </w:tr>
      <w:tr w14:paraId="19DC7A5E">
        <w:tblPrEx>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2C6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CA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161AA">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544D5">
            <w:pPr>
              <w:rPr>
                <w:rFonts w:hint="eastAsia" w:ascii="宋体" w:hAnsi="宋体" w:eastAsia="宋体" w:cs="宋体"/>
                <w:i w:val="0"/>
                <w:color w:val="000000"/>
                <w:sz w:val="18"/>
                <w:szCs w:val="18"/>
                <w:u w:val="none"/>
              </w:rPr>
            </w:pPr>
          </w:p>
        </w:tc>
      </w:tr>
      <w:tr w14:paraId="1F4F3C9C">
        <w:tblPrEx>
          <w:tblCellMar>
            <w:top w:w="0" w:type="dxa"/>
            <w:left w:w="0" w:type="dxa"/>
            <w:bottom w:w="0" w:type="dxa"/>
            <w:right w:w="0"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866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8015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社保卡“一卡通”网络服务费</w:t>
            </w:r>
            <w:r>
              <w:rPr>
                <w:rFonts w:hint="eastAsia" w:ascii="宋体" w:hAnsi="宋体" w:eastAsia="宋体" w:cs="宋体"/>
                <w:i w:val="0"/>
                <w:iCs w:val="0"/>
                <w:color w:val="000000"/>
                <w:kern w:val="0"/>
                <w:sz w:val="18"/>
                <w:szCs w:val="18"/>
                <w:u w:val="none"/>
                <w:lang w:val="en-US" w:eastAsia="zh-CN" w:bidi="ar"/>
              </w:rPr>
              <w:t>项目绩效总体评价良好</w:t>
            </w:r>
            <w:r>
              <w:rPr>
                <w:rFonts w:hint="eastAsia" w:ascii="微软雅黑" w:hAnsi="微软雅黑" w:eastAsia="微软雅黑" w:cs="微软雅黑"/>
                <w:i/>
                <w:color w:val="000000"/>
                <w:kern w:val="0"/>
                <w:sz w:val="16"/>
                <w:szCs w:val="16"/>
                <w:u w:val="none"/>
                <w:lang w:val="en-US" w:eastAsia="zh-CN" w:bidi="ar"/>
              </w:rPr>
              <w:t>。</w:t>
            </w:r>
          </w:p>
        </w:tc>
      </w:tr>
      <w:tr w14:paraId="7FA38521">
        <w:tblPrEx>
          <w:tblCellMar>
            <w:top w:w="0" w:type="dxa"/>
            <w:left w:w="0" w:type="dxa"/>
            <w:bottom w:w="0" w:type="dxa"/>
            <w:right w:w="0"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93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170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32394AF">
        <w:tblPrEx>
          <w:tblCellMar>
            <w:top w:w="0" w:type="dxa"/>
            <w:left w:w="0" w:type="dxa"/>
            <w:bottom w:w="0" w:type="dxa"/>
            <w:right w:w="0"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7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2B36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F9E18C3">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95C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项目负责人：熊东</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265D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财务负责人：王双</w:t>
            </w:r>
          </w:p>
        </w:tc>
      </w:tr>
    </w:tbl>
    <w:p w14:paraId="3DB42E8C">
      <w:pPr>
        <w:spacing w:line="560" w:lineRule="exact"/>
        <w:jc w:val="center"/>
        <w:outlineLvl w:val="0"/>
        <w:rPr>
          <w:rFonts w:eastAsia="方正小标宋简体"/>
          <w:sz w:val="44"/>
          <w:szCs w:val="44"/>
        </w:rPr>
      </w:pPr>
    </w:p>
    <w:p w14:paraId="5F0DE23C">
      <w:pP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p>
    <w:p w14:paraId="69F1B532">
      <w:pP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p>
    <w:p w14:paraId="5EEAA06D">
      <w:pP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p>
    <w:p w14:paraId="48839771">
      <w:pP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p>
    <w:p w14:paraId="52E30C5F">
      <w:pP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p>
    <w:p w14:paraId="3CBD773A">
      <w:pPr>
        <w:rPr>
          <w:rFonts w:hint="default" w:ascii="Times New Roman" w:hAnsi="Times New Roman" w:eastAsia="黑体" w:cs="Times New Roman"/>
          <w:b w:val="0"/>
          <w:bCs w:val="0"/>
          <w:i w:val="0"/>
          <w:iCs w:val="0"/>
          <w:color w:val="000000"/>
          <w:sz w:val="32"/>
          <w:szCs w:val="32"/>
          <w:highlight w:val="none"/>
          <w:lang w:val="en-US" w:eastAsia="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附件</w:t>
      </w:r>
      <w:r>
        <w:rPr>
          <w:rFonts w:hint="default" w:ascii="Times New Roman" w:hAnsi="Times New Roman" w:eastAsia="黑体" w:cs="Times New Roman"/>
          <w:b w:val="0"/>
          <w:bCs w:val="0"/>
          <w:i w:val="0"/>
          <w:iCs w:val="0"/>
          <w:color w:val="000000"/>
          <w:kern w:val="0"/>
          <w:sz w:val="32"/>
          <w:szCs w:val="32"/>
          <w:highlight w:val="none"/>
          <w:shd w:val="clear" w:color="auto" w:fill="FFFFFF"/>
          <w:lang w:val="en-US" w:eastAsia="zh-CN"/>
        </w:rPr>
        <w:t>2</w:t>
      </w:r>
    </w:p>
    <w:p w14:paraId="32A28607">
      <w:pPr>
        <w:pStyle w:val="2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Times New Roman"/>
          <w:b w:val="0"/>
          <w:bCs w:val="0"/>
          <w:i w:val="0"/>
          <w:iCs w:val="0"/>
          <w:color w:val="000000"/>
          <w:kern w:val="2"/>
          <w:sz w:val="44"/>
          <w:szCs w:val="44"/>
          <w:highlight w:val="none"/>
          <w:lang w:val="en-US" w:eastAsia="zh-CN"/>
        </w:rPr>
      </w:pPr>
    </w:p>
    <w:p w14:paraId="35C8AB8F">
      <w:pPr>
        <w:pStyle w:val="2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000000"/>
          <w:kern w:val="2"/>
          <w:sz w:val="44"/>
          <w:szCs w:val="44"/>
          <w:highlight w:val="none"/>
          <w:lang w:val="en-US" w:eastAsia="zh-CN"/>
        </w:rPr>
      </w:pPr>
      <w:r>
        <w:rPr>
          <w:rFonts w:hint="eastAsia" w:ascii="Times New Roman" w:hAnsi="Times New Roman" w:eastAsia="方正小标宋简体" w:cs="Times New Roman"/>
          <w:b w:val="0"/>
          <w:bCs w:val="0"/>
          <w:i w:val="0"/>
          <w:iCs w:val="0"/>
          <w:color w:val="000000"/>
          <w:kern w:val="2"/>
          <w:sz w:val="44"/>
          <w:szCs w:val="44"/>
          <w:highlight w:val="none"/>
          <w:lang w:val="en-US" w:eastAsia="zh-CN"/>
        </w:rPr>
        <w:t>专项</w:t>
      </w:r>
      <w:r>
        <w:rPr>
          <w:rFonts w:hint="default" w:ascii="Times New Roman" w:hAnsi="Times New Roman" w:eastAsia="方正小标宋简体" w:cs="Times New Roman"/>
          <w:b w:val="0"/>
          <w:bCs w:val="0"/>
          <w:i w:val="0"/>
          <w:iCs w:val="0"/>
          <w:color w:val="000000"/>
          <w:kern w:val="2"/>
          <w:sz w:val="44"/>
          <w:szCs w:val="44"/>
          <w:highlight w:val="none"/>
          <w:lang w:val="en-US" w:eastAsia="zh-CN"/>
        </w:rPr>
        <w:t>预算项目绩效评价报告</w:t>
      </w:r>
    </w:p>
    <w:p w14:paraId="125B490B">
      <w:pPr>
        <w:suppressAutoHyphens/>
        <w:spacing w:line="578" w:lineRule="exact"/>
        <w:jc w:val="center"/>
        <w:rPr>
          <w:rFonts w:hint="eastAsia"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w:t>
      </w:r>
      <w:r>
        <w:rPr>
          <w:rFonts w:hint="eastAsia" w:ascii="宋体" w:hAnsi="宋体" w:eastAsia="宋体" w:cs="宋体"/>
          <w:b/>
          <w:bCs/>
          <w:kern w:val="2"/>
          <w:sz w:val="32"/>
          <w:szCs w:val="32"/>
          <w:lang w:val="en-US" w:eastAsia="zh-CN"/>
        </w:rPr>
        <w:t>人才发展资金</w:t>
      </w:r>
      <w:r>
        <w:rPr>
          <w:rFonts w:hint="eastAsia" w:ascii="宋体" w:hAnsi="宋体" w:eastAsia="宋体" w:cs="宋体"/>
          <w:b/>
          <w:bCs/>
          <w:kern w:val="2"/>
          <w:sz w:val="32"/>
          <w:szCs w:val="32"/>
          <w:lang w:eastAsia="zh-CN"/>
        </w:rPr>
        <w:t>）</w:t>
      </w:r>
    </w:p>
    <w:p w14:paraId="42B013F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1"/>
        <w:rPr>
          <w:rFonts w:hint="default" w:ascii="Times New Roman" w:hAnsi="Times New Roman" w:eastAsia="黑体" w:cs="Times New Roman"/>
          <w:b w:val="0"/>
          <w:bCs w:val="0"/>
          <w:i w:val="0"/>
          <w:iCs w:val="0"/>
          <w:color w:val="000000"/>
          <w:sz w:val="32"/>
          <w:szCs w:val="32"/>
          <w:highlight w:val="none"/>
          <w:lang w:val="zh-CN"/>
        </w:rPr>
      </w:pPr>
      <w:bookmarkStart w:id="95" w:name="_Toc15003"/>
      <w:r>
        <w:rPr>
          <w:rFonts w:hint="default" w:ascii="Times New Roman" w:hAnsi="Times New Roman" w:eastAsia="黑体" w:cs="Times New Roman"/>
          <w:b w:val="0"/>
          <w:bCs w:val="0"/>
          <w:i w:val="0"/>
          <w:iCs w:val="0"/>
          <w:color w:val="000000"/>
          <w:sz w:val="32"/>
          <w:szCs w:val="32"/>
          <w:highlight w:val="none"/>
        </w:rPr>
        <w:t>一、</w:t>
      </w:r>
      <w:r>
        <w:rPr>
          <w:rFonts w:hint="default" w:ascii="Times New Roman" w:hAnsi="Times New Roman" w:eastAsia="黑体" w:cs="Times New Roman"/>
          <w:b w:val="0"/>
          <w:bCs w:val="0"/>
          <w:i w:val="0"/>
          <w:iCs w:val="0"/>
          <w:color w:val="000000"/>
          <w:sz w:val="32"/>
          <w:szCs w:val="32"/>
          <w:highlight w:val="none"/>
          <w:lang w:val="zh-CN"/>
        </w:rPr>
        <w:t>项目概况</w:t>
      </w:r>
      <w:bookmarkEnd w:id="95"/>
    </w:p>
    <w:p w14:paraId="57FABAA6">
      <w:pPr>
        <w:widowControl/>
        <w:spacing w:line="590" w:lineRule="exact"/>
        <w:ind w:firstLine="643" w:firstLineChars="200"/>
        <w:contextualSpacing/>
        <w:jc w:val="left"/>
        <w:rPr>
          <w:rFonts w:hint="default" w:ascii="楷体_GB2312" w:hAnsi="宋体" w:eastAsia="楷体_GB2312" w:cs="Times New Roman"/>
          <w:b/>
          <w:kern w:val="2"/>
          <w:sz w:val="32"/>
          <w:szCs w:val="32"/>
          <w:lang w:val="zh-CN" w:eastAsia="zh-CN"/>
        </w:rPr>
      </w:pPr>
      <w:r>
        <w:rPr>
          <w:rFonts w:hint="default" w:ascii="楷体_GB2312" w:hAnsi="宋体" w:eastAsia="楷体_GB2312" w:cs="Times New Roman"/>
          <w:b/>
          <w:kern w:val="2"/>
          <w:sz w:val="32"/>
          <w:szCs w:val="32"/>
          <w:lang w:val="zh-CN" w:eastAsia="zh-CN"/>
        </w:rPr>
        <w:t>（一）设立背景及基本情况。</w:t>
      </w:r>
    </w:p>
    <w:p w14:paraId="1006F694">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eastAsia" w:ascii="Times New Roman" w:hAnsi="Times New Roman" w:eastAsia="仿宋_GB2312" w:cs="仿宋_GB2312"/>
          <w:color w:val="auto"/>
          <w:kern w:val="2"/>
          <w:sz w:val="32"/>
          <w:szCs w:val="32"/>
          <w:highlight w:val="none"/>
          <w:lang w:val="en-US" w:eastAsia="zh-CN"/>
        </w:rPr>
        <w:t>1.人才发展资金年初</w:t>
      </w:r>
      <w:r>
        <w:rPr>
          <w:rFonts w:hint="eastAsia" w:ascii="Times New Roman" w:hAnsi="Times New Roman" w:eastAsia="仿宋_GB2312" w:cs="仿宋_GB2312"/>
          <w:color w:val="auto"/>
          <w:kern w:val="2"/>
          <w:sz w:val="32"/>
          <w:szCs w:val="32"/>
          <w:highlight w:val="none"/>
          <w:lang w:eastAsia="zh-CN"/>
        </w:rPr>
        <w:t>预算</w:t>
      </w:r>
      <w:r>
        <w:rPr>
          <w:rFonts w:hint="eastAsia" w:ascii="Times New Roman" w:hAnsi="Times New Roman"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eastAsia="zh-CN"/>
        </w:rPr>
        <w:t>万元，年度追加</w:t>
      </w:r>
      <w:r>
        <w:rPr>
          <w:rFonts w:hint="eastAsia" w:ascii="Times New Roman" w:hAnsi="Times New Roman" w:eastAsia="仿宋_GB2312" w:cs="仿宋_GB2312"/>
          <w:color w:val="auto"/>
          <w:kern w:val="2"/>
          <w:sz w:val="32"/>
          <w:szCs w:val="32"/>
          <w:highlight w:val="none"/>
          <w:lang w:val="en-US" w:eastAsia="zh-CN"/>
        </w:rPr>
        <w:t>259.44万元。</w:t>
      </w:r>
      <w:r>
        <w:rPr>
          <w:rFonts w:hint="eastAsia" w:ascii="Times New Roman" w:hAnsi="Times New Roman" w:eastAsia="仿宋_GB2312" w:cs="仿宋_GB2312"/>
          <w:color w:val="auto"/>
          <w:kern w:val="2"/>
          <w:sz w:val="32"/>
          <w:szCs w:val="32"/>
          <w:highlight w:val="none"/>
          <w:lang w:eastAsia="zh-CN"/>
        </w:rPr>
        <w:t>主要用于人才队伍建设，规范事业单位人事管理等方面的工作</w:t>
      </w:r>
      <w:r>
        <w:rPr>
          <w:rFonts w:hint="eastAsia" w:ascii="Times New Roman" w:hAnsi="Times New Roman" w:eastAsia="仿宋_GB2312" w:cs="仿宋_GB2312"/>
          <w:color w:val="auto"/>
          <w:kern w:val="2"/>
          <w:sz w:val="32"/>
          <w:szCs w:val="32"/>
          <w:highlight w:val="none"/>
          <w:lang w:val="zh-CN" w:eastAsia="zh-CN"/>
        </w:rPr>
        <w:t xml:space="preserve">。 </w:t>
      </w:r>
    </w:p>
    <w:p w14:paraId="1EA7D360">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eastAsia" w:ascii="Times New Roman" w:hAnsi="Times New Roman" w:eastAsia="仿宋_GB2312" w:cs="仿宋_GB2312"/>
          <w:color w:val="auto"/>
          <w:kern w:val="2"/>
          <w:sz w:val="32"/>
          <w:szCs w:val="32"/>
          <w:highlight w:val="none"/>
          <w:lang w:val="en-US" w:eastAsia="zh-CN"/>
        </w:rPr>
        <w:t>2.</w:t>
      </w:r>
      <w:r>
        <w:rPr>
          <w:rFonts w:hint="eastAsia" w:ascii="Times New Roman" w:hAnsi="Times New Roman" w:eastAsia="仿宋_GB2312" w:cs="仿宋_GB2312"/>
          <w:color w:val="auto"/>
          <w:kern w:val="2"/>
          <w:sz w:val="32"/>
          <w:szCs w:val="32"/>
          <w:highlight w:val="none"/>
          <w:lang w:val="zh-CN" w:eastAsia="zh-CN"/>
        </w:rPr>
        <w:t>项目立项、资金申报的依据。区相关文件。</w:t>
      </w:r>
    </w:p>
    <w:p w14:paraId="3E9245E8">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zh-CN" w:eastAsia="zh-CN"/>
        </w:rPr>
        <w:t>项目主要内容、部门职能。</w:t>
      </w:r>
      <w:r>
        <w:rPr>
          <w:rFonts w:hint="eastAsia" w:ascii="Times New Roman" w:hAnsi="Times New Roman" w:eastAsia="仿宋_GB2312" w:cs="仿宋_GB2312"/>
          <w:color w:val="auto"/>
          <w:kern w:val="2"/>
          <w:sz w:val="32"/>
          <w:szCs w:val="32"/>
          <w:highlight w:val="none"/>
          <w:lang w:eastAsia="zh-CN"/>
        </w:rPr>
        <w:t>持续深化人才体制机制改革，加强专业技术人才队伍建设，规范事业单位人事管理，全年力争引进各类高层次紧缺人才，争创“博士工作站”和“大师工作室”建立。</w:t>
      </w:r>
    </w:p>
    <w:p w14:paraId="415BB465">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default" w:ascii="楷体_GB2312" w:hAnsi="宋体" w:eastAsia="楷体_GB2312" w:cs="Times New Roman"/>
          <w:b/>
          <w:kern w:val="2"/>
          <w:sz w:val="32"/>
          <w:szCs w:val="32"/>
          <w:lang w:val="zh-CN" w:eastAsia="zh-CN"/>
        </w:rPr>
        <w:t>（二）</w:t>
      </w:r>
      <w:r>
        <w:rPr>
          <w:rFonts w:hint="default" w:ascii="楷体_GB2312" w:hAnsi="宋体" w:eastAsia="楷体_GB2312" w:cs="Times New Roman"/>
          <w:b/>
          <w:kern w:val="2"/>
          <w:sz w:val="32"/>
          <w:szCs w:val="32"/>
          <w:lang w:val="en-US" w:eastAsia="zh-CN"/>
        </w:rPr>
        <w:t>实施目的及支持方向。</w:t>
      </w:r>
      <w:r>
        <w:rPr>
          <w:rFonts w:hint="eastAsia" w:ascii="Times New Roman" w:hAnsi="Times New Roman" w:eastAsia="仿宋_GB2312" w:cs="仿宋_GB2312"/>
          <w:color w:val="auto"/>
          <w:kern w:val="2"/>
          <w:sz w:val="32"/>
          <w:szCs w:val="32"/>
          <w:highlight w:val="none"/>
          <w:lang w:eastAsia="zh-CN"/>
        </w:rPr>
        <w:t>利用好表彰和及时奖励，激发人才创新创造活力。全年力争引进各类高层次紧缺人才100人以上。深入开展“专家智力安居行”活动，争创“博士工作站”和“大师工作室”建立。该项目资金根据</w:t>
      </w:r>
      <w:r>
        <w:rPr>
          <w:rFonts w:hint="eastAsia" w:ascii="Times New Roman" w:hAnsi="Times New Roman" w:eastAsia="仿宋_GB2312" w:cs="仿宋_GB2312"/>
          <w:color w:val="auto"/>
          <w:kern w:val="2"/>
          <w:sz w:val="32"/>
          <w:szCs w:val="32"/>
          <w:highlight w:val="none"/>
          <w:lang w:val="en-US" w:eastAsia="zh-CN"/>
        </w:rPr>
        <w:t>区人社局</w:t>
      </w:r>
      <w:r>
        <w:rPr>
          <w:rFonts w:hint="eastAsia" w:ascii="Times New Roman" w:hAnsi="Times New Roman" w:eastAsia="仿宋_GB2312" w:cs="仿宋_GB2312"/>
          <w:color w:val="auto"/>
          <w:kern w:val="2"/>
          <w:sz w:val="32"/>
          <w:szCs w:val="32"/>
          <w:highlight w:val="none"/>
          <w:lang w:eastAsia="zh-CN"/>
        </w:rPr>
        <w:t>实际支出情况按需支取。</w:t>
      </w:r>
    </w:p>
    <w:p w14:paraId="08DA4231">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楷体_GB2312" w:hAnsi="宋体" w:eastAsia="楷体_GB2312" w:cs="Times New Roman"/>
          <w:b/>
          <w:kern w:val="2"/>
          <w:sz w:val="32"/>
          <w:szCs w:val="32"/>
          <w:lang w:val="zh-CN" w:eastAsia="zh-CN"/>
        </w:rPr>
        <w:t>（三）</w:t>
      </w:r>
      <w:r>
        <w:rPr>
          <w:rFonts w:hint="eastAsia" w:ascii="楷体_GB2312" w:hAnsi="宋体" w:eastAsia="楷体_GB2312" w:cs="Times New Roman"/>
          <w:b/>
          <w:kern w:val="2"/>
          <w:sz w:val="32"/>
          <w:szCs w:val="32"/>
          <w:lang w:val="en-US" w:eastAsia="zh-CN"/>
        </w:rPr>
        <w:t>预算安排及分配管理</w:t>
      </w:r>
      <w:r>
        <w:rPr>
          <w:rFonts w:hint="eastAsia" w:ascii="楷体_GB2312" w:hAnsi="宋体" w:eastAsia="楷体_GB2312" w:cs="Times New Roman"/>
          <w:b/>
          <w:kern w:val="2"/>
          <w:sz w:val="32"/>
          <w:szCs w:val="32"/>
          <w:lang w:val="zh-CN" w:eastAsia="zh-CN"/>
        </w:rPr>
        <w:t>。</w:t>
      </w:r>
      <w:r>
        <w:rPr>
          <w:rFonts w:hint="eastAsia" w:ascii="Times New Roman" w:hAnsi="Times New Roman" w:eastAsia="仿宋_GB2312" w:cs="仿宋_GB2312"/>
          <w:color w:val="auto"/>
          <w:kern w:val="2"/>
          <w:sz w:val="32"/>
          <w:szCs w:val="32"/>
          <w:highlight w:val="none"/>
          <w:lang w:eastAsia="zh-CN"/>
        </w:rPr>
        <w:t>年初预算安排</w:t>
      </w:r>
      <w:r>
        <w:rPr>
          <w:rFonts w:hint="eastAsia" w:ascii="Times New Roman" w:hAnsi="Times New Roman"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eastAsia="zh-CN"/>
        </w:rPr>
        <w:t>万元，使用</w:t>
      </w:r>
      <w:r>
        <w:rPr>
          <w:rFonts w:hint="eastAsia" w:ascii="Times New Roman" w:hAnsi="Times New Roman" w:eastAsia="仿宋_GB2312" w:cs="仿宋_GB2312"/>
          <w:color w:val="auto"/>
          <w:kern w:val="2"/>
          <w:sz w:val="32"/>
          <w:szCs w:val="32"/>
          <w:highlight w:val="none"/>
          <w:lang w:val="en-US" w:eastAsia="zh-CN"/>
        </w:rPr>
        <w:t>259.44</w:t>
      </w:r>
      <w:r>
        <w:rPr>
          <w:rFonts w:hint="eastAsia" w:ascii="Times New Roman" w:hAnsi="Times New Roman" w:eastAsia="仿宋_GB2312" w:cs="仿宋_GB2312"/>
          <w:color w:val="auto"/>
          <w:kern w:val="2"/>
          <w:sz w:val="32"/>
          <w:szCs w:val="32"/>
          <w:highlight w:val="none"/>
          <w:lang w:eastAsia="zh-CN"/>
        </w:rPr>
        <w:t>万元。</w:t>
      </w:r>
      <w:r>
        <w:rPr>
          <w:rFonts w:hint="eastAsia" w:ascii="Times New Roman" w:hAnsi="Times New Roman" w:eastAsia="仿宋_GB2312" w:cs="仿宋_GB2312"/>
          <w:color w:val="auto"/>
          <w:kern w:val="2"/>
          <w:sz w:val="32"/>
          <w:szCs w:val="32"/>
          <w:highlight w:val="none"/>
          <w:lang w:val="en-US" w:eastAsia="zh-CN"/>
        </w:rPr>
        <w:t>项目资金由区人社局</w:t>
      </w:r>
      <w:r>
        <w:rPr>
          <w:rFonts w:hint="eastAsia" w:ascii="Times New Roman" w:hAnsi="Times New Roman" w:eastAsia="仿宋_GB2312" w:cs="仿宋_GB2312"/>
          <w:color w:val="auto"/>
          <w:kern w:val="2"/>
          <w:sz w:val="32"/>
          <w:szCs w:val="32"/>
          <w:highlight w:val="none"/>
          <w:lang w:eastAsia="zh-CN"/>
        </w:rPr>
        <w:t>监管，并严格按照相关财经纪律执行。</w:t>
      </w:r>
    </w:p>
    <w:p w14:paraId="7702E088">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default" w:ascii="楷体_GB2312" w:hAnsi="宋体" w:eastAsia="楷体_GB2312" w:cs="Times New Roman"/>
          <w:b/>
          <w:kern w:val="2"/>
          <w:sz w:val="32"/>
          <w:szCs w:val="32"/>
          <w:lang w:val="zh-CN" w:eastAsia="zh-CN"/>
        </w:rPr>
        <w:t>（四）项目绩效目标设置。</w:t>
      </w:r>
      <w:r>
        <w:rPr>
          <w:rFonts w:hint="eastAsia" w:ascii="Times New Roman" w:hAnsi="Times New Roman" w:eastAsia="仿宋_GB2312" w:cs="仿宋_GB2312"/>
          <w:color w:val="auto"/>
          <w:kern w:val="2"/>
          <w:sz w:val="32"/>
          <w:szCs w:val="32"/>
          <w:highlight w:val="none"/>
          <w:lang w:eastAsia="zh-CN"/>
        </w:rPr>
        <w:t>利用好表彰和及时奖励，激发人才创新创造活力，全年力争引进各类高层次紧缺人才，争创“博士工作站”和“大师工作室”建立。</w:t>
      </w:r>
      <w:r>
        <w:rPr>
          <w:rFonts w:hint="eastAsia" w:ascii="Times New Roman" w:hAnsi="Times New Roman" w:eastAsia="仿宋_GB2312" w:cs="仿宋_GB2312"/>
          <w:color w:val="auto"/>
          <w:kern w:val="2"/>
          <w:sz w:val="32"/>
          <w:szCs w:val="32"/>
          <w:highlight w:val="none"/>
          <w:lang w:val="en-US" w:eastAsia="zh-CN"/>
        </w:rPr>
        <w:t>组建自评工作组收集和整理自评的相关数据和信息进行自我分析和评估，对自评的结果进行总结和归纳并制定改进计划和措施，及时跟进和落实。</w:t>
      </w:r>
    </w:p>
    <w:p w14:paraId="3E8AB1B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1"/>
        <w:rPr>
          <w:rFonts w:hint="default" w:ascii="Times New Roman" w:hAnsi="Times New Roman" w:eastAsia="黑体" w:cs="Times New Roman"/>
          <w:b w:val="0"/>
          <w:bCs w:val="0"/>
          <w:i w:val="0"/>
          <w:iCs w:val="0"/>
          <w:color w:val="000000"/>
          <w:sz w:val="32"/>
          <w:szCs w:val="32"/>
          <w:highlight w:val="none"/>
          <w:lang w:eastAsia="zh-CN"/>
        </w:rPr>
      </w:pPr>
      <w:bookmarkStart w:id="96" w:name="_Toc21476"/>
      <w:r>
        <w:rPr>
          <w:rFonts w:hint="default" w:ascii="Times New Roman" w:hAnsi="Times New Roman" w:eastAsia="黑体" w:cs="Times New Roman"/>
          <w:b w:val="0"/>
          <w:bCs w:val="0"/>
          <w:i w:val="0"/>
          <w:iCs w:val="0"/>
          <w:color w:val="000000"/>
          <w:sz w:val="32"/>
          <w:szCs w:val="32"/>
          <w:highlight w:val="none"/>
        </w:rPr>
        <w:t>二、</w:t>
      </w:r>
      <w:r>
        <w:rPr>
          <w:rFonts w:hint="default" w:ascii="Times New Roman" w:hAnsi="Times New Roman" w:eastAsia="黑体" w:cs="Times New Roman"/>
          <w:b w:val="0"/>
          <w:bCs w:val="0"/>
          <w:i w:val="0"/>
          <w:iCs w:val="0"/>
          <w:color w:val="000000"/>
          <w:sz w:val="32"/>
          <w:szCs w:val="32"/>
          <w:highlight w:val="none"/>
          <w:lang w:eastAsia="zh-CN"/>
        </w:rPr>
        <w:t>评价实施</w:t>
      </w:r>
      <w:bookmarkEnd w:id="96"/>
    </w:p>
    <w:p w14:paraId="0BFBF1D3">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default" w:ascii="楷体_GB2312" w:hAnsi="宋体" w:eastAsia="楷体_GB2312" w:cs="Times New Roman"/>
          <w:b/>
          <w:kern w:val="2"/>
          <w:sz w:val="32"/>
          <w:szCs w:val="32"/>
          <w:lang w:val="zh-CN" w:eastAsia="zh-CN"/>
        </w:rPr>
        <w:t>（一）评价目的。</w:t>
      </w:r>
      <w:r>
        <w:rPr>
          <w:rFonts w:hint="eastAsia" w:ascii="Times New Roman" w:hAnsi="Times New Roman" w:eastAsia="仿宋_GB2312" w:cs="仿宋_GB2312"/>
          <w:color w:val="auto"/>
          <w:kern w:val="2"/>
          <w:sz w:val="32"/>
          <w:szCs w:val="32"/>
          <w:highlight w:val="none"/>
          <w:lang w:val="zh-CN" w:eastAsia="zh-CN"/>
        </w:rPr>
        <w:t>反映项目实施是否偏离目标，并总结经验，为改善管理，纠正目标与实际的偏差提供依据。</w:t>
      </w:r>
    </w:p>
    <w:p w14:paraId="3FB4F3AF">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default" w:ascii="楷体_GB2312" w:hAnsi="宋体" w:eastAsia="楷体_GB2312" w:cs="Times New Roman"/>
          <w:b/>
          <w:kern w:val="2"/>
          <w:sz w:val="32"/>
          <w:szCs w:val="32"/>
          <w:lang w:val="zh-CN" w:eastAsia="zh-CN"/>
        </w:rPr>
        <w:t>（二）预设问题及评价重点。</w:t>
      </w:r>
      <w:r>
        <w:rPr>
          <w:rFonts w:hint="eastAsia" w:ascii="Times New Roman" w:hAnsi="Times New Roman" w:eastAsia="仿宋_GB2312" w:cs="仿宋_GB2312"/>
          <w:color w:val="auto"/>
          <w:kern w:val="2"/>
          <w:sz w:val="32"/>
          <w:szCs w:val="32"/>
          <w:highlight w:val="none"/>
          <w:lang w:val="zh-CN" w:eastAsia="zh-CN"/>
        </w:rPr>
        <w:t>人才发展资金严格按照专款专用原则，及时通知有关单位提供合法票据，完善报账手续，严格票据审核，规范报账程序，确保资金使用的及时性、规范性，同时财政部门对资金支付严格审核，确保资金使用安全。</w:t>
      </w:r>
    </w:p>
    <w:p w14:paraId="26E5EFA5">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default" w:ascii="楷体_GB2312" w:hAnsi="宋体" w:eastAsia="楷体_GB2312" w:cs="Times New Roman"/>
          <w:b/>
          <w:kern w:val="2"/>
          <w:sz w:val="32"/>
          <w:szCs w:val="32"/>
          <w:lang w:val="zh-CN" w:eastAsia="zh-CN"/>
        </w:rPr>
        <w:t>（三）评价选点。</w:t>
      </w:r>
      <w:r>
        <w:rPr>
          <w:rFonts w:hint="eastAsia" w:ascii="Times New Roman" w:hAnsi="Times New Roman" w:eastAsia="仿宋_GB2312" w:cs="仿宋_GB2312"/>
          <w:color w:val="auto"/>
          <w:kern w:val="2"/>
          <w:sz w:val="32"/>
          <w:szCs w:val="32"/>
          <w:highlight w:val="none"/>
          <w:lang w:val="zh-CN" w:eastAsia="zh-CN"/>
        </w:rPr>
        <w:t>项目实际完成情况。</w:t>
      </w:r>
    </w:p>
    <w:p w14:paraId="29DE49A3">
      <w:pPr>
        <w:spacing w:line="600" w:lineRule="exact"/>
        <w:ind w:left="640" w:leftChars="200" w:firstLine="0" w:firstLineChars="0"/>
        <w:outlineLvl w:val="1"/>
        <w:rPr>
          <w:rFonts w:hint="default" w:ascii="Times New Roman" w:hAnsi="Times New Roman" w:eastAsia="仿宋_GB2312" w:cs="Times New Roman"/>
          <w:b w:val="0"/>
          <w:bCs w:val="0"/>
          <w:i w:val="0"/>
          <w:iCs w:val="0"/>
          <w:color w:val="000000"/>
          <w:lang w:eastAsia="zh-CN"/>
        </w:rPr>
      </w:pPr>
      <w:r>
        <w:rPr>
          <w:rFonts w:hint="default" w:ascii="楷体_GB2312" w:hAnsi="宋体" w:eastAsia="楷体_GB2312" w:cs="Times New Roman"/>
          <w:b/>
          <w:kern w:val="2"/>
          <w:sz w:val="32"/>
          <w:szCs w:val="32"/>
          <w:lang w:val="zh-CN" w:eastAsia="zh-CN"/>
        </w:rPr>
        <w:t>（四）评价方法。</w:t>
      </w:r>
      <w:r>
        <w:rPr>
          <w:rFonts w:hint="eastAsia" w:ascii="Times New Roman" w:hAnsi="Times New Roman" w:eastAsia="仿宋_GB2312" w:cs="仿宋_GB2312"/>
          <w:color w:val="auto"/>
          <w:kern w:val="2"/>
          <w:sz w:val="32"/>
          <w:szCs w:val="32"/>
          <w:highlight w:val="none"/>
          <w:lang w:val="en-US" w:eastAsia="zh-CN"/>
        </w:rPr>
        <w:t>本次项目支出绩效评价采取分级评分法。</w:t>
      </w:r>
      <w:r>
        <w:rPr>
          <w:rFonts w:hint="default" w:ascii="楷体_GB2312" w:hAnsi="宋体" w:eastAsia="楷体_GB2312" w:cs="Times New Roman"/>
          <w:b/>
          <w:kern w:val="2"/>
          <w:sz w:val="32"/>
          <w:szCs w:val="32"/>
          <w:lang w:val="zh-CN" w:eastAsia="zh-CN"/>
        </w:rPr>
        <w:t>（五）评价组织。</w:t>
      </w:r>
      <w:r>
        <w:rPr>
          <w:rFonts w:hint="eastAsia" w:ascii="Times New Roman" w:hAnsi="Times New Roman" w:eastAsia="仿宋_GB2312" w:cs="仿宋_GB2312"/>
          <w:color w:val="auto"/>
          <w:kern w:val="2"/>
          <w:sz w:val="32"/>
          <w:szCs w:val="32"/>
          <w:highlight w:val="none"/>
          <w:lang w:val="zh-CN" w:eastAsia="zh-CN"/>
        </w:rPr>
        <w:t>成立工作专班，落实工作责任，有力有序开展202</w:t>
      </w:r>
      <w:r>
        <w:rPr>
          <w:rFonts w:hint="eastAsia" w:ascii="Times New Roman" w:hAnsi="Times New Roman" w:eastAsia="仿宋_GB2312" w:cs="仿宋_GB2312"/>
          <w:color w:val="auto"/>
          <w:kern w:val="2"/>
          <w:sz w:val="32"/>
          <w:szCs w:val="32"/>
          <w:highlight w:val="none"/>
          <w:lang w:val="en-US" w:eastAsia="zh-CN"/>
        </w:rPr>
        <w:t>4</w:t>
      </w:r>
      <w:r>
        <w:rPr>
          <w:rFonts w:hint="eastAsia" w:ascii="Times New Roman" w:hAnsi="Times New Roman" w:eastAsia="仿宋_GB2312" w:cs="仿宋_GB2312"/>
          <w:color w:val="auto"/>
          <w:kern w:val="2"/>
          <w:sz w:val="32"/>
          <w:szCs w:val="32"/>
          <w:highlight w:val="none"/>
          <w:lang w:val="zh-CN" w:eastAsia="zh-CN"/>
        </w:rPr>
        <w:t>年部门预算项目支出绩效自评工作。</w:t>
      </w:r>
    </w:p>
    <w:p w14:paraId="0B0E1A92">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outlineLvl w:val="1"/>
        <w:rPr>
          <w:rFonts w:hint="default" w:ascii="Times New Roman" w:hAnsi="Times New Roman" w:cs="Times New Roman"/>
          <w:b w:val="0"/>
          <w:bCs w:val="0"/>
          <w:i w:val="0"/>
          <w:iCs w:val="0"/>
          <w:color w:val="000000"/>
          <w:sz w:val="32"/>
          <w:szCs w:val="32"/>
          <w:highlight w:val="none"/>
          <w:u w:val="none"/>
          <w:lang w:val="zh-CN"/>
        </w:rPr>
      </w:pPr>
      <w:bookmarkStart w:id="97" w:name="_Toc25919"/>
      <w:r>
        <w:rPr>
          <w:rFonts w:hint="default" w:ascii="Times New Roman" w:hAnsi="Times New Roman" w:eastAsia="黑体" w:cs="Times New Roman"/>
          <w:b w:val="0"/>
          <w:bCs w:val="0"/>
          <w:i w:val="0"/>
          <w:iCs w:val="0"/>
          <w:color w:val="000000"/>
          <w:sz w:val="32"/>
          <w:szCs w:val="32"/>
          <w:highlight w:val="none"/>
          <w:u w:val="none"/>
        </w:rPr>
        <w:t>三、</w:t>
      </w:r>
      <w:r>
        <w:rPr>
          <w:rFonts w:hint="default" w:ascii="Times New Roman" w:hAnsi="Times New Roman" w:eastAsia="黑体" w:cs="Times New Roman"/>
          <w:b w:val="0"/>
          <w:bCs w:val="0"/>
          <w:i w:val="0"/>
          <w:iCs w:val="0"/>
          <w:color w:val="000000"/>
          <w:sz w:val="32"/>
          <w:szCs w:val="32"/>
          <w:highlight w:val="none"/>
          <w:u w:val="none"/>
          <w:lang w:eastAsia="zh-CN"/>
        </w:rPr>
        <w:t>绩效分析</w:t>
      </w:r>
      <w:bookmarkEnd w:id="97"/>
      <w:r>
        <w:rPr>
          <w:rFonts w:hint="default" w:ascii="Times New Roman" w:hAnsi="Times New Roman" w:cs="Times New Roman"/>
          <w:b w:val="0"/>
          <w:bCs w:val="0"/>
          <w:i w:val="0"/>
          <w:iCs w:val="0"/>
          <w:color w:val="000000"/>
          <w:sz w:val="32"/>
          <w:szCs w:val="32"/>
          <w:highlight w:val="none"/>
          <w:u w:val="none"/>
          <w:lang w:val="zh-CN"/>
        </w:rPr>
        <w:tab/>
      </w:r>
    </w:p>
    <w:p w14:paraId="0B6BE4C5">
      <w:pPr>
        <w:spacing w:line="600" w:lineRule="exact"/>
        <w:ind w:firstLine="640" w:firstLineChars="200"/>
        <w:outlineLvl w:val="1"/>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仿宋_GB2312"/>
          <w:color w:val="auto"/>
          <w:kern w:val="2"/>
          <w:sz w:val="32"/>
          <w:szCs w:val="32"/>
          <w:highlight w:val="none"/>
          <w:lang w:val="en-US" w:eastAsia="zh-CN" w:bidi="ar-SA"/>
        </w:rPr>
        <w:t>。</w:t>
      </w:r>
    </w:p>
    <w:p w14:paraId="7BBEACC5">
      <w:pPr>
        <w:spacing w:line="600" w:lineRule="exact"/>
        <w:ind w:left="640" w:leftChars="200" w:firstLine="0" w:firstLineChars="0"/>
        <w:outlineLvl w:val="1"/>
        <w:rPr>
          <w:rFonts w:hint="default" w:ascii="楷体_GB2312" w:hAnsi="宋体" w:eastAsia="楷体_GB2312" w:cs="Times New Roman"/>
          <w:b/>
          <w:kern w:val="2"/>
          <w:sz w:val="32"/>
          <w:szCs w:val="32"/>
          <w:lang w:val="en-US" w:eastAsia="zh-CN"/>
        </w:rPr>
      </w:pPr>
      <w:r>
        <w:rPr>
          <w:rFonts w:hint="default" w:ascii="楷体_GB2312" w:hAnsi="宋体" w:eastAsia="楷体_GB2312" w:cs="Times New Roman"/>
          <w:b/>
          <w:kern w:val="2"/>
          <w:sz w:val="32"/>
          <w:szCs w:val="32"/>
          <w:lang w:val="zh-CN" w:eastAsia="zh-CN"/>
        </w:rPr>
        <w:t>（一）</w:t>
      </w:r>
      <w:r>
        <w:rPr>
          <w:rFonts w:hint="default" w:ascii="楷体_GB2312" w:hAnsi="宋体" w:eastAsia="楷体_GB2312" w:cs="Times New Roman"/>
          <w:b/>
          <w:kern w:val="2"/>
          <w:sz w:val="32"/>
          <w:szCs w:val="32"/>
          <w:lang w:val="en-US" w:eastAsia="zh-CN"/>
        </w:rPr>
        <w:t>通用指标</w:t>
      </w:r>
      <w:r>
        <w:rPr>
          <w:rFonts w:hint="default" w:ascii="楷体_GB2312" w:hAnsi="宋体" w:eastAsia="楷体_GB2312" w:cs="Times New Roman"/>
          <w:b/>
          <w:kern w:val="2"/>
          <w:sz w:val="32"/>
          <w:szCs w:val="32"/>
          <w:lang w:val="zh-CN" w:eastAsia="zh-CN"/>
        </w:rPr>
        <w:t>绩效分析。</w:t>
      </w:r>
    </w:p>
    <w:p w14:paraId="7E7F292B">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eastAsia="zh-CN"/>
        </w:rPr>
      </w:pPr>
      <w:r>
        <w:rPr>
          <w:rFonts w:hint="default" w:ascii="楷体_GB2312" w:hAnsi="宋体" w:eastAsia="楷体_GB2312" w:cs="Times New Roman"/>
          <w:b/>
          <w:kern w:val="2"/>
          <w:sz w:val="32"/>
          <w:szCs w:val="32"/>
          <w:lang w:val="en-US" w:eastAsia="zh-CN"/>
        </w:rPr>
        <w:t>1.项目决策。</w:t>
      </w:r>
      <w:r>
        <w:rPr>
          <w:rFonts w:hint="eastAsia" w:ascii="Times New Roman" w:hAnsi="Times New Roman" w:eastAsia="仿宋_GB2312" w:cs="仿宋_GB2312"/>
          <w:color w:val="auto"/>
          <w:kern w:val="2"/>
          <w:sz w:val="32"/>
          <w:szCs w:val="32"/>
          <w:highlight w:val="none"/>
          <w:lang w:eastAsia="zh-CN"/>
        </w:rPr>
        <w:t>从综合评价来看，区</w:t>
      </w:r>
      <w:r>
        <w:rPr>
          <w:rFonts w:hint="eastAsia" w:ascii="Times New Roman" w:hAnsi="Times New Roman" w:eastAsia="仿宋_GB2312" w:cs="仿宋_GB2312"/>
          <w:color w:val="auto"/>
          <w:kern w:val="2"/>
          <w:sz w:val="32"/>
          <w:szCs w:val="32"/>
          <w:highlight w:val="none"/>
          <w:lang w:val="en-US" w:eastAsia="zh-CN"/>
        </w:rPr>
        <w:t>人社局</w:t>
      </w:r>
      <w:r>
        <w:rPr>
          <w:rFonts w:hint="eastAsia" w:ascii="Times New Roman" w:hAnsi="Times New Roman" w:eastAsia="仿宋_GB2312" w:cs="仿宋_GB2312"/>
          <w:color w:val="auto"/>
          <w:kern w:val="2"/>
          <w:sz w:val="32"/>
          <w:szCs w:val="32"/>
          <w:highlight w:val="none"/>
          <w:lang w:eastAsia="zh-CN"/>
        </w:rPr>
        <w:t>各预算项目设立依据基本充分，均设定了各项目绩效目标，对资金配置方面均有明确的测算依据，整体情况良好。</w:t>
      </w:r>
    </w:p>
    <w:p w14:paraId="57B8F32B">
      <w:pPr>
        <w:spacing w:line="600" w:lineRule="exact"/>
        <w:ind w:firstLine="643" w:firstLineChars="200"/>
        <w:outlineLvl w:val="1"/>
        <w:rPr>
          <w:rFonts w:hint="default" w:ascii="Times New Roman" w:hAnsi="Times New Roman" w:eastAsia="仿宋_GB2312" w:cs="仿宋_GB2312"/>
          <w:color w:val="auto"/>
          <w:kern w:val="2"/>
          <w:sz w:val="32"/>
          <w:szCs w:val="32"/>
          <w:highlight w:val="none"/>
          <w:lang w:val="zh-CN" w:eastAsia="zh-CN"/>
        </w:rPr>
      </w:pPr>
      <w:r>
        <w:rPr>
          <w:rFonts w:hint="default" w:ascii="楷体_GB2312" w:hAnsi="宋体" w:eastAsia="楷体_GB2312" w:cs="Times New Roman"/>
          <w:b/>
          <w:kern w:val="2"/>
          <w:sz w:val="32"/>
          <w:szCs w:val="32"/>
          <w:lang w:val="en-US" w:eastAsia="zh-CN"/>
        </w:rPr>
        <w:t>2.</w:t>
      </w:r>
      <w:r>
        <w:rPr>
          <w:rFonts w:hint="default" w:ascii="楷体_GB2312" w:hAnsi="宋体" w:eastAsia="楷体_GB2312" w:cs="Times New Roman"/>
          <w:b/>
          <w:kern w:val="2"/>
          <w:sz w:val="32"/>
          <w:szCs w:val="32"/>
          <w:lang w:val="zh-CN" w:eastAsia="zh-CN"/>
        </w:rPr>
        <w:t>项目管理。</w:t>
      </w:r>
      <w:r>
        <w:rPr>
          <w:rFonts w:hint="eastAsia" w:ascii="Times New Roman" w:hAnsi="Times New Roman" w:eastAsia="仿宋_GB2312" w:cs="仿宋_GB2312"/>
          <w:color w:val="auto"/>
          <w:kern w:val="2"/>
          <w:sz w:val="32"/>
          <w:szCs w:val="32"/>
          <w:highlight w:val="none"/>
          <w:lang w:val="en-US" w:eastAsia="zh-CN"/>
        </w:rPr>
        <w:t>从整体评价来看，区人社局建立了基本能全面覆盖的管理制度，各项目按照财政局相关要求稳步推进，并根据年度工作计划做好各项目工作。年初预算批复后，根据项目推进情况申请资金下达，截至2024年12月31日，项目资金到位259.44万元，支出259.44万元，项目资金执行率为100%。项目运行成本均在可控制范围内。</w:t>
      </w:r>
    </w:p>
    <w:p w14:paraId="7AC60CE9">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default" w:ascii="楷体_GB2312" w:hAnsi="宋体" w:eastAsia="楷体_GB2312" w:cs="Times New Roman"/>
          <w:b/>
          <w:kern w:val="2"/>
          <w:sz w:val="32"/>
          <w:szCs w:val="32"/>
          <w:lang w:val="en-US" w:eastAsia="zh-CN"/>
        </w:rPr>
        <w:t>3.项目实施。</w:t>
      </w:r>
      <w:r>
        <w:rPr>
          <w:rFonts w:hint="eastAsia" w:ascii="Times New Roman" w:hAnsi="Times New Roman" w:eastAsia="仿宋_GB2312" w:cs="仿宋_GB2312"/>
          <w:color w:val="auto"/>
          <w:kern w:val="2"/>
          <w:sz w:val="32"/>
          <w:szCs w:val="32"/>
          <w:highlight w:val="none"/>
          <w:lang w:val="en-US" w:eastAsia="zh-CN"/>
        </w:rPr>
        <w:t>项目</w:t>
      </w:r>
      <w:r>
        <w:rPr>
          <w:rFonts w:hint="eastAsia" w:ascii="Times New Roman" w:hAnsi="Times New Roman" w:eastAsia="仿宋_GB2312" w:cs="仿宋_GB2312"/>
          <w:color w:val="auto"/>
          <w:kern w:val="2"/>
          <w:sz w:val="32"/>
          <w:szCs w:val="32"/>
          <w:highlight w:val="none"/>
          <w:lang w:val="zh-CN" w:eastAsia="zh-CN"/>
        </w:rPr>
        <w:t>经费严格按照专款专用原则，</w:t>
      </w:r>
      <w:r>
        <w:rPr>
          <w:rFonts w:hint="eastAsia" w:ascii="Times New Roman" w:hAnsi="Times New Roman" w:eastAsia="仿宋_GB2312" w:cs="仿宋_GB2312"/>
          <w:color w:val="auto"/>
          <w:kern w:val="2"/>
          <w:sz w:val="32"/>
          <w:szCs w:val="32"/>
          <w:highlight w:val="none"/>
          <w:lang w:val="en-US" w:eastAsia="zh-CN"/>
        </w:rPr>
        <w:t>年初</w:t>
      </w:r>
      <w:r>
        <w:rPr>
          <w:rFonts w:hint="eastAsia" w:ascii="Times New Roman" w:hAnsi="Times New Roman" w:eastAsia="仿宋_GB2312" w:cs="仿宋_GB2312"/>
          <w:color w:val="auto"/>
          <w:kern w:val="2"/>
          <w:sz w:val="32"/>
          <w:szCs w:val="32"/>
          <w:highlight w:val="none"/>
          <w:lang w:val="zh-CN" w:eastAsia="zh-CN"/>
        </w:rPr>
        <w:t>预算安排</w:t>
      </w:r>
      <w:r>
        <w:rPr>
          <w:rFonts w:hint="eastAsia" w:ascii="Times New Roman" w:hAnsi="Times New Roman"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zh-CN" w:eastAsia="zh-CN"/>
        </w:rPr>
        <w:t>万元，使用</w:t>
      </w:r>
      <w:r>
        <w:rPr>
          <w:rFonts w:hint="eastAsia" w:ascii="Times New Roman" w:hAnsi="Times New Roman" w:eastAsia="仿宋_GB2312" w:cs="仿宋_GB2312"/>
          <w:color w:val="auto"/>
          <w:kern w:val="2"/>
          <w:sz w:val="32"/>
          <w:szCs w:val="32"/>
          <w:highlight w:val="none"/>
          <w:lang w:val="en-US" w:eastAsia="zh-CN"/>
        </w:rPr>
        <w:t>259.44</w:t>
      </w:r>
      <w:r>
        <w:rPr>
          <w:rFonts w:hint="eastAsia" w:ascii="Times New Roman" w:hAnsi="Times New Roman" w:eastAsia="仿宋_GB2312" w:cs="仿宋_GB2312"/>
          <w:color w:val="auto"/>
          <w:kern w:val="2"/>
          <w:sz w:val="32"/>
          <w:szCs w:val="32"/>
          <w:highlight w:val="none"/>
          <w:lang w:val="zh-CN" w:eastAsia="zh-CN"/>
        </w:rPr>
        <w:t>万元。（其中：预算支出</w:t>
      </w:r>
      <w:r>
        <w:rPr>
          <w:rFonts w:hint="eastAsia" w:ascii="Times New Roman" w:hAnsi="Times New Roman"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zh-CN" w:eastAsia="zh-CN"/>
        </w:rPr>
        <w:t>万元，年</w:t>
      </w:r>
      <w:r>
        <w:rPr>
          <w:rFonts w:hint="eastAsia" w:ascii="Times New Roman" w:hAnsi="Times New Roman" w:eastAsia="仿宋_GB2312" w:cs="仿宋_GB2312"/>
          <w:color w:val="auto"/>
          <w:kern w:val="2"/>
          <w:sz w:val="32"/>
          <w:szCs w:val="32"/>
          <w:highlight w:val="none"/>
          <w:lang w:val="en-US" w:eastAsia="zh-CN"/>
        </w:rPr>
        <w:t>度调增</w:t>
      </w:r>
      <w:r>
        <w:rPr>
          <w:rFonts w:hint="eastAsia" w:ascii="Times New Roman" w:hAnsi="Times New Roman" w:eastAsia="仿宋_GB2312" w:cs="仿宋_GB2312"/>
          <w:color w:val="auto"/>
          <w:kern w:val="2"/>
          <w:sz w:val="32"/>
          <w:szCs w:val="32"/>
          <w:highlight w:val="none"/>
          <w:lang w:val="zh-CN" w:eastAsia="zh-CN"/>
        </w:rPr>
        <w:t>预算</w:t>
      </w:r>
      <w:r>
        <w:rPr>
          <w:rFonts w:hint="eastAsia" w:ascii="Times New Roman" w:hAnsi="Times New Roman" w:eastAsia="仿宋_GB2312" w:cs="仿宋_GB2312"/>
          <w:color w:val="auto"/>
          <w:kern w:val="2"/>
          <w:sz w:val="32"/>
          <w:szCs w:val="32"/>
          <w:highlight w:val="none"/>
          <w:lang w:val="en-US" w:eastAsia="zh-CN"/>
        </w:rPr>
        <w:t>259.44</w:t>
      </w:r>
      <w:r>
        <w:rPr>
          <w:rFonts w:hint="eastAsia" w:ascii="Times New Roman" w:hAnsi="Times New Roman" w:eastAsia="仿宋_GB2312" w:cs="仿宋_GB2312"/>
          <w:color w:val="auto"/>
          <w:kern w:val="2"/>
          <w:sz w:val="32"/>
          <w:szCs w:val="32"/>
          <w:highlight w:val="none"/>
          <w:lang w:val="zh-CN" w:eastAsia="zh-CN"/>
        </w:rPr>
        <w:t>万元)。单位</w:t>
      </w:r>
      <w:r>
        <w:rPr>
          <w:rFonts w:hint="default" w:ascii="Times New Roman" w:hAnsi="Times New Roman" w:eastAsia="仿宋_GB2312" w:cs="仿宋_GB2312"/>
          <w:color w:val="auto"/>
          <w:kern w:val="2"/>
          <w:sz w:val="32"/>
          <w:szCs w:val="32"/>
          <w:highlight w:val="none"/>
          <w:lang w:val="zh-CN" w:eastAsia="zh-CN"/>
        </w:rPr>
        <w:t>无截留、挤占、挪用、虚列支出等情况</w:t>
      </w:r>
      <w:r>
        <w:rPr>
          <w:rFonts w:hint="eastAsia" w:ascii="Times New Roman" w:hAnsi="Times New Roman" w:eastAsia="仿宋_GB2312" w:cs="仿宋_GB2312"/>
          <w:color w:val="auto"/>
          <w:kern w:val="2"/>
          <w:sz w:val="32"/>
          <w:szCs w:val="32"/>
          <w:highlight w:val="none"/>
          <w:lang w:val="zh-CN" w:eastAsia="zh-CN"/>
        </w:rPr>
        <w:t>。</w:t>
      </w:r>
    </w:p>
    <w:p w14:paraId="28C070F3">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default" w:ascii="楷体_GB2312" w:hAnsi="宋体" w:eastAsia="楷体_GB2312" w:cs="Times New Roman"/>
          <w:b/>
          <w:kern w:val="2"/>
          <w:sz w:val="32"/>
          <w:szCs w:val="32"/>
          <w:lang w:val="en-US" w:eastAsia="zh-CN"/>
        </w:rPr>
        <w:t>4.项目结果。</w:t>
      </w:r>
      <w:r>
        <w:rPr>
          <w:rFonts w:hint="eastAsia" w:ascii="Times New Roman" w:hAnsi="Times New Roman" w:eastAsia="仿宋_GB2312" w:cs="仿宋_GB2312"/>
          <w:color w:val="auto"/>
          <w:kern w:val="2"/>
          <w:sz w:val="32"/>
          <w:szCs w:val="32"/>
          <w:highlight w:val="none"/>
          <w:lang w:val="en-US" w:eastAsia="zh-CN"/>
        </w:rPr>
        <w:t>2024年，通过公开考试招聘引进事业人员46人；通过干部调动的方式引进区外优秀事业干部10人；通过</w:t>
      </w:r>
      <w:r>
        <w:rPr>
          <w:rFonts w:hint="eastAsia" w:ascii="Times New Roman" w:hAnsi="Times New Roman" w:eastAsia="仿宋_GB2312" w:cs="仿宋_GB2312"/>
          <w:color w:val="auto"/>
          <w:kern w:val="2"/>
          <w:sz w:val="32"/>
          <w:szCs w:val="32"/>
          <w:highlight w:val="none"/>
          <w:lang w:val="zh-CN" w:eastAsia="zh-CN"/>
        </w:rPr>
        <w:t>“遂企智造·职等你来”招聘各类专业人才</w:t>
      </w:r>
      <w:r>
        <w:rPr>
          <w:rFonts w:hint="eastAsia" w:ascii="Times New Roman" w:hAnsi="Times New Roman" w:eastAsia="仿宋_GB2312" w:cs="仿宋_GB2312"/>
          <w:color w:val="auto"/>
          <w:kern w:val="2"/>
          <w:sz w:val="32"/>
          <w:szCs w:val="32"/>
          <w:highlight w:val="none"/>
          <w:lang w:val="en-US" w:eastAsia="zh-CN"/>
        </w:rPr>
        <w:t>150余人。集中开展了管理职员等级晋升工作，晋升七级职员1人，八级职员19人；成功推荐遂宁市第三批“金荷花”领军人才1人。向90名高层次引进人才共计发放人才补贴167.7万余元；成功组织50名高层次人才前往北京大学开展高层次人才国情省情研修班，为人才能力提升进一步添砖加瓦。项目</w:t>
      </w:r>
      <w:r>
        <w:rPr>
          <w:rFonts w:hint="eastAsia" w:ascii="Times New Roman" w:hAnsi="Times New Roman" w:eastAsia="仿宋_GB2312" w:cs="仿宋_GB2312"/>
          <w:color w:val="auto"/>
          <w:kern w:val="2"/>
          <w:sz w:val="32"/>
          <w:szCs w:val="32"/>
          <w:highlight w:val="none"/>
          <w:lang w:val="zh-CN" w:eastAsia="zh-CN"/>
        </w:rPr>
        <w:t>完成时效</w:t>
      </w:r>
      <w:r>
        <w:rPr>
          <w:rFonts w:hint="eastAsia" w:ascii="Times New Roman" w:hAnsi="Times New Roman" w:eastAsia="仿宋_GB2312" w:cs="仿宋_GB2312"/>
          <w:color w:val="auto"/>
          <w:kern w:val="2"/>
          <w:sz w:val="32"/>
          <w:szCs w:val="32"/>
          <w:highlight w:val="none"/>
          <w:lang w:val="en-US" w:eastAsia="zh-CN"/>
        </w:rPr>
        <w:t>1年</w:t>
      </w:r>
      <w:r>
        <w:rPr>
          <w:rFonts w:hint="eastAsia" w:ascii="Times New Roman" w:hAnsi="Times New Roman" w:eastAsia="仿宋_GB2312" w:cs="仿宋_GB2312"/>
          <w:color w:val="auto"/>
          <w:kern w:val="2"/>
          <w:sz w:val="32"/>
          <w:szCs w:val="32"/>
          <w:highlight w:val="none"/>
          <w:lang w:val="zh-CN" w:eastAsia="zh-CN"/>
        </w:rPr>
        <w:t>。</w:t>
      </w:r>
    </w:p>
    <w:p w14:paraId="3C66E0D9">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default" w:ascii="楷体_GB2312" w:hAnsi="宋体" w:eastAsia="楷体_GB2312" w:cs="Times New Roman"/>
          <w:b/>
          <w:kern w:val="2"/>
          <w:sz w:val="32"/>
          <w:szCs w:val="32"/>
          <w:lang w:val="zh-CN" w:eastAsia="zh-CN"/>
        </w:rPr>
        <w:t>（二）</w:t>
      </w:r>
      <w:r>
        <w:rPr>
          <w:rFonts w:hint="default" w:ascii="楷体_GB2312" w:hAnsi="宋体" w:eastAsia="楷体_GB2312" w:cs="Times New Roman"/>
          <w:b/>
          <w:kern w:val="2"/>
          <w:sz w:val="32"/>
          <w:szCs w:val="32"/>
          <w:lang w:val="en-US" w:eastAsia="zh-CN"/>
        </w:rPr>
        <w:t>专用指标</w:t>
      </w:r>
      <w:r>
        <w:rPr>
          <w:rFonts w:hint="default" w:ascii="楷体_GB2312" w:hAnsi="宋体" w:eastAsia="楷体_GB2312" w:cs="Times New Roman"/>
          <w:b/>
          <w:kern w:val="2"/>
          <w:sz w:val="32"/>
          <w:szCs w:val="32"/>
          <w:lang w:val="zh-CN" w:eastAsia="zh-CN"/>
        </w:rPr>
        <w:t>绩效分析。</w:t>
      </w:r>
      <w:r>
        <w:rPr>
          <w:rFonts w:hint="eastAsia" w:ascii="Times New Roman" w:hAnsi="Times New Roman" w:eastAsia="仿宋_GB2312" w:cs="仿宋_GB2312"/>
          <w:color w:val="auto"/>
          <w:kern w:val="2"/>
          <w:sz w:val="32"/>
          <w:szCs w:val="32"/>
          <w:highlight w:val="none"/>
          <w:lang w:val="zh-CN" w:eastAsia="zh-CN"/>
        </w:rPr>
        <w:t>根据</w:t>
      </w:r>
      <w:r>
        <w:rPr>
          <w:rFonts w:hint="eastAsia" w:ascii="Times New Roman" w:hAnsi="Times New Roman" w:eastAsia="仿宋_GB2312" w:cs="仿宋_GB2312"/>
          <w:color w:val="auto"/>
          <w:kern w:val="2"/>
          <w:sz w:val="32"/>
          <w:szCs w:val="32"/>
          <w:highlight w:val="none"/>
          <w:lang w:val="en-US" w:eastAsia="zh-CN"/>
        </w:rPr>
        <w:t>专项预算项目资金支持对象选择所属指标进行绩效分析。支持对象</w:t>
      </w:r>
      <w:r>
        <w:rPr>
          <w:rFonts w:hint="eastAsia" w:ascii="Times New Roman" w:hAnsi="Times New Roman" w:eastAsia="仿宋_GB2312" w:cs="仿宋_GB2312"/>
          <w:color w:val="auto"/>
          <w:kern w:val="2"/>
          <w:sz w:val="32"/>
          <w:szCs w:val="32"/>
          <w:highlight w:val="none"/>
          <w:lang w:val="zh-CN" w:eastAsia="zh-CN"/>
        </w:rPr>
        <w:t>包括产业发展、民生保障、基础设施、行政运转等方面。</w:t>
      </w:r>
    </w:p>
    <w:p w14:paraId="2953D2DA">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楷体_GB2312" w:hAnsi="宋体" w:eastAsia="楷体_GB2312" w:cs="Times New Roman"/>
          <w:b/>
          <w:kern w:val="2"/>
          <w:sz w:val="32"/>
          <w:szCs w:val="32"/>
          <w:lang w:val="en-US" w:eastAsia="zh-CN"/>
        </w:rPr>
        <w:t>1.产业发展。</w:t>
      </w:r>
      <w:r>
        <w:rPr>
          <w:rFonts w:hint="eastAsia" w:ascii="Times New Roman" w:hAnsi="Times New Roman" w:eastAsia="仿宋_GB2312" w:cs="仿宋_GB2312"/>
          <w:color w:val="auto"/>
          <w:kern w:val="2"/>
          <w:sz w:val="32"/>
          <w:szCs w:val="32"/>
          <w:highlight w:val="none"/>
          <w:lang w:val="en-US" w:eastAsia="zh-CN"/>
        </w:rPr>
        <w:t>围绕符合性、成长性、经济性进行绩效分析。</w:t>
      </w:r>
    </w:p>
    <w:p w14:paraId="6349833E">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楷体_GB2312" w:hAnsi="宋体" w:eastAsia="楷体_GB2312" w:cs="Times New Roman"/>
          <w:b/>
          <w:kern w:val="2"/>
          <w:sz w:val="32"/>
          <w:szCs w:val="32"/>
          <w:lang w:val="en-US" w:eastAsia="zh-CN"/>
        </w:rPr>
        <w:t>2.</w:t>
      </w:r>
      <w:r>
        <w:rPr>
          <w:rFonts w:hint="eastAsia" w:ascii="楷体_GB2312" w:hAnsi="宋体" w:eastAsia="楷体_GB2312" w:cs="Times New Roman"/>
          <w:b/>
          <w:kern w:val="2"/>
          <w:sz w:val="32"/>
          <w:szCs w:val="32"/>
          <w:lang w:val="zh-CN" w:eastAsia="zh-CN"/>
        </w:rPr>
        <w:t>民生保障。</w:t>
      </w:r>
      <w:r>
        <w:rPr>
          <w:rFonts w:hint="eastAsia" w:ascii="Times New Roman" w:hAnsi="Times New Roman" w:eastAsia="仿宋_GB2312" w:cs="仿宋_GB2312"/>
          <w:color w:val="auto"/>
          <w:kern w:val="2"/>
          <w:sz w:val="32"/>
          <w:szCs w:val="32"/>
          <w:highlight w:val="none"/>
          <w:lang w:val="en-US" w:eastAsia="zh-CN"/>
        </w:rPr>
        <w:t>围绕区域均衡性、对象精准性、标准合理性、群众满意度进行绩效分析。</w:t>
      </w:r>
    </w:p>
    <w:p w14:paraId="34103A25">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楷体_GB2312" w:hAnsi="宋体" w:eastAsia="楷体_GB2312" w:cs="Times New Roman"/>
          <w:b/>
          <w:kern w:val="2"/>
          <w:sz w:val="32"/>
          <w:szCs w:val="32"/>
          <w:lang w:val="en-US" w:eastAsia="zh-CN"/>
        </w:rPr>
        <w:t>3.基础设施。</w:t>
      </w:r>
      <w:r>
        <w:rPr>
          <w:rFonts w:hint="eastAsia" w:ascii="Times New Roman" w:hAnsi="Times New Roman" w:eastAsia="仿宋_GB2312" w:cs="仿宋_GB2312"/>
          <w:color w:val="auto"/>
          <w:kern w:val="2"/>
          <w:sz w:val="32"/>
          <w:szCs w:val="32"/>
          <w:highlight w:val="none"/>
          <w:lang w:val="en-US" w:eastAsia="zh-CN"/>
        </w:rPr>
        <w:t>在建项目围绕工程进度和资金拨付进行绩效分析；建成项目围绕项目验收、功能实现、后续管护进行</w:t>
      </w:r>
      <w:r>
        <w:rPr>
          <w:rFonts w:hint="eastAsia" w:ascii="Times New Roman" w:hAnsi="Times New Roman" w:eastAsia="仿宋_GB2312" w:cs="仿宋_GB2312"/>
          <w:color w:val="auto"/>
          <w:kern w:val="2"/>
          <w:sz w:val="32"/>
          <w:szCs w:val="32"/>
          <w:highlight w:val="none"/>
          <w:lang w:val="zh-CN" w:eastAsia="zh-CN"/>
        </w:rPr>
        <w:t>绩效分析。</w:t>
      </w:r>
    </w:p>
    <w:p w14:paraId="7C32BE0D">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楷体_GB2312" w:hAnsi="宋体" w:eastAsia="楷体_GB2312" w:cs="Times New Roman"/>
          <w:b/>
          <w:kern w:val="2"/>
          <w:sz w:val="32"/>
          <w:szCs w:val="32"/>
          <w:lang w:val="en-US" w:eastAsia="zh-CN"/>
        </w:rPr>
        <w:t>4.</w:t>
      </w:r>
      <w:r>
        <w:rPr>
          <w:rFonts w:hint="eastAsia" w:ascii="楷体_GB2312" w:hAnsi="宋体" w:eastAsia="楷体_GB2312" w:cs="Times New Roman"/>
          <w:b/>
          <w:kern w:val="2"/>
          <w:sz w:val="32"/>
          <w:szCs w:val="32"/>
          <w:lang w:val="zh-CN" w:eastAsia="zh-CN"/>
        </w:rPr>
        <w:t>行政运转。</w:t>
      </w:r>
      <w:r>
        <w:rPr>
          <w:rFonts w:hint="eastAsia" w:ascii="Times New Roman" w:hAnsi="Times New Roman" w:eastAsia="仿宋_GB2312" w:cs="仿宋_GB2312"/>
          <w:color w:val="auto"/>
          <w:kern w:val="2"/>
          <w:sz w:val="32"/>
          <w:szCs w:val="32"/>
          <w:highlight w:val="none"/>
          <w:lang w:val="zh-CN" w:eastAsia="zh-CN"/>
        </w:rPr>
        <w:t>围绕用途合规性、程序合规性、标准合规性进行绩效分析。</w:t>
      </w:r>
    </w:p>
    <w:p w14:paraId="21059707">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楷体_GB2312" w:hAnsi="宋体" w:eastAsia="楷体_GB2312" w:cs="Times New Roman"/>
          <w:b/>
          <w:kern w:val="2"/>
          <w:sz w:val="32"/>
          <w:szCs w:val="32"/>
          <w:lang w:val="zh-CN" w:eastAsia="zh-CN"/>
        </w:rPr>
        <w:t>（三）</w:t>
      </w:r>
      <w:r>
        <w:rPr>
          <w:rFonts w:hint="eastAsia" w:ascii="楷体_GB2312" w:hAnsi="宋体" w:eastAsia="楷体_GB2312" w:cs="Times New Roman"/>
          <w:b/>
          <w:kern w:val="2"/>
          <w:sz w:val="32"/>
          <w:szCs w:val="32"/>
          <w:lang w:val="en-US" w:eastAsia="zh-CN"/>
        </w:rPr>
        <w:t>个性指标</w:t>
      </w:r>
      <w:r>
        <w:rPr>
          <w:rFonts w:hint="eastAsia" w:ascii="楷体_GB2312" w:hAnsi="宋体" w:eastAsia="楷体_GB2312" w:cs="Times New Roman"/>
          <w:b/>
          <w:kern w:val="2"/>
          <w:sz w:val="32"/>
          <w:szCs w:val="32"/>
          <w:lang w:val="zh-CN" w:eastAsia="zh-CN"/>
        </w:rPr>
        <w:t>绩效分析。</w:t>
      </w:r>
      <w:r>
        <w:rPr>
          <w:rFonts w:hint="eastAsia" w:ascii="Times New Roman" w:hAnsi="Times New Roman" w:eastAsia="仿宋_GB2312" w:cs="仿宋_GB2312"/>
          <w:color w:val="auto"/>
          <w:kern w:val="2"/>
          <w:sz w:val="32"/>
          <w:szCs w:val="32"/>
          <w:highlight w:val="none"/>
          <w:lang w:val="zh-CN" w:eastAsia="zh-CN"/>
        </w:rPr>
        <w:t>根据项目个性自行设定部分指标，反映该项指标执行完成情况。</w:t>
      </w:r>
    </w:p>
    <w:p w14:paraId="16CBA8F1">
      <w:pPr>
        <w:pStyle w:val="14"/>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黑体" w:cs="Times New Roman"/>
          <w:b w:val="0"/>
          <w:bCs w:val="0"/>
          <w:i w:val="0"/>
          <w:iCs w:val="0"/>
          <w:color w:val="000000"/>
          <w:sz w:val="32"/>
          <w:szCs w:val="32"/>
          <w:highlight w:val="none"/>
          <w:u w:val="none"/>
        </w:rPr>
      </w:pPr>
      <w:bookmarkStart w:id="98" w:name="_Toc20406"/>
      <w:r>
        <w:rPr>
          <w:rFonts w:hint="default" w:ascii="Times New Roman" w:hAnsi="Times New Roman" w:eastAsia="黑体" w:cs="Times New Roman"/>
          <w:b w:val="0"/>
          <w:bCs w:val="0"/>
          <w:i w:val="0"/>
          <w:iCs w:val="0"/>
          <w:color w:val="000000"/>
          <w:sz w:val="32"/>
          <w:szCs w:val="32"/>
          <w:highlight w:val="none"/>
          <w:u w:val="none"/>
          <w:lang w:eastAsia="zh-CN"/>
        </w:rPr>
        <w:t>四</w:t>
      </w:r>
      <w:r>
        <w:rPr>
          <w:rFonts w:hint="default" w:ascii="Times New Roman" w:hAnsi="Times New Roman" w:eastAsia="黑体" w:cs="Times New Roman"/>
          <w:b w:val="0"/>
          <w:bCs w:val="0"/>
          <w:i w:val="0"/>
          <w:iCs w:val="0"/>
          <w:color w:val="000000"/>
          <w:sz w:val="32"/>
          <w:szCs w:val="32"/>
          <w:highlight w:val="none"/>
          <w:u w:val="none"/>
        </w:rPr>
        <w:t>、评价结论</w:t>
      </w:r>
      <w:bookmarkEnd w:id="98"/>
    </w:p>
    <w:p w14:paraId="118052B4">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人才发展资金项目绩效总体评价良好</w:t>
      </w:r>
      <w:r>
        <w:rPr>
          <w:rFonts w:hint="eastAsia" w:ascii="Times New Roman" w:hAnsi="Times New Roman"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自评得分100分。</w:t>
      </w:r>
    </w:p>
    <w:p w14:paraId="73EE0AC5">
      <w:pPr>
        <w:pStyle w:val="14"/>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outlineLvl w:val="1"/>
        <w:rPr>
          <w:rFonts w:hint="default" w:ascii="Times New Roman" w:hAnsi="Times New Roman" w:eastAsia="黑体" w:cs="Times New Roman"/>
          <w:b w:val="0"/>
          <w:bCs w:val="0"/>
          <w:i w:val="0"/>
          <w:iCs w:val="0"/>
          <w:color w:val="000000"/>
          <w:sz w:val="32"/>
          <w:szCs w:val="32"/>
          <w:highlight w:val="none"/>
          <w:u w:val="none"/>
          <w:lang w:eastAsia="zh-CN"/>
        </w:rPr>
      </w:pPr>
      <w:bookmarkStart w:id="99" w:name="_Toc21033"/>
      <w:r>
        <w:rPr>
          <w:rFonts w:hint="default" w:ascii="Times New Roman" w:hAnsi="Times New Roman" w:eastAsia="黑体" w:cs="Times New Roman"/>
          <w:b w:val="0"/>
          <w:bCs w:val="0"/>
          <w:i w:val="0"/>
          <w:iCs w:val="0"/>
          <w:color w:val="000000"/>
          <w:sz w:val="32"/>
          <w:szCs w:val="32"/>
          <w:highlight w:val="none"/>
          <w:u w:val="none"/>
          <w:lang w:eastAsia="zh-CN"/>
        </w:rPr>
        <w:t>五、存在主要问题</w:t>
      </w:r>
      <w:bookmarkEnd w:id="99"/>
    </w:p>
    <w:p w14:paraId="653D2D99">
      <w:pPr>
        <w:pStyle w:val="14"/>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仿宋" w:hAnsi="仿宋" w:eastAsia="仿宋" w:cs="仿宋"/>
          <w:b w:val="0"/>
          <w:bCs w:val="0"/>
          <w:i w:val="0"/>
          <w:iCs w:val="0"/>
          <w:color w:val="000000"/>
          <w:kern w:val="2"/>
          <w:position w:val="0"/>
          <w:sz w:val="32"/>
          <w:szCs w:val="32"/>
          <w:highlight w:val="none"/>
          <w:lang w:val="en-US" w:eastAsia="zh-CN" w:bidi="ar-SA"/>
        </w:rPr>
      </w:pPr>
      <w:r>
        <w:rPr>
          <w:rFonts w:hint="eastAsia" w:ascii="仿宋" w:hAnsi="仿宋" w:eastAsia="仿宋" w:cs="仿宋"/>
          <w:color w:val="000000"/>
          <w:kern w:val="0"/>
          <w:sz w:val="32"/>
          <w:szCs w:val="32"/>
          <w:lang w:val="en-US" w:eastAsia="zh-CN" w:bidi="ar-SA"/>
        </w:rPr>
        <w:t>无</w:t>
      </w:r>
    </w:p>
    <w:p w14:paraId="2ADF931E">
      <w:pPr>
        <w:pStyle w:val="14"/>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outlineLvl w:val="1"/>
        <w:rPr>
          <w:rFonts w:hint="default" w:ascii="Times New Roman" w:hAnsi="Times New Roman" w:eastAsia="黑体" w:cs="Times New Roman"/>
          <w:b w:val="0"/>
          <w:bCs w:val="0"/>
          <w:i w:val="0"/>
          <w:iCs w:val="0"/>
          <w:color w:val="000000"/>
          <w:kern w:val="0"/>
          <w:position w:val="3"/>
          <w:sz w:val="32"/>
          <w:szCs w:val="32"/>
          <w:highlight w:val="none"/>
          <w:u w:val="none"/>
          <w:lang w:val="zh-CN" w:eastAsia="zh-CN" w:bidi="ar-SA"/>
        </w:rPr>
      </w:pPr>
      <w:bookmarkStart w:id="100" w:name="_Toc27901"/>
      <w:r>
        <w:rPr>
          <w:rFonts w:hint="default" w:ascii="Times New Roman" w:hAnsi="Times New Roman" w:eastAsia="黑体" w:cs="Times New Roman"/>
          <w:b w:val="0"/>
          <w:bCs w:val="0"/>
          <w:i w:val="0"/>
          <w:iCs w:val="0"/>
          <w:color w:val="000000"/>
          <w:kern w:val="0"/>
          <w:position w:val="3"/>
          <w:sz w:val="32"/>
          <w:szCs w:val="32"/>
          <w:highlight w:val="none"/>
          <w:u w:val="none"/>
          <w:lang w:val="zh-CN" w:eastAsia="zh-CN" w:bidi="ar-SA"/>
        </w:rPr>
        <w:t>六、改进建议</w:t>
      </w:r>
      <w:bookmarkEnd w:id="100"/>
    </w:p>
    <w:p w14:paraId="246E750B">
      <w:pPr>
        <w:tabs>
          <w:tab w:val="left" w:pos="1911"/>
        </w:tabs>
        <w:ind w:firstLine="640" w:firstLineChars="200"/>
        <w:jc w:val="left"/>
        <w:rPr>
          <w:rFonts w:hint="eastAsia" w:ascii="仿宋" w:hAnsi="仿宋" w:eastAsia="仿宋" w:cs="仿宋"/>
          <w:b w:val="0"/>
          <w:bCs w:val="0"/>
          <w:i w:val="0"/>
          <w:iCs w:val="0"/>
          <w:color w:val="000000"/>
          <w:kern w:val="0"/>
          <w:position w:val="0"/>
          <w:sz w:val="32"/>
          <w:szCs w:val="32"/>
          <w:highlight w:val="none"/>
          <w:lang w:val="en-US" w:eastAsia="zh-CN" w:bidi="ar-SA"/>
        </w:rPr>
      </w:pPr>
      <w:r>
        <w:rPr>
          <w:rFonts w:hint="eastAsia" w:ascii="仿宋" w:hAnsi="仿宋" w:eastAsia="仿宋" w:cs="仿宋"/>
          <w:b w:val="0"/>
          <w:bCs w:val="0"/>
          <w:i w:val="0"/>
          <w:iCs w:val="0"/>
          <w:color w:val="000000"/>
          <w:kern w:val="0"/>
          <w:position w:val="0"/>
          <w:sz w:val="32"/>
          <w:szCs w:val="32"/>
          <w:highlight w:val="none"/>
          <w:lang w:val="en-US" w:eastAsia="zh-CN" w:bidi="ar-SA"/>
        </w:rPr>
        <w:t>无</w:t>
      </w:r>
    </w:p>
    <w:p w14:paraId="0DD7E3DC">
      <w:pPr>
        <w:tabs>
          <w:tab w:val="left" w:pos="1911"/>
        </w:tabs>
        <w:ind w:firstLine="640" w:firstLineChars="200"/>
        <w:jc w:val="left"/>
        <w:rPr>
          <w:rFonts w:hint="eastAsia" w:ascii="仿宋" w:hAnsi="仿宋" w:eastAsia="仿宋" w:cs="仿宋"/>
          <w:b w:val="0"/>
          <w:bCs w:val="0"/>
          <w:i w:val="0"/>
          <w:iCs w:val="0"/>
          <w:color w:val="000000"/>
          <w:kern w:val="0"/>
          <w:position w:val="0"/>
          <w:sz w:val="32"/>
          <w:szCs w:val="32"/>
          <w:highlight w:val="none"/>
          <w:lang w:val="en-US" w:eastAsia="zh-CN" w:bidi="ar-SA"/>
        </w:rPr>
      </w:pPr>
    </w:p>
    <w:tbl>
      <w:tblPr>
        <w:tblStyle w:val="34"/>
        <w:tblW w:w="5000" w:type="pct"/>
        <w:tblInd w:w="0" w:type="dxa"/>
        <w:shd w:val="clear" w:color="auto" w:fill="auto"/>
        <w:tblLayout w:type="autofit"/>
        <w:tblCellMar>
          <w:top w:w="0" w:type="dxa"/>
          <w:left w:w="0" w:type="dxa"/>
          <w:bottom w:w="0" w:type="dxa"/>
          <w:right w:w="0" w:type="dxa"/>
        </w:tblCellMar>
      </w:tblPr>
      <w:tblGrid>
        <w:gridCol w:w="437"/>
        <w:gridCol w:w="1316"/>
        <w:gridCol w:w="1138"/>
        <w:gridCol w:w="1452"/>
        <w:gridCol w:w="334"/>
        <w:gridCol w:w="1075"/>
        <w:gridCol w:w="334"/>
        <w:gridCol w:w="702"/>
        <w:gridCol w:w="321"/>
        <w:gridCol w:w="301"/>
        <w:gridCol w:w="1646"/>
      </w:tblGrid>
      <w:tr w14:paraId="0D03012B">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DADC5">
            <w:pPr>
              <w:keepNext w:val="0"/>
              <w:keepLines w:val="0"/>
              <w:widowControl/>
              <w:suppressLineNumbers w:val="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t>专项资金绩效目标完成情况自评表</w:t>
            </w:r>
          </w:p>
          <w:p w14:paraId="0192B472">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宋体" w:hAnsi="宋体" w:eastAsia="宋体" w:cs="宋体"/>
                <w:i w:val="0"/>
                <w:color w:val="000000"/>
                <w:kern w:val="0"/>
                <w:sz w:val="21"/>
                <w:szCs w:val="21"/>
                <w:u w:val="none"/>
                <w:lang w:val="en-US" w:eastAsia="zh-CN" w:bidi="ar"/>
              </w:rPr>
              <w:t>（2024年度）</w:t>
            </w:r>
          </w:p>
        </w:tc>
      </w:tr>
      <w:tr w14:paraId="04B75C95">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F3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8D5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51090422T000005836329-人才发展资金</w:t>
            </w:r>
          </w:p>
        </w:tc>
      </w:tr>
      <w:tr w14:paraId="2D458A0C">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DF9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19D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遂宁市安居区人力资源和社会保障局部门</w:t>
            </w:r>
          </w:p>
        </w:tc>
        <w:tc>
          <w:tcPr>
            <w:tcW w:w="386" w:type="pct"/>
            <w:tcBorders>
              <w:top w:val="nil"/>
              <w:left w:val="nil"/>
              <w:bottom w:val="nil"/>
              <w:right w:val="nil"/>
            </w:tcBorders>
            <w:shd w:val="clear" w:color="auto" w:fill="auto"/>
            <w:tcMar>
              <w:top w:w="15" w:type="dxa"/>
              <w:left w:w="15" w:type="dxa"/>
              <w:right w:w="15" w:type="dxa"/>
            </w:tcMar>
            <w:vAlign w:val="center"/>
          </w:tcPr>
          <w:p w14:paraId="4D4DCF06">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A4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w:t>
            </w:r>
          </w:p>
        </w:tc>
      </w:tr>
      <w:tr w14:paraId="5E46B908">
        <w:tblPrEx>
          <w:tblCellMar>
            <w:top w:w="0" w:type="dxa"/>
            <w:left w:w="0" w:type="dxa"/>
            <w:bottom w:w="0" w:type="dxa"/>
            <w:right w:w="0"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AED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81F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0A8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A19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F7B5877">
        <w:tblPrEx>
          <w:tblCellMar>
            <w:top w:w="0" w:type="dxa"/>
            <w:left w:w="0" w:type="dxa"/>
            <w:bottom w:w="0" w:type="dxa"/>
            <w:right w:w="0"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72C0">
            <w:pP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8823">
            <w:pPr>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BF975">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持续深化人才体制机制改革，加强专业技术人才队伍建设，规范事业单位人事管理，全年力争引进各类高层次紧缺人才，争创“博士工作站”和“大师工作室”建立</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E8FE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66DD0FA9">
        <w:tblPrEx>
          <w:tblCellMar>
            <w:top w:w="0" w:type="dxa"/>
            <w:left w:w="0" w:type="dxa"/>
            <w:bottom w:w="0" w:type="dxa"/>
            <w:right w:w="0"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7BEF0">
            <w:pP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06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54A73">
            <w:pPr>
              <w:rPr>
                <w:rFonts w:hint="eastAsia" w:ascii="宋体" w:hAnsi="宋体" w:eastAsia="宋体" w:cs="宋体"/>
                <w:i w:val="0"/>
                <w:color w:val="000000"/>
                <w:sz w:val="18"/>
                <w:szCs w:val="18"/>
                <w:u w:val="none"/>
              </w:rPr>
            </w:pPr>
            <w:r>
              <w:rPr>
                <w:rFonts w:hint="eastAsia" w:ascii="宋体" w:hAnsi="宋体" w:eastAsia="宋体" w:cs="宋体"/>
                <w:i w:val="0"/>
                <w:iCs w:val="0"/>
                <w:color w:val="000000"/>
                <w:sz w:val="18"/>
                <w:szCs w:val="18"/>
                <w:u w:val="none"/>
                <w:lang w:eastAsia="zh-CN"/>
              </w:rPr>
              <w:t>按照年度计划有效完成了全年指标</w:t>
            </w:r>
          </w:p>
        </w:tc>
      </w:tr>
      <w:tr w14:paraId="3F2DF1E9">
        <w:tblPrEx>
          <w:tblCellMar>
            <w:top w:w="0" w:type="dxa"/>
            <w:left w:w="0" w:type="dxa"/>
            <w:bottom w:w="0" w:type="dxa"/>
            <w:right w:w="0"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E08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886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30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79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10E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E20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753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386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33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5AAA726">
        <w:tblPrEx>
          <w:tblCellMar>
            <w:top w:w="0" w:type="dxa"/>
            <w:left w:w="0" w:type="dxa"/>
            <w:bottom w:w="0" w:type="dxa"/>
            <w:right w:w="0"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F1DE2">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C6F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86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4D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259.44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062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259.44</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8F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3E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5A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277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F58DBDB">
        <w:tblPrEx>
          <w:tblCellMar>
            <w:top w:w="0" w:type="dxa"/>
            <w:left w:w="0" w:type="dxa"/>
            <w:bottom w:w="0" w:type="dxa"/>
            <w:right w:w="0"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51BE6">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92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35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DE8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259.44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FA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259.44</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491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39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21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80B73">
            <w:pPr>
              <w:rPr>
                <w:rFonts w:hint="eastAsia" w:ascii="黑体" w:hAnsi="黑体" w:eastAsia="黑体" w:cs="黑体"/>
                <w:i/>
                <w:color w:val="000000"/>
                <w:sz w:val="18"/>
                <w:szCs w:val="18"/>
                <w:u w:val="none"/>
              </w:rPr>
            </w:pPr>
          </w:p>
        </w:tc>
      </w:tr>
      <w:tr w14:paraId="48B25C30">
        <w:tblPrEx>
          <w:tblCellMar>
            <w:top w:w="0" w:type="dxa"/>
            <w:left w:w="0" w:type="dxa"/>
            <w:bottom w:w="0" w:type="dxa"/>
            <w:right w:w="0"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3E46">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35B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88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70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54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6C9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ECB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0F0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D3C7">
            <w:pPr>
              <w:rPr>
                <w:rFonts w:hint="eastAsia" w:ascii="黑体" w:hAnsi="黑体" w:eastAsia="黑体" w:cs="黑体"/>
                <w:i/>
                <w:color w:val="000000"/>
                <w:sz w:val="18"/>
                <w:szCs w:val="18"/>
                <w:u w:val="none"/>
              </w:rPr>
            </w:pPr>
          </w:p>
        </w:tc>
      </w:tr>
      <w:tr w14:paraId="1961558A">
        <w:tblPrEx>
          <w:tblCellMar>
            <w:top w:w="0" w:type="dxa"/>
            <w:left w:w="0" w:type="dxa"/>
            <w:bottom w:w="0" w:type="dxa"/>
            <w:right w:w="0"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54D7">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A22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CD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49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4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9B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2E5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F6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F9395">
            <w:pPr>
              <w:rPr>
                <w:rFonts w:hint="eastAsia" w:ascii="黑体" w:hAnsi="黑体" w:eastAsia="黑体" w:cs="黑体"/>
                <w:i/>
                <w:color w:val="000000"/>
                <w:sz w:val="18"/>
                <w:szCs w:val="18"/>
                <w:u w:val="none"/>
              </w:rPr>
            </w:pPr>
          </w:p>
        </w:tc>
      </w:tr>
      <w:tr w14:paraId="50045017">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A7FCA">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1729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C25268">
            <w:pPr>
              <w:jc w:val="center"/>
              <w:rPr>
                <w:rFonts w:hint="eastAsia" w:ascii="微软雅黑" w:hAnsi="微软雅黑" w:eastAsia="微软雅黑" w:cs="微软雅黑"/>
                <w:i/>
                <w:color w:val="000000"/>
                <w:sz w:val="16"/>
                <w:szCs w:val="16"/>
                <w:u w:val="none"/>
              </w:rPr>
            </w:pPr>
          </w:p>
        </w:tc>
        <w:tc>
          <w:tcPr>
            <w:tcW w:w="8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AFFA92">
            <w:pPr>
              <w:jc w:val="center"/>
              <w:rPr>
                <w:rFonts w:hint="eastAsia" w:ascii="微软雅黑" w:hAnsi="微软雅黑" w:eastAsia="微软雅黑" w:cs="微软雅黑"/>
                <w:i/>
                <w:color w:val="000000"/>
                <w:sz w:val="16"/>
                <w:szCs w:val="16"/>
                <w:u w:val="none"/>
              </w:rPr>
            </w:pPr>
          </w:p>
        </w:tc>
        <w:tc>
          <w:tcPr>
            <w:tcW w:w="964" w:type="pct"/>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CBB370">
            <w:pPr>
              <w:jc w:val="center"/>
              <w:rPr>
                <w:rFonts w:hint="eastAsia" w:ascii="微软雅黑" w:hAnsi="微软雅黑" w:eastAsia="微软雅黑" w:cs="微软雅黑"/>
                <w:i/>
                <w:color w:val="000000"/>
                <w:sz w:val="16"/>
                <w:szCs w:val="16"/>
                <w:u w:val="none"/>
              </w:rPr>
            </w:pPr>
          </w:p>
        </w:tc>
        <w:tc>
          <w:tcPr>
            <w:tcW w:w="38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8881F9">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2977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E527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DB889">
            <w:pPr>
              <w:rPr>
                <w:rFonts w:hint="eastAsia" w:ascii="黑体" w:hAnsi="黑体" w:eastAsia="黑体" w:cs="黑体"/>
                <w:i/>
                <w:color w:val="000000"/>
                <w:sz w:val="18"/>
                <w:szCs w:val="18"/>
                <w:u w:val="none"/>
              </w:rPr>
            </w:pPr>
          </w:p>
        </w:tc>
      </w:tr>
      <w:tr w14:paraId="3DB6E06C">
        <w:tblPrEx>
          <w:tblCellMar>
            <w:top w:w="0" w:type="dxa"/>
            <w:left w:w="0" w:type="dxa"/>
            <w:bottom w:w="0" w:type="dxa"/>
            <w:right w:w="0" w:type="dxa"/>
          </w:tblCellMar>
        </w:tblPrEx>
        <w:trPr>
          <w:trHeight w:val="45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99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C7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F2E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B9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98C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BB7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DC5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B2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8C3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B9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5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66B0E588">
        <w:tblPrEx>
          <w:tblCellMar>
            <w:top w:w="0" w:type="dxa"/>
            <w:left w:w="0" w:type="dxa"/>
            <w:bottom w:w="0" w:type="dxa"/>
            <w:right w:w="0" w:type="dxa"/>
          </w:tblCellMar>
        </w:tblPrEx>
        <w:trPr>
          <w:trHeight w:val="45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36B12">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F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0F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CC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人事人才服务保障</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D07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317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F79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FCF22">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10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4A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81B1">
            <w:pPr>
              <w:jc w:val="center"/>
              <w:rPr>
                <w:rFonts w:hint="eastAsia" w:ascii="微软雅黑" w:hAnsi="微软雅黑" w:eastAsia="微软雅黑" w:cs="微软雅黑"/>
                <w:i/>
                <w:color w:val="000000"/>
                <w:sz w:val="16"/>
                <w:szCs w:val="16"/>
                <w:u w:val="none"/>
              </w:rPr>
            </w:pPr>
          </w:p>
        </w:tc>
      </w:tr>
      <w:tr w14:paraId="6107243B">
        <w:tblPrEx>
          <w:tblCellMar>
            <w:top w:w="0" w:type="dxa"/>
            <w:left w:w="0" w:type="dxa"/>
            <w:bottom w:w="0" w:type="dxa"/>
            <w:right w:w="0" w:type="dxa"/>
          </w:tblCellMar>
        </w:tblPrEx>
        <w:trPr>
          <w:trHeight w:val="45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73CC7">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C5D26">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B4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DD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人员保障完成率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7D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2E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2F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DDA6">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F23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FB7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70C22">
            <w:pPr>
              <w:jc w:val="center"/>
              <w:rPr>
                <w:rFonts w:hint="eastAsia" w:ascii="微软雅黑" w:hAnsi="微软雅黑" w:eastAsia="微软雅黑" w:cs="微软雅黑"/>
                <w:i/>
                <w:color w:val="000000"/>
                <w:sz w:val="16"/>
                <w:szCs w:val="16"/>
                <w:u w:val="none"/>
              </w:rPr>
            </w:pPr>
          </w:p>
        </w:tc>
      </w:tr>
      <w:tr w14:paraId="7DDC5449">
        <w:tblPrEx>
          <w:tblCellMar>
            <w:top w:w="0" w:type="dxa"/>
            <w:left w:w="0" w:type="dxa"/>
            <w:bottom w:w="0" w:type="dxa"/>
            <w:right w:w="0" w:type="dxa"/>
          </w:tblCellMar>
        </w:tblPrEx>
        <w:trPr>
          <w:trHeight w:val="45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010D8">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2199">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B1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E4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D38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E0B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当年</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911D">
            <w:pPr>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2776">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7A5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9AA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A5F8E">
            <w:pPr>
              <w:jc w:val="center"/>
              <w:rPr>
                <w:rFonts w:hint="eastAsia" w:ascii="微软雅黑" w:hAnsi="微软雅黑" w:eastAsia="微软雅黑" w:cs="微软雅黑"/>
                <w:i/>
                <w:color w:val="000000"/>
                <w:sz w:val="16"/>
                <w:szCs w:val="16"/>
                <w:u w:val="none"/>
              </w:rPr>
            </w:pPr>
          </w:p>
        </w:tc>
      </w:tr>
      <w:tr w14:paraId="1F804977">
        <w:tblPrEx>
          <w:tblCellMar>
            <w:top w:w="0" w:type="dxa"/>
            <w:left w:w="0" w:type="dxa"/>
            <w:bottom w:w="0" w:type="dxa"/>
            <w:right w:w="0" w:type="dxa"/>
          </w:tblCellMar>
        </w:tblPrEx>
        <w:trPr>
          <w:trHeight w:val="45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CE450">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E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FB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592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B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ADA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64BB4">
            <w:pPr>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BE89">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8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3AC5">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D7C8">
            <w:pPr>
              <w:jc w:val="center"/>
              <w:rPr>
                <w:rFonts w:hint="eastAsia" w:ascii="微软雅黑" w:hAnsi="微软雅黑" w:eastAsia="微软雅黑" w:cs="微软雅黑"/>
                <w:i/>
                <w:color w:val="000000"/>
                <w:sz w:val="16"/>
                <w:szCs w:val="16"/>
                <w:u w:val="none"/>
              </w:rPr>
            </w:pPr>
          </w:p>
        </w:tc>
      </w:tr>
      <w:tr w14:paraId="7F7B09FA">
        <w:tblPrEx>
          <w:tblCellMar>
            <w:top w:w="0" w:type="dxa"/>
            <w:left w:w="0" w:type="dxa"/>
            <w:bottom w:w="0" w:type="dxa"/>
            <w:right w:w="0" w:type="dxa"/>
          </w:tblCellMar>
        </w:tblPrEx>
        <w:trPr>
          <w:trHeight w:val="45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9C1C2">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A61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C6A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B2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2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B3C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C0F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8DAB">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66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CCD63">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DD430">
            <w:pPr>
              <w:jc w:val="center"/>
              <w:rPr>
                <w:rFonts w:hint="eastAsia" w:ascii="微软雅黑" w:hAnsi="微软雅黑" w:eastAsia="微软雅黑" w:cs="微软雅黑"/>
                <w:i/>
                <w:color w:val="000000"/>
                <w:sz w:val="16"/>
                <w:szCs w:val="16"/>
                <w:u w:val="none"/>
              </w:rPr>
            </w:pPr>
          </w:p>
        </w:tc>
      </w:tr>
      <w:tr w14:paraId="4587B43E">
        <w:tblPrEx>
          <w:tblCellMar>
            <w:top w:w="0" w:type="dxa"/>
            <w:left w:w="0" w:type="dxa"/>
            <w:bottom w:w="0" w:type="dxa"/>
            <w:right w:w="0" w:type="dxa"/>
          </w:tblCellMar>
        </w:tblPrEx>
        <w:trPr>
          <w:trHeight w:val="45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B080">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CD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D93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A25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节约成本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D5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508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B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69DEB">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86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1A3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CE37A">
            <w:pPr>
              <w:jc w:val="center"/>
              <w:rPr>
                <w:rFonts w:hint="eastAsia" w:ascii="微软雅黑" w:hAnsi="微软雅黑" w:eastAsia="微软雅黑" w:cs="微软雅黑"/>
                <w:i/>
                <w:color w:val="000000"/>
                <w:sz w:val="16"/>
                <w:szCs w:val="16"/>
                <w:u w:val="none"/>
              </w:rPr>
            </w:pPr>
          </w:p>
        </w:tc>
      </w:tr>
      <w:tr w14:paraId="012CB7BE">
        <w:tblPrEx>
          <w:tblCellMar>
            <w:top w:w="0" w:type="dxa"/>
            <w:left w:w="0" w:type="dxa"/>
            <w:bottom w:w="0" w:type="dxa"/>
            <w:right w:w="0" w:type="dxa"/>
          </w:tblCellMar>
        </w:tblPrEx>
        <w:trPr>
          <w:trHeight w:val="339"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F66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C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358F">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C9E5">
            <w:pPr>
              <w:rPr>
                <w:rFonts w:hint="eastAsia" w:ascii="宋体" w:hAnsi="宋体" w:eastAsia="宋体" w:cs="宋体"/>
                <w:i w:val="0"/>
                <w:color w:val="000000"/>
                <w:sz w:val="22"/>
                <w:szCs w:val="22"/>
                <w:u w:val="none"/>
              </w:rPr>
            </w:pPr>
          </w:p>
        </w:tc>
      </w:tr>
      <w:tr w14:paraId="61B9FE9A">
        <w:tblPrEx>
          <w:tblCellMar>
            <w:top w:w="0" w:type="dxa"/>
            <w:left w:w="0" w:type="dxa"/>
            <w:bottom w:w="0" w:type="dxa"/>
            <w:right w:w="0"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C0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ED63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人才发展资金</w:t>
            </w:r>
            <w:r>
              <w:rPr>
                <w:rFonts w:hint="eastAsia" w:ascii="宋体" w:hAnsi="宋体" w:eastAsia="宋体" w:cs="宋体"/>
                <w:i w:val="0"/>
                <w:iCs w:val="0"/>
                <w:color w:val="000000"/>
                <w:kern w:val="0"/>
                <w:sz w:val="18"/>
                <w:szCs w:val="18"/>
                <w:u w:val="none"/>
                <w:lang w:val="en-US" w:eastAsia="zh-CN" w:bidi="ar"/>
              </w:rPr>
              <w:t>项目绩效总体评价良好。</w:t>
            </w:r>
          </w:p>
        </w:tc>
      </w:tr>
      <w:tr w14:paraId="14842525">
        <w:tblPrEx>
          <w:tblCellMar>
            <w:top w:w="0" w:type="dxa"/>
            <w:left w:w="0" w:type="dxa"/>
            <w:bottom w:w="0" w:type="dxa"/>
            <w:right w:w="0"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A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085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80B618">
        <w:tblPrEx>
          <w:tblCellMar>
            <w:top w:w="0" w:type="dxa"/>
            <w:left w:w="0" w:type="dxa"/>
            <w:bottom w:w="0" w:type="dxa"/>
            <w:right w:w="0"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7F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C5DE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1D15108">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B4E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项目负责人：熊东</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90FD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财务负责人：王双</w:t>
            </w:r>
          </w:p>
        </w:tc>
      </w:tr>
    </w:tbl>
    <w:p w14:paraId="687DDE9E">
      <w:pPr>
        <w:tabs>
          <w:tab w:val="left" w:pos="1911"/>
        </w:tabs>
        <w:ind w:firstLine="640" w:firstLineChars="200"/>
        <w:jc w:val="left"/>
        <w:rPr>
          <w:rFonts w:hint="eastAsia" w:ascii="仿宋" w:hAnsi="仿宋" w:eastAsia="仿宋" w:cs="仿宋"/>
          <w:b w:val="0"/>
          <w:bCs w:val="0"/>
          <w:i w:val="0"/>
          <w:iCs w:val="0"/>
          <w:color w:val="000000"/>
          <w:kern w:val="0"/>
          <w:position w:val="0"/>
          <w:sz w:val="32"/>
          <w:szCs w:val="32"/>
          <w:highlight w:val="none"/>
          <w:lang w:val="en-US" w:eastAsia="zh-CN" w:bidi="ar-SA"/>
        </w:rPr>
      </w:pPr>
    </w:p>
    <w:p w14:paraId="111A0FE4">
      <w:pPr>
        <w:pStyle w:val="22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000000"/>
          <w:kern w:val="2"/>
          <w:sz w:val="44"/>
          <w:szCs w:val="44"/>
          <w:highlight w:val="none"/>
          <w:lang w:val="en-US" w:eastAsia="zh-CN"/>
        </w:rPr>
      </w:pPr>
      <w:r>
        <w:rPr>
          <w:rFonts w:hint="eastAsia" w:ascii="Times New Roman" w:hAnsi="Times New Roman" w:eastAsia="方正小标宋简体" w:cs="Times New Roman"/>
          <w:b w:val="0"/>
          <w:bCs w:val="0"/>
          <w:i w:val="0"/>
          <w:iCs w:val="0"/>
          <w:color w:val="000000"/>
          <w:kern w:val="2"/>
          <w:sz w:val="44"/>
          <w:szCs w:val="44"/>
          <w:highlight w:val="none"/>
          <w:lang w:val="en-US" w:eastAsia="zh-CN"/>
        </w:rPr>
        <w:t>专项预算</w:t>
      </w:r>
      <w:r>
        <w:rPr>
          <w:rFonts w:hint="default" w:ascii="Times New Roman" w:hAnsi="Times New Roman" w:eastAsia="方正小标宋简体" w:cs="Times New Roman"/>
          <w:b w:val="0"/>
          <w:bCs w:val="0"/>
          <w:i w:val="0"/>
          <w:iCs w:val="0"/>
          <w:color w:val="000000"/>
          <w:kern w:val="2"/>
          <w:sz w:val="44"/>
          <w:szCs w:val="44"/>
          <w:highlight w:val="none"/>
          <w:lang w:val="en-US" w:eastAsia="zh-CN"/>
        </w:rPr>
        <w:t>项目绩效评价报告</w:t>
      </w:r>
    </w:p>
    <w:p w14:paraId="6C6F9ACC">
      <w:pPr>
        <w:suppressAutoHyphens/>
        <w:spacing w:line="578" w:lineRule="exact"/>
        <w:jc w:val="center"/>
        <w:rPr>
          <w:rFonts w:hint="eastAsia" w:ascii="Times New Roman" w:hAnsi="Times New Roman" w:eastAsia="宋体" w:cs="Times New Roman"/>
          <w:b w:val="0"/>
          <w:bCs w:val="0"/>
          <w:i w:val="0"/>
          <w:iCs w:val="0"/>
          <w:color w:val="000000"/>
          <w:kern w:val="2"/>
          <w:sz w:val="32"/>
          <w:szCs w:val="32"/>
          <w:highlight w:val="none"/>
          <w:lang w:eastAsia="zh-CN"/>
        </w:rPr>
      </w:pPr>
      <w:r>
        <w:rPr>
          <w:rFonts w:hint="eastAsia" w:ascii="宋体" w:hAnsi="宋体" w:eastAsia="宋体" w:cs="宋体"/>
          <w:b/>
          <w:bCs/>
          <w:kern w:val="2"/>
          <w:sz w:val="32"/>
          <w:szCs w:val="32"/>
          <w:lang w:eastAsia="zh-CN"/>
        </w:rPr>
        <w:t>（</w:t>
      </w:r>
      <w:r>
        <w:rPr>
          <w:rFonts w:hint="eastAsia" w:ascii="宋体" w:hAnsi="宋体" w:eastAsia="宋体" w:cs="宋体"/>
          <w:b/>
          <w:bCs/>
          <w:kern w:val="2"/>
          <w:sz w:val="32"/>
          <w:szCs w:val="32"/>
          <w:lang w:val="en-US" w:eastAsia="zh-CN"/>
        </w:rPr>
        <w:t>社保公共服务能力建设资金</w:t>
      </w:r>
      <w:r>
        <w:rPr>
          <w:rFonts w:hint="eastAsia" w:ascii="宋体" w:hAnsi="宋体" w:eastAsia="宋体" w:cs="宋体"/>
          <w:b/>
          <w:bCs/>
          <w:kern w:val="2"/>
          <w:sz w:val="32"/>
          <w:szCs w:val="32"/>
          <w:lang w:eastAsia="zh-CN"/>
        </w:rPr>
        <w:t>）</w:t>
      </w:r>
    </w:p>
    <w:p w14:paraId="354280D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1"/>
        <w:rPr>
          <w:rFonts w:hint="default" w:ascii="Times New Roman" w:hAnsi="Times New Roman" w:eastAsia="黑体" w:cs="Times New Roman"/>
          <w:b w:val="0"/>
          <w:bCs w:val="0"/>
          <w:i w:val="0"/>
          <w:iCs w:val="0"/>
          <w:color w:val="000000"/>
          <w:sz w:val="32"/>
          <w:szCs w:val="32"/>
          <w:highlight w:val="none"/>
          <w:lang w:val="zh-CN"/>
        </w:rPr>
      </w:pPr>
      <w:bookmarkStart w:id="101" w:name="_Toc16106"/>
      <w:r>
        <w:rPr>
          <w:rFonts w:hint="default" w:ascii="Times New Roman" w:hAnsi="Times New Roman" w:eastAsia="黑体" w:cs="Times New Roman"/>
          <w:b w:val="0"/>
          <w:bCs w:val="0"/>
          <w:i w:val="0"/>
          <w:iCs w:val="0"/>
          <w:color w:val="000000"/>
          <w:sz w:val="32"/>
          <w:szCs w:val="32"/>
          <w:highlight w:val="none"/>
        </w:rPr>
        <w:t>一、</w:t>
      </w:r>
      <w:r>
        <w:rPr>
          <w:rFonts w:hint="default" w:ascii="Times New Roman" w:hAnsi="Times New Roman" w:eastAsia="黑体" w:cs="Times New Roman"/>
          <w:b w:val="0"/>
          <w:bCs w:val="0"/>
          <w:i w:val="0"/>
          <w:iCs w:val="0"/>
          <w:color w:val="000000"/>
          <w:sz w:val="32"/>
          <w:szCs w:val="32"/>
          <w:highlight w:val="none"/>
          <w:lang w:val="zh-CN"/>
        </w:rPr>
        <w:t>项目概况</w:t>
      </w:r>
      <w:bookmarkEnd w:id="101"/>
    </w:p>
    <w:p w14:paraId="7A82004B">
      <w:pPr>
        <w:spacing w:line="600" w:lineRule="exact"/>
        <w:ind w:firstLine="643" w:firstLineChars="200"/>
        <w:outlineLvl w:val="1"/>
        <w:rPr>
          <w:rFonts w:hint="default" w:ascii="楷体_GB2312" w:hAnsi="宋体" w:eastAsia="楷体_GB2312" w:cs="Times New Roman"/>
          <w:b/>
          <w:kern w:val="2"/>
          <w:sz w:val="32"/>
          <w:szCs w:val="32"/>
          <w:lang w:val="zh-CN" w:eastAsia="zh-CN"/>
        </w:rPr>
      </w:pPr>
      <w:r>
        <w:rPr>
          <w:rFonts w:hint="default" w:ascii="楷体_GB2312" w:hAnsi="宋体" w:eastAsia="楷体_GB2312" w:cs="Times New Roman"/>
          <w:b/>
          <w:kern w:val="2"/>
          <w:sz w:val="32"/>
          <w:szCs w:val="32"/>
          <w:lang w:val="zh-CN" w:eastAsia="zh-CN"/>
        </w:rPr>
        <w:t>（一）设立背景及基本情况。</w:t>
      </w:r>
    </w:p>
    <w:p w14:paraId="69E4C1B3">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eastAsia" w:ascii="Times New Roman" w:hAnsi="Times New Roman" w:eastAsia="仿宋_GB2312" w:cs="仿宋_GB2312"/>
          <w:color w:val="auto"/>
          <w:kern w:val="2"/>
          <w:sz w:val="32"/>
          <w:szCs w:val="32"/>
          <w:highlight w:val="none"/>
          <w:lang w:val="en-US" w:eastAsia="zh-CN"/>
        </w:rPr>
        <w:t>1.社保公共服务能力建设资金年初预算12.95万元，主要用于社保公共服务能力建设等方面的工作</w:t>
      </w:r>
      <w:r>
        <w:rPr>
          <w:rFonts w:hint="eastAsia" w:ascii="Times New Roman" w:hAnsi="Times New Roman" w:eastAsia="仿宋_GB2312" w:cs="仿宋_GB2312"/>
          <w:color w:val="auto"/>
          <w:kern w:val="2"/>
          <w:sz w:val="32"/>
          <w:szCs w:val="32"/>
          <w:highlight w:val="none"/>
          <w:lang w:val="zh-CN" w:eastAsia="zh-CN"/>
        </w:rPr>
        <w:t xml:space="preserve">。 </w:t>
      </w:r>
    </w:p>
    <w:p w14:paraId="15E73344">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eastAsia" w:ascii="Times New Roman" w:hAnsi="Times New Roman" w:eastAsia="仿宋_GB2312" w:cs="仿宋_GB2312"/>
          <w:color w:val="auto"/>
          <w:kern w:val="2"/>
          <w:sz w:val="32"/>
          <w:szCs w:val="32"/>
          <w:highlight w:val="none"/>
          <w:lang w:val="en-US" w:eastAsia="zh-CN"/>
        </w:rPr>
        <w:t>2.</w:t>
      </w:r>
      <w:r>
        <w:rPr>
          <w:rFonts w:hint="eastAsia" w:ascii="Times New Roman" w:hAnsi="Times New Roman" w:eastAsia="仿宋_GB2312" w:cs="仿宋_GB2312"/>
          <w:color w:val="auto"/>
          <w:kern w:val="2"/>
          <w:sz w:val="32"/>
          <w:szCs w:val="32"/>
          <w:highlight w:val="none"/>
          <w:lang w:val="zh-CN" w:eastAsia="zh-CN"/>
        </w:rPr>
        <w:t>项目立项、资金申报的依据。区相关文件。</w:t>
      </w:r>
    </w:p>
    <w:p w14:paraId="3558A883">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zh-CN" w:eastAsia="zh-CN"/>
        </w:rPr>
        <w:t>项目主要内容、部门职能。</w:t>
      </w:r>
      <w:r>
        <w:rPr>
          <w:rFonts w:hint="eastAsia" w:ascii="Times New Roman" w:hAnsi="Times New Roman" w:eastAsia="仿宋_GB2312" w:cs="仿宋_GB2312"/>
          <w:color w:val="auto"/>
          <w:kern w:val="2"/>
          <w:sz w:val="32"/>
          <w:szCs w:val="32"/>
          <w:highlight w:val="none"/>
          <w:lang w:val="en-US" w:eastAsia="zh-CN"/>
        </w:rPr>
        <w:t>加强标准化建设，通过专业培训提升服务供给能力，积极引进先进的信息化技术，通过专业培训、经验交流等方式提高工作人员的业务素质和服务意识。</w:t>
      </w:r>
    </w:p>
    <w:p w14:paraId="1855930A">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zh-CN" w:eastAsia="zh-CN"/>
        </w:rPr>
      </w:pPr>
      <w:r>
        <w:rPr>
          <w:rFonts w:hint="default" w:ascii="楷体_GB2312" w:hAnsi="宋体" w:eastAsia="楷体_GB2312" w:cs="Times New Roman"/>
          <w:b/>
          <w:kern w:val="2"/>
          <w:sz w:val="32"/>
          <w:szCs w:val="32"/>
          <w:lang w:val="zh-CN" w:eastAsia="zh-CN"/>
        </w:rPr>
        <w:t>（二）</w:t>
      </w:r>
      <w:r>
        <w:rPr>
          <w:rFonts w:hint="default" w:ascii="楷体_GB2312" w:hAnsi="宋体" w:eastAsia="楷体_GB2312" w:cs="Times New Roman"/>
          <w:b/>
          <w:kern w:val="2"/>
          <w:sz w:val="32"/>
          <w:szCs w:val="32"/>
          <w:lang w:val="en-US" w:eastAsia="zh-CN"/>
        </w:rPr>
        <w:t>实施目的及支持方向</w:t>
      </w:r>
      <w:r>
        <w:rPr>
          <w:rFonts w:hint="eastAsia" w:ascii="楷体_GB2312" w:hAnsi="宋体" w:eastAsia="楷体_GB2312" w:cs="Times New Roman"/>
          <w:b/>
          <w:kern w:val="2"/>
          <w:sz w:val="32"/>
          <w:szCs w:val="32"/>
          <w:lang w:val="en-US" w:eastAsia="zh-CN"/>
        </w:rPr>
        <w:t>。</w:t>
      </w:r>
      <w:r>
        <w:rPr>
          <w:rFonts w:hint="eastAsia" w:ascii="Times New Roman" w:hAnsi="Times New Roman" w:eastAsia="仿宋_GB2312" w:cs="仿宋_GB2312"/>
          <w:color w:val="auto"/>
          <w:kern w:val="2"/>
          <w:sz w:val="32"/>
          <w:szCs w:val="32"/>
          <w:highlight w:val="none"/>
          <w:lang w:val="en-US" w:eastAsia="zh-CN"/>
        </w:rPr>
        <w:t>推进全民参保，扩大各类保险覆盖范围，持续开展“温暖人社”建设，推进社保经办标准化、信息化、精细化、专业化建设，提升“12345”热线办理质效。该项目资金根据区人社局实际支出情况按需支取。</w:t>
      </w:r>
    </w:p>
    <w:p w14:paraId="19B2EABB">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default" w:ascii="楷体_GB2312" w:hAnsi="宋体" w:eastAsia="楷体_GB2312" w:cs="Times New Roman"/>
          <w:b/>
          <w:kern w:val="2"/>
          <w:sz w:val="32"/>
          <w:szCs w:val="32"/>
          <w:lang w:val="zh-CN" w:eastAsia="zh-CN"/>
        </w:rPr>
        <w:t>（三）</w:t>
      </w:r>
      <w:r>
        <w:rPr>
          <w:rFonts w:hint="default" w:ascii="楷体_GB2312" w:hAnsi="宋体" w:eastAsia="楷体_GB2312" w:cs="Times New Roman"/>
          <w:b/>
          <w:kern w:val="2"/>
          <w:sz w:val="32"/>
          <w:szCs w:val="32"/>
          <w:lang w:val="en-US" w:eastAsia="zh-CN"/>
        </w:rPr>
        <w:t>预算安排及分配管理</w:t>
      </w:r>
      <w:r>
        <w:rPr>
          <w:rFonts w:hint="default" w:ascii="楷体_GB2312" w:hAnsi="宋体" w:eastAsia="楷体_GB2312" w:cs="Times New Roman"/>
          <w:b/>
          <w:kern w:val="2"/>
          <w:sz w:val="32"/>
          <w:szCs w:val="32"/>
          <w:lang w:val="zh-CN" w:eastAsia="zh-CN"/>
        </w:rPr>
        <w:t>。</w:t>
      </w:r>
      <w:r>
        <w:rPr>
          <w:rFonts w:hint="eastAsia" w:ascii="Times New Roman" w:hAnsi="Times New Roman" w:eastAsia="仿宋_GB2312" w:cs="仿宋_GB2312"/>
          <w:color w:val="auto"/>
          <w:kern w:val="2"/>
          <w:sz w:val="32"/>
          <w:szCs w:val="32"/>
          <w:highlight w:val="none"/>
          <w:lang w:val="en-US" w:eastAsia="zh-CN"/>
        </w:rPr>
        <w:t>年初预算安排12.95万元，使用10.36万元。项目资金由区人社局监管，并严格按照相关财经纪律执行。</w:t>
      </w:r>
    </w:p>
    <w:p w14:paraId="2F722650">
      <w:pPr>
        <w:spacing w:line="600" w:lineRule="exact"/>
        <w:ind w:firstLine="643" w:firstLineChars="200"/>
        <w:outlineLvl w:val="1"/>
        <w:rPr>
          <w:rFonts w:hint="eastAsia" w:ascii="Times New Roman" w:hAnsi="Times New Roman" w:eastAsia="仿宋_GB2312" w:cs="仿宋_GB2312"/>
          <w:color w:val="auto"/>
          <w:kern w:val="2"/>
          <w:sz w:val="32"/>
          <w:szCs w:val="32"/>
          <w:highlight w:val="none"/>
          <w:lang w:val="en-US" w:eastAsia="zh-CN"/>
        </w:rPr>
      </w:pPr>
      <w:r>
        <w:rPr>
          <w:rFonts w:hint="default" w:ascii="楷体_GB2312" w:hAnsi="宋体" w:eastAsia="楷体_GB2312" w:cs="Times New Roman"/>
          <w:b/>
          <w:kern w:val="2"/>
          <w:sz w:val="32"/>
          <w:szCs w:val="32"/>
          <w:lang w:val="zh-CN" w:eastAsia="zh-CN"/>
        </w:rPr>
        <w:t>（四）项目绩效目标设置。</w:t>
      </w:r>
      <w:r>
        <w:rPr>
          <w:rFonts w:hint="eastAsia" w:ascii="Times New Roman" w:hAnsi="Times New Roman" w:eastAsia="仿宋_GB2312" w:cs="仿宋_GB2312"/>
          <w:color w:val="auto"/>
          <w:kern w:val="2"/>
          <w:sz w:val="32"/>
          <w:szCs w:val="32"/>
          <w:highlight w:val="none"/>
          <w:lang w:val="en-US" w:eastAsia="zh-CN"/>
        </w:rPr>
        <w:t>推进全民参保，扩大各类保险覆盖范围，持续开展“温暖人社”建设，推进社保经办标准化、信息化、精细化、专业化建设，提升“12345”热线办理质效。组建自评工作组收集和整理自评的相关数据和信息进行自我分析和评估，对自评的结果进行总结和归纳并制定改进计划和措施，及时跟进和落实。</w:t>
      </w:r>
    </w:p>
    <w:p w14:paraId="5C65CBE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1"/>
        <w:rPr>
          <w:rFonts w:hint="default" w:ascii="Times New Roman" w:hAnsi="Times New Roman" w:eastAsia="黑体" w:cs="Times New Roman"/>
          <w:b w:val="0"/>
          <w:bCs w:val="0"/>
          <w:i w:val="0"/>
          <w:iCs w:val="0"/>
          <w:color w:val="000000"/>
          <w:sz w:val="32"/>
          <w:szCs w:val="32"/>
          <w:highlight w:val="none"/>
          <w:lang w:eastAsia="zh-CN"/>
        </w:rPr>
      </w:pPr>
      <w:bookmarkStart w:id="102" w:name="_Toc1820"/>
      <w:r>
        <w:rPr>
          <w:rFonts w:hint="default" w:ascii="Times New Roman" w:hAnsi="Times New Roman" w:eastAsia="黑体" w:cs="Times New Roman"/>
          <w:b w:val="0"/>
          <w:bCs w:val="0"/>
          <w:i w:val="0"/>
          <w:iCs w:val="0"/>
          <w:color w:val="000000"/>
          <w:sz w:val="32"/>
          <w:szCs w:val="32"/>
          <w:highlight w:val="none"/>
        </w:rPr>
        <w:t>二、</w:t>
      </w:r>
      <w:r>
        <w:rPr>
          <w:rFonts w:hint="default" w:ascii="Times New Roman" w:hAnsi="Times New Roman" w:eastAsia="黑体" w:cs="Times New Roman"/>
          <w:b w:val="0"/>
          <w:bCs w:val="0"/>
          <w:i w:val="0"/>
          <w:iCs w:val="0"/>
          <w:color w:val="000000"/>
          <w:sz w:val="32"/>
          <w:szCs w:val="32"/>
          <w:highlight w:val="none"/>
          <w:lang w:eastAsia="zh-CN"/>
        </w:rPr>
        <w:t>评价实施</w:t>
      </w:r>
      <w:bookmarkEnd w:id="102"/>
    </w:p>
    <w:p w14:paraId="7109877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color w:val="auto"/>
          <w:kern w:val="2"/>
          <w:sz w:val="32"/>
          <w:szCs w:val="32"/>
          <w:highlight w:val="none"/>
          <w:lang w:val="zh-CN" w:eastAsia="zh-CN"/>
        </w:rPr>
      </w:pPr>
      <w:r>
        <w:rPr>
          <w:rFonts w:hint="default" w:ascii="楷体_GB2312" w:hAnsi="宋体" w:eastAsia="楷体_GB2312" w:cs="Times New Roman"/>
          <w:b/>
          <w:kern w:val="2"/>
          <w:sz w:val="32"/>
          <w:szCs w:val="32"/>
          <w:lang w:val="zh-CN" w:eastAsia="zh-CN"/>
        </w:rPr>
        <w:t>（一）评价目的。</w:t>
      </w:r>
      <w:r>
        <w:rPr>
          <w:rFonts w:hint="eastAsia" w:ascii="Times New Roman" w:hAnsi="Times New Roman" w:eastAsia="仿宋_GB2312" w:cs="仿宋_GB2312"/>
          <w:color w:val="auto"/>
          <w:kern w:val="2"/>
          <w:sz w:val="32"/>
          <w:szCs w:val="32"/>
          <w:highlight w:val="none"/>
          <w:lang w:val="zh-CN" w:eastAsia="zh-CN"/>
        </w:rPr>
        <w:t>反映项目实施是否偏离目标，并总结经验，为改善管理，纠正目标与实际的偏差提供依据。</w:t>
      </w:r>
    </w:p>
    <w:p w14:paraId="4FD1E24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 w:hAnsi="仿宋" w:eastAsia="仿宋" w:cs="仿宋"/>
          <w:b w:val="0"/>
          <w:bCs w:val="0"/>
          <w:i w:val="0"/>
          <w:iCs w:val="0"/>
          <w:color w:val="000000"/>
          <w:kern w:val="0"/>
          <w:position w:val="0"/>
          <w:sz w:val="32"/>
          <w:szCs w:val="32"/>
          <w:highlight w:val="none"/>
          <w:lang w:val="zh-CN" w:eastAsia="zh-CN" w:bidi="ar-SA"/>
        </w:rPr>
      </w:pPr>
      <w:r>
        <w:rPr>
          <w:rFonts w:hint="default" w:ascii="楷体_GB2312" w:hAnsi="宋体" w:eastAsia="楷体_GB2312" w:cs="Times New Roman"/>
          <w:b/>
          <w:kern w:val="2"/>
          <w:sz w:val="32"/>
          <w:szCs w:val="32"/>
          <w:lang w:val="zh-CN" w:eastAsia="zh-CN"/>
        </w:rPr>
        <w:t>（二）预设问题及评价重点。</w:t>
      </w:r>
      <w:r>
        <w:rPr>
          <w:rFonts w:hint="eastAsia" w:ascii="仿宋" w:hAnsi="仿宋" w:eastAsia="仿宋" w:cs="仿宋"/>
          <w:color w:val="000000"/>
          <w:kern w:val="0"/>
          <w:sz w:val="32"/>
          <w:szCs w:val="32"/>
          <w:lang w:val="zh-CN"/>
        </w:rPr>
        <w:t>社保公共服务能力建设资金</w:t>
      </w:r>
      <w:r>
        <w:rPr>
          <w:rFonts w:hint="eastAsia" w:ascii="仿宋" w:hAnsi="仿宋" w:eastAsia="仿宋" w:cs="仿宋"/>
          <w:color w:val="000000"/>
          <w:sz w:val="32"/>
        </w:rPr>
        <w:t>严格按照专款专用原则，及时通知有关单位提供合法票据，完善报账手续，严格票据审核，规范报账程序，确保资金使用的及时性、规范性，同时财政部门对资金支付严格审核，确保资金使用安全。</w:t>
      </w:r>
    </w:p>
    <w:p w14:paraId="7CD28D7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 w:hAnsi="仿宋" w:eastAsia="仿宋" w:cs="仿宋"/>
          <w:color w:val="000000"/>
          <w:kern w:val="0"/>
          <w:sz w:val="32"/>
          <w:szCs w:val="32"/>
          <w:lang w:val="zh-CN" w:eastAsia="zh-CN"/>
        </w:rPr>
      </w:pPr>
      <w:r>
        <w:rPr>
          <w:rFonts w:hint="default" w:ascii="楷体_GB2312" w:hAnsi="宋体" w:eastAsia="楷体_GB2312" w:cs="Times New Roman"/>
          <w:b/>
          <w:kern w:val="2"/>
          <w:sz w:val="32"/>
          <w:szCs w:val="32"/>
          <w:lang w:val="zh-CN" w:eastAsia="zh-CN"/>
        </w:rPr>
        <w:t>（三）评价选点。</w:t>
      </w:r>
      <w:r>
        <w:rPr>
          <w:rFonts w:hint="eastAsia" w:ascii="仿宋" w:hAnsi="仿宋" w:eastAsia="仿宋" w:cs="仿宋"/>
          <w:color w:val="000000"/>
          <w:kern w:val="0"/>
          <w:sz w:val="32"/>
          <w:szCs w:val="32"/>
          <w:lang w:val="zh-CN" w:eastAsia="zh-CN"/>
        </w:rPr>
        <w:t>项目实际完成情况。</w:t>
      </w:r>
    </w:p>
    <w:p w14:paraId="0393DBAD">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default" w:ascii="仿宋" w:hAnsi="仿宋" w:eastAsia="仿宋" w:cs="仿宋"/>
          <w:color w:val="000000"/>
          <w:kern w:val="0"/>
          <w:sz w:val="32"/>
          <w:szCs w:val="32"/>
          <w:lang w:val="en-US" w:eastAsia="zh-CN"/>
        </w:rPr>
      </w:pPr>
      <w:r>
        <w:rPr>
          <w:rFonts w:hint="default" w:ascii="楷体_GB2312" w:hAnsi="宋体" w:eastAsia="楷体_GB2312" w:cs="Times New Roman"/>
          <w:b/>
          <w:kern w:val="2"/>
          <w:sz w:val="32"/>
          <w:szCs w:val="32"/>
          <w:lang w:val="zh-CN" w:eastAsia="zh-CN"/>
        </w:rPr>
        <w:t>（四）评价方法。</w:t>
      </w:r>
      <w:r>
        <w:rPr>
          <w:rFonts w:hint="eastAsia" w:ascii="仿宋" w:hAnsi="仿宋" w:eastAsia="仿宋" w:cs="仿宋"/>
          <w:color w:val="000000"/>
          <w:kern w:val="0"/>
          <w:sz w:val="32"/>
          <w:szCs w:val="32"/>
          <w:lang w:val="en-US" w:eastAsia="zh-CN"/>
        </w:rPr>
        <w:t>本次项目支出绩效评价采取分级评分法。</w:t>
      </w:r>
      <w:r>
        <w:rPr>
          <w:rFonts w:hint="default" w:ascii="楷体_GB2312" w:hAnsi="宋体" w:eastAsia="楷体_GB2312" w:cs="Times New Roman"/>
          <w:b/>
          <w:kern w:val="2"/>
          <w:sz w:val="32"/>
          <w:szCs w:val="32"/>
          <w:lang w:val="zh-CN" w:eastAsia="zh-CN"/>
        </w:rPr>
        <w:t>（五）评价组织。</w:t>
      </w:r>
      <w:r>
        <w:rPr>
          <w:rFonts w:hint="eastAsia" w:ascii="仿宋" w:hAnsi="仿宋" w:eastAsia="仿宋" w:cs="仿宋"/>
          <w:color w:val="000000"/>
          <w:kern w:val="0"/>
          <w:sz w:val="32"/>
          <w:szCs w:val="32"/>
          <w:lang w:val="en-US" w:eastAsia="zh-CN"/>
        </w:rPr>
        <w:t>成立工作专班，落实工作责任，有力有序开展2024年部门预算项目支出绩效自评工作。</w:t>
      </w:r>
    </w:p>
    <w:p w14:paraId="186445E0">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outlineLvl w:val="1"/>
        <w:rPr>
          <w:rFonts w:hint="default" w:ascii="Times New Roman" w:hAnsi="Times New Roman" w:cs="Times New Roman"/>
          <w:b w:val="0"/>
          <w:bCs w:val="0"/>
          <w:i w:val="0"/>
          <w:iCs w:val="0"/>
          <w:color w:val="000000"/>
          <w:sz w:val="32"/>
          <w:szCs w:val="32"/>
          <w:highlight w:val="none"/>
          <w:u w:val="none"/>
          <w:lang w:val="zh-CN"/>
        </w:rPr>
      </w:pPr>
      <w:bookmarkStart w:id="103" w:name="_Toc17673"/>
      <w:r>
        <w:rPr>
          <w:rFonts w:hint="default" w:ascii="Times New Roman" w:hAnsi="Times New Roman" w:eastAsia="黑体" w:cs="Times New Roman"/>
          <w:b w:val="0"/>
          <w:bCs w:val="0"/>
          <w:i w:val="0"/>
          <w:iCs w:val="0"/>
          <w:color w:val="000000"/>
          <w:sz w:val="32"/>
          <w:szCs w:val="32"/>
          <w:highlight w:val="none"/>
          <w:u w:val="none"/>
        </w:rPr>
        <w:t>三、</w:t>
      </w:r>
      <w:r>
        <w:rPr>
          <w:rFonts w:hint="default" w:ascii="Times New Roman" w:hAnsi="Times New Roman" w:eastAsia="黑体" w:cs="Times New Roman"/>
          <w:b w:val="0"/>
          <w:bCs w:val="0"/>
          <w:i w:val="0"/>
          <w:iCs w:val="0"/>
          <w:color w:val="000000"/>
          <w:sz w:val="32"/>
          <w:szCs w:val="32"/>
          <w:highlight w:val="none"/>
          <w:u w:val="none"/>
          <w:lang w:eastAsia="zh-CN"/>
        </w:rPr>
        <w:t>绩效分析</w:t>
      </w:r>
      <w:bookmarkEnd w:id="103"/>
      <w:r>
        <w:rPr>
          <w:rFonts w:hint="default" w:ascii="Times New Roman" w:hAnsi="Times New Roman" w:cs="Times New Roman"/>
          <w:b w:val="0"/>
          <w:bCs w:val="0"/>
          <w:i w:val="0"/>
          <w:iCs w:val="0"/>
          <w:color w:val="000000"/>
          <w:sz w:val="32"/>
          <w:szCs w:val="32"/>
          <w:highlight w:val="none"/>
          <w:u w:val="none"/>
          <w:lang w:val="zh-CN"/>
        </w:rPr>
        <w:tab/>
      </w:r>
    </w:p>
    <w:p w14:paraId="1BE3C7DC">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default" w:ascii="仿宋" w:hAnsi="仿宋" w:eastAsia="仿宋" w:cs="仿宋"/>
          <w:color w:val="000000"/>
          <w:kern w:val="0"/>
          <w:sz w:val="32"/>
          <w:szCs w:val="32"/>
          <w:lang w:val="en-US" w:eastAsia="zh-CN"/>
        </w:rPr>
      </w:pPr>
      <w:r>
        <w:rPr>
          <w:rFonts w:hint="default" w:ascii="仿宋" w:hAnsi="仿宋" w:eastAsia="仿宋" w:cs="仿宋"/>
          <w:color w:val="000000"/>
          <w:kern w:val="0"/>
          <w:sz w:val="32"/>
          <w:szCs w:val="32"/>
          <w:lang w:val="zh-CN" w:eastAsia="zh-CN"/>
        </w:rPr>
        <w:t>根据项目预算绩效评价指标体系“通用指标”“专用指标”“个性指标”涉及二、三级指标进行逐项绩效分析并评分</w:t>
      </w:r>
      <w:r>
        <w:rPr>
          <w:rFonts w:hint="default" w:ascii="仿宋" w:hAnsi="仿宋" w:eastAsia="仿宋" w:cs="仿宋"/>
          <w:color w:val="000000"/>
          <w:kern w:val="0"/>
          <w:sz w:val="32"/>
          <w:szCs w:val="32"/>
          <w:lang w:val="en-US" w:eastAsia="zh-CN"/>
        </w:rPr>
        <w:t>。</w:t>
      </w:r>
    </w:p>
    <w:p w14:paraId="04D7C5D8">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default" w:ascii="楷体_GB2312" w:hAnsi="宋体" w:eastAsia="楷体_GB2312" w:cs="Times New Roman"/>
          <w:b/>
          <w:kern w:val="2"/>
          <w:sz w:val="32"/>
          <w:szCs w:val="32"/>
          <w:lang w:val="en-US" w:eastAsia="zh-CN"/>
        </w:rPr>
      </w:pPr>
      <w:r>
        <w:rPr>
          <w:rFonts w:hint="default" w:ascii="楷体_GB2312" w:hAnsi="宋体" w:eastAsia="楷体_GB2312" w:cs="Times New Roman"/>
          <w:b/>
          <w:kern w:val="2"/>
          <w:sz w:val="32"/>
          <w:szCs w:val="32"/>
          <w:lang w:val="zh-CN" w:eastAsia="zh-CN"/>
        </w:rPr>
        <w:t>（一）</w:t>
      </w:r>
      <w:r>
        <w:rPr>
          <w:rFonts w:hint="default" w:ascii="楷体_GB2312" w:hAnsi="宋体" w:eastAsia="楷体_GB2312" w:cs="Times New Roman"/>
          <w:b/>
          <w:kern w:val="2"/>
          <w:sz w:val="32"/>
          <w:szCs w:val="32"/>
          <w:lang w:val="en-US" w:eastAsia="zh-CN"/>
        </w:rPr>
        <w:t>通用指标</w:t>
      </w:r>
      <w:r>
        <w:rPr>
          <w:rFonts w:hint="default" w:ascii="楷体_GB2312" w:hAnsi="宋体" w:eastAsia="楷体_GB2312" w:cs="Times New Roman"/>
          <w:b/>
          <w:kern w:val="2"/>
          <w:sz w:val="32"/>
          <w:szCs w:val="32"/>
          <w:lang w:val="zh-CN" w:eastAsia="zh-CN"/>
        </w:rPr>
        <w:t>绩效分析。</w:t>
      </w:r>
    </w:p>
    <w:p w14:paraId="524657B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000000"/>
          <w:kern w:val="0"/>
          <w:sz w:val="32"/>
          <w:szCs w:val="32"/>
          <w:lang w:val="zh-CN" w:eastAsia="zh-CN"/>
        </w:rPr>
      </w:pPr>
      <w:r>
        <w:rPr>
          <w:rFonts w:hint="default" w:ascii="楷体_GB2312" w:hAnsi="宋体" w:eastAsia="楷体_GB2312" w:cs="Times New Roman"/>
          <w:b/>
          <w:kern w:val="2"/>
          <w:sz w:val="32"/>
          <w:szCs w:val="32"/>
          <w:lang w:val="en-US" w:eastAsia="zh-CN"/>
        </w:rPr>
        <w:t>1.</w:t>
      </w:r>
      <w:r>
        <w:rPr>
          <w:rFonts w:hint="default" w:ascii="楷体_GB2312" w:hAnsi="宋体" w:eastAsia="楷体_GB2312" w:cs="Times New Roman"/>
          <w:b/>
          <w:kern w:val="2"/>
          <w:sz w:val="32"/>
          <w:szCs w:val="32"/>
          <w:lang w:val="zh-CN" w:eastAsia="zh-CN"/>
        </w:rPr>
        <w:t>项目决策。</w:t>
      </w:r>
      <w:r>
        <w:rPr>
          <w:rFonts w:hint="eastAsia" w:ascii="仿宋" w:hAnsi="仿宋" w:eastAsia="仿宋" w:cs="仿宋"/>
          <w:color w:val="000000"/>
          <w:kern w:val="0"/>
          <w:sz w:val="32"/>
          <w:szCs w:val="32"/>
          <w:lang w:val="zh-CN" w:eastAsia="zh-CN"/>
        </w:rPr>
        <w:t>从综合评价来看，区</w:t>
      </w:r>
      <w:r>
        <w:rPr>
          <w:rFonts w:hint="eastAsia" w:ascii="仿宋" w:hAnsi="仿宋" w:eastAsia="仿宋" w:cs="仿宋"/>
          <w:color w:val="000000"/>
          <w:kern w:val="0"/>
          <w:sz w:val="32"/>
          <w:szCs w:val="32"/>
          <w:lang w:val="en-US" w:eastAsia="zh-CN"/>
        </w:rPr>
        <w:t>人社局</w:t>
      </w:r>
      <w:r>
        <w:rPr>
          <w:rFonts w:hint="eastAsia" w:ascii="仿宋" w:hAnsi="仿宋" w:eastAsia="仿宋" w:cs="仿宋"/>
          <w:color w:val="000000"/>
          <w:kern w:val="0"/>
          <w:sz w:val="32"/>
          <w:szCs w:val="32"/>
          <w:lang w:val="zh-CN" w:eastAsia="zh-CN"/>
        </w:rPr>
        <w:t>各预算项目设立依据基本充分，均设定了各项目绩效目标，对资金配置方面均有明确的测算依据，整体情况良好。</w:t>
      </w:r>
    </w:p>
    <w:p w14:paraId="40D1D9C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color w:val="000000"/>
          <w:kern w:val="0"/>
          <w:sz w:val="32"/>
          <w:szCs w:val="32"/>
          <w:lang w:val="zh-CN" w:eastAsia="zh-CN"/>
        </w:rPr>
      </w:pPr>
      <w:r>
        <w:rPr>
          <w:rFonts w:hint="default" w:ascii="楷体_GB2312" w:hAnsi="宋体" w:eastAsia="楷体_GB2312" w:cs="Times New Roman"/>
          <w:b/>
          <w:kern w:val="2"/>
          <w:sz w:val="32"/>
          <w:szCs w:val="32"/>
          <w:lang w:val="en-US" w:eastAsia="zh-CN"/>
        </w:rPr>
        <w:t>2.项目管理。</w:t>
      </w:r>
      <w:r>
        <w:rPr>
          <w:rFonts w:hint="eastAsia" w:ascii="仿宋" w:hAnsi="仿宋" w:eastAsia="仿宋" w:cs="仿宋"/>
          <w:color w:val="000000"/>
          <w:kern w:val="0"/>
          <w:sz w:val="32"/>
          <w:szCs w:val="32"/>
          <w:lang w:val="en-US" w:eastAsia="zh-CN"/>
        </w:rPr>
        <w:t>从整体评价来看，区人社局建立了基本能全面覆盖的管理制度，各项目按照财政局相关要求稳步推进，并根据年度工作计划做好各项目工作。年初预算批复后，根据项目推进情况申请资金下达，截至2024年12月31日，项目资金到位10.36万元，支出10.36万元，项目资金执行率为100%。项目运行成本均在可控制范围内。</w:t>
      </w:r>
    </w:p>
    <w:p w14:paraId="5F5DA79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仿宋" w:hAnsi="仿宋" w:eastAsia="仿宋" w:cs="仿宋"/>
          <w:color w:val="000000"/>
          <w:sz w:val="32"/>
          <w:szCs w:val="32"/>
          <w:lang w:eastAsia="zh-CN"/>
        </w:rPr>
      </w:pPr>
      <w:r>
        <w:rPr>
          <w:rFonts w:hint="default" w:ascii="楷体_GB2312" w:hAnsi="宋体" w:eastAsia="楷体_GB2312" w:cs="Times New Roman"/>
          <w:b/>
          <w:kern w:val="2"/>
          <w:sz w:val="32"/>
          <w:szCs w:val="32"/>
          <w:lang w:val="en-US" w:eastAsia="zh-CN"/>
        </w:rPr>
        <w:t>3.项目实施。</w:t>
      </w:r>
      <w:r>
        <w:rPr>
          <w:rFonts w:hint="eastAsia" w:ascii="仿宋" w:hAnsi="仿宋" w:eastAsia="仿宋" w:cs="仿宋"/>
          <w:b w:val="0"/>
          <w:bCs w:val="0"/>
          <w:i w:val="0"/>
          <w:iCs w:val="0"/>
          <w:color w:val="000000"/>
          <w:sz w:val="32"/>
          <w:szCs w:val="32"/>
          <w:lang w:val="en-US" w:eastAsia="zh-CN"/>
        </w:rPr>
        <w:t>项目</w:t>
      </w:r>
      <w:r>
        <w:rPr>
          <w:rFonts w:hint="eastAsia" w:ascii="仿宋" w:hAnsi="仿宋" w:eastAsia="仿宋" w:cs="仿宋"/>
          <w:color w:val="000000"/>
          <w:sz w:val="32"/>
          <w:szCs w:val="32"/>
        </w:rPr>
        <w:t>经费</w:t>
      </w:r>
      <w:r>
        <w:rPr>
          <w:rFonts w:hint="eastAsia" w:ascii="仿宋" w:hAnsi="仿宋" w:eastAsia="仿宋" w:cs="仿宋"/>
          <w:color w:val="000000"/>
          <w:sz w:val="32"/>
        </w:rPr>
        <w:t>严格按照专款专用原则</w:t>
      </w:r>
      <w:r>
        <w:rPr>
          <w:rFonts w:hint="eastAsia" w:ascii="仿宋" w:hAnsi="仿宋" w:eastAsia="仿宋" w:cs="仿宋"/>
          <w:color w:val="000000"/>
          <w:sz w:val="32"/>
          <w:lang w:eastAsia="zh-CN"/>
        </w:rPr>
        <w:t>，</w:t>
      </w:r>
      <w:r>
        <w:rPr>
          <w:rFonts w:hint="eastAsia" w:ascii="仿宋" w:hAnsi="仿宋" w:eastAsia="仿宋" w:cs="仿宋"/>
          <w:color w:val="000000"/>
          <w:sz w:val="32"/>
          <w:lang w:val="en-US" w:eastAsia="zh-CN"/>
        </w:rPr>
        <w:t>年初</w:t>
      </w:r>
      <w:r>
        <w:rPr>
          <w:rFonts w:hint="eastAsia" w:ascii="仿宋" w:hAnsi="仿宋" w:eastAsia="仿宋" w:cs="仿宋"/>
          <w:color w:val="000000"/>
          <w:sz w:val="32"/>
          <w:szCs w:val="32"/>
        </w:rPr>
        <w:t>预算安排</w:t>
      </w:r>
      <w:r>
        <w:rPr>
          <w:rFonts w:hint="eastAsia" w:ascii="仿宋" w:hAnsi="仿宋" w:eastAsia="仿宋" w:cs="仿宋"/>
          <w:color w:val="000000"/>
          <w:sz w:val="32"/>
          <w:szCs w:val="32"/>
          <w:lang w:val="en-US" w:eastAsia="zh-CN"/>
        </w:rPr>
        <w:t>12.95</w:t>
      </w:r>
      <w:r>
        <w:rPr>
          <w:rFonts w:hint="eastAsia" w:ascii="仿宋" w:hAnsi="仿宋" w:eastAsia="仿宋" w:cs="仿宋"/>
          <w:color w:val="000000"/>
          <w:sz w:val="32"/>
          <w:szCs w:val="32"/>
        </w:rPr>
        <w:t>万元，使用</w:t>
      </w:r>
      <w:r>
        <w:rPr>
          <w:rFonts w:hint="eastAsia" w:ascii="仿宋" w:hAnsi="仿宋" w:eastAsia="仿宋" w:cs="仿宋"/>
          <w:color w:val="000000"/>
          <w:sz w:val="32"/>
          <w:szCs w:val="32"/>
          <w:lang w:val="en-US" w:eastAsia="zh-CN"/>
        </w:rPr>
        <w:t>10.36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（其中：预算支出</w:t>
      </w:r>
      <w:r>
        <w:rPr>
          <w:rFonts w:hint="eastAsia" w:ascii="仿宋" w:hAnsi="仿宋" w:eastAsia="仿宋" w:cs="仿宋"/>
          <w:color w:val="000000"/>
          <w:sz w:val="32"/>
          <w:szCs w:val="32"/>
          <w:lang w:val="en-US" w:eastAsia="zh-CN"/>
        </w:rPr>
        <w:t>12.95</w:t>
      </w:r>
      <w:r>
        <w:rPr>
          <w:rFonts w:hint="eastAsia" w:ascii="仿宋" w:hAnsi="仿宋" w:eastAsia="仿宋" w:cs="仿宋"/>
          <w:color w:val="000000"/>
          <w:sz w:val="32"/>
          <w:szCs w:val="32"/>
        </w:rPr>
        <w:t>万元，年</w:t>
      </w:r>
      <w:r>
        <w:rPr>
          <w:rFonts w:hint="eastAsia" w:ascii="仿宋" w:hAnsi="仿宋" w:eastAsia="仿宋" w:cs="仿宋"/>
          <w:color w:val="000000"/>
          <w:sz w:val="32"/>
          <w:szCs w:val="32"/>
          <w:lang w:val="en-US" w:eastAsia="zh-CN"/>
        </w:rPr>
        <w:t>度调减</w:t>
      </w:r>
      <w:r>
        <w:rPr>
          <w:rFonts w:hint="eastAsia" w:ascii="仿宋" w:hAnsi="仿宋" w:eastAsia="仿宋" w:cs="仿宋"/>
          <w:color w:val="000000"/>
          <w:sz w:val="32"/>
          <w:szCs w:val="32"/>
        </w:rPr>
        <w:t>预算</w:t>
      </w:r>
      <w:r>
        <w:rPr>
          <w:rFonts w:hint="eastAsia" w:ascii="仿宋" w:hAnsi="仿宋" w:eastAsia="仿宋" w:cs="仿宋"/>
          <w:color w:val="000000"/>
          <w:sz w:val="32"/>
          <w:szCs w:val="32"/>
          <w:lang w:val="en-US" w:eastAsia="zh-CN"/>
        </w:rPr>
        <w:t>2.59</w:t>
      </w:r>
      <w:r>
        <w:rPr>
          <w:rFonts w:hint="eastAsia" w:ascii="仿宋" w:hAnsi="仿宋" w:eastAsia="仿宋" w:cs="仿宋"/>
          <w:color w:val="000000"/>
          <w:sz w:val="32"/>
          <w:szCs w:val="32"/>
        </w:rPr>
        <w:t>万元)。</w:t>
      </w:r>
      <w:r>
        <w:rPr>
          <w:rFonts w:hint="eastAsia" w:ascii="仿宋" w:hAnsi="仿宋" w:eastAsia="仿宋" w:cs="仿宋"/>
          <w:b w:val="0"/>
          <w:bCs w:val="0"/>
          <w:i w:val="0"/>
          <w:iCs w:val="0"/>
          <w:color w:val="000000"/>
          <w:sz w:val="32"/>
          <w:szCs w:val="32"/>
          <w:lang w:val="zh-CN" w:eastAsia="zh-CN"/>
        </w:rPr>
        <w:t>单位</w:t>
      </w:r>
      <w:r>
        <w:rPr>
          <w:rFonts w:hint="eastAsia" w:ascii="仿宋" w:hAnsi="仿宋" w:eastAsia="仿宋" w:cs="仿宋"/>
          <w:color w:val="000000"/>
          <w:sz w:val="32"/>
          <w:szCs w:val="32"/>
        </w:rPr>
        <w:t>无截留、挤占、挪用、虚列支出等情况</w:t>
      </w:r>
      <w:r>
        <w:rPr>
          <w:rFonts w:hint="eastAsia" w:ascii="仿宋" w:hAnsi="仿宋" w:eastAsia="仿宋" w:cs="仿宋"/>
          <w:color w:val="000000"/>
          <w:sz w:val="32"/>
          <w:szCs w:val="32"/>
          <w:lang w:eastAsia="zh-CN"/>
        </w:rPr>
        <w:t>。</w:t>
      </w:r>
    </w:p>
    <w:p w14:paraId="57A3178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kern w:val="0"/>
          <w:sz w:val="32"/>
          <w:szCs w:val="32"/>
          <w:lang w:val="en-US" w:eastAsia="zh-CN" w:bidi="ar-SA"/>
        </w:rPr>
      </w:pPr>
      <w:r>
        <w:rPr>
          <w:rFonts w:hint="default" w:ascii="楷体_GB2312" w:hAnsi="宋体" w:eastAsia="楷体_GB2312" w:cs="Times New Roman"/>
          <w:b/>
          <w:kern w:val="2"/>
          <w:sz w:val="32"/>
          <w:szCs w:val="32"/>
          <w:lang w:val="en-US" w:eastAsia="zh-CN"/>
        </w:rPr>
        <w:t>4.项目结果。</w:t>
      </w:r>
      <w:r>
        <w:rPr>
          <w:rFonts w:hint="eastAsia" w:ascii="Times New Roman" w:hAnsi="Times New Roman" w:eastAsia="仿宋_GB2312" w:cs="仿宋_GB2312"/>
          <w:color w:val="auto"/>
          <w:kern w:val="2"/>
          <w:sz w:val="32"/>
          <w:szCs w:val="32"/>
          <w:highlight w:val="none"/>
          <w:lang w:val="en-US" w:eastAsia="zh-CN"/>
        </w:rPr>
        <w:t>全区城镇职工养老保险、工伤保险、机关养老保险和城乡居民养老保险参保人数分别达4.1万人、2.74万人、0.7624万人、31.46万人；征收保险费分别为18265万元、429万元、16245万元、11678万元；享受待遇人数分别为2.6万人、129人、0.38万人、12.6万人，发放保险待遇分别为42796万元、675万元、20107万元 、20806万元。按照100元/人的代缴标准，代缴困难群体城乡居民基本养老保险13757人，代缴资金137.57万元。项目</w:t>
      </w:r>
      <w:r>
        <w:rPr>
          <w:rFonts w:hint="eastAsia" w:ascii="Times New Roman" w:hAnsi="Times New Roman" w:eastAsia="仿宋_GB2312" w:cs="仿宋_GB2312"/>
          <w:color w:val="auto"/>
          <w:kern w:val="2"/>
          <w:sz w:val="32"/>
          <w:szCs w:val="32"/>
          <w:highlight w:val="none"/>
          <w:lang w:val="zh-CN" w:eastAsia="zh-CN"/>
        </w:rPr>
        <w:t>完成时效</w:t>
      </w:r>
      <w:r>
        <w:rPr>
          <w:rFonts w:hint="eastAsia" w:ascii="Times New Roman" w:hAnsi="Times New Roman" w:eastAsia="仿宋_GB2312" w:cs="仿宋_GB2312"/>
          <w:color w:val="auto"/>
          <w:kern w:val="2"/>
          <w:sz w:val="32"/>
          <w:szCs w:val="32"/>
          <w:highlight w:val="none"/>
          <w:lang w:val="en-US" w:eastAsia="zh-CN"/>
        </w:rPr>
        <w:t>1年</w:t>
      </w:r>
      <w:r>
        <w:rPr>
          <w:rFonts w:hint="eastAsia" w:ascii="Times New Roman" w:hAnsi="Times New Roman" w:eastAsia="仿宋_GB2312" w:cs="仿宋_GB2312"/>
          <w:color w:val="auto"/>
          <w:kern w:val="2"/>
          <w:sz w:val="32"/>
          <w:szCs w:val="32"/>
          <w:highlight w:val="none"/>
          <w:lang w:val="zh-CN" w:eastAsia="zh-CN"/>
        </w:rPr>
        <w:t>。</w:t>
      </w:r>
    </w:p>
    <w:p w14:paraId="5125014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kern w:val="0"/>
          <w:sz w:val="32"/>
          <w:szCs w:val="32"/>
          <w:lang w:val="zh-CN" w:eastAsia="zh-CN" w:bidi="ar-SA"/>
        </w:rPr>
      </w:pPr>
      <w:r>
        <w:rPr>
          <w:rFonts w:hint="default" w:ascii="楷体_GB2312" w:hAnsi="宋体" w:eastAsia="楷体_GB2312" w:cs="Times New Roman"/>
          <w:b/>
          <w:kern w:val="2"/>
          <w:sz w:val="32"/>
          <w:szCs w:val="32"/>
          <w:lang w:val="zh-CN" w:eastAsia="zh-CN"/>
        </w:rPr>
        <w:t>（二）</w:t>
      </w:r>
      <w:r>
        <w:rPr>
          <w:rFonts w:hint="default" w:ascii="楷体_GB2312" w:hAnsi="宋体" w:eastAsia="楷体_GB2312" w:cs="Times New Roman"/>
          <w:b/>
          <w:kern w:val="2"/>
          <w:sz w:val="32"/>
          <w:szCs w:val="32"/>
          <w:lang w:val="en-US" w:eastAsia="zh-CN"/>
        </w:rPr>
        <w:t>专用指标</w:t>
      </w:r>
      <w:r>
        <w:rPr>
          <w:rFonts w:hint="default" w:ascii="楷体_GB2312" w:hAnsi="宋体" w:eastAsia="楷体_GB2312" w:cs="Times New Roman"/>
          <w:b/>
          <w:kern w:val="2"/>
          <w:sz w:val="32"/>
          <w:szCs w:val="32"/>
          <w:lang w:val="zh-CN" w:eastAsia="zh-CN"/>
        </w:rPr>
        <w:t>绩效分析。</w:t>
      </w:r>
      <w:r>
        <w:rPr>
          <w:rFonts w:hint="eastAsia" w:ascii="仿宋_GB2312" w:hAnsi="仿宋_GB2312" w:eastAsia="仿宋_GB2312" w:cs="仿宋_GB2312"/>
          <w:kern w:val="0"/>
          <w:sz w:val="32"/>
          <w:szCs w:val="32"/>
          <w:lang w:val="zh-CN" w:eastAsia="zh-CN" w:bidi="ar-SA"/>
        </w:rPr>
        <w:t>根据</w:t>
      </w:r>
      <w:r>
        <w:rPr>
          <w:rFonts w:hint="eastAsia" w:ascii="仿宋_GB2312" w:hAnsi="仿宋_GB2312" w:eastAsia="仿宋_GB2312" w:cs="仿宋_GB2312"/>
          <w:kern w:val="0"/>
          <w:sz w:val="32"/>
          <w:szCs w:val="32"/>
          <w:lang w:val="en-US" w:eastAsia="zh-CN" w:bidi="ar-SA"/>
        </w:rPr>
        <w:t>专项预算项目资金支持对象选择所属指标进行绩效分析。支持对象</w:t>
      </w:r>
      <w:r>
        <w:rPr>
          <w:rFonts w:hint="eastAsia" w:ascii="仿宋_GB2312" w:hAnsi="仿宋_GB2312" w:eastAsia="仿宋_GB2312" w:cs="仿宋_GB2312"/>
          <w:kern w:val="0"/>
          <w:sz w:val="32"/>
          <w:szCs w:val="32"/>
          <w:lang w:val="zh-CN" w:eastAsia="zh-CN" w:bidi="ar-SA"/>
        </w:rPr>
        <w:t>包括产业发展、民生保障、基础设施、行政运转等方面。</w:t>
      </w:r>
    </w:p>
    <w:p w14:paraId="7FB9DE0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1.产业发展。围绕符合性、成长性、经济性进行绩效分析。</w:t>
      </w:r>
    </w:p>
    <w:p w14:paraId="6F80C3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zh-CN" w:eastAsia="zh-CN" w:bidi="ar-SA"/>
        </w:rPr>
        <w:t>民生保障。</w:t>
      </w:r>
      <w:r>
        <w:rPr>
          <w:rFonts w:hint="eastAsia" w:ascii="仿宋_GB2312" w:hAnsi="仿宋_GB2312" w:eastAsia="仿宋_GB2312" w:cs="仿宋_GB2312"/>
          <w:kern w:val="0"/>
          <w:sz w:val="32"/>
          <w:szCs w:val="32"/>
          <w:lang w:val="en-US" w:eastAsia="zh-CN" w:bidi="ar-SA"/>
        </w:rPr>
        <w:t>围绕区域均衡性、对象精准性、标准合理性、群众满意度进行绩效分析。</w:t>
      </w:r>
    </w:p>
    <w:p w14:paraId="016FD67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3.基础设施。在建项目围绕工程进度和资金拨付进行绩效分析；建成项目围绕项目验收、功能实现、后续管护进行</w:t>
      </w:r>
      <w:r>
        <w:rPr>
          <w:rFonts w:hint="eastAsia" w:ascii="仿宋_GB2312" w:hAnsi="仿宋_GB2312" w:eastAsia="仿宋_GB2312" w:cs="仿宋_GB2312"/>
          <w:kern w:val="0"/>
          <w:sz w:val="32"/>
          <w:szCs w:val="32"/>
          <w:lang w:val="zh-CN" w:eastAsia="zh-CN" w:bidi="ar-SA"/>
        </w:rPr>
        <w:t>绩效分析。</w:t>
      </w:r>
    </w:p>
    <w:p w14:paraId="5F1CED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lang w:val="zh-CN" w:eastAsia="zh-CN" w:bidi="ar-SA"/>
        </w:rPr>
        <w:t>行政运转。围绕用途合规性、程序合规性、标准合规性进行绩效分析。</w:t>
      </w:r>
    </w:p>
    <w:p w14:paraId="50EAE76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Times New Roman" w:hAnsi="Times New Roman" w:eastAsia="仿宋_GB2312" w:cs="仿宋_GB2312"/>
          <w:color w:val="auto"/>
          <w:kern w:val="2"/>
          <w:sz w:val="32"/>
          <w:szCs w:val="32"/>
          <w:highlight w:val="none"/>
          <w:lang w:val="zh-CN" w:eastAsia="zh-CN"/>
        </w:rPr>
      </w:pPr>
      <w:r>
        <w:rPr>
          <w:rFonts w:hint="eastAsia" w:ascii="楷体_GB2312" w:hAnsi="宋体" w:eastAsia="楷体_GB2312" w:cs="Times New Roman"/>
          <w:b/>
          <w:kern w:val="2"/>
          <w:sz w:val="32"/>
          <w:szCs w:val="32"/>
          <w:lang w:val="zh-CN" w:eastAsia="zh-CN"/>
        </w:rPr>
        <w:t>（三）</w:t>
      </w:r>
      <w:r>
        <w:rPr>
          <w:rFonts w:hint="eastAsia" w:ascii="楷体_GB2312" w:hAnsi="宋体" w:eastAsia="楷体_GB2312" w:cs="Times New Roman"/>
          <w:b/>
          <w:kern w:val="2"/>
          <w:sz w:val="32"/>
          <w:szCs w:val="32"/>
          <w:lang w:val="en-US" w:eastAsia="zh-CN"/>
        </w:rPr>
        <w:t>个性指标</w:t>
      </w:r>
      <w:r>
        <w:rPr>
          <w:rFonts w:hint="eastAsia" w:ascii="楷体_GB2312" w:hAnsi="宋体" w:eastAsia="楷体_GB2312" w:cs="Times New Roman"/>
          <w:b/>
          <w:kern w:val="2"/>
          <w:sz w:val="32"/>
          <w:szCs w:val="32"/>
          <w:lang w:val="zh-CN" w:eastAsia="zh-CN"/>
        </w:rPr>
        <w:t>绩效分析。</w:t>
      </w:r>
      <w:r>
        <w:rPr>
          <w:rFonts w:hint="eastAsia" w:ascii="仿宋_GB2312" w:hAnsi="仿宋_GB2312" w:eastAsia="仿宋_GB2312" w:cs="仿宋_GB2312"/>
          <w:kern w:val="0"/>
          <w:sz w:val="32"/>
          <w:szCs w:val="32"/>
          <w:lang w:val="zh-CN" w:eastAsia="zh-CN" w:bidi="ar-SA"/>
        </w:rPr>
        <w:t>根据项目个性自行设定部分指标，反映该项指标执行完成情况。</w:t>
      </w:r>
    </w:p>
    <w:p w14:paraId="6E6C7E72">
      <w:pPr>
        <w:pStyle w:val="14"/>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outlineLvl w:val="1"/>
        <w:rPr>
          <w:rFonts w:hint="default" w:ascii="Times New Roman" w:hAnsi="Times New Roman" w:eastAsia="黑体" w:cs="Times New Roman"/>
          <w:b w:val="0"/>
          <w:bCs w:val="0"/>
          <w:i w:val="0"/>
          <w:iCs w:val="0"/>
          <w:color w:val="000000"/>
          <w:sz w:val="32"/>
          <w:szCs w:val="32"/>
          <w:highlight w:val="none"/>
          <w:u w:val="none"/>
        </w:rPr>
      </w:pPr>
      <w:r>
        <w:rPr>
          <w:rFonts w:hint="default" w:ascii="Times New Roman" w:hAnsi="Times New Roman" w:eastAsia="黑体" w:cs="Times New Roman"/>
          <w:b w:val="0"/>
          <w:bCs w:val="0"/>
          <w:i w:val="0"/>
          <w:iCs w:val="0"/>
          <w:color w:val="000000"/>
          <w:sz w:val="32"/>
          <w:szCs w:val="32"/>
          <w:highlight w:val="none"/>
          <w:u w:val="none"/>
          <w:lang w:eastAsia="zh-CN"/>
        </w:rPr>
        <w:t>四</w:t>
      </w:r>
      <w:r>
        <w:rPr>
          <w:rFonts w:hint="default" w:ascii="Times New Roman" w:hAnsi="Times New Roman" w:eastAsia="黑体" w:cs="Times New Roman"/>
          <w:b w:val="0"/>
          <w:bCs w:val="0"/>
          <w:i w:val="0"/>
          <w:iCs w:val="0"/>
          <w:color w:val="000000"/>
          <w:sz w:val="32"/>
          <w:szCs w:val="32"/>
          <w:highlight w:val="none"/>
          <w:u w:val="none"/>
        </w:rPr>
        <w:t>、评价结论</w:t>
      </w:r>
    </w:p>
    <w:p w14:paraId="7A0EF678">
      <w:pPr>
        <w:pStyle w:val="14"/>
        <w:tabs>
          <w:tab w:val="left" w:pos="2160"/>
        </w:tabs>
        <w:spacing w:before="93" w:beforeLines="30" w:after="0" w:line="590" w:lineRule="exact"/>
        <w:ind w:firstLine="640" w:firstLineChars="200"/>
        <w:rPr>
          <w:rFonts w:hint="eastAsia"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社保公共服务能力建设资金项目绩效总体评价良好，自评得分100分。</w:t>
      </w:r>
    </w:p>
    <w:p w14:paraId="0064F780">
      <w:pPr>
        <w:pStyle w:val="14"/>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left="640" w:leftChars="0"/>
        <w:textAlignment w:val="auto"/>
        <w:outlineLvl w:val="1"/>
        <w:rPr>
          <w:rFonts w:hint="default" w:ascii="Times New Roman" w:hAnsi="Times New Roman" w:eastAsia="黑体" w:cs="Times New Roman"/>
          <w:b w:val="0"/>
          <w:bCs w:val="0"/>
          <w:i w:val="0"/>
          <w:iCs w:val="0"/>
          <w:color w:val="000000"/>
          <w:sz w:val="32"/>
          <w:szCs w:val="32"/>
          <w:highlight w:val="none"/>
          <w:u w:val="none"/>
          <w:lang w:eastAsia="zh-CN"/>
        </w:rPr>
      </w:pPr>
      <w:bookmarkStart w:id="104" w:name="_Toc21718"/>
      <w:r>
        <w:rPr>
          <w:rFonts w:hint="eastAsia" w:ascii="Times New Roman" w:hAnsi="Times New Roman" w:eastAsia="黑体" w:cs="Times New Roman"/>
          <w:b w:val="0"/>
          <w:bCs w:val="0"/>
          <w:i w:val="0"/>
          <w:iCs w:val="0"/>
          <w:color w:val="000000"/>
          <w:sz w:val="32"/>
          <w:szCs w:val="32"/>
          <w:highlight w:val="none"/>
          <w:u w:val="none"/>
          <w:lang w:val="en-US" w:eastAsia="zh-CN"/>
        </w:rPr>
        <w:t>五、</w:t>
      </w:r>
      <w:r>
        <w:rPr>
          <w:rFonts w:hint="default" w:ascii="Times New Roman" w:hAnsi="Times New Roman" w:eastAsia="黑体" w:cs="Times New Roman"/>
          <w:b w:val="0"/>
          <w:bCs w:val="0"/>
          <w:i w:val="0"/>
          <w:iCs w:val="0"/>
          <w:color w:val="000000"/>
          <w:sz w:val="32"/>
          <w:szCs w:val="32"/>
          <w:highlight w:val="none"/>
          <w:u w:val="none"/>
          <w:lang w:eastAsia="zh-CN"/>
        </w:rPr>
        <w:t>存在主要问题</w:t>
      </w:r>
      <w:bookmarkEnd w:id="104"/>
    </w:p>
    <w:p w14:paraId="78B0BC5E">
      <w:pPr>
        <w:pStyle w:val="14"/>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outlineLvl w:val="1"/>
        <w:rPr>
          <w:rFonts w:hint="eastAsia" w:ascii="仿宋" w:hAnsi="仿宋" w:eastAsia="仿宋" w:cs="仿宋"/>
          <w:color w:val="000000"/>
          <w:sz w:val="32"/>
          <w:szCs w:val="32"/>
          <w:lang w:eastAsia="zh-CN"/>
        </w:rPr>
      </w:pPr>
      <w:bookmarkStart w:id="105" w:name="_Toc17960"/>
      <w:r>
        <w:rPr>
          <w:rFonts w:hint="eastAsia" w:ascii="仿宋" w:hAnsi="仿宋" w:eastAsia="仿宋" w:cs="仿宋"/>
          <w:color w:val="000000"/>
          <w:sz w:val="32"/>
          <w:szCs w:val="32"/>
          <w:lang w:eastAsia="zh-CN"/>
        </w:rPr>
        <w:t>无</w:t>
      </w:r>
    </w:p>
    <w:p w14:paraId="56FF89BF">
      <w:pPr>
        <w:pStyle w:val="14"/>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outlineLvl w:val="1"/>
        <w:rPr>
          <w:rFonts w:hint="default" w:ascii="Times New Roman" w:hAnsi="Times New Roman" w:eastAsia="黑体" w:cs="Times New Roman"/>
          <w:b w:val="0"/>
          <w:bCs w:val="0"/>
          <w:i w:val="0"/>
          <w:iCs w:val="0"/>
          <w:color w:val="000000"/>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000000"/>
          <w:kern w:val="0"/>
          <w:position w:val="3"/>
          <w:sz w:val="32"/>
          <w:szCs w:val="32"/>
          <w:highlight w:val="none"/>
          <w:u w:val="none"/>
          <w:lang w:val="zh-CN" w:eastAsia="zh-CN" w:bidi="ar-SA"/>
        </w:rPr>
        <w:t>六、改进建议</w:t>
      </w:r>
      <w:bookmarkEnd w:id="105"/>
    </w:p>
    <w:p w14:paraId="227291B2">
      <w:pPr>
        <w:tabs>
          <w:tab w:val="left" w:pos="1911"/>
        </w:tabs>
        <w:ind w:firstLine="640" w:firstLineChars="200"/>
        <w:jc w:val="left"/>
        <w:rPr>
          <w:rFonts w:hint="eastAsia" w:ascii="仿宋" w:hAnsi="仿宋" w:eastAsia="仿宋" w:cs="仿宋"/>
          <w:b w:val="0"/>
          <w:bCs w:val="0"/>
          <w:i w:val="0"/>
          <w:iCs w:val="0"/>
          <w:color w:val="000000"/>
          <w:kern w:val="0"/>
          <w:position w:val="0"/>
          <w:sz w:val="32"/>
          <w:szCs w:val="32"/>
          <w:highlight w:val="none"/>
          <w:lang w:val="en-US" w:eastAsia="zh-CN" w:bidi="ar-SA"/>
        </w:rPr>
      </w:pPr>
      <w:r>
        <w:rPr>
          <w:rFonts w:hint="eastAsia" w:ascii="仿宋" w:hAnsi="仿宋" w:eastAsia="仿宋" w:cs="仿宋"/>
          <w:b w:val="0"/>
          <w:bCs w:val="0"/>
          <w:i w:val="0"/>
          <w:iCs w:val="0"/>
          <w:color w:val="000000"/>
          <w:kern w:val="0"/>
          <w:position w:val="0"/>
          <w:sz w:val="32"/>
          <w:szCs w:val="32"/>
          <w:highlight w:val="none"/>
          <w:lang w:val="en-US" w:eastAsia="zh-CN" w:bidi="ar-SA"/>
        </w:rPr>
        <w:t>无</w:t>
      </w:r>
    </w:p>
    <w:tbl>
      <w:tblPr>
        <w:tblStyle w:val="34"/>
        <w:tblW w:w="5000" w:type="pct"/>
        <w:tblInd w:w="0" w:type="dxa"/>
        <w:shd w:val="clear" w:color="auto" w:fill="auto"/>
        <w:tblLayout w:type="autofit"/>
        <w:tblCellMar>
          <w:top w:w="0" w:type="dxa"/>
          <w:left w:w="0" w:type="dxa"/>
          <w:bottom w:w="0" w:type="dxa"/>
          <w:right w:w="0" w:type="dxa"/>
        </w:tblCellMar>
      </w:tblPr>
      <w:tblGrid>
        <w:gridCol w:w="436"/>
        <w:gridCol w:w="1315"/>
        <w:gridCol w:w="1137"/>
        <w:gridCol w:w="1451"/>
        <w:gridCol w:w="337"/>
        <w:gridCol w:w="1074"/>
        <w:gridCol w:w="333"/>
        <w:gridCol w:w="703"/>
        <w:gridCol w:w="321"/>
        <w:gridCol w:w="301"/>
        <w:gridCol w:w="1648"/>
      </w:tblGrid>
      <w:tr w14:paraId="4A86C559">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1260">
            <w:pPr>
              <w:keepNext w:val="0"/>
              <w:keepLines w:val="0"/>
              <w:widowControl/>
              <w:suppressLineNumbers w:val="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t>专项资金绩效目标完成情况自评表</w:t>
            </w:r>
          </w:p>
          <w:p w14:paraId="367C5B54">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宋体" w:hAnsi="宋体" w:eastAsia="宋体" w:cs="宋体"/>
                <w:i w:val="0"/>
                <w:color w:val="000000"/>
                <w:kern w:val="0"/>
                <w:sz w:val="21"/>
                <w:szCs w:val="21"/>
                <w:u w:val="none"/>
                <w:lang w:val="en-US" w:eastAsia="zh-CN" w:bidi="ar"/>
              </w:rPr>
              <w:t>（2024年度）</w:t>
            </w:r>
          </w:p>
        </w:tc>
      </w:tr>
      <w:tr w14:paraId="3457AA10">
        <w:tblPrEx>
          <w:tblCellMar>
            <w:top w:w="0" w:type="dxa"/>
            <w:left w:w="0" w:type="dxa"/>
            <w:bottom w:w="0" w:type="dxa"/>
            <w:right w:w="0"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F8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3E1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51090422T000007136844-社保公共服务能力建设资金</w:t>
            </w:r>
          </w:p>
        </w:tc>
      </w:tr>
      <w:tr w14:paraId="1CEB1F5D">
        <w:tblPrEx>
          <w:tblCellMar>
            <w:top w:w="0" w:type="dxa"/>
            <w:left w:w="0" w:type="dxa"/>
            <w:bottom w:w="0" w:type="dxa"/>
            <w:right w:w="0"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35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9A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遂宁市安居区人力资源和社会保障局部门</w:t>
            </w:r>
          </w:p>
        </w:tc>
        <w:tc>
          <w:tcPr>
            <w:tcW w:w="387" w:type="pct"/>
            <w:tcBorders>
              <w:top w:val="nil"/>
              <w:left w:val="nil"/>
              <w:bottom w:val="nil"/>
              <w:right w:val="nil"/>
            </w:tcBorders>
            <w:shd w:val="clear" w:color="auto" w:fill="auto"/>
            <w:tcMar>
              <w:top w:w="15" w:type="dxa"/>
              <w:left w:w="15" w:type="dxa"/>
              <w:right w:w="15" w:type="dxa"/>
            </w:tcMar>
            <w:vAlign w:val="center"/>
          </w:tcPr>
          <w:p w14:paraId="56B3EC01">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5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BA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遂宁市安居区人力资源和社会保障局</w:t>
            </w:r>
          </w:p>
        </w:tc>
      </w:tr>
      <w:tr w14:paraId="0DBF5392">
        <w:tblPrEx>
          <w:tblCellMar>
            <w:top w:w="0" w:type="dxa"/>
            <w:left w:w="0" w:type="dxa"/>
            <w:bottom w:w="0" w:type="dxa"/>
            <w:right w:w="0"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061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FB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1D4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0A3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E187787">
        <w:tblPrEx>
          <w:tblCellMar>
            <w:top w:w="0" w:type="dxa"/>
            <w:left w:w="0" w:type="dxa"/>
            <w:bottom w:w="0" w:type="dxa"/>
            <w:right w:w="0"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5B61A">
            <w:pPr>
              <w:rPr>
                <w:rFonts w:hint="eastAsia" w:ascii="宋体" w:hAnsi="宋体" w:eastAsia="宋体" w:cs="宋体"/>
                <w:i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EB4B9">
            <w:pPr>
              <w:rPr>
                <w:rFonts w:hint="eastAsia" w:ascii="宋体" w:hAnsi="宋体" w:eastAsia="宋体" w:cs="宋体"/>
                <w:i w:val="0"/>
                <w:color w:val="000000"/>
                <w:sz w:val="18"/>
                <w:szCs w:val="18"/>
                <w:u w:val="none"/>
              </w:rPr>
            </w:pPr>
          </w:p>
        </w:tc>
        <w:tc>
          <w:tcPr>
            <w:tcW w:w="239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C405">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加强标准化建设，通过专业培训提升服务供给能力，积极引进先进的信息化技术，通过专业培训、经验交流等方式提高工作人员的业务素质和服务意识</w:t>
            </w:r>
          </w:p>
        </w:tc>
        <w:tc>
          <w:tcPr>
            <w:tcW w:w="163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EC9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完成2024年度部分全区公共服务能力建设</w:t>
            </w:r>
          </w:p>
        </w:tc>
      </w:tr>
      <w:tr w14:paraId="432A1759">
        <w:tblPrEx>
          <w:tblCellMar>
            <w:top w:w="0" w:type="dxa"/>
            <w:left w:w="0" w:type="dxa"/>
            <w:bottom w:w="0" w:type="dxa"/>
            <w:right w:w="0"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F11B">
            <w:pP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CCD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EAFF3">
            <w:pPr>
              <w:rPr>
                <w:rFonts w:hint="eastAsia" w:ascii="宋体" w:hAnsi="宋体" w:eastAsia="宋体" w:cs="宋体"/>
                <w:i w:val="0"/>
                <w:color w:val="000000"/>
                <w:sz w:val="18"/>
                <w:szCs w:val="18"/>
                <w:u w:val="none"/>
              </w:rPr>
            </w:pPr>
            <w:r>
              <w:rPr>
                <w:rFonts w:hint="eastAsia" w:ascii="宋体" w:hAnsi="宋体" w:eastAsia="宋体" w:cs="宋体"/>
                <w:i w:val="0"/>
                <w:iCs w:val="0"/>
                <w:color w:val="000000"/>
                <w:sz w:val="18"/>
                <w:szCs w:val="18"/>
                <w:u w:val="none"/>
                <w:lang w:eastAsia="zh-CN"/>
              </w:rPr>
              <w:t>按照年度计划有效完成了全年指标</w:t>
            </w:r>
          </w:p>
        </w:tc>
      </w:tr>
      <w:tr w14:paraId="1404E621">
        <w:tblPrEx>
          <w:tblCellMar>
            <w:top w:w="0" w:type="dxa"/>
            <w:left w:w="0" w:type="dxa"/>
            <w:bottom w:w="0" w:type="dxa"/>
            <w:right w:w="0"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3A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7C1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88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435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87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70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E3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7FE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AA7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40FC5C4">
        <w:tblPrEx>
          <w:tblCellMar>
            <w:top w:w="0" w:type="dxa"/>
            <w:left w:w="0" w:type="dxa"/>
            <w:bottom w:w="0" w:type="dxa"/>
            <w:right w:w="0"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D95AC">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9D3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46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12.95</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6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42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A9D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B9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626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8678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5B47F49">
        <w:tblPrEx>
          <w:tblCellMar>
            <w:top w:w="0" w:type="dxa"/>
            <w:left w:w="0" w:type="dxa"/>
            <w:bottom w:w="0" w:type="dxa"/>
            <w:right w:w="0"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489E">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17D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A01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12.95</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07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2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304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3C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B10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C5181">
            <w:pPr>
              <w:rPr>
                <w:rFonts w:hint="eastAsia" w:ascii="黑体" w:hAnsi="黑体" w:eastAsia="黑体" w:cs="黑体"/>
                <w:i/>
                <w:color w:val="000000"/>
                <w:sz w:val="18"/>
                <w:szCs w:val="18"/>
                <w:u w:val="none"/>
              </w:rPr>
            </w:pPr>
          </w:p>
        </w:tc>
      </w:tr>
      <w:tr w14:paraId="45F5F6BA">
        <w:tblPrEx>
          <w:tblCellMar>
            <w:top w:w="0" w:type="dxa"/>
            <w:left w:w="0" w:type="dxa"/>
            <w:bottom w:w="0" w:type="dxa"/>
            <w:right w:w="0"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77A93">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E04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9B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99B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9F4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0B5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62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6A1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63C8">
            <w:pPr>
              <w:rPr>
                <w:rFonts w:hint="eastAsia" w:ascii="黑体" w:hAnsi="黑体" w:eastAsia="黑体" w:cs="黑体"/>
                <w:i/>
                <w:color w:val="000000"/>
                <w:sz w:val="18"/>
                <w:szCs w:val="18"/>
                <w:u w:val="none"/>
              </w:rPr>
            </w:pPr>
          </w:p>
        </w:tc>
      </w:tr>
      <w:tr w14:paraId="60C598C8">
        <w:tblPrEx>
          <w:tblCellMar>
            <w:top w:w="0" w:type="dxa"/>
            <w:left w:w="0" w:type="dxa"/>
            <w:bottom w:w="0" w:type="dxa"/>
            <w:right w:w="0"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E0E82">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EF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124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021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8C7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2D8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09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0A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8677">
            <w:pPr>
              <w:rPr>
                <w:rFonts w:hint="eastAsia" w:ascii="黑体" w:hAnsi="黑体" w:eastAsia="黑体" w:cs="黑体"/>
                <w:i/>
                <w:color w:val="000000"/>
                <w:sz w:val="18"/>
                <w:szCs w:val="18"/>
                <w:u w:val="none"/>
              </w:rPr>
            </w:pPr>
          </w:p>
        </w:tc>
      </w:tr>
      <w:tr w14:paraId="384B05AE">
        <w:tblPrEx>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6042">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AE22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B8DB67">
            <w:pPr>
              <w:jc w:val="center"/>
              <w:rPr>
                <w:rFonts w:hint="eastAsia" w:ascii="微软雅黑" w:hAnsi="微软雅黑" w:eastAsia="微软雅黑" w:cs="微软雅黑"/>
                <w:i/>
                <w:color w:val="000000"/>
                <w:sz w:val="16"/>
                <w:szCs w:val="16"/>
                <w:u w:val="none"/>
              </w:rPr>
            </w:pPr>
          </w:p>
        </w:tc>
        <w:tc>
          <w:tcPr>
            <w:tcW w:w="80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548DD97">
            <w:pPr>
              <w:jc w:val="center"/>
              <w:rPr>
                <w:rFonts w:hint="eastAsia" w:ascii="微软雅黑" w:hAnsi="微软雅黑" w:eastAsia="微软雅黑" w:cs="微软雅黑"/>
                <w:i/>
                <w:color w:val="000000"/>
                <w:sz w:val="16"/>
                <w:szCs w:val="16"/>
                <w:u w:val="none"/>
              </w:rPr>
            </w:pPr>
          </w:p>
        </w:tc>
        <w:tc>
          <w:tcPr>
            <w:tcW w:w="962" w:type="pct"/>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4732C8">
            <w:pPr>
              <w:jc w:val="center"/>
              <w:rPr>
                <w:rFonts w:hint="eastAsia" w:ascii="微软雅黑" w:hAnsi="微软雅黑" w:eastAsia="微软雅黑" w:cs="微软雅黑"/>
                <w:i/>
                <w:color w:val="000000"/>
                <w:sz w:val="16"/>
                <w:szCs w:val="16"/>
                <w:u w:val="none"/>
              </w:rPr>
            </w:pPr>
          </w:p>
        </w:tc>
        <w:tc>
          <w:tcPr>
            <w:tcW w:w="38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36D1BC">
            <w:pPr>
              <w:jc w:val="center"/>
              <w:rPr>
                <w:rFonts w:hint="eastAsia" w:ascii="微软雅黑" w:hAnsi="微软雅黑" w:eastAsia="微软雅黑" w:cs="微软雅黑"/>
                <w:i/>
                <w:color w:val="000000"/>
                <w:sz w:val="16"/>
                <w:szCs w:val="16"/>
                <w:u w:val="none"/>
              </w:rPr>
            </w:pPr>
          </w:p>
        </w:tc>
        <w:tc>
          <w:tcPr>
            <w:tcW w:w="17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BA69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3D43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520D">
            <w:pPr>
              <w:rPr>
                <w:rFonts w:hint="eastAsia" w:ascii="黑体" w:hAnsi="黑体" w:eastAsia="黑体" w:cs="黑体"/>
                <w:i/>
                <w:color w:val="000000"/>
                <w:sz w:val="18"/>
                <w:szCs w:val="18"/>
                <w:u w:val="none"/>
              </w:rPr>
            </w:pPr>
          </w:p>
        </w:tc>
      </w:tr>
      <w:tr w14:paraId="51161E2E">
        <w:tblPrEx>
          <w:tblCellMar>
            <w:top w:w="0" w:type="dxa"/>
            <w:left w:w="0" w:type="dxa"/>
            <w:bottom w:w="0" w:type="dxa"/>
            <w:right w:w="0"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D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7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00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551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AAF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8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2FB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3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77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EF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E5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4B0443CA">
        <w:tblPrEx>
          <w:tblCellMar>
            <w:top w:w="0" w:type="dxa"/>
            <w:left w:w="0" w:type="dxa"/>
            <w:bottom w:w="0" w:type="dxa"/>
            <w:right w:w="0"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68800">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E6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92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C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90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2F7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77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FC89">
            <w:pPr>
              <w:jc w:val="center"/>
              <w:rPr>
                <w:rFonts w:hint="eastAsia" w:ascii="微软雅黑" w:hAnsi="微软雅黑" w:eastAsia="微软雅黑" w:cs="微软雅黑"/>
                <w:i w:val="0"/>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1BA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04C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A2FA">
            <w:pPr>
              <w:jc w:val="center"/>
              <w:rPr>
                <w:rFonts w:hint="eastAsia" w:ascii="微软雅黑" w:hAnsi="微软雅黑" w:eastAsia="微软雅黑" w:cs="微软雅黑"/>
                <w:i w:val="0"/>
                <w:color w:val="000000"/>
                <w:sz w:val="16"/>
                <w:szCs w:val="16"/>
                <w:u w:val="none"/>
              </w:rPr>
            </w:pPr>
          </w:p>
        </w:tc>
      </w:tr>
      <w:tr w14:paraId="3532F4F9">
        <w:tblPrEx>
          <w:tblCellMar>
            <w:top w:w="0" w:type="dxa"/>
            <w:left w:w="0" w:type="dxa"/>
            <w:bottom w:w="0" w:type="dxa"/>
            <w:right w:w="0"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4125">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E3DB1">
            <w:pPr>
              <w:jc w:val="center"/>
              <w:rPr>
                <w:rFonts w:hint="eastAsia" w:ascii="宋体" w:hAnsi="宋体" w:eastAsia="宋体" w:cs="宋体"/>
                <w:i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42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0A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建设使用率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AC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168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D1B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2F14E">
            <w:pPr>
              <w:jc w:val="center"/>
              <w:rPr>
                <w:rFonts w:hint="eastAsia" w:ascii="微软雅黑" w:hAnsi="微软雅黑" w:eastAsia="微软雅黑" w:cs="微软雅黑"/>
                <w:i w:val="0"/>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F56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23C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2EAC">
            <w:pPr>
              <w:jc w:val="center"/>
              <w:rPr>
                <w:rFonts w:hint="eastAsia" w:ascii="微软雅黑" w:hAnsi="微软雅黑" w:eastAsia="微软雅黑" w:cs="微软雅黑"/>
                <w:i w:val="0"/>
                <w:color w:val="000000"/>
                <w:sz w:val="16"/>
                <w:szCs w:val="16"/>
                <w:u w:val="none"/>
              </w:rPr>
            </w:pPr>
          </w:p>
        </w:tc>
      </w:tr>
      <w:tr w14:paraId="024B0E12">
        <w:tblPrEx>
          <w:tblCellMar>
            <w:top w:w="0" w:type="dxa"/>
            <w:left w:w="0" w:type="dxa"/>
            <w:bottom w:w="0" w:type="dxa"/>
            <w:right w:w="0"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DDAE4">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718BA">
            <w:pPr>
              <w:jc w:val="center"/>
              <w:rPr>
                <w:rFonts w:hint="eastAsia" w:ascii="宋体" w:hAnsi="宋体" w:eastAsia="宋体" w:cs="宋体"/>
                <w:i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88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CFA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86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22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6A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991B">
            <w:pPr>
              <w:jc w:val="center"/>
              <w:rPr>
                <w:rFonts w:hint="eastAsia" w:ascii="微软雅黑" w:hAnsi="微软雅黑" w:eastAsia="微软雅黑" w:cs="微软雅黑"/>
                <w:i w:val="0"/>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0E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E0B4">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C7A36">
            <w:pPr>
              <w:jc w:val="center"/>
              <w:rPr>
                <w:rFonts w:hint="eastAsia" w:ascii="微软雅黑" w:hAnsi="微软雅黑" w:eastAsia="微软雅黑" w:cs="微软雅黑"/>
                <w:i w:val="0"/>
                <w:color w:val="000000"/>
                <w:sz w:val="16"/>
                <w:szCs w:val="16"/>
                <w:u w:val="none"/>
              </w:rPr>
            </w:pPr>
          </w:p>
        </w:tc>
      </w:tr>
      <w:tr w14:paraId="0EE1B61C">
        <w:tblPrEx>
          <w:tblCellMar>
            <w:top w:w="0" w:type="dxa"/>
            <w:left w:w="0" w:type="dxa"/>
            <w:bottom w:w="0" w:type="dxa"/>
            <w:right w:w="0"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D964">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A50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F6C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618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增加社会影响力</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EA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1E5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让办事人员更方便快捷</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EB51D">
            <w:pPr>
              <w:jc w:val="center"/>
              <w:rPr>
                <w:rFonts w:hint="eastAsia" w:ascii="宋体" w:hAnsi="宋体" w:eastAsia="宋体" w:cs="宋体"/>
                <w:i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C6A9A">
            <w:pPr>
              <w:jc w:val="center"/>
              <w:rPr>
                <w:rFonts w:hint="eastAsia" w:ascii="微软雅黑" w:hAnsi="微软雅黑" w:eastAsia="微软雅黑" w:cs="微软雅黑"/>
                <w:i w:val="0"/>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71C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93FE0">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15F9">
            <w:pPr>
              <w:jc w:val="center"/>
              <w:rPr>
                <w:rFonts w:hint="eastAsia" w:ascii="微软雅黑" w:hAnsi="微软雅黑" w:eastAsia="微软雅黑" w:cs="微软雅黑"/>
                <w:i w:val="0"/>
                <w:color w:val="000000"/>
                <w:sz w:val="16"/>
                <w:szCs w:val="16"/>
                <w:u w:val="none"/>
              </w:rPr>
            </w:pPr>
          </w:p>
        </w:tc>
      </w:tr>
      <w:tr w14:paraId="3FC369B3">
        <w:tblPrEx>
          <w:tblCellMar>
            <w:top w:w="0" w:type="dxa"/>
            <w:left w:w="0" w:type="dxa"/>
            <w:bottom w:w="0" w:type="dxa"/>
            <w:right w:w="0" w:type="dxa"/>
          </w:tblCellMar>
        </w:tblPrEx>
        <w:trPr>
          <w:trHeight w:val="339"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ADBCA">
            <w:pPr>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C5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A95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988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C84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FC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3B4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FDF29">
            <w:pPr>
              <w:jc w:val="center"/>
              <w:rPr>
                <w:rFonts w:hint="eastAsia" w:ascii="微软雅黑" w:hAnsi="微软雅黑" w:eastAsia="微软雅黑" w:cs="微软雅黑"/>
                <w:i w:val="0"/>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16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655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E5B5F">
            <w:pPr>
              <w:jc w:val="center"/>
              <w:rPr>
                <w:rFonts w:hint="eastAsia" w:ascii="微软雅黑" w:hAnsi="微软雅黑" w:eastAsia="微软雅黑" w:cs="微软雅黑"/>
                <w:i w:val="0"/>
                <w:color w:val="000000"/>
                <w:sz w:val="16"/>
                <w:szCs w:val="16"/>
                <w:u w:val="none"/>
              </w:rPr>
            </w:pPr>
          </w:p>
        </w:tc>
      </w:tr>
      <w:tr w14:paraId="75D48F1E">
        <w:tblPrEx>
          <w:tblCellMar>
            <w:top w:w="0" w:type="dxa"/>
            <w:left w:w="0" w:type="dxa"/>
            <w:bottom w:w="0" w:type="dxa"/>
            <w:right w:w="0" w:type="dxa"/>
          </w:tblCellMar>
        </w:tblPrEx>
        <w:trPr>
          <w:trHeight w:val="286" w:hRule="atLeast"/>
        </w:trPr>
        <w:tc>
          <w:tcPr>
            <w:tcW w:w="3747"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07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C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589BB">
            <w:pPr>
              <w:keepNext w:val="0"/>
              <w:keepLines w:val="0"/>
              <w:widowControl/>
              <w:suppressLineNumbers w:val="0"/>
              <w:jc w:val="both"/>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2274">
            <w:pPr>
              <w:rPr>
                <w:rFonts w:hint="eastAsia" w:ascii="宋体" w:hAnsi="宋体" w:eastAsia="宋体" w:cs="宋体"/>
                <w:i w:val="0"/>
                <w:color w:val="000000"/>
                <w:sz w:val="22"/>
                <w:szCs w:val="22"/>
                <w:u w:val="none"/>
              </w:rPr>
            </w:pPr>
          </w:p>
        </w:tc>
      </w:tr>
      <w:tr w14:paraId="689528BE">
        <w:tblPrEx>
          <w:tblCellMar>
            <w:top w:w="0" w:type="dxa"/>
            <w:left w:w="0" w:type="dxa"/>
            <w:bottom w:w="0" w:type="dxa"/>
            <w:right w:w="0" w:type="dxa"/>
          </w:tblCellMar>
        </w:tblPrEx>
        <w:trPr>
          <w:trHeight w:val="603" w:hRule="atLeast"/>
        </w:trPr>
        <w:tc>
          <w:tcPr>
            <w:tcW w:w="241"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575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8" w:type="pct"/>
            <w:gridSpan w:val="10"/>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F8BB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ascii="宋体" w:hAnsi="宋体" w:eastAsia="宋体" w:cs="宋体"/>
                <w:i w:val="0"/>
                <w:color w:val="000000"/>
                <w:kern w:val="0"/>
                <w:sz w:val="18"/>
                <w:szCs w:val="18"/>
                <w:u w:val="none"/>
                <w:lang w:val="en-US" w:eastAsia="zh-CN" w:bidi="ar"/>
              </w:rPr>
              <w:t>社保公共服务能力建设资金</w:t>
            </w:r>
            <w:r>
              <w:rPr>
                <w:rFonts w:hint="eastAsia" w:ascii="宋体" w:hAnsi="宋体" w:eastAsia="宋体" w:cs="宋体"/>
                <w:i w:val="0"/>
                <w:iCs w:val="0"/>
                <w:color w:val="000000"/>
                <w:kern w:val="0"/>
                <w:sz w:val="18"/>
                <w:szCs w:val="18"/>
                <w:u w:val="none"/>
                <w:lang w:val="en-US" w:eastAsia="zh-CN" w:bidi="ar"/>
              </w:rPr>
              <w:t>项目绩效总体评价良好。</w:t>
            </w:r>
          </w:p>
        </w:tc>
      </w:tr>
      <w:tr w14:paraId="22F911CD">
        <w:tblPrEx>
          <w:tblCellMar>
            <w:top w:w="0" w:type="dxa"/>
            <w:left w:w="0" w:type="dxa"/>
            <w:bottom w:w="0" w:type="dxa"/>
            <w:right w:w="0"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36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5B94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B1E0D1E">
        <w:tblPrEx>
          <w:tblCellMar>
            <w:top w:w="0" w:type="dxa"/>
            <w:left w:w="0" w:type="dxa"/>
            <w:bottom w:w="0" w:type="dxa"/>
            <w:right w:w="0"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E89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C1A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28A5867">
        <w:tblPrEx>
          <w:tblCellMar>
            <w:top w:w="0" w:type="dxa"/>
            <w:left w:w="0" w:type="dxa"/>
            <w:bottom w:w="0" w:type="dxa"/>
            <w:right w:w="0" w:type="dxa"/>
          </w:tblCellMar>
        </w:tblPrEx>
        <w:trPr>
          <w:trHeight w:val="286" w:hRule="atLeast"/>
        </w:trPr>
        <w:tc>
          <w:tcPr>
            <w:tcW w:w="258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3617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项目负责人：熊东</w:t>
            </w:r>
          </w:p>
        </w:tc>
        <w:tc>
          <w:tcPr>
            <w:tcW w:w="241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A9C3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财务负责人：王双</w:t>
            </w:r>
          </w:p>
        </w:tc>
      </w:tr>
    </w:tbl>
    <w:p w14:paraId="2D29EDB2">
      <w:pPr>
        <w:spacing w:line="560" w:lineRule="exact"/>
        <w:jc w:val="both"/>
        <w:outlineLvl w:val="0"/>
        <w:rPr>
          <w:rFonts w:eastAsia="方正小标宋简体"/>
          <w:sz w:val="44"/>
          <w:szCs w:val="44"/>
        </w:rPr>
      </w:pPr>
    </w:p>
    <w:p w14:paraId="26E4CAA4">
      <w:pPr>
        <w:spacing w:line="560" w:lineRule="exact"/>
        <w:jc w:val="center"/>
        <w:outlineLvl w:val="0"/>
        <w:rPr>
          <w:rFonts w:eastAsia="方正小标宋简体"/>
        </w:rPr>
      </w:pPr>
      <w:r>
        <w:rPr>
          <w:rFonts w:eastAsia="方正小标宋简体"/>
          <w:sz w:val="44"/>
          <w:szCs w:val="44"/>
        </w:rPr>
        <w:t>第</w:t>
      </w:r>
      <w:r>
        <w:rPr>
          <w:rStyle w:val="196"/>
          <w:rFonts w:eastAsia="方正小标宋简体"/>
          <w:b w:val="0"/>
          <w:bCs w:val="0"/>
        </w:rPr>
        <w:t>五部分 附表</w:t>
      </w:r>
      <w:bookmarkEnd w:id="92"/>
      <w:bookmarkEnd w:id="93"/>
      <w:bookmarkEnd w:id="94"/>
    </w:p>
    <w:p w14:paraId="77FFE57C">
      <w:pPr>
        <w:pStyle w:val="190"/>
        <w:spacing w:before="0" w:after="0" w:line="560" w:lineRule="exact"/>
        <w:rPr>
          <w:rFonts w:ascii="Times New Roman" w:hAnsi="Times New Roman"/>
          <w:b w:val="0"/>
          <w:i w:val="0"/>
        </w:rPr>
      </w:pPr>
      <w:bookmarkStart w:id="106" w:name="_Toc12137"/>
      <w:r>
        <w:rPr>
          <w:rFonts w:ascii="Times New Roman" w:hAnsi="Times New Roman"/>
          <w:b w:val="0"/>
          <w:i w:val="0"/>
        </w:rPr>
        <w:t>一、收</w:t>
      </w:r>
      <w:r>
        <w:rPr>
          <w:rStyle w:val="197"/>
          <w:rFonts w:ascii="Times New Roman" w:hAnsi="Times New Roman"/>
          <w:b w:val="0"/>
          <w:i w:val="0"/>
        </w:rPr>
        <w:t>入支出决算总表</w:t>
      </w:r>
      <w:bookmarkEnd w:id="106"/>
    </w:p>
    <w:p w14:paraId="7720D6B6">
      <w:pPr>
        <w:pStyle w:val="190"/>
        <w:spacing w:before="0" w:after="0" w:line="560" w:lineRule="exact"/>
        <w:rPr>
          <w:rFonts w:ascii="Times New Roman" w:hAnsi="Times New Roman"/>
          <w:b w:val="0"/>
          <w:i w:val="0"/>
        </w:rPr>
      </w:pPr>
      <w:bookmarkStart w:id="107" w:name="_Toc1841"/>
      <w:r>
        <w:rPr>
          <w:rFonts w:ascii="Times New Roman" w:hAnsi="Times New Roman"/>
          <w:b w:val="0"/>
          <w:i w:val="0"/>
        </w:rPr>
        <w:t>二、收</w:t>
      </w:r>
      <w:r>
        <w:rPr>
          <w:rStyle w:val="197"/>
          <w:rFonts w:ascii="Times New Roman" w:hAnsi="Times New Roman"/>
          <w:b w:val="0"/>
          <w:i w:val="0"/>
        </w:rPr>
        <w:t>入决算表</w:t>
      </w:r>
      <w:bookmarkEnd w:id="107"/>
    </w:p>
    <w:p w14:paraId="1320D4D3">
      <w:pPr>
        <w:pStyle w:val="190"/>
        <w:spacing w:before="0" w:after="0" w:line="560" w:lineRule="exact"/>
        <w:rPr>
          <w:rFonts w:ascii="Times New Roman" w:hAnsi="Times New Roman"/>
          <w:b w:val="0"/>
          <w:i w:val="0"/>
        </w:rPr>
      </w:pPr>
      <w:bookmarkStart w:id="108" w:name="_Toc10180"/>
      <w:r>
        <w:rPr>
          <w:rStyle w:val="197"/>
          <w:rFonts w:ascii="Times New Roman" w:hAnsi="Times New Roman"/>
          <w:b w:val="0"/>
          <w:i w:val="0"/>
        </w:rPr>
        <w:t>三、</w:t>
      </w:r>
      <w:r>
        <w:rPr>
          <w:rFonts w:ascii="Times New Roman" w:hAnsi="Times New Roman"/>
          <w:b w:val="0"/>
          <w:i w:val="0"/>
        </w:rPr>
        <w:t>支</w:t>
      </w:r>
      <w:r>
        <w:rPr>
          <w:rStyle w:val="197"/>
          <w:rFonts w:ascii="Times New Roman" w:hAnsi="Times New Roman"/>
          <w:b w:val="0"/>
          <w:i w:val="0"/>
        </w:rPr>
        <w:t>出决算表</w:t>
      </w:r>
      <w:bookmarkEnd w:id="108"/>
    </w:p>
    <w:p w14:paraId="0DBC64B4">
      <w:pPr>
        <w:pStyle w:val="190"/>
        <w:spacing w:before="0" w:after="0" w:line="560" w:lineRule="exact"/>
        <w:rPr>
          <w:rFonts w:ascii="Times New Roman" w:hAnsi="Times New Roman"/>
          <w:b w:val="0"/>
          <w:i w:val="0"/>
        </w:rPr>
      </w:pPr>
      <w:bookmarkStart w:id="109" w:name="_Toc32314"/>
      <w:r>
        <w:rPr>
          <w:rStyle w:val="197"/>
          <w:rFonts w:ascii="Times New Roman" w:hAnsi="Times New Roman"/>
          <w:b w:val="0"/>
          <w:i w:val="0"/>
        </w:rPr>
        <w:t>四、</w:t>
      </w:r>
      <w:r>
        <w:rPr>
          <w:rFonts w:ascii="Times New Roman" w:hAnsi="Times New Roman"/>
          <w:b w:val="0"/>
          <w:i w:val="0"/>
        </w:rPr>
        <w:t>财</w:t>
      </w:r>
      <w:r>
        <w:rPr>
          <w:rStyle w:val="197"/>
          <w:rFonts w:ascii="Times New Roman" w:hAnsi="Times New Roman"/>
          <w:b w:val="0"/>
          <w:i w:val="0"/>
        </w:rPr>
        <w:t>政拨款收入支出决算总表</w:t>
      </w:r>
      <w:bookmarkEnd w:id="109"/>
    </w:p>
    <w:p w14:paraId="29790FEF">
      <w:pPr>
        <w:pStyle w:val="190"/>
        <w:spacing w:before="0" w:after="0" w:line="560" w:lineRule="exact"/>
        <w:rPr>
          <w:rStyle w:val="197"/>
          <w:rFonts w:ascii="Times New Roman" w:hAnsi="Times New Roman"/>
          <w:b w:val="0"/>
          <w:i w:val="0"/>
        </w:rPr>
      </w:pPr>
      <w:bookmarkStart w:id="110" w:name="_Toc637"/>
      <w:r>
        <w:rPr>
          <w:rStyle w:val="197"/>
          <w:rFonts w:ascii="Times New Roman" w:hAnsi="Times New Roman"/>
          <w:b w:val="0"/>
          <w:i w:val="0"/>
        </w:rPr>
        <w:t>五、</w:t>
      </w:r>
      <w:r>
        <w:rPr>
          <w:rFonts w:ascii="Times New Roman" w:hAnsi="Times New Roman"/>
          <w:b w:val="0"/>
          <w:i w:val="0"/>
        </w:rPr>
        <w:t>财</w:t>
      </w:r>
      <w:r>
        <w:rPr>
          <w:rStyle w:val="197"/>
          <w:rFonts w:ascii="Times New Roman" w:hAnsi="Times New Roman"/>
          <w:b w:val="0"/>
          <w:i w:val="0"/>
        </w:rPr>
        <w:t>政拨款支出决算明细表</w:t>
      </w:r>
      <w:bookmarkEnd w:id="110"/>
    </w:p>
    <w:p w14:paraId="6CE16012">
      <w:pPr>
        <w:pStyle w:val="190"/>
        <w:spacing w:before="0" w:after="0" w:line="560" w:lineRule="exact"/>
        <w:rPr>
          <w:rFonts w:ascii="Times New Roman" w:hAnsi="Times New Roman"/>
          <w:b w:val="0"/>
          <w:i w:val="0"/>
        </w:rPr>
      </w:pPr>
      <w:bookmarkStart w:id="111" w:name="_Toc3636"/>
      <w:r>
        <w:rPr>
          <w:rStyle w:val="197"/>
          <w:rFonts w:ascii="Times New Roman" w:hAnsi="Times New Roman"/>
          <w:b w:val="0"/>
          <w:i w:val="0"/>
        </w:rPr>
        <w:t>六、</w:t>
      </w:r>
      <w:r>
        <w:rPr>
          <w:rFonts w:ascii="Times New Roman" w:hAnsi="Times New Roman"/>
          <w:b w:val="0"/>
          <w:i w:val="0"/>
        </w:rPr>
        <w:t>一</w:t>
      </w:r>
      <w:r>
        <w:rPr>
          <w:rStyle w:val="197"/>
          <w:rFonts w:ascii="Times New Roman" w:hAnsi="Times New Roman"/>
          <w:b w:val="0"/>
          <w:i w:val="0"/>
        </w:rPr>
        <w:t>般公共预算财政拨款支出决算表</w:t>
      </w:r>
      <w:bookmarkEnd w:id="111"/>
    </w:p>
    <w:p w14:paraId="6AC27F82">
      <w:pPr>
        <w:pStyle w:val="190"/>
        <w:spacing w:before="0" w:after="0" w:line="560" w:lineRule="exact"/>
        <w:rPr>
          <w:rFonts w:ascii="Times New Roman" w:hAnsi="Times New Roman"/>
          <w:b w:val="0"/>
          <w:i w:val="0"/>
        </w:rPr>
      </w:pPr>
      <w:bookmarkStart w:id="112" w:name="_Toc21307"/>
      <w:r>
        <w:rPr>
          <w:rStyle w:val="197"/>
          <w:rFonts w:ascii="Times New Roman" w:hAnsi="Times New Roman"/>
          <w:b w:val="0"/>
          <w:i w:val="0"/>
        </w:rPr>
        <w:t>七、</w:t>
      </w:r>
      <w:r>
        <w:rPr>
          <w:rFonts w:ascii="Times New Roman" w:hAnsi="Times New Roman"/>
          <w:b w:val="0"/>
          <w:i w:val="0"/>
        </w:rPr>
        <w:t>一</w:t>
      </w:r>
      <w:r>
        <w:rPr>
          <w:rStyle w:val="197"/>
          <w:rFonts w:ascii="Times New Roman" w:hAnsi="Times New Roman"/>
          <w:b w:val="0"/>
          <w:i w:val="0"/>
        </w:rPr>
        <w:t>般公共预算财政拨款支出决算明细表</w:t>
      </w:r>
      <w:bookmarkEnd w:id="112"/>
    </w:p>
    <w:p w14:paraId="009D1027">
      <w:pPr>
        <w:pStyle w:val="190"/>
        <w:spacing w:before="0" w:after="0" w:line="560" w:lineRule="exact"/>
        <w:rPr>
          <w:rFonts w:ascii="Times New Roman" w:hAnsi="Times New Roman"/>
          <w:b w:val="0"/>
          <w:i w:val="0"/>
        </w:rPr>
      </w:pPr>
      <w:bookmarkStart w:id="113" w:name="_Toc30350"/>
      <w:r>
        <w:rPr>
          <w:rStyle w:val="197"/>
          <w:rFonts w:ascii="Times New Roman" w:hAnsi="Times New Roman"/>
          <w:b w:val="0"/>
          <w:i w:val="0"/>
        </w:rPr>
        <w:t>八、</w:t>
      </w:r>
      <w:r>
        <w:rPr>
          <w:rFonts w:ascii="Times New Roman" w:hAnsi="Times New Roman"/>
          <w:b w:val="0"/>
          <w:i w:val="0"/>
        </w:rPr>
        <w:t>一</w:t>
      </w:r>
      <w:r>
        <w:rPr>
          <w:rStyle w:val="197"/>
          <w:rFonts w:ascii="Times New Roman" w:hAnsi="Times New Roman"/>
          <w:b w:val="0"/>
          <w:i w:val="0"/>
        </w:rPr>
        <w:t>般公共预算财政拨款基本支出决算表</w:t>
      </w:r>
      <w:bookmarkEnd w:id="113"/>
    </w:p>
    <w:p w14:paraId="494DA645">
      <w:pPr>
        <w:pStyle w:val="190"/>
        <w:spacing w:before="0" w:after="0" w:line="560" w:lineRule="exact"/>
        <w:rPr>
          <w:rFonts w:ascii="Times New Roman" w:hAnsi="Times New Roman"/>
          <w:b w:val="0"/>
          <w:i w:val="0"/>
        </w:rPr>
      </w:pPr>
      <w:bookmarkStart w:id="114" w:name="_Toc29843"/>
      <w:r>
        <w:rPr>
          <w:rStyle w:val="197"/>
          <w:rFonts w:ascii="Times New Roman" w:hAnsi="Times New Roman"/>
          <w:b w:val="0"/>
          <w:i w:val="0"/>
        </w:rPr>
        <w:t>九、</w:t>
      </w:r>
      <w:r>
        <w:rPr>
          <w:rFonts w:ascii="Times New Roman" w:hAnsi="Times New Roman"/>
          <w:b w:val="0"/>
          <w:i w:val="0"/>
        </w:rPr>
        <w:t>一</w:t>
      </w:r>
      <w:r>
        <w:rPr>
          <w:rStyle w:val="197"/>
          <w:rFonts w:ascii="Times New Roman" w:hAnsi="Times New Roman"/>
          <w:b w:val="0"/>
          <w:i w:val="0"/>
        </w:rPr>
        <w:t>般公共预算财政拨款项目支出决算表</w:t>
      </w:r>
      <w:bookmarkEnd w:id="114"/>
    </w:p>
    <w:p w14:paraId="6771861C">
      <w:pPr>
        <w:pStyle w:val="190"/>
        <w:spacing w:before="0" w:after="0" w:line="560" w:lineRule="exact"/>
        <w:rPr>
          <w:rFonts w:ascii="Times New Roman" w:hAnsi="Times New Roman"/>
          <w:b w:val="0"/>
          <w:i w:val="0"/>
        </w:rPr>
      </w:pPr>
      <w:bookmarkStart w:id="115" w:name="_Toc17657"/>
      <w:r>
        <w:rPr>
          <w:rStyle w:val="197"/>
          <w:rFonts w:ascii="Times New Roman" w:hAnsi="Times New Roman"/>
          <w:b w:val="0"/>
          <w:i w:val="0"/>
        </w:rPr>
        <w:t>十、</w:t>
      </w:r>
      <w:r>
        <w:rPr>
          <w:rFonts w:ascii="Times New Roman" w:hAnsi="Times New Roman"/>
          <w:b w:val="0"/>
          <w:i w:val="0"/>
        </w:rPr>
        <w:t>政</w:t>
      </w:r>
      <w:r>
        <w:rPr>
          <w:rStyle w:val="197"/>
          <w:rFonts w:ascii="Times New Roman" w:hAnsi="Times New Roman"/>
          <w:b w:val="0"/>
          <w:i w:val="0"/>
        </w:rPr>
        <w:t>府性基金预算财政拨款收入支出决算表</w:t>
      </w:r>
      <w:bookmarkEnd w:id="115"/>
    </w:p>
    <w:p w14:paraId="09893ADB">
      <w:pPr>
        <w:pStyle w:val="190"/>
        <w:spacing w:before="0" w:after="0" w:line="560" w:lineRule="exact"/>
        <w:rPr>
          <w:rFonts w:ascii="Times New Roman" w:hAnsi="Times New Roman"/>
          <w:b w:val="0"/>
          <w:i w:val="0"/>
        </w:rPr>
      </w:pPr>
      <w:bookmarkStart w:id="116" w:name="_Toc11540"/>
      <w:r>
        <w:rPr>
          <w:rStyle w:val="197"/>
          <w:rFonts w:ascii="Times New Roman" w:hAnsi="Times New Roman"/>
          <w:b w:val="0"/>
          <w:i w:val="0"/>
        </w:rPr>
        <w:t>十一、</w:t>
      </w:r>
      <w:r>
        <w:rPr>
          <w:rFonts w:ascii="Times New Roman" w:hAnsi="Times New Roman"/>
          <w:b w:val="0"/>
          <w:i w:val="0"/>
        </w:rPr>
        <w:t>国</w:t>
      </w:r>
      <w:r>
        <w:rPr>
          <w:rStyle w:val="197"/>
          <w:rFonts w:ascii="Times New Roman" w:hAnsi="Times New Roman"/>
          <w:b w:val="0"/>
          <w:i w:val="0"/>
        </w:rPr>
        <w:t>有资本经营预算财政拨款收入支出决算表</w:t>
      </w:r>
      <w:bookmarkEnd w:id="116"/>
    </w:p>
    <w:p w14:paraId="1FAE3A7C">
      <w:pPr>
        <w:pStyle w:val="190"/>
        <w:spacing w:before="0" w:after="0" w:line="560" w:lineRule="exact"/>
        <w:rPr>
          <w:rFonts w:ascii="Times New Roman" w:hAnsi="Times New Roman"/>
          <w:b w:val="0"/>
          <w:i w:val="0"/>
        </w:rPr>
      </w:pPr>
      <w:bookmarkStart w:id="117" w:name="_Toc32462"/>
      <w:r>
        <w:rPr>
          <w:rStyle w:val="197"/>
          <w:rFonts w:ascii="Times New Roman" w:hAnsi="Times New Roman"/>
          <w:b w:val="0"/>
          <w:i w:val="0"/>
        </w:rPr>
        <w:t>十二、国有资本经营预算财政拨款支出决算表</w:t>
      </w:r>
      <w:bookmarkEnd w:id="117"/>
    </w:p>
    <w:p w14:paraId="3C52F65C">
      <w:pPr>
        <w:pStyle w:val="190"/>
        <w:spacing w:before="0" w:after="0" w:line="560" w:lineRule="exact"/>
        <w:rPr>
          <w:rStyle w:val="197"/>
          <w:rFonts w:ascii="Times New Roman" w:hAnsi="Times New Roman"/>
          <w:b w:val="0"/>
          <w:i w:val="0"/>
        </w:rPr>
      </w:pPr>
      <w:bookmarkStart w:id="118" w:name="_Toc27058"/>
      <w:r>
        <w:rPr>
          <w:rStyle w:val="197"/>
          <w:rFonts w:ascii="Times New Roman" w:hAnsi="Times New Roman"/>
          <w:b w:val="0"/>
          <w:i w:val="0"/>
        </w:rPr>
        <w:t>十三、财政拨款“三公”经费支出决算表</w:t>
      </w:r>
      <w:bookmarkEnd w:id="118"/>
    </w:p>
    <w:p w14:paraId="2DBE857C">
      <w:pPr>
        <w:spacing w:line="540" w:lineRule="exact"/>
      </w:pPr>
    </w:p>
    <w:p w14:paraId="03CC8EA5">
      <w:pPr>
        <w:tabs>
          <w:tab w:val="left" w:pos="970"/>
        </w:tabs>
        <w:spacing w:line="20" w:lineRule="exact"/>
        <w:jc w:val="left"/>
      </w:pPr>
      <w:r>
        <w:tab/>
      </w:r>
    </w:p>
    <w:p w14:paraId="5D23DC21">
      <w:pPr>
        <w:spacing w:line="20" w:lineRule="exact"/>
        <w:jc w:val="left"/>
      </w:pPr>
    </w:p>
    <w:sectPr>
      <w:footerReference r:id="rId5" w:type="default"/>
      <w:pgSz w:w="11906" w:h="16838" w:orient="landscape"/>
      <w:pgMar w:top="1803" w:right="1440" w:bottom="1803" w:left="1440" w:header="851" w:footer="1701"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213A">
    <w:pPr>
      <w:pStyle w:val="20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CE663">
    <w:pPr>
      <w:pStyle w:val="20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D22308D">
                          <w:pPr>
                            <w:pStyle w:val="205"/>
                          </w:pPr>
                          <w:r>
                            <w:fldChar w:fldCharType="begin"/>
                          </w:r>
                          <w:r>
                            <w:instrText xml:space="preserve"> PAGE  \* MERGEFORMAT </w:instrText>
                          </w:r>
                          <w:r>
                            <w:fldChar w:fldCharType="separate"/>
                          </w:r>
                          <w:r>
                            <w:t>11</w:t>
                          </w:r>
                          <w:r>
                            <w:fldChar w:fldCharType="end"/>
                          </w:r>
                        </w:p>
                        <w:p w14:paraId="4E482F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05lAUxgEAAKgDAAAOAAAAAAAAAAEAIAAAAB4BAABkcnMvZTJvRG9jLnht&#10;bFBLBQYAAAAABgAGAFkBAABWBQAAAAA=&#10;">
              <v:fill on="f" focussize="0,0"/>
              <v:stroke on="f"/>
              <v:imagedata o:title=""/>
              <o:lock v:ext="edit" aspectratio="f"/>
              <v:textbox inset="0mm,0mm,0mm,0mm" style="mso-fit-shape-to-text:t;">
                <w:txbxContent>
                  <w:p w14:paraId="7D22308D">
                    <w:pPr>
                      <w:pStyle w:val="205"/>
                    </w:pPr>
                    <w:r>
                      <w:fldChar w:fldCharType="begin"/>
                    </w:r>
                    <w:r>
                      <w:instrText xml:space="preserve"> PAGE  \* MERGEFORMAT </w:instrText>
                    </w:r>
                    <w:r>
                      <w:fldChar w:fldCharType="separate"/>
                    </w:r>
                    <w:r>
                      <w:t>11</w:t>
                    </w:r>
                    <w:r>
                      <w:fldChar w:fldCharType="end"/>
                    </w:r>
                  </w:p>
                  <w:p w14:paraId="4E482FA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24DCA">
    <w:pPr>
      <w:pStyle w:val="206"/>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D36DF"/>
    <w:multiLevelType w:val="multilevel"/>
    <w:tmpl w:val="9A0D36DF"/>
    <w:lvl w:ilvl="0" w:tentative="0">
      <w:start w:val="1"/>
      <w:numFmt w:val="decimal"/>
      <w:pStyle w:val="198"/>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A9BCE6CE"/>
    <w:multiLevelType w:val="multilevel"/>
    <w:tmpl w:val="A9BCE6CE"/>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CD770A2E"/>
    <w:multiLevelType w:val="multilevel"/>
    <w:tmpl w:val="CD770A2E"/>
    <w:lvl w:ilvl="0" w:tentative="0">
      <w:start w:val="9"/>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E03F740E"/>
    <w:multiLevelType w:val="multilevel"/>
    <w:tmpl w:val="E03F740E"/>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4">
    <w:nsid w:val="EF72B36D"/>
    <w:multiLevelType w:val="singleLevel"/>
    <w:tmpl w:val="EF72B36D"/>
    <w:lvl w:ilvl="0" w:tentative="0">
      <w:start w:val="1"/>
      <w:numFmt w:val="decimal"/>
      <w:pStyle w:val="12"/>
      <w:lvlText w:val="%1."/>
      <w:lvlJc w:val="left"/>
      <w:pPr>
        <w:tabs>
          <w:tab w:val="left" w:pos="360"/>
        </w:tabs>
        <w:ind w:left="360" w:hanging="360"/>
      </w:pPr>
    </w:lvl>
  </w:abstractNum>
  <w:abstractNum w:abstractNumId="5">
    <w:nsid w:val="0E9B3723"/>
    <w:multiLevelType w:val="multilevel"/>
    <w:tmpl w:val="0E9B3723"/>
    <w:lvl w:ilvl="0" w:tentative="0">
      <w:start w:val="1"/>
      <w:numFmt w:val="japaneseCounting"/>
      <w:suff w:val="space"/>
      <w:lvlText w:val="%1、"/>
      <w:lvlJc w:val="left"/>
      <w:pPr>
        <w:ind w:left="1360" w:hanging="720"/>
      </w:pPr>
      <w:rPr>
        <w:b w:val="0"/>
      </w:r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mirrorMargin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1E"/>
    <w:rsid w:val="0014637F"/>
    <w:rsid w:val="0016243D"/>
    <w:rsid w:val="0018276F"/>
    <w:rsid w:val="001B1203"/>
    <w:rsid w:val="003838F3"/>
    <w:rsid w:val="004562FB"/>
    <w:rsid w:val="004A5490"/>
    <w:rsid w:val="004B02A9"/>
    <w:rsid w:val="004B3696"/>
    <w:rsid w:val="004E2F3D"/>
    <w:rsid w:val="006C5AE1"/>
    <w:rsid w:val="00813CD9"/>
    <w:rsid w:val="00946699"/>
    <w:rsid w:val="009E2A1E"/>
    <w:rsid w:val="00AD26F5"/>
    <w:rsid w:val="00C2519A"/>
    <w:rsid w:val="00C2793E"/>
    <w:rsid w:val="00CC6E00"/>
    <w:rsid w:val="00D836FC"/>
    <w:rsid w:val="00EA7C6B"/>
    <w:rsid w:val="00F26249"/>
    <w:rsid w:val="00F57C79"/>
    <w:rsid w:val="00F927CC"/>
    <w:rsid w:val="00FF0D88"/>
    <w:rsid w:val="0BC84275"/>
    <w:rsid w:val="0E7B2B5B"/>
    <w:rsid w:val="1202500A"/>
    <w:rsid w:val="120B6FE3"/>
    <w:rsid w:val="154C7543"/>
    <w:rsid w:val="176533C3"/>
    <w:rsid w:val="19D6789C"/>
    <w:rsid w:val="1CAE4DE3"/>
    <w:rsid w:val="22540BBC"/>
    <w:rsid w:val="23053632"/>
    <w:rsid w:val="231D1E4A"/>
    <w:rsid w:val="247206EF"/>
    <w:rsid w:val="25732771"/>
    <w:rsid w:val="257C4A29"/>
    <w:rsid w:val="2AD74767"/>
    <w:rsid w:val="37DB2788"/>
    <w:rsid w:val="422F00CF"/>
    <w:rsid w:val="44A610DF"/>
    <w:rsid w:val="4660751E"/>
    <w:rsid w:val="47110470"/>
    <w:rsid w:val="476E35CC"/>
    <w:rsid w:val="5D705170"/>
    <w:rsid w:val="635A584C"/>
    <w:rsid w:val="640046FE"/>
    <w:rsid w:val="72E61788"/>
    <w:rsid w:val="75C71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sz w:val="32"/>
      <w:szCs w:val="24"/>
      <w:lang w:val="en-US" w:eastAsia="zh-CN" w:bidi="ar-SA"/>
    </w:rPr>
  </w:style>
  <w:style w:type="paragraph" w:styleId="2">
    <w:name w:val="heading 1"/>
    <w:basedOn w:val="1"/>
    <w:next w:val="1"/>
    <w:link w:val="41"/>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42"/>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3"/>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4"/>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5"/>
    <w:unhideWhenUsed/>
    <w:qFormat/>
    <w:uiPriority w:val="9"/>
    <w:pPr>
      <w:keepNext/>
      <w:keepLines/>
      <w:spacing w:before="320" w:after="200"/>
      <w:outlineLvl w:val="4"/>
    </w:pPr>
    <w:rPr>
      <w:rFonts w:ascii="等线" w:hAnsi="等线" w:eastAsia="等线" w:cs="等线"/>
      <w:b/>
      <w:bCs/>
      <w:sz w:val="24"/>
    </w:rPr>
  </w:style>
  <w:style w:type="paragraph" w:styleId="7">
    <w:name w:val="heading 6"/>
    <w:basedOn w:val="1"/>
    <w:next w:val="1"/>
    <w:link w:val="46"/>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7"/>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8"/>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9"/>
    <w:unhideWhenUsed/>
    <w:qFormat/>
    <w:uiPriority w:val="9"/>
    <w:pPr>
      <w:keepNext/>
      <w:keepLines/>
      <w:spacing w:before="320" w:after="200"/>
      <w:outlineLvl w:val="8"/>
    </w:pPr>
    <w:rPr>
      <w:rFonts w:ascii="等线" w:hAnsi="等线" w:eastAsia="等线" w:cs="等线"/>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List Number"/>
    <w:basedOn w:val="1"/>
    <w:semiHidden/>
    <w:unhideWhenUsed/>
    <w:qFormat/>
    <w:uiPriority w:val="99"/>
    <w:pPr>
      <w:numPr>
        <w:ilvl w:val="0"/>
        <w:numId w:val="1"/>
      </w:numPr>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w:basedOn w:val="1"/>
    <w:link w:val="227"/>
    <w:unhideWhenUsed/>
    <w:qFormat/>
    <w:uiPriority w:val="99"/>
    <w:pPr>
      <w:spacing w:after="120"/>
    </w:pPr>
  </w:style>
  <w:style w:type="paragraph" w:styleId="15">
    <w:name w:val="Body Text Indent"/>
    <w:basedOn w:val="1"/>
    <w:next w:val="16"/>
    <w:qFormat/>
    <w:uiPriority w:val="0"/>
    <w:pPr>
      <w:spacing w:after="120"/>
      <w:ind w:left="200" w:leftChars="200"/>
    </w:pPr>
    <w:rPr>
      <w:rFonts w:ascii="仿宋_GB2312"/>
      <w:szCs w:val="32"/>
    </w:rPr>
  </w:style>
  <w:style w:type="paragraph" w:styleId="16">
    <w:name w:val="Body Text First Indent 2"/>
    <w:basedOn w:val="15"/>
    <w:unhideWhenUsed/>
    <w:qFormat/>
    <w:uiPriority w:val="99"/>
    <w:pPr>
      <w:ind w:firstLine="420" w:firstLineChars="200"/>
    </w:p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Plain Text"/>
    <w:basedOn w:val="1"/>
    <w:next w:val="17"/>
    <w:link w:val="228"/>
    <w:qFormat/>
    <w:uiPriority w:val="99"/>
    <w:rPr>
      <w:rFonts w:ascii="宋体" w:hAnsi="Courier New"/>
      <w:sz w:val="20"/>
      <w:szCs w:val="21"/>
    </w:rPr>
  </w:style>
  <w:style w:type="paragraph" w:styleId="20">
    <w:name w:val="toc 8"/>
    <w:basedOn w:val="1"/>
    <w:next w:val="1"/>
    <w:unhideWhenUsed/>
    <w:qFormat/>
    <w:uiPriority w:val="39"/>
    <w:pPr>
      <w:spacing w:after="57"/>
      <w:ind w:left="1984"/>
    </w:pPr>
  </w:style>
  <w:style w:type="paragraph" w:styleId="21">
    <w:name w:val="endnote text"/>
    <w:basedOn w:val="1"/>
    <w:link w:val="187"/>
    <w:semiHidden/>
    <w:unhideWhenUsed/>
    <w:qFormat/>
    <w:uiPriority w:val="99"/>
    <w:rPr>
      <w:sz w:val="20"/>
    </w:rPr>
  </w:style>
  <w:style w:type="paragraph" w:styleId="22">
    <w:name w:val="Balloon Text"/>
    <w:basedOn w:val="1"/>
    <w:link w:val="226"/>
    <w:semiHidden/>
    <w:unhideWhenUsed/>
    <w:qFormat/>
    <w:uiPriority w:val="99"/>
    <w:rPr>
      <w:sz w:val="18"/>
      <w:szCs w:val="18"/>
    </w:rPr>
  </w:style>
  <w:style w:type="paragraph" w:styleId="23">
    <w:name w:val="footer"/>
    <w:basedOn w:val="1"/>
    <w:next w:val="1"/>
    <w:link w:val="60"/>
    <w:unhideWhenUsed/>
    <w:qFormat/>
    <w:uiPriority w:val="99"/>
    <w:pPr>
      <w:tabs>
        <w:tab w:val="center" w:pos="7143"/>
        <w:tab w:val="right" w:pos="14287"/>
      </w:tabs>
    </w:pPr>
  </w:style>
  <w:style w:type="paragraph" w:styleId="24">
    <w:name w:val="header"/>
    <w:basedOn w:val="1"/>
    <w:link w:val="58"/>
    <w:unhideWhenUsed/>
    <w:qFormat/>
    <w:uiPriority w:val="99"/>
    <w:pPr>
      <w:tabs>
        <w:tab w:val="center" w:pos="7143"/>
        <w:tab w:val="right" w:pos="14287"/>
      </w:tabs>
    </w:pPr>
  </w:style>
  <w:style w:type="paragraph" w:styleId="25">
    <w:name w:val="toc 1"/>
    <w:basedOn w:val="1"/>
    <w:next w:val="1"/>
    <w:unhideWhenUsed/>
    <w:qFormat/>
    <w:uiPriority w:val="39"/>
    <w:pPr>
      <w:spacing w:after="57"/>
    </w:pPr>
  </w:style>
  <w:style w:type="paragraph" w:styleId="26">
    <w:name w:val="toc 4"/>
    <w:basedOn w:val="1"/>
    <w:next w:val="1"/>
    <w:unhideWhenUsed/>
    <w:qFormat/>
    <w:uiPriority w:val="39"/>
    <w:pPr>
      <w:spacing w:after="57"/>
      <w:ind w:left="850"/>
    </w:pPr>
  </w:style>
  <w:style w:type="paragraph" w:styleId="27">
    <w:name w:val="Subtitle"/>
    <w:basedOn w:val="1"/>
    <w:next w:val="1"/>
    <w:link w:val="53"/>
    <w:qFormat/>
    <w:uiPriority w:val="11"/>
    <w:pPr>
      <w:spacing w:before="200" w:after="200"/>
    </w:pPr>
    <w:rPr>
      <w:sz w:val="24"/>
    </w:rPr>
  </w:style>
  <w:style w:type="paragraph" w:styleId="28">
    <w:name w:val="footnote text"/>
    <w:basedOn w:val="1"/>
    <w:next w:val="16"/>
    <w:link w:val="186"/>
    <w:unhideWhenUsed/>
    <w:qFormat/>
    <w:uiPriority w:val="99"/>
    <w:pPr>
      <w:spacing w:after="40"/>
    </w:pPr>
    <w:rPr>
      <w:sz w:val="18"/>
    </w:rPr>
  </w:style>
  <w:style w:type="paragraph" w:styleId="29">
    <w:name w:val="toc 6"/>
    <w:basedOn w:val="1"/>
    <w:next w:val="1"/>
    <w:unhideWhenUsed/>
    <w:qFormat/>
    <w:uiPriority w:val="39"/>
    <w:pPr>
      <w:spacing w:after="57"/>
      <w:ind w:left="1417"/>
    </w:pPr>
  </w:style>
  <w:style w:type="paragraph" w:styleId="30">
    <w:name w:val="table of figures"/>
    <w:basedOn w:val="1"/>
    <w:next w:val="1"/>
    <w:unhideWhenUsed/>
    <w:qFormat/>
    <w:uiPriority w:val="99"/>
  </w:style>
  <w:style w:type="paragraph" w:styleId="31">
    <w:name w:val="toc 2"/>
    <w:basedOn w:val="1"/>
    <w:next w:val="1"/>
    <w:unhideWhenUsed/>
    <w:qFormat/>
    <w:uiPriority w:val="39"/>
    <w:pPr>
      <w:spacing w:after="57"/>
      <w:ind w:left="283"/>
    </w:pPr>
  </w:style>
  <w:style w:type="paragraph" w:styleId="32">
    <w:name w:val="toc 9"/>
    <w:basedOn w:val="1"/>
    <w:next w:val="1"/>
    <w:unhideWhenUsed/>
    <w:qFormat/>
    <w:uiPriority w:val="39"/>
    <w:pPr>
      <w:spacing w:after="57"/>
      <w:ind w:left="2268"/>
    </w:pPr>
  </w:style>
  <w:style w:type="paragraph" w:styleId="33">
    <w:name w:val="Title"/>
    <w:basedOn w:val="1"/>
    <w:next w:val="1"/>
    <w:link w:val="52"/>
    <w:qFormat/>
    <w:uiPriority w:val="10"/>
    <w:pPr>
      <w:spacing w:before="300" w:after="200"/>
      <w:contextualSpacing/>
    </w:pPr>
    <w:rPr>
      <w:sz w:val="48"/>
      <w:szCs w:val="48"/>
    </w:rPr>
  </w:style>
  <w:style w:type="table" w:styleId="3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endnote reference"/>
    <w:semiHidden/>
    <w:unhideWhenUsed/>
    <w:qFormat/>
    <w:uiPriority w:val="99"/>
    <w:rPr>
      <w:vertAlign w:val="superscript"/>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footnote reference"/>
    <w:unhideWhenUsed/>
    <w:qFormat/>
    <w:uiPriority w:val="99"/>
    <w:rPr>
      <w:vertAlign w:val="superscript"/>
    </w:rPr>
  </w:style>
  <w:style w:type="character" w:customStyle="1" w:styleId="41">
    <w:name w:val="标题 1 Char"/>
    <w:link w:val="2"/>
    <w:qFormat/>
    <w:uiPriority w:val="9"/>
    <w:rPr>
      <w:rFonts w:ascii="等线" w:hAnsi="等线" w:eastAsia="等线" w:cs="等线"/>
      <w:sz w:val="40"/>
      <w:szCs w:val="40"/>
    </w:rPr>
  </w:style>
  <w:style w:type="character" w:customStyle="1" w:styleId="42">
    <w:name w:val="标题 2 Char"/>
    <w:link w:val="3"/>
    <w:qFormat/>
    <w:uiPriority w:val="9"/>
    <w:rPr>
      <w:rFonts w:ascii="等线" w:hAnsi="等线" w:eastAsia="等线" w:cs="等线"/>
      <w:sz w:val="34"/>
    </w:rPr>
  </w:style>
  <w:style w:type="character" w:customStyle="1" w:styleId="43">
    <w:name w:val="标题 3 Char"/>
    <w:link w:val="4"/>
    <w:qFormat/>
    <w:uiPriority w:val="9"/>
    <w:rPr>
      <w:rFonts w:ascii="等线" w:hAnsi="等线" w:eastAsia="等线" w:cs="等线"/>
      <w:sz w:val="30"/>
      <w:szCs w:val="30"/>
    </w:rPr>
  </w:style>
  <w:style w:type="character" w:customStyle="1" w:styleId="44">
    <w:name w:val="标题 4 Char"/>
    <w:link w:val="5"/>
    <w:qFormat/>
    <w:uiPriority w:val="9"/>
    <w:rPr>
      <w:rFonts w:ascii="等线" w:hAnsi="等线" w:eastAsia="等线" w:cs="等线"/>
      <w:b/>
      <w:bCs/>
      <w:sz w:val="26"/>
      <w:szCs w:val="26"/>
    </w:rPr>
  </w:style>
  <w:style w:type="character" w:customStyle="1" w:styleId="45">
    <w:name w:val="标题 5 Char"/>
    <w:link w:val="6"/>
    <w:qFormat/>
    <w:uiPriority w:val="9"/>
    <w:rPr>
      <w:rFonts w:ascii="等线" w:hAnsi="等线" w:eastAsia="等线" w:cs="等线"/>
      <w:b/>
      <w:bCs/>
      <w:sz w:val="24"/>
      <w:szCs w:val="24"/>
    </w:rPr>
  </w:style>
  <w:style w:type="character" w:customStyle="1" w:styleId="46">
    <w:name w:val="标题 6 Char"/>
    <w:link w:val="7"/>
    <w:qFormat/>
    <w:uiPriority w:val="9"/>
    <w:rPr>
      <w:rFonts w:ascii="等线" w:hAnsi="等线" w:eastAsia="等线" w:cs="等线"/>
      <w:b/>
      <w:bCs/>
      <w:sz w:val="22"/>
      <w:szCs w:val="22"/>
    </w:rPr>
  </w:style>
  <w:style w:type="character" w:customStyle="1" w:styleId="47">
    <w:name w:val="标题 7 Char"/>
    <w:link w:val="8"/>
    <w:qFormat/>
    <w:uiPriority w:val="9"/>
    <w:rPr>
      <w:rFonts w:ascii="等线" w:hAnsi="等线" w:eastAsia="等线" w:cs="等线"/>
      <w:b/>
      <w:bCs/>
      <w:i/>
      <w:iCs/>
      <w:sz w:val="22"/>
      <w:szCs w:val="22"/>
    </w:rPr>
  </w:style>
  <w:style w:type="character" w:customStyle="1" w:styleId="48">
    <w:name w:val="标题 8 Char"/>
    <w:link w:val="9"/>
    <w:qFormat/>
    <w:uiPriority w:val="9"/>
    <w:rPr>
      <w:rFonts w:ascii="等线" w:hAnsi="等线" w:eastAsia="等线" w:cs="等线"/>
      <w:i/>
      <w:iCs/>
      <w:sz w:val="22"/>
      <w:szCs w:val="22"/>
    </w:rPr>
  </w:style>
  <w:style w:type="character" w:customStyle="1" w:styleId="49">
    <w:name w:val="标题 9 Char"/>
    <w:link w:val="10"/>
    <w:qFormat/>
    <w:uiPriority w:val="9"/>
    <w:rPr>
      <w:rFonts w:ascii="等线" w:hAnsi="等线" w:eastAsia="等线" w:cs="等线"/>
      <w:i/>
      <w:iCs/>
      <w:sz w:val="21"/>
      <w:szCs w:val="21"/>
    </w:rPr>
  </w:style>
  <w:style w:type="paragraph" w:styleId="50">
    <w:name w:val="List Paragraph"/>
    <w:basedOn w:val="1"/>
    <w:qFormat/>
    <w:uiPriority w:val="34"/>
    <w:pPr>
      <w:ind w:left="720"/>
      <w:contextualSpacing/>
    </w:pPr>
  </w:style>
  <w:style w:type="paragraph" w:styleId="51">
    <w:name w:val="No Spacing"/>
    <w:qFormat/>
    <w:uiPriority w:val="1"/>
    <w:rPr>
      <w:rFonts w:ascii="Calibri" w:hAnsi="Calibri" w:eastAsia="宋体" w:cs="Times New Roman"/>
      <w:lang w:val="en-US" w:eastAsia="zh-CN" w:bidi="ar-SA"/>
    </w:rPr>
  </w:style>
  <w:style w:type="character" w:customStyle="1" w:styleId="52">
    <w:name w:val="标题 Char"/>
    <w:link w:val="33"/>
    <w:qFormat/>
    <w:uiPriority w:val="10"/>
    <w:rPr>
      <w:sz w:val="48"/>
      <w:szCs w:val="48"/>
    </w:rPr>
  </w:style>
  <w:style w:type="character" w:customStyle="1" w:styleId="53">
    <w:name w:val="副标题 Char"/>
    <w:link w:val="27"/>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引用 Char"/>
    <w:link w:val="54"/>
    <w:qFormat/>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7">
    <w:name w:val="明显引用 Char"/>
    <w:link w:val="56"/>
    <w:qFormat/>
    <w:uiPriority w:val="30"/>
    <w:rPr>
      <w:i/>
    </w:rPr>
  </w:style>
  <w:style w:type="character" w:customStyle="1" w:styleId="58">
    <w:name w:val="页眉 Char"/>
    <w:link w:val="24"/>
    <w:qFormat/>
    <w:uiPriority w:val="99"/>
  </w:style>
  <w:style w:type="character" w:customStyle="1" w:styleId="59">
    <w:name w:val="Footer Char"/>
    <w:qFormat/>
    <w:uiPriority w:val="99"/>
  </w:style>
  <w:style w:type="character" w:customStyle="1" w:styleId="60">
    <w:name w:val="页脚 Char"/>
    <w:link w:val="23"/>
    <w:qFormat/>
    <w:uiPriority w:val="99"/>
  </w:style>
  <w:style w:type="table" w:customStyle="1" w:styleId="61">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2">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3">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4">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8">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9">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0">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1">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2">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3">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4">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0">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6">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7">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8">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9">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0">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1">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2">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6">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9">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3">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6">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7">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8">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9">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0">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1">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2">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3">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4">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5">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6">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7">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8">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9">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0">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1">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2">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3">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4">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5">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6">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7">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5">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6">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7">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8">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9">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0">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1">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2">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9">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0">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1">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2">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3">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4">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5">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6">
    <w:name w:val="脚注文本 Char"/>
    <w:link w:val="28"/>
    <w:qFormat/>
    <w:uiPriority w:val="99"/>
    <w:rPr>
      <w:sz w:val="18"/>
    </w:rPr>
  </w:style>
  <w:style w:type="character" w:customStyle="1" w:styleId="187">
    <w:name w:val="尾注文本 Char"/>
    <w:link w:val="21"/>
    <w:qFormat/>
    <w:uiPriority w:val="99"/>
    <w:rPr>
      <w:sz w:val="20"/>
    </w:rPr>
  </w:style>
  <w:style w:type="paragraph" w:customStyle="1" w:styleId="188">
    <w:name w:val="TOC 标题1"/>
    <w:unhideWhenUsed/>
    <w:qFormat/>
    <w:uiPriority w:val="39"/>
    <w:rPr>
      <w:rFonts w:ascii="Calibri" w:hAnsi="Calibri" w:eastAsia="宋体" w:cs="Times New Roman"/>
      <w:lang w:val="en-US" w:eastAsia="zh-CN" w:bidi="ar-SA"/>
    </w:rPr>
  </w:style>
  <w:style w:type="paragraph" w:customStyle="1" w:styleId="189">
    <w:name w:val="标题 11"/>
    <w:basedOn w:val="1"/>
    <w:next w:val="1"/>
    <w:link w:val="196"/>
    <w:qFormat/>
    <w:uiPriority w:val="0"/>
    <w:pPr>
      <w:keepNext/>
      <w:keepLines/>
      <w:spacing w:before="340" w:after="330" w:line="578" w:lineRule="auto"/>
      <w:outlineLvl w:val="0"/>
    </w:pPr>
    <w:rPr>
      <w:b/>
      <w:bCs/>
      <w:sz w:val="44"/>
      <w:szCs w:val="44"/>
    </w:rPr>
  </w:style>
  <w:style w:type="paragraph" w:customStyle="1" w:styleId="190">
    <w:name w:val="标题 21"/>
    <w:basedOn w:val="1"/>
    <w:next w:val="1"/>
    <w:link w:val="197"/>
    <w:qFormat/>
    <w:uiPriority w:val="0"/>
    <w:pPr>
      <w:keepNext/>
      <w:spacing w:before="240" w:after="60"/>
      <w:outlineLvl w:val="1"/>
    </w:pPr>
    <w:rPr>
      <w:rFonts w:ascii="Arial" w:hAnsi="Arial"/>
      <w:b/>
      <w:i/>
    </w:rPr>
  </w:style>
  <w:style w:type="character" w:customStyle="1" w:styleId="191">
    <w:name w:val="默认段落字体1"/>
    <w:semiHidden/>
    <w:qFormat/>
    <w:uiPriority w:val="0"/>
  </w:style>
  <w:style w:type="table" w:customStyle="1" w:styleId="192">
    <w:name w:val="普通表格1"/>
    <w:semiHidden/>
    <w:qFormat/>
    <w:uiPriority w:val="0"/>
    <w:tblPr>
      <w:tblCellMar>
        <w:top w:w="0" w:type="dxa"/>
        <w:left w:w="0" w:type="dxa"/>
        <w:bottom w:w="0" w:type="dxa"/>
        <w:right w:w="0" w:type="dxa"/>
      </w:tblCellMar>
    </w:tblPr>
  </w:style>
  <w:style w:type="paragraph" w:customStyle="1" w:styleId="193">
    <w:name w:val="脚注文本1"/>
    <w:basedOn w:val="1"/>
    <w:next w:val="194"/>
    <w:semiHidden/>
    <w:qFormat/>
    <w:uiPriority w:val="0"/>
    <w:pPr>
      <w:jc w:val="left"/>
    </w:pPr>
    <w:rPr>
      <w:sz w:val="18"/>
      <w:szCs w:val="18"/>
    </w:rPr>
  </w:style>
  <w:style w:type="paragraph" w:customStyle="1" w:styleId="194">
    <w:name w:val="正文首行缩进 21"/>
    <w:basedOn w:val="195"/>
    <w:unhideWhenUsed/>
    <w:qFormat/>
    <w:uiPriority w:val="99"/>
    <w:pPr>
      <w:ind w:firstLine="420"/>
    </w:pPr>
  </w:style>
  <w:style w:type="paragraph" w:customStyle="1" w:styleId="195">
    <w:name w:val="正文文本缩进1"/>
    <w:basedOn w:val="1"/>
    <w:next w:val="194"/>
    <w:qFormat/>
    <w:uiPriority w:val="0"/>
    <w:pPr>
      <w:spacing w:after="120"/>
    </w:pPr>
    <w:rPr>
      <w:rFonts w:ascii="仿宋_GB2312"/>
      <w:szCs w:val="32"/>
    </w:rPr>
  </w:style>
  <w:style w:type="character" w:customStyle="1" w:styleId="196">
    <w:name w:val="标题 1 字符"/>
    <w:link w:val="189"/>
    <w:qFormat/>
    <w:uiPriority w:val="9"/>
    <w:rPr>
      <w:b/>
      <w:bCs/>
      <w:sz w:val="44"/>
      <w:szCs w:val="44"/>
    </w:rPr>
  </w:style>
  <w:style w:type="character" w:customStyle="1" w:styleId="197">
    <w:name w:val="标题 2 字符"/>
    <w:link w:val="190"/>
    <w:qFormat/>
    <w:uiPriority w:val="9"/>
    <w:rPr>
      <w:rFonts w:ascii="Arial" w:hAnsi="Arial"/>
      <w:b/>
      <w:i/>
    </w:rPr>
  </w:style>
  <w:style w:type="paragraph" w:customStyle="1" w:styleId="198">
    <w:name w:val="列表编号1"/>
    <w:basedOn w:val="1"/>
    <w:qFormat/>
    <w:uiPriority w:val="0"/>
    <w:pPr>
      <w:numPr>
        <w:ilvl w:val="0"/>
        <w:numId w:val="2"/>
      </w:numPr>
    </w:pPr>
  </w:style>
  <w:style w:type="paragraph" w:customStyle="1" w:styleId="199">
    <w:name w:val="批注文字1"/>
    <w:basedOn w:val="1"/>
    <w:link w:val="200"/>
    <w:qFormat/>
    <w:uiPriority w:val="0"/>
    <w:pPr>
      <w:jc w:val="left"/>
    </w:pPr>
  </w:style>
  <w:style w:type="character" w:customStyle="1" w:styleId="200">
    <w:name w:val="批注文字 字符"/>
    <w:link w:val="199"/>
    <w:qFormat/>
    <w:uiPriority w:val="0"/>
    <w:rPr>
      <w:rFonts w:eastAsia="仿宋_GB2312"/>
      <w:sz w:val="32"/>
      <w:szCs w:val="24"/>
    </w:rPr>
  </w:style>
  <w:style w:type="paragraph" w:customStyle="1" w:styleId="201">
    <w:name w:val="正文文本1"/>
    <w:basedOn w:val="1"/>
    <w:qFormat/>
    <w:uiPriority w:val="0"/>
    <w:pPr>
      <w:spacing w:before="93"/>
    </w:pPr>
    <w:rPr>
      <w:rFonts w:ascii="仿宋_GB2312"/>
      <w:sz w:val="30"/>
    </w:rPr>
  </w:style>
  <w:style w:type="paragraph" w:customStyle="1" w:styleId="202">
    <w:name w:val="日期1"/>
    <w:basedOn w:val="1"/>
    <w:next w:val="1"/>
    <w:qFormat/>
    <w:uiPriority w:val="0"/>
    <w:pPr>
      <w:ind w:left="100"/>
    </w:pPr>
  </w:style>
  <w:style w:type="paragraph" w:customStyle="1" w:styleId="203">
    <w:name w:val="正文文本缩进 21"/>
    <w:basedOn w:val="1"/>
    <w:qFormat/>
    <w:uiPriority w:val="0"/>
    <w:pPr>
      <w:spacing w:line="360" w:lineRule="auto"/>
      <w:ind w:firstLine="630"/>
    </w:pPr>
    <w:rPr>
      <w:rFonts w:ascii="楷体_GB2312" w:eastAsia="楷体_GB2312"/>
      <w:sz w:val="30"/>
    </w:rPr>
  </w:style>
  <w:style w:type="paragraph" w:customStyle="1" w:styleId="204">
    <w:name w:val="批注框文本1"/>
    <w:basedOn w:val="1"/>
    <w:semiHidden/>
    <w:qFormat/>
    <w:uiPriority w:val="0"/>
    <w:rPr>
      <w:sz w:val="18"/>
      <w:szCs w:val="18"/>
    </w:rPr>
  </w:style>
  <w:style w:type="paragraph" w:customStyle="1" w:styleId="205">
    <w:name w:val="页脚1"/>
    <w:basedOn w:val="1"/>
    <w:qFormat/>
    <w:uiPriority w:val="0"/>
    <w:pPr>
      <w:tabs>
        <w:tab w:val="center" w:pos="4153"/>
        <w:tab w:val="right" w:pos="8306"/>
      </w:tabs>
      <w:jc w:val="left"/>
    </w:pPr>
    <w:rPr>
      <w:sz w:val="18"/>
      <w:szCs w:val="18"/>
    </w:rPr>
  </w:style>
  <w:style w:type="paragraph" w:customStyle="1" w:styleId="206">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07">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8">
    <w:name w:val="目录 21"/>
    <w:basedOn w:val="1"/>
    <w:next w:val="1"/>
    <w:unhideWhenUsed/>
    <w:qFormat/>
    <w:uiPriority w:val="39"/>
    <w:pPr>
      <w:tabs>
        <w:tab w:val="right" w:leader="dot" w:pos="8296"/>
      </w:tabs>
      <w:ind w:left="420"/>
    </w:pPr>
  </w:style>
  <w:style w:type="paragraph" w:customStyle="1" w:styleId="209">
    <w:name w:val="批注主题1"/>
    <w:basedOn w:val="199"/>
    <w:next w:val="199"/>
    <w:link w:val="210"/>
    <w:qFormat/>
    <w:uiPriority w:val="0"/>
    <w:rPr>
      <w:b/>
      <w:bCs/>
    </w:rPr>
  </w:style>
  <w:style w:type="character" w:customStyle="1" w:styleId="210">
    <w:name w:val="批注主题 字符"/>
    <w:link w:val="209"/>
    <w:qFormat/>
    <w:uiPriority w:val="0"/>
    <w:rPr>
      <w:rFonts w:eastAsia="仿宋_GB2312"/>
      <w:b/>
      <w:bCs/>
      <w:sz w:val="32"/>
      <w:szCs w:val="24"/>
    </w:rPr>
  </w:style>
  <w:style w:type="table" w:customStyle="1" w:styleId="211">
    <w:name w:val="网格型1"/>
    <w:basedOn w:val="192"/>
    <w:qFormat/>
    <w:uiPriority w:val="0"/>
    <w:pPr>
      <w:widowControl w:val="0"/>
      <w:jc w:val="both"/>
    </w:pPr>
    <w:tblPr>
      <w:tblCellMar>
        <w:top w:w="0" w:type="dxa"/>
        <w:left w:w="0" w:type="dxa"/>
        <w:bottom w:w="0" w:type="dxa"/>
        <w:right w:w="0" w:type="dxa"/>
      </w:tblCellMar>
    </w:tblPr>
  </w:style>
  <w:style w:type="character" w:customStyle="1" w:styleId="212">
    <w:name w:val="要点1"/>
    <w:qFormat/>
    <w:uiPriority w:val="0"/>
    <w:rPr>
      <w:b/>
      <w:bCs/>
    </w:rPr>
  </w:style>
  <w:style w:type="character" w:customStyle="1" w:styleId="213">
    <w:name w:val="页码1"/>
    <w:qFormat/>
    <w:uiPriority w:val="0"/>
  </w:style>
  <w:style w:type="character" w:customStyle="1" w:styleId="214">
    <w:name w:val="超链接1"/>
    <w:unhideWhenUsed/>
    <w:qFormat/>
    <w:uiPriority w:val="99"/>
    <w:rPr>
      <w:color w:val="0000FF"/>
      <w:u w:val="single"/>
    </w:rPr>
  </w:style>
  <w:style w:type="character" w:customStyle="1" w:styleId="215">
    <w:name w:val="批注引用1"/>
    <w:qFormat/>
    <w:uiPriority w:val="0"/>
    <w:rPr>
      <w:sz w:val="21"/>
      <w:szCs w:val="21"/>
    </w:rPr>
  </w:style>
  <w:style w:type="paragraph" w:customStyle="1" w:styleId="216">
    <w:name w:val="章标题"/>
    <w:basedOn w:val="1"/>
    <w:next w:val="217"/>
    <w:qFormat/>
    <w:uiPriority w:val="0"/>
    <w:pPr>
      <w:widowControl/>
      <w:spacing w:before="158" w:after="153" w:line="323" w:lineRule="atLeast"/>
      <w:ind w:right="-120"/>
      <w:jc w:val="center"/>
    </w:pPr>
    <w:rPr>
      <w:color w:val="FF0000"/>
      <w:sz w:val="18"/>
      <w:szCs w:val="18"/>
    </w:rPr>
  </w:style>
  <w:style w:type="paragraph" w:customStyle="1" w:styleId="217">
    <w:name w:val="节标题"/>
    <w:basedOn w:val="1"/>
    <w:next w:val="1"/>
    <w:qFormat/>
    <w:uiPriority w:val="0"/>
    <w:pPr>
      <w:widowControl/>
      <w:spacing w:line="289" w:lineRule="atLeast"/>
      <w:jc w:val="center"/>
    </w:pPr>
    <w:rPr>
      <w:color w:val="000000"/>
      <w:sz w:val="28"/>
      <w:szCs w:val="28"/>
    </w:rPr>
  </w:style>
  <w:style w:type="paragraph" w:customStyle="1" w:styleId="218">
    <w:name w:val="Char Char3 Char Char Char Char Char Char Char Char"/>
    <w:basedOn w:val="1"/>
    <w:next w:val="1"/>
    <w:qFormat/>
    <w:uiPriority w:val="0"/>
    <w:pPr>
      <w:spacing w:line="240" w:lineRule="atLeast"/>
      <w:ind w:left="420" w:firstLine="420"/>
      <w:jc w:val="left"/>
    </w:pPr>
    <w:rPr>
      <w:rFonts w:eastAsia="宋体"/>
      <w:sz w:val="21"/>
      <w:szCs w:val="21"/>
    </w:rPr>
  </w:style>
  <w:style w:type="paragraph" w:customStyle="1" w:styleId="219">
    <w:name w:val="列表段落"/>
    <w:basedOn w:val="1"/>
    <w:qFormat/>
    <w:uiPriority w:val="34"/>
    <w:pPr>
      <w:ind w:firstLine="420"/>
    </w:pPr>
  </w:style>
  <w:style w:type="paragraph" w:customStyle="1" w:styleId="220">
    <w:name w:val="Default"/>
    <w:qFormat/>
    <w:uiPriority w:val="0"/>
    <w:pPr>
      <w:widowControl w:val="0"/>
    </w:pPr>
    <w:rPr>
      <w:rFonts w:ascii="仿宋" w:hAnsi="Calibri" w:eastAsia="仿宋" w:cs="仿宋"/>
      <w:color w:val="000000"/>
      <w:sz w:val="24"/>
      <w:szCs w:val="24"/>
      <w:lang w:val="en-US" w:eastAsia="zh-CN" w:bidi="ar-SA"/>
    </w:rPr>
  </w:style>
  <w:style w:type="paragraph" w:customStyle="1" w:styleId="221">
    <w:name w:val="四号正文"/>
    <w:basedOn w:val="1"/>
    <w:qFormat/>
    <w:uiPriority w:val="0"/>
    <w:pPr>
      <w:spacing w:line="360" w:lineRule="auto"/>
    </w:pPr>
    <w:rPr>
      <w:rFonts w:ascii="??" w:hAnsi="??" w:eastAsia="宋体"/>
      <w:color w:val="000000"/>
      <w:sz w:val="28"/>
      <w:szCs w:val="21"/>
      <w:lang w:val="zh-CN"/>
    </w:rPr>
  </w:style>
  <w:style w:type="paragraph" w:customStyle="1" w:styleId="222">
    <w:name w:val="修订1"/>
    <w:unhideWhenUsed/>
    <w:qFormat/>
    <w:uiPriority w:val="99"/>
    <w:rPr>
      <w:rFonts w:ascii="Calibri" w:hAnsi="Calibri" w:eastAsia="仿宋_GB2312" w:cs="Times New Roman"/>
      <w:sz w:val="32"/>
      <w:szCs w:val="24"/>
      <w:lang w:val="en-US" w:eastAsia="zh-CN" w:bidi="ar-SA"/>
    </w:rPr>
  </w:style>
  <w:style w:type="paragraph" w:customStyle="1" w:styleId="223">
    <w:name w:val="WPSOffice手动目录 1"/>
    <w:qFormat/>
    <w:uiPriority w:val="0"/>
    <w:rPr>
      <w:rFonts w:asciiTheme="minorHAnsi" w:hAnsiTheme="minorHAnsi" w:eastAsiaTheme="minorEastAsia" w:cstheme="minorBidi"/>
      <w:lang w:val="en-US" w:eastAsia="zh-CN" w:bidi="ar-SA"/>
    </w:rPr>
  </w:style>
  <w:style w:type="paragraph" w:customStyle="1" w:styleId="22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25">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26">
    <w:name w:val="批注框文本 Char"/>
    <w:basedOn w:val="36"/>
    <w:link w:val="22"/>
    <w:semiHidden/>
    <w:qFormat/>
    <w:uiPriority w:val="99"/>
    <w:rPr>
      <w:rFonts w:ascii="Calibri" w:hAnsi="Calibri" w:eastAsia="仿宋_GB2312" w:cs="Times New Roman"/>
      <w:sz w:val="18"/>
      <w:szCs w:val="18"/>
    </w:rPr>
  </w:style>
  <w:style w:type="character" w:customStyle="1" w:styleId="227">
    <w:name w:val="正文文本 Char"/>
    <w:basedOn w:val="36"/>
    <w:link w:val="14"/>
    <w:qFormat/>
    <w:uiPriority w:val="99"/>
    <w:rPr>
      <w:rFonts w:ascii="Calibri" w:hAnsi="Calibri" w:eastAsia="仿宋_GB2312" w:cs="Times New Roman"/>
      <w:sz w:val="32"/>
      <w:szCs w:val="24"/>
    </w:rPr>
  </w:style>
  <w:style w:type="character" w:customStyle="1" w:styleId="228">
    <w:name w:val="纯文本 Char"/>
    <w:basedOn w:val="36"/>
    <w:link w:val="19"/>
    <w:qFormat/>
    <w:uiPriority w:val="99"/>
    <w:rPr>
      <w:rFonts w:ascii="宋体" w:hAnsi="Courier New" w:eastAsia="仿宋_GB2312" w:cs="Times New Roman"/>
      <w:szCs w:val="21"/>
    </w:rPr>
  </w:style>
  <w:style w:type="character" w:customStyle="1" w:styleId="229">
    <w:name w:val="NormalCharacter"/>
    <w:qFormat/>
    <w:uiPriority w:val="0"/>
  </w:style>
  <w:style w:type="character" w:customStyle="1" w:styleId="230">
    <w:name w:val="font01"/>
    <w:basedOn w:val="36"/>
    <w:qFormat/>
    <w:uiPriority w:val="0"/>
    <w:rPr>
      <w:rFonts w:hint="eastAsia" w:ascii="宋体" w:hAnsi="宋体" w:eastAsia="宋体" w:cs="宋体"/>
      <w:color w:val="000000"/>
      <w:sz w:val="22"/>
      <w:szCs w:val="22"/>
      <w:u w:val="none"/>
    </w:rPr>
  </w:style>
  <w:style w:type="character" w:customStyle="1" w:styleId="231">
    <w:name w:val="font21"/>
    <w:basedOn w:val="36"/>
    <w:qFormat/>
    <w:uiPriority w:val="0"/>
    <w:rPr>
      <w:rFonts w:hint="eastAsia" w:ascii="宋体" w:hAnsi="宋体" w:eastAsia="宋体" w:cs="宋体"/>
      <w:color w:val="FF0000"/>
      <w:sz w:val="22"/>
      <w:szCs w:val="22"/>
      <w:u w:val="none"/>
    </w:rPr>
  </w:style>
  <w:style w:type="paragraph" w:customStyle="1" w:styleId="232">
    <w:name w:val="常用样式（方正仿宋简）"/>
    <w:next w:val="23"/>
    <w:qFormat/>
    <w:uiPriority w:val="99"/>
    <w:pPr>
      <w:widowControl w:val="0"/>
      <w:spacing w:line="560" w:lineRule="exact"/>
      <w:ind w:firstLine="200" w:firstLineChars="200"/>
      <w:jc w:val="both"/>
    </w:pPr>
    <w:rPr>
      <w:rFonts w:ascii="Times New Roman" w:hAnsi="Times New Roman" w:eastAsia="方正仿宋简体" w:cs="Times New Roman"/>
      <w:kern w:val="2"/>
      <w:sz w:val="32"/>
      <w:szCs w:val="32"/>
      <w:lang w:val="en-US" w:eastAsia="zh-CN" w:bidi="ar-SA"/>
    </w:rPr>
  </w:style>
  <w:style w:type="character" w:customStyle="1" w:styleId="233">
    <w:name w:val="font41"/>
    <w:basedOn w:val="3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收、支决算总计变动情况表</a:t>
            </a:r>
            <a:endParaRPr lang="zh-CN" altLang="en-US"/>
          </a:p>
        </c:rich>
      </c:tx>
      <c:layout/>
      <c:overlay val="0"/>
      <c:spPr>
        <a:noFill/>
        <a:ln>
          <a:noFill/>
        </a:ln>
        <a:effectLst/>
      </c:spPr>
    </c:title>
    <c:autoTitleDeleted val="0"/>
    <c:plotArea>
      <c:layout>
        <c:manualLayout>
          <c:layoutTarget val="inner"/>
          <c:xMode val="edge"/>
          <c:yMode val="edge"/>
          <c:x val="0.0707"/>
          <c:y val="0.122"/>
          <c:w val="0.9018"/>
          <c:h val="0.717233333333333"/>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收入（万元）</c:v>
                </c:pt>
                <c:pt idx="1">
                  <c:v>支出（万元）</c:v>
                </c:pt>
              </c:strCache>
            </c:strRef>
          </c:cat>
          <c:val>
            <c:numRef>
              <c:f>Sheet1!$B$2:$B$5</c:f>
              <c:numCache>
                <c:formatCode>General</c:formatCode>
                <c:ptCount val="4"/>
                <c:pt idx="0">
                  <c:v>1319.99</c:v>
                </c:pt>
                <c:pt idx="1">
                  <c:v>1319.99</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收入（万元）</c:v>
                </c:pt>
                <c:pt idx="1">
                  <c:v>支出（万元）</c:v>
                </c:pt>
              </c:strCache>
            </c:strRef>
          </c:cat>
          <c:val>
            <c:numRef>
              <c:f>Sheet1!$C$2:$C$5</c:f>
              <c:numCache>
                <c:formatCode>General</c:formatCode>
                <c:ptCount val="4"/>
                <c:pt idx="0">
                  <c:v>978.11</c:v>
                </c:pt>
                <c:pt idx="1">
                  <c:v>978.11</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2"/>
                <c:pt idx="0">
                  <c:v>收入（万元）</c:v>
                </c:pt>
                <c:pt idx="1">
                  <c:v>支出（万元）</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42006912"/>
        <c:axId val="142082432"/>
      </c:barChart>
      <c:catAx>
        <c:axId val="1420069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2082432"/>
        <c:crosses val="autoZero"/>
        <c:auto val="1"/>
        <c:lblAlgn val="ctr"/>
        <c:lblOffset val="100"/>
        <c:noMultiLvlLbl val="0"/>
      </c:catAx>
      <c:valAx>
        <c:axId val="14208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a:no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20069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54819f-e32c-4d58-9342-ce30be45a26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65.95</a:t>
                    </a:r>
                    <a:r>
                      <a:rPr lang="zh-CN" altLang="en-US"/>
                      <a:t> </a:t>
                    </a:r>
                    <a:r>
                      <a:rPr lang="en-US" altLang="zh-CN"/>
                      <a:t>%</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34.05%</a:t>
                    </a:r>
                    <a:endParaRPr lang="en-US" altLang="zh-CN"/>
                  </a:p>
                </c:rich>
              </c:tx>
              <c:numFmt formatCode="@"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一般公共预算财政拨款收入</c:v>
                </c:pt>
                <c:pt idx="1">
                  <c:v>政府性基金预算财政拨款收入</c:v>
                </c:pt>
              </c:strCache>
            </c:strRef>
          </c:cat>
          <c:val>
            <c:numRef>
              <c:f>Sheet1!$B$2:$B$5</c:f>
              <c:numCache>
                <c:formatCode>General</c:formatCode>
                <c:ptCount val="4"/>
                <c:pt idx="0">
                  <c:v>65.95</c:v>
                </c:pt>
                <c:pt idx="1">
                  <c:v>34.05</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bb2827-2e25-48ec-81c1-3f2b5fe76bd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51.58/%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48.42</a:t>
                    </a:r>
                    <a:r>
                      <a:rPr lang="zh-CN" altLang="en-US"/>
                      <a:t> </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基本支出</c:v>
                </c:pt>
                <c:pt idx="1">
                  <c:v>项目支出</c:v>
                </c:pt>
              </c:strCache>
            </c:strRef>
          </c:cat>
          <c:val>
            <c:numRef>
              <c:f>Sheet1!$B$2:$B$5</c:f>
              <c:numCache>
                <c:formatCode>General</c:formatCode>
                <c:ptCount val="4"/>
                <c:pt idx="0">
                  <c:v>51.58</c:v>
                </c:pt>
                <c:pt idx="1">
                  <c:v>48.42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9f6127-8227-4abf-93d0-8b02b89857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6666666667"/>
        </c:manualLayout>
      </c:layout>
      <c:overlay val="0"/>
      <c:spPr>
        <a:noFill/>
        <a:ln>
          <a:noFill/>
        </a:ln>
        <a:effectLst/>
      </c:spPr>
    </c:title>
    <c:autoTitleDeleted val="0"/>
    <c:plotArea>
      <c:layout>
        <c:manualLayout>
          <c:layoutTarget val="inner"/>
          <c:xMode val="edge"/>
          <c:yMode val="edge"/>
          <c:x val="0.0744124700239808"/>
          <c:y val="0.11530612244898"/>
          <c:w val="0.909040767386091"/>
          <c:h val="0.711122448979592"/>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2"/>
                <c:pt idx="0">
                  <c:v>收入（万元）</c:v>
                </c:pt>
                <c:pt idx="1">
                  <c:v>支出（万元）</c:v>
                </c:pt>
              </c:strCache>
            </c:strRef>
          </c:cat>
          <c:val>
            <c:numRef>
              <c:f>Sheet1!$B$2:$B$6</c:f>
              <c:numCache>
                <c:formatCode>General</c:formatCode>
                <c:ptCount val="5"/>
                <c:pt idx="0">
                  <c:v>1319.99</c:v>
                </c:pt>
                <c:pt idx="1">
                  <c:v>1319.99</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2"/>
                <c:pt idx="0">
                  <c:v>收入（万元）</c:v>
                </c:pt>
                <c:pt idx="1">
                  <c:v>支出（万元）</c:v>
                </c:pt>
              </c:strCache>
            </c:strRef>
          </c:cat>
          <c:val>
            <c:numRef>
              <c:f>Sheet1!$C$2:$C$6</c:f>
              <c:numCache>
                <c:formatCode>General</c:formatCode>
                <c:ptCount val="5"/>
                <c:pt idx="0">
                  <c:v>978.11</c:v>
                </c:pt>
                <c:pt idx="1">
                  <c:v>978.11</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Sheet1!$A$2:$A$6</c:f>
              <c:strCache>
                <c:ptCount val="2"/>
                <c:pt idx="0">
                  <c:v>收入（万元）</c:v>
                </c:pt>
                <c:pt idx="1">
                  <c:v>支出（万元）</c:v>
                </c:pt>
              </c:strCache>
            </c:strRef>
          </c:cat>
          <c:val>
            <c:numRef>
              <c:f>Sheet1!$D$2:$D$6</c:f>
              <c:numCache>
                <c:formatCode>General</c:formatCode>
                <c:ptCount val="5"/>
              </c:numCache>
            </c:numRef>
          </c:val>
        </c:ser>
        <c:dLbls>
          <c:showLegendKey val="0"/>
          <c:showVal val="1"/>
          <c:showCatName val="0"/>
          <c:showSerName val="0"/>
          <c:showPercent val="0"/>
          <c:showBubbleSize val="0"/>
        </c:dLbls>
        <c:gapWidth val="219"/>
        <c:overlap val="-27"/>
        <c:axId val="179421568"/>
        <c:axId val="179423104"/>
      </c:barChart>
      <c:catAx>
        <c:axId val="17942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423104"/>
        <c:crosses val="autoZero"/>
        <c:auto val="1"/>
        <c:lblAlgn val="ctr"/>
        <c:lblOffset val="100"/>
        <c:noMultiLvlLbl val="0"/>
      </c:catAx>
      <c:valAx>
        <c:axId val="17942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a:no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4215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57f3c0-ebcd-4d5c-a9a8-28156e70610e}"/>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175"/>
          <c:y val="0.06"/>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2106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870.56</c:v>
                </c:pt>
                <c:pt idx="1">
                  <c:v>958.15</c:v>
                </c:pt>
              </c:numCache>
            </c:numRef>
          </c:val>
        </c:ser>
        <c:dLbls>
          <c:showLegendKey val="0"/>
          <c:showVal val="0"/>
          <c:showCatName val="0"/>
          <c:showSerName val="0"/>
          <c:showPercent val="0"/>
          <c:showBubbleSize val="0"/>
        </c:dLbls>
        <c:gapWidth val="219"/>
        <c:overlap val="-27"/>
        <c:axId val="180987392"/>
        <c:axId val="180988928"/>
      </c:barChart>
      <c:catAx>
        <c:axId val="18098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0988928"/>
        <c:crosses val="autoZero"/>
        <c:auto val="1"/>
        <c:lblAlgn val="ctr"/>
        <c:lblOffset val="100"/>
        <c:noMultiLvlLbl val="0"/>
      </c:catAx>
      <c:valAx>
        <c:axId val="180988928"/>
        <c:scaling>
          <c:orientation val="minMax"/>
        </c:scaling>
        <c:delete val="0"/>
        <c:axPos val="l"/>
        <c:majorGridlines>
          <c:spPr>
            <a:ln w="9525" cap="flat" cmpd="sng" algn="ctr">
              <a:solidFill>
                <a:schemeClr val="tx1">
                  <a:lumMod val="15000"/>
                  <a:lumOff val="85000"/>
                </a:schemeClr>
              </a:solidFill>
              <a:round/>
            </a:ln>
            <a:effectLst/>
          </c:spPr>
        </c:majorGridlines>
        <c:numFmt formatCode="#,##0_ &quot;万&quot;&quot;元&quot;" sourceLinked="0"/>
        <c:majorTickMark val="none"/>
        <c:minorTickMark val="none"/>
        <c:tickLblPos val="nextTo"/>
        <c:spPr>
          <a:noFill/>
          <a:ln w="9525">
            <a:no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0987392"/>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7fd10d0-46bd-44d2-90e5-98383c3c8538}"/>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1.14</c:v>
                </c:pt>
                <c:pt idx="1">
                  <c:v>89.91</c:v>
                </c:pt>
                <c:pt idx="2">
                  <c:v>3.68</c:v>
                </c:pt>
                <c:pt idx="3">
                  <c:v>5.27</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8952454-af55-4f92-b237-bd51aaaadb47}"/>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0939254721797"/>
          <c:y val="0.0492148602068173"/>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79375"/>
          <c:y val="0.177449122945223"/>
          <c:w val="0.570625"/>
          <c:h val="0.760833333333333"/>
        </c:manualLayout>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layout>
                <c:manualLayout>
                  <c:x val="0.0365426247580991"/>
                  <c:y val="-0.14251958816423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100%</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0</c:v>
                </c:pt>
                <c:pt idx="2">
                  <c:v>1.56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e5b808-22a5-48ad-a856-ff68a9dcddb0}"/>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9D771-EF51-4FC2-8DD1-ECFBC754B243}">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54</Pages>
  <Words>12654</Words>
  <Characters>13806</Characters>
  <Lines>132</Lines>
  <Paragraphs>37</Paragraphs>
  <TotalTime>27</TotalTime>
  <ScaleCrop>false</ScaleCrop>
  <LinksUpToDate>false</LinksUpToDate>
  <CharactersWithSpaces>13993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2015-09-11T02:15:00Z</dcterms:created>
  <dc:creator>Lenovo</dc:creator>
  <cp:lastModifiedBy>Administrator</cp:lastModifiedBy>
  <dcterms:modified xsi:type="dcterms:W3CDTF">2025-11-04T08:13:01Z</dcterms:modified>
  <dc:title>遂宁市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eyJoZGlkIjoiMjcwYjc0NzEyMzZlNTZmOWU5MGU4MTc5MzFmMjczNTkifQ==</vt:lpwstr>
  </property>
  <property fmtid="{D5CDD505-2E9C-101B-9397-08002B2CF9AE}" pid="4" name="ICV">
    <vt:lpwstr>32B0C5D5517E4C2B88AB6DA504299743_12</vt:lpwstr>
  </property>
</Properties>
</file>