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val="0"/>
        <w:pageBreakBefore w:val="0"/>
        <w:widowControl w:val="0"/>
        <w:kinsoku/>
        <w:wordWrap/>
        <w:overflowPunct/>
        <w:topLinePunct w:val="0"/>
        <w:autoSpaceDE/>
        <w:autoSpaceDN/>
        <w:bidi w:val="0"/>
        <w:adjustRightInd/>
        <w:snapToGrid/>
        <w:spacing w:beforeLines="0" w:beforeAutospacing="0" w:afterLines="0" w:afterAutospacing="0" w:line="576" w:lineRule="exact"/>
        <w:ind w:left="0" w:leftChars="0" w:firstLine="0" w:firstLineChars="0"/>
        <w:jc w:val="both"/>
        <w:textAlignment w:val="auto"/>
        <w:outlineLvl w:val="1"/>
        <w:rPr>
          <w:rFonts w:hint="eastAsia" w:ascii="黑体" w:hAnsi="黑体" w:eastAsia="黑体" w:cs="黑体"/>
          <w:snapToGrid w:val="0"/>
          <w:color w:val="00000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Lines="0" w:beforeAutospacing="0" w:afterLines="0" w:afterAutospacing="0" w:line="576" w:lineRule="exact"/>
        <w:ind w:firstLine="0" w:firstLineChars="0"/>
        <w:jc w:val="center"/>
        <w:textAlignment w:val="auto"/>
        <w:outlineLvl w:val="0"/>
        <w:rPr>
          <w:rFonts w:hint="eastAsia" w:ascii="Times New Roman" w:hAnsi="Times New Roman" w:eastAsia="方正小标宋简体" w:cs="Times New Roman"/>
          <w:color w:val="000000"/>
          <w:kern w:val="44"/>
          <w:sz w:val="44"/>
          <w:szCs w:val="44"/>
          <w:lang w:val="en-US" w:eastAsia="zh-CN"/>
        </w:rPr>
      </w:pPr>
      <w:r>
        <w:rPr>
          <w:rFonts w:hint="eastAsia" w:ascii="Times New Roman" w:hAnsi="Times New Roman" w:eastAsia="方正小标宋简体" w:cs="Times New Roman"/>
          <w:color w:val="000000"/>
          <w:kern w:val="44"/>
          <w:sz w:val="44"/>
          <w:szCs w:val="44"/>
          <w:lang w:eastAsia="zh-CN"/>
        </w:rPr>
        <w:t>遂宁市安居区</w:t>
      </w:r>
      <w:r>
        <w:rPr>
          <w:rFonts w:hint="eastAsia" w:eastAsia="方正小标宋简体" w:cs="Times New Roman"/>
          <w:color w:val="000000"/>
          <w:kern w:val="44"/>
          <w:sz w:val="44"/>
          <w:szCs w:val="44"/>
          <w:lang w:eastAsia="zh-CN"/>
        </w:rPr>
        <w:t>商务</w:t>
      </w:r>
      <w:r>
        <w:rPr>
          <w:rFonts w:hint="eastAsia" w:ascii="Times New Roman" w:hAnsi="Times New Roman" w:eastAsia="方正小标宋简体" w:cs="Times New Roman"/>
          <w:color w:val="000000"/>
          <w:kern w:val="44"/>
          <w:sz w:val="44"/>
          <w:szCs w:val="44"/>
          <w:lang w:eastAsia="zh-CN"/>
        </w:rPr>
        <w:t>局</w:t>
      </w:r>
      <w:r>
        <w:rPr>
          <w:rFonts w:hint="eastAsia" w:ascii="Times New Roman" w:hAnsi="Times New Roman" w:eastAsia="方正小标宋简体" w:cs="Times New Roman"/>
          <w:color w:val="000000"/>
          <w:kern w:val="44"/>
          <w:sz w:val="44"/>
          <w:szCs w:val="44"/>
          <w:lang w:val="en-US" w:eastAsia="zh-CN"/>
        </w:rPr>
        <w:t>部分权责事项调整情况表</w:t>
      </w: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92"/>
        <w:gridCol w:w="475"/>
        <w:gridCol w:w="599"/>
        <w:gridCol w:w="501"/>
        <w:gridCol w:w="901"/>
        <w:gridCol w:w="688"/>
        <w:gridCol w:w="650"/>
        <w:gridCol w:w="5725"/>
        <w:gridCol w:w="1650"/>
        <w:gridCol w:w="1950"/>
        <w:gridCol w:w="454"/>
        <w:gridCol w:w="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0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1042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4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9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6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6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57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6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9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4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1</w:t>
            </w:r>
          </w:p>
        </w:tc>
        <w:tc>
          <w:tcPr>
            <w:tcW w:w="892"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调整前情况</w:t>
            </w:r>
          </w:p>
        </w:tc>
        <w:tc>
          <w:tcPr>
            <w:tcW w:w="475"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snapToGrid w:val="0"/>
                <w:color w:val="000000"/>
                <w:spacing w:val="0"/>
                <w:kern w:val="0"/>
                <w:sz w:val="18"/>
                <w:szCs w:val="18"/>
                <w:lang w:val="en-US" w:eastAsia="zh-CN"/>
              </w:rPr>
              <w:t>商务局</w:t>
            </w:r>
          </w:p>
        </w:tc>
        <w:tc>
          <w:tcPr>
            <w:tcW w:w="599"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cs="Times New Roman"/>
                <w:color w:val="000000" w:themeColor="text1"/>
                <w:kern w:val="2"/>
                <w:sz w:val="18"/>
                <w:szCs w:val="18"/>
                <w:vertAlign w:val="baseline"/>
                <w:lang w:val="en-US" w:eastAsia="zh-CN" w:bidi="ar-SA"/>
                <w14:textFill>
                  <w14:solidFill>
                    <w14:schemeClr w14:val="tx1"/>
                  </w14:solidFill>
                </w14:textFill>
              </w:rPr>
              <w:t>1</w:t>
            </w:r>
          </w:p>
        </w:tc>
        <w:tc>
          <w:tcPr>
            <w:tcW w:w="501"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eastAsia="zh-CN"/>
              </w:rPr>
              <w:t>行政处罚</w:t>
            </w:r>
          </w:p>
        </w:tc>
        <w:tc>
          <w:tcPr>
            <w:tcW w:w="901"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eastAsia="zh-CN"/>
              </w:rPr>
              <w:t>对办展未按规定发布招展信息的行政处罚</w:t>
            </w:r>
          </w:p>
        </w:tc>
        <w:tc>
          <w:tcPr>
            <w:tcW w:w="688"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《四川省加强管理服务促进会展业发展的规定》（省政府令第252号）第三十四条</w:t>
            </w:r>
          </w:p>
        </w:tc>
        <w:tc>
          <w:tcPr>
            <w:tcW w:w="650"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市场体系建设和运行股（安全生产监督股）</w:t>
            </w:r>
          </w:p>
        </w:tc>
        <w:tc>
          <w:tcPr>
            <w:tcW w:w="572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 w:eastAsia="zh-CN"/>
              </w:rPr>
              <w:t>1.立案责任</w:t>
            </w:r>
            <w:r>
              <w:rPr>
                <w:rFonts w:hint="default" w:ascii="Times New Roman" w:hAnsi="Times New Roman" w:eastAsia="仿宋_GB2312" w:cs="Times New Roman"/>
                <w:color w:val="000000"/>
                <w:kern w:val="0"/>
                <w:sz w:val="18"/>
                <w:szCs w:val="18"/>
                <w:lang w:val="en-US" w:eastAsia="zh-CN"/>
              </w:rPr>
              <w:t>：发现涉嫌未以主办单位名义发布招展信息或者承办单位擅自发布招展信息的违法行为（或者通过接收举报投诉或其他机关移送的违法案件等），予以审查，决定是否立案。</w:t>
            </w:r>
          </w:p>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 w:eastAsia="zh-CN"/>
              </w:rPr>
              <w:t>2.调查责任</w:t>
            </w:r>
            <w:r>
              <w:rPr>
                <w:rFonts w:hint="default" w:ascii="Times New Roman" w:hAnsi="Times New Roman" w:eastAsia="仿宋_GB2312" w:cs="Times New Roman"/>
                <w:color w:val="000000"/>
                <w:kern w:val="0"/>
                <w:sz w:val="18"/>
                <w:szCs w:val="18"/>
                <w:lang w:val="en-US" w:eastAsia="zh-CN"/>
              </w:rPr>
              <w:t>：商务部门对立案的案件，指定专人负责，及时组织调查取证，与当事人有直接利害关系的应当回避。执法人员不得少于两人，调查时应出示证件，允许当事人辩解。</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3.审查责任：审理案件调查报告，对案件违法事实、证据、调查取证程序、法律适用、处罚种类和幅度、当事人陈述和申辩，提出处理意见。</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4.告知责任：制作《商务行政处罚告知书》，书面告知当事人拟作出行政处罚的事实、理由及依据，并告知当事人依法享有陈述、申辩的权利。符合听证规定的，书面告知当事人有要求举行听证的权利。</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5.决定责任：制作《行政处罚决定书》，载明行政处罚告知、当事人陈述申辩或者听证情况等内容。</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6.送达责任：行政处罚决定书按法律规定的方式送达当事人。</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7.执行责任：监督当事人在决定的期限内，履行生效的行政处罚决定。当事人申请行政复议或提起行政诉讼的，按法律规定执行；当事人逾期不履行行政处罚决定的，依法强制执行或者申请人民法院强制执行。</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8.其他责任：法律法规规章文件规定应履行的其他责任。</w:t>
            </w:r>
          </w:p>
        </w:tc>
        <w:tc>
          <w:tcPr>
            <w:tcW w:w="16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四川省加强管理服务促进会展业发展的规定》《中华人民共和国行政监察法》《中华人民共和国行政处罚法》《中华人民共和国行政强制法》《中华人民共和国公职人员政务处分法》《行政机关公务员处分条例》</w:t>
            </w:r>
          </w:p>
        </w:tc>
        <w:tc>
          <w:tcPr>
            <w:tcW w:w="1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追责情形：对不履行或不正确履行行政职责的行政机关及其工作人员，依据《中华人民共和国监察法》《中华人民共和国行政处罚法》《行政机关公务员处分条例》追究相应的责任。</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免责情形：按照《中华人民共和国公职人员政务处分法》规定的情形，以及其他依法应当免责的情形。</w:t>
            </w:r>
          </w:p>
        </w:tc>
        <w:tc>
          <w:tcPr>
            <w:tcW w:w="4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0825-8663833</w:t>
            </w:r>
          </w:p>
        </w:tc>
        <w:tc>
          <w:tcPr>
            <w:tcW w:w="365"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调整方式</w:t>
            </w:r>
          </w:p>
        </w:tc>
        <w:tc>
          <w:tcPr>
            <w:tcW w:w="13958"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405" w:type="dxa"/>
            <w:vMerge w:val="continue"/>
            <w:vAlign w:val="center"/>
          </w:tcPr>
          <w:p>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892" w:type="dxa"/>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调整后情况</w:t>
            </w:r>
          </w:p>
        </w:tc>
        <w:tc>
          <w:tcPr>
            <w:tcW w:w="47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90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6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7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45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pPr>
        <w:pStyle w:val="2"/>
        <w:rPr>
          <w:rFonts w:hint="eastAsia"/>
        </w:rPr>
      </w:pPr>
    </w:p>
    <w:p>
      <w:pPr>
        <w:pStyle w:val="8"/>
        <w:rPr>
          <w:rFonts w:hint="eastAsia"/>
        </w:rPr>
        <w:sectPr>
          <w:footerReference r:id="rId3" w:type="default"/>
          <w:pgSz w:w="16838" w:h="11906" w:orient="landscape"/>
          <w:pgMar w:top="1800" w:right="873" w:bottom="1800" w:left="873" w:header="851" w:footer="992" w:gutter="0"/>
          <w:pgNumType w:fmt="decimal"/>
          <w:cols w:space="720" w:num="1"/>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92"/>
        <w:gridCol w:w="475"/>
        <w:gridCol w:w="599"/>
        <w:gridCol w:w="501"/>
        <w:gridCol w:w="901"/>
        <w:gridCol w:w="688"/>
        <w:gridCol w:w="1325"/>
        <w:gridCol w:w="5050"/>
        <w:gridCol w:w="1650"/>
        <w:gridCol w:w="1950"/>
        <w:gridCol w:w="454"/>
        <w:gridCol w:w="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0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1042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4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9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6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5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6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9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4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2</w:t>
            </w:r>
          </w:p>
        </w:tc>
        <w:tc>
          <w:tcPr>
            <w:tcW w:w="892"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调整前情况</w:t>
            </w:r>
          </w:p>
        </w:tc>
        <w:tc>
          <w:tcPr>
            <w:tcW w:w="475"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snapToGrid w:val="0"/>
                <w:color w:val="000000"/>
                <w:spacing w:val="0"/>
                <w:kern w:val="0"/>
                <w:sz w:val="18"/>
                <w:szCs w:val="18"/>
                <w:lang w:val="en-US" w:eastAsia="zh-CN"/>
              </w:rPr>
              <w:t>商务局</w:t>
            </w:r>
          </w:p>
        </w:tc>
        <w:tc>
          <w:tcPr>
            <w:tcW w:w="599"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val="en-US" w:eastAsia="zh-CN" w:bidi="ar-SA"/>
              </w:rPr>
              <w:t>2</w:t>
            </w:r>
          </w:p>
        </w:tc>
        <w:tc>
          <w:tcPr>
            <w:tcW w:w="501"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eastAsia="zh-CN"/>
              </w:rPr>
              <w:t>行政处罚</w:t>
            </w:r>
          </w:p>
        </w:tc>
        <w:tc>
          <w:tcPr>
            <w:tcW w:w="901"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eastAsia="zh-CN"/>
              </w:rPr>
              <w:t>对办展未按规定备案的行政处罚</w:t>
            </w:r>
          </w:p>
        </w:tc>
        <w:tc>
          <w:tcPr>
            <w:tcW w:w="688"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《四川省加强管理服务促进会展业发展的规定》（省政府令第252号）第三十五条</w:t>
            </w:r>
          </w:p>
        </w:tc>
        <w:tc>
          <w:tcPr>
            <w:tcW w:w="13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市场体系建设和运行股（安全生产监督股）</w:t>
            </w:r>
          </w:p>
        </w:tc>
        <w:tc>
          <w:tcPr>
            <w:tcW w:w="5050" w:type="dxa"/>
            <w:shd w:val="clear" w:color="auto" w:fill="auto"/>
            <w:vAlign w:val="center"/>
          </w:tcPr>
          <w:p>
            <w:pPr>
              <w:widowControl/>
              <w:spacing w:line="240" w:lineRule="exact"/>
              <w:ind w:left="0" w:leftChars="0" w:firstLine="0" w:firstLineChars="0"/>
              <w:jc w:val="lef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 w:eastAsia="zh-CN"/>
              </w:rPr>
              <w:t>1.立案责任</w:t>
            </w:r>
            <w:r>
              <w:rPr>
                <w:rFonts w:hint="default" w:ascii="Times New Roman" w:hAnsi="Times New Roman" w:eastAsia="仿宋_GB2312" w:cs="Times New Roman"/>
                <w:color w:val="000000"/>
                <w:kern w:val="0"/>
                <w:sz w:val="18"/>
                <w:szCs w:val="18"/>
                <w:lang w:val="en-US" w:eastAsia="zh-CN"/>
              </w:rPr>
              <w:t>：发现举办会展企业涉嫌办展未按规定备案的违法行为（或者通过接收举报投诉或其他机关移送的违法案件等），予以审查，决定是否立案。</w:t>
            </w:r>
          </w:p>
          <w:p>
            <w:pPr>
              <w:widowControl/>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 w:eastAsia="zh-CN"/>
              </w:rPr>
              <w:t>2.调查责任</w:t>
            </w:r>
            <w:r>
              <w:rPr>
                <w:rFonts w:hint="default" w:ascii="Times New Roman" w:hAnsi="Times New Roman" w:eastAsia="仿宋_GB2312" w:cs="Times New Roman"/>
                <w:color w:val="000000"/>
                <w:kern w:val="0"/>
                <w:sz w:val="18"/>
                <w:szCs w:val="18"/>
                <w:lang w:val="en-US" w:eastAsia="zh-CN"/>
              </w:rPr>
              <w:t>：商务部门对立案的案件，指定专人负责，及时组织调查取证，与当事人有直接利害关系的应当回避。执法人员不得少于两人，调查时应出示证件，允许当事人辩解。</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3.审查责任：审理案件调查报告，对案件违法事实、证据、调查取证程序、法律适用、处罚种类和幅度、当事人陈述和申辩，提出处理意见。</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4.告知责任：制作《商务行政处罚告知书》，书面告知当事人拟作出行政处罚的事实、理由及依据，并告知当事人依法享有陈述、申辩的权利。符合听证规定的，书面告知当事人有要求举行听证的权利。</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5.决定责任：制作《行政处罚决定书》，载明行政处罚告知、当事人陈述申辩或者听证情况等内容。</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6.送达责任：行政处罚决定书按法律规定的方式送达当事人。</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7.执行责任：监督当事人在决定的期限内，履行生效的行政处罚决定。当事人申请行政复议或提起行政诉讼的，按法律规定执行；当事人逾期不履行行政处罚决定的，依法强制执行或者申请人民法院强制执行。</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8.其他责任：法律法规规章文件规定应履行的其他责任。</w:t>
            </w:r>
          </w:p>
        </w:tc>
        <w:tc>
          <w:tcPr>
            <w:tcW w:w="1650" w:type="dxa"/>
            <w:shd w:val="clear" w:color="auto" w:fill="auto"/>
            <w:vAlign w:val="center"/>
          </w:tcPr>
          <w:p>
            <w:pPr>
              <w:widowControl/>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四川省加强管理服务促进会展业发展的规定》《中华人民共和国行政监察法》《中华人民共和国行政处罚法》《中华人民共和国行政强制法》《中华人民共和国公职人员政务处分法》《行政机关公务员处分条例》</w:t>
            </w:r>
          </w:p>
        </w:tc>
        <w:tc>
          <w:tcPr>
            <w:tcW w:w="19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追责情形：对不履行或不正确履行行政职责的行政机关及其工作人员，依据《中华人民共和国监察法》《中华人民共和国行政处罚法》《行政机关公务员处分条例》追究相应的责任。</w:t>
            </w:r>
          </w:p>
          <w:p>
            <w:pPr>
              <w:keepNext w:val="0"/>
              <w:keepLines w:val="0"/>
              <w:pageBreakBefore w:val="0"/>
              <w:widowControl/>
              <w:kinsoku/>
              <w:wordWrap/>
              <w:overflowPunct/>
              <w:topLinePunct w:val="0"/>
              <w:autoSpaceDE/>
              <w:autoSpaceDN/>
              <w:bidi w:val="0"/>
              <w:adjustRightInd/>
              <w:snapToGrid/>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免责情形：按照《中华人民共和国公职人员政务处分法》规定的情形，以及其他依法应当免责的情形。</w:t>
            </w:r>
          </w:p>
        </w:tc>
        <w:tc>
          <w:tcPr>
            <w:tcW w:w="4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0825-8663833</w:t>
            </w:r>
          </w:p>
        </w:tc>
        <w:tc>
          <w:tcPr>
            <w:tcW w:w="365"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调整方式</w:t>
            </w:r>
          </w:p>
        </w:tc>
        <w:tc>
          <w:tcPr>
            <w:tcW w:w="13958"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05" w:type="dxa"/>
            <w:vMerge w:val="continue"/>
            <w:vAlign w:val="center"/>
          </w:tcPr>
          <w:p>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892" w:type="dxa"/>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调整后情况</w:t>
            </w:r>
          </w:p>
        </w:tc>
        <w:tc>
          <w:tcPr>
            <w:tcW w:w="47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90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3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0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45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pPr>
    </w:p>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000000"/>
          <w:sz w:val="30"/>
          <w:szCs w:val="30"/>
        </w:rPr>
        <w:sectPr>
          <w:pgSz w:w="16838" w:h="11906" w:orient="landscape"/>
          <w:pgMar w:top="1587" w:right="1440" w:bottom="1474" w:left="1440" w:header="851" w:footer="1304" w:gutter="0"/>
          <w:pgNumType w:fmt="decimal"/>
          <w:cols w:space="0" w:num="1"/>
          <w:rtlGutter w:val="0"/>
          <w:docGrid w:type="lines" w:linePitch="312" w:charSpace="0"/>
        </w:sectPr>
      </w:pPr>
    </w:p>
    <w:tbl>
      <w:tblPr>
        <w:tblStyle w:val="12"/>
        <w:tblW w:w="15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
        <w:gridCol w:w="892"/>
        <w:gridCol w:w="475"/>
        <w:gridCol w:w="599"/>
        <w:gridCol w:w="501"/>
        <w:gridCol w:w="901"/>
        <w:gridCol w:w="688"/>
        <w:gridCol w:w="1325"/>
        <w:gridCol w:w="5050"/>
        <w:gridCol w:w="1650"/>
        <w:gridCol w:w="1950"/>
        <w:gridCol w:w="454"/>
        <w:gridCol w:w="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40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序号</w:t>
            </w:r>
          </w:p>
        </w:tc>
        <w:tc>
          <w:tcPr>
            <w:tcW w:w="89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p>
        </w:tc>
        <w:tc>
          <w:tcPr>
            <w:tcW w:w="475" w:type="dxa"/>
            <w:vMerge w:val="restar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对应区直部门</w:t>
            </w:r>
          </w:p>
        </w:tc>
        <w:tc>
          <w:tcPr>
            <w:tcW w:w="599"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209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清单序号</w:t>
            </w:r>
          </w:p>
        </w:tc>
        <w:tc>
          <w:tcPr>
            <w:tcW w:w="10429" w:type="dxa"/>
            <w:gridSpan w:val="5"/>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napToGrid w:val="0"/>
                <w:color w:val="000000"/>
                <w:spacing w:val="0"/>
                <w:kern w:val="0"/>
                <w:sz w:val="18"/>
                <w:szCs w:val="18"/>
              </w:rPr>
              <w:t>责任清单</w:t>
            </w:r>
          </w:p>
        </w:tc>
        <w:tc>
          <w:tcPr>
            <w:tcW w:w="365"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47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99"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501" w:type="dxa"/>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b/>
                <w:bCs/>
                <w:sz w:val="18"/>
                <w:szCs w:val="18"/>
                <w:vertAlign w:val="baseline"/>
                <w:lang w:val="en-US" w:eastAsia="zh-CN"/>
              </w:rPr>
            </w:pPr>
            <w:r>
              <w:rPr>
                <w:rFonts w:hint="default" w:ascii="Times New Roman" w:hAnsi="Times New Roman" w:eastAsia="仿宋_GB2312" w:cs="Times New Roman"/>
                <w:b/>
                <w:bCs/>
                <w:sz w:val="18"/>
                <w:szCs w:val="18"/>
                <w:vertAlign w:val="baseline"/>
                <w:lang w:val="en-US" w:eastAsia="zh-CN"/>
              </w:rPr>
              <w:t>权力类型</w:t>
            </w:r>
          </w:p>
        </w:tc>
        <w:tc>
          <w:tcPr>
            <w:tcW w:w="901"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权力名称</w:t>
            </w:r>
          </w:p>
        </w:tc>
        <w:tc>
          <w:tcPr>
            <w:tcW w:w="688"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设定依据</w:t>
            </w:r>
          </w:p>
        </w:tc>
        <w:tc>
          <w:tcPr>
            <w:tcW w:w="1325"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责任主体</w:t>
            </w:r>
          </w:p>
        </w:tc>
        <w:tc>
          <w:tcPr>
            <w:tcW w:w="50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责任事项</w:t>
            </w:r>
          </w:p>
        </w:tc>
        <w:tc>
          <w:tcPr>
            <w:tcW w:w="16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问责依据</w:t>
            </w:r>
          </w:p>
        </w:tc>
        <w:tc>
          <w:tcPr>
            <w:tcW w:w="195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追责情形及免责情形</w:t>
            </w:r>
          </w:p>
        </w:tc>
        <w:tc>
          <w:tcPr>
            <w:tcW w:w="454"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仿宋_GB2312" w:cs="Times New Roman"/>
                <w:b/>
                <w:bCs/>
                <w:kern w:val="2"/>
                <w:sz w:val="18"/>
                <w:szCs w:val="18"/>
                <w:vertAlign w:val="baseline"/>
                <w:lang w:val="en-US" w:eastAsia="zh-CN" w:bidi="ar-SA"/>
              </w:rPr>
            </w:pPr>
            <w:r>
              <w:rPr>
                <w:rFonts w:hint="default" w:ascii="Times New Roman" w:hAnsi="Times New Roman" w:eastAsia="仿宋_GB2312" w:cs="Times New Roman"/>
                <w:b/>
                <w:bCs/>
                <w:sz w:val="18"/>
                <w:szCs w:val="18"/>
                <w:vertAlign w:val="baseline"/>
                <w:lang w:val="en-US" w:eastAsia="zh-CN"/>
              </w:rPr>
              <w:t>监督方式</w:t>
            </w:r>
          </w:p>
        </w:tc>
        <w:tc>
          <w:tcPr>
            <w:tcW w:w="36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405" w:type="dxa"/>
            <w:vMerge w:val="restart"/>
            <w:vAlign w:val="center"/>
          </w:tcPr>
          <w:p>
            <w:pPr>
              <w:spacing w:line="240" w:lineRule="auto"/>
              <w:ind w:firstLine="0" w:firstLineChars="0"/>
              <w:jc w:val="center"/>
              <w:rPr>
                <w:rFonts w:hint="default" w:ascii="Times New Roman" w:hAnsi="Times New Roman" w:eastAsia="仿宋_GB2312" w:cs="Times New Roman"/>
                <w:color w:val="000000" w:themeColor="text1"/>
                <w:sz w:val="18"/>
                <w:szCs w:val="18"/>
                <w:vertAlign w:val="baseline"/>
                <w:lang w:val="en-US" w:eastAsia="zh-CN"/>
                <w14:textFill>
                  <w14:solidFill>
                    <w14:schemeClr w14:val="tx1"/>
                  </w14:solidFill>
                </w14:textFill>
              </w:rPr>
            </w:pPr>
            <w:r>
              <w:rPr>
                <w:rFonts w:hint="default" w:ascii="Times New Roman" w:hAnsi="Times New Roman" w:cs="Times New Roman"/>
                <w:color w:val="000000" w:themeColor="text1"/>
                <w:sz w:val="18"/>
                <w:szCs w:val="18"/>
                <w:vertAlign w:val="baseline"/>
                <w:lang w:val="en-US" w:eastAsia="zh-CN"/>
                <w14:textFill>
                  <w14:solidFill>
                    <w14:schemeClr w14:val="tx1"/>
                  </w14:solidFill>
                </w14:textFill>
              </w:rPr>
              <w:t>3</w:t>
            </w:r>
          </w:p>
        </w:tc>
        <w:tc>
          <w:tcPr>
            <w:tcW w:w="892"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调整前情况</w:t>
            </w:r>
          </w:p>
        </w:tc>
        <w:tc>
          <w:tcPr>
            <w:tcW w:w="475"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snapToGrid w:val="0"/>
                <w:color w:val="000000"/>
                <w:spacing w:val="0"/>
                <w:kern w:val="0"/>
                <w:sz w:val="18"/>
                <w:szCs w:val="18"/>
                <w:lang w:val="en-US" w:eastAsia="zh-CN"/>
              </w:rPr>
              <w:t>商务局</w:t>
            </w:r>
          </w:p>
        </w:tc>
        <w:tc>
          <w:tcPr>
            <w:tcW w:w="599"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cs="Times New Roman"/>
                <w:b w:val="0"/>
                <w:snapToGrid w:val="0"/>
                <w:color w:val="000000"/>
                <w:spacing w:val="0"/>
                <w:kern w:val="0"/>
                <w:sz w:val="18"/>
                <w:szCs w:val="18"/>
                <w:lang w:val="en-US" w:eastAsia="zh-CN" w:bidi="ar-SA"/>
              </w:rPr>
              <w:t>57</w:t>
            </w:r>
          </w:p>
        </w:tc>
        <w:tc>
          <w:tcPr>
            <w:tcW w:w="501"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eastAsia="zh-CN"/>
              </w:rPr>
              <w:t>其他行政权力</w:t>
            </w:r>
          </w:p>
        </w:tc>
        <w:tc>
          <w:tcPr>
            <w:tcW w:w="901"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b w:val="0"/>
                <w:snapToGrid w:val="0"/>
                <w:color w:val="000000"/>
                <w:spacing w:val="0"/>
                <w:kern w:val="0"/>
                <w:sz w:val="18"/>
                <w:szCs w:val="18"/>
                <w:lang w:eastAsia="zh-CN"/>
              </w:rPr>
              <w:t>举办会展备案</w:t>
            </w:r>
          </w:p>
        </w:tc>
        <w:tc>
          <w:tcPr>
            <w:tcW w:w="688" w:type="dxa"/>
            <w:shd w:val="clear" w:color="auto" w:fill="auto"/>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《四川省加强管理服务促进会展业发展的规定》第十九条</w:t>
            </w:r>
          </w:p>
        </w:tc>
        <w:tc>
          <w:tcPr>
            <w:tcW w:w="132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市场体系建设和运行股</w:t>
            </w:r>
          </w:p>
        </w:tc>
        <w:tc>
          <w:tcPr>
            <w:tcW w:w="5050" w:type="dxa"/>
            <w:shd w:val="clear" w:color="auto" w:fill="auto"/>
            <w:vAlign w:val="center"/>
          </w:tcPr>
          <w:p>
            <w:pPr>
              <w:widowControl/>
              <w:spacing w:line="240" w:lineRule="exact"/>
              <w:ind w:left="0" w:leftChars="0" w:firstLine="0" w:firstLineChars="0"/>
              <w:jc w:val="lef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1.受理责任：公示应当提交的材料，一次性告知补正材料，依法受理或不予受理（不予受理应当告知理由）。</w:t>
            </w:r>
          </w:p>
          <w:p>
            <w:pPr>
              <w:widowControl/>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2.审查责任：对举办除本条第（一）、（二）项规定外的其他会展的主办单位提交的备案材料是否齐全、符合法定形式进行审查。</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3.决定责任：对符合条件的会展主办单位予以备案、编号及公告。</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4.事后监管责任：开展定期和不定期检查，依法采取相关处置措施。</w:t>
            </w:r>
            <w:r>
              <w:rPr>
                <w:rFonts w:hint="default" w:ascii="Times New Roman" w:hAnsi="Times New Roman" w:eastAsia="仿宋_GB2312" w:cs="Times New Roman"/>
                <w:color w:val="000000"/>
                <w:kern w:val="0"/>
                <w:sz w:val="18"/>
                <w:szCs w:val="18"/>
                <w:lang w:val="en-US" w:eastAsia="zh-CN"/>
              </w:rPr>
              <w:br w:type="textWrapping"/>
            </w:r>
            <w:r>
              <w:rPr>
                <w:rFonts w:hint="default" w:ascii="Times New Roman" w:hAnsi="Times New Roman" w:eastAsia="仿宋_GB2312" w:cs="Times New Roman"/>
                <w:color w:val="000000"/>
                <w:kern w:val="0"/>
                <w:sz w:val="18"/>
                <w:szCs w:val="18"/>
                <w:lang w:val="en-US" w:eastAsia="zh-CN"/>
              </w:rPr>
              <w:t>5.其他责任：法律法规规章文件规定应履行的其他责任。</w:t>
            </w:r>
          </w:p>
        </w:tc>
        <w:tc>
          <w:tcPr>
            <w:tcW w:w="1650" w:type="dxa"/>
            <w:shd w:val="clear" w:color="auto" w:fill="auto"/>
            <w:vAlign w:val="center"/>
          </w:tcPr>
          <w:p>
            <w:pPr>
              <w:widowControl/>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四川省加强管理服务促进会展业发展的规定》《中华人民共和国行政监察法》《中华人民共和国行政许可法》《中华人民共和国公职人员政务处分法》《行政机关公务员处分条例》《四川省行政审批违法违纪行为责任追究办法》</w:t>
            </w:r>
          </w:p>
        </w:tc>
        <w:tc>
          <w:tcPr>
            <w:tcW w:w="1950" w:type="dxa"/>
            <w:shd w:val="clear" w:color="auto" w:fill="auto"/>
            <w:vAlign w:val="center"/>
          </w:tcPr>
          <w:p>
            <w:pPr>
              <w:widowControl/>
              <w:spacing w:line="240" w:lineRule="exact"/>
              <w:ind w:left="0" w:leftChars="0" w:firstLine="0" w:firstLineChars="0"/>
              <w:jc w:val="left"/>
              <w:textAlignment w:val="center"/>
              <w:rPr>
                <w:rFonts w:hint="default" w:ascii="Times New Roman" w:hAnsi="Times New Roman" w:eastAsia="仿宋_GB2312" w:cs="Times New Roman"/>
                <w:color w:val="000000"/>
                <w:kern w:val="0"/>
                <w:sz w:val="18"/>
                <w:szCs w:val="18"/>
                <w:lang w:val="en-US" w:eastAsia="zh-CN"/>
              </w:rPr>
            </w:pPr>
            <w:r>
              <w:rPr>
                <w:rFonts w:hint="default" w:ascii="Times New Roman" w:hAnsi="Times New Roman" w:eastAsia="仿宋_GB2312" w:cs="Times New Roman"/>
                <w:color w:val="000000"/>
                <w:kern w:val="0"/>
                <w:sz w:val="18"/>
                <w:szCs w:val="18"/>
                <w:lang w:val="en-US" w:eastAsia="zh-CN"/>
              </w:rPr>
              <w:t>追责情形：对不履行或不正确履行行政职责的行政机关及其工作人员，依据《中华人民共和国监察法》《中华人民共和国行政处罚法》《行政机关公务员处分条例》追究相应的责任。</w:t>
            </w:r>
          </w:p>
          <w:p>
            <w:pPr>
              <w:widowControl/>
              <w:spacing w:line="240" w:lineRule="exact"/>
              <w:ind w:left="0" w:leftChars="0"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免责情形：按照《中华人民共和国公职人员政务处分法》规定的情形，以及其他依法应当免责的情形。</w:t>
            </w:r>
          </w:p>
        </w:tc>
        <w:tc>
          <w:tcPr>
            <w:tcW w:w="454"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left"/>
              <w:textAlignment w:val="center"/>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r>
              <w:rPr>
                <w:rFonts w:hint="default" w:ascii="Times New Roman" w:hAnsi="Times New Roman" w:eastAsia="仿宋_GB2312" w:cs="Times New Roman"/>
                <w:color w:val="000000"/>
                <w:kern w:val="0"/>
                <w:sz w:val="18"/>
                <w:szCs w:val="18"/>
                <w:lang w:val="en-US" w:eastAsia="zh-CN"/>
              </w:rPr>
              <w:t>0825-8663833</w:t>
            </w:r>
          </w:p>
        </w:tc>
        <w:tc>
          <w:tcPr>
            <w:tcW w:w="365" w:type="dxa"/>
            <w:shd w:val="clear" w:color="auto" w:fill="auto"/>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color w:val="000000" w:themeColor="text1"/>
                <w:kern w:val="2"/>
                <w:sz w:val="18"/>
                <w:szCs w:val="18"/>
                <w:vertAlign w:val="baseline"/>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jc w:val="center"/>
        </w:trPr>
        <w:tc>
          <w:tcPr>
            <w:tcW w:w="405"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p>
        </w:tc>
        <w:tc>
          <w:tcPr>
            <w:tcW w:w="892" w:type="dxa"/>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调整方式</w:t>
            </w:r>
          </w:p>
        </w:tc>
        <w:tc>
          <w:tcPr>
            <w:tcW w:w="13958" w:type="dxa"/>
            <w:gridSpan w:val="11"/>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仿宋_GB2312" w:cs="Times New Roman"/>
                <w:sz w:val="18"/>
                <w:szCs w:val="18"/>
                <w:vertAlign w:val="baseline"/>
                <w:lang w:val="en-US" w:eastAsia="zh-CN"/>
              </w:rPr>
            </w:pPr>
            <w:r>
              <w:rPr>
                <w:rFonts w:hint="eastAsia" w:ascii="Times New Roman" w:hAnsi="Times New Roman" w:cs="Times New Roman"/>
                <w:sz w:val="18"/>
                <w:szCs w:val="18"/>
                <w:vertAlign w:val="baseline"/>
                <w:lang w:val="en-US" w:eastAsia="zh-CN"/>
              </w:rPr>
              <w:t>取消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405" w:type="dxa"/>
            <w:vMerge w:val="continue"/>
            <w:vAlign w:val="center"/>
          </w:tcPr>
          <w:p>
            <w:pPr>
              <w:spacing w:line="240" w:lineRule="auto"/>
              <w:ind w:firstLine="0" w:firstLineChars="0"/>
              <w:jc w:val="center"/>
              <w:rPr>
                <w:rFonts w:hint="default" w:ascii="Times New Roman" w:hAnsi="Times New Roman" w:eastAsia="仿宋_GB2312" w:cs="Times New Roman"/>
                <w:color w:val="000000" w:themeColor="text1"/>
                <w:sz w:val="16"/>
                <w:szCs w:val="16"/>
                <w:vertAlign w:val="baseline"/>
                <w:lang w:val="en-US" w:eastAsia="zh-CN"/>
                <w14:textFill>
                  <w14:solidFill>
                    <w14:schemeClr w14:val="tx1"/>
                  </w14:solidFill>
                </w14:textFill>
              </w:rPr>
            </w:pPr>
          </w:p>
        </w:tc>
        <w:tc>
          <w:tcPr>
            <w:tcW w:w="892" w:type="dxa"/>
            <w:vAlign w:val="center"/>
          </w:tcPr>
          <w:p>
            <w:pPr>
              <w:widowControl/>
              <w:kinsoku w:val="0"/>
              <w:autoSpaceDE w:val="0"/>
              <w:autoSpaceDN w:val="0"/>
              <w:adjustRightInd w:val="0"/>
              <w:snapToGrid w:val="0"/>
              <w:spacing w:line="200" w:lineRule="exact"/>
              <w:ind w:firstLine="0" w:firstLineChars="0"/>
              <w:jc w:val="left"/>
              <w:textAlignment w:val="baseline"/>
              <w:rPr>
                <w:rFonts w:hint="default" w:ascii="Times New Roman" w:hAnsi="Times New Roman" w:eastAsia="仿宋_GB2312" w:cs="Times New Roman"/>
                <w:b w:val="0"/>
                <w:snapToGrid w:val="0"/>
                <w:color w:val="000000"/>
                <w:spacing w:val="0"/>
                <w:kern w:val="0"/>
                <w:sz w:val="18"/>
                <w:szCs w:val="18"/>
                <w:lang w:val="en-US" w:eastAsia="zh-CN"/>
              </w:rPr>
            </w:pPr>
            <w:r>
              <w:rPr>
                <w:rFonts w:hint="default" w:ascii="Times New Roman" w:hAnsi="Times New Roman" w:eastAsia="仿宋_GB2312" w:cs="Times New Roman"/>
                <w:b w:val="0"/>
                <w:snapToGrid w:val="0"/>
                <w:color w:val="000000"/>
                <w:spacing w:val="0"/>
                <w:kern w:val="0"/>
                <w:sz w:val="18"/>
                <w:szCs w:val="18"/>
                <w:lang w:val="en-US" w:eastAsia="zh-CN"/>
              </w:rPr>
              <w:t>调整后情况</w:t>
            </w:r>
          </w:p>
        </w:tc>
        <w:tc>
          <w:tcPr>
            <w:tcW w:w="47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99"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50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901"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688"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325"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5050"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6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1950"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16"/>
                <w:szCs w:val="16"/>
                <w:lang w:val="en-US" w:eastAsia="zh-CN"/>
              </w:rPr>
            </w:pPr>
          </w:p>
        </w:tc>
        <w:tc>
          <w:tcPr>
            <w:tcW w:w="454" w:type="dxa"/>
            <w:vAlign w:val="center"/>
          </w:tcPr>
          <w:p>
            <w:pPr>
              <w:keepNext w:val="0"/>
              <w:keepLines w:val="0"/>
              <w:pageBreakBefore w:val="0"/>
              <w:widowControl/>
              <w:suppressLineNumbers w:val="0"/>
              <w:kinsoku/>
              <w:wordWrap/>
              <w:overflowPunct/>
              <w:topLinePunct w:val="0"/>
              <w:autoSpaceDE/>
              <w:autoSpaceDN/>
              <w:bidi w:val="0"/>
              <w:adjustRightInd w:val="0"/>
              <w:snapToGrid w:val="0"/>
              <w:spacing w:line="200" w:lineRule="exact"/>
              <w:ind w:firstLine="0" w:firstLineChars="0"/>
              <w:jc w:val="both"/>
              <w:textAlignment w:val="center"/>
              <w:rPr>
                <w:rFonts w:hint="default" w:ascii="Times New Roman" w:hAnsi="Times New Roman" w:eastAsia="仿宋_GB2312" w:cs="Times New Roman"/>
                <w:b w:val="0"/>
                <w:color w:val="000000"/>
                <w:spacing w:val="0"/>
                <w:sz w:val="20"/>
                <w:szCs w:val="20"/>
                <w:lang w:val="en-US" w:eastAsia="zh-CN"/>
              </w:rPr>
            </w:pPr>
          </w:p>
        </w:tc>
        <w:tc>
          <w:tcPr>
            <w:tcW w:w="365" w:type="dxa"/>
            <w:vAlign w:val="center"/>
          </w:tcPr>
          <w:p>
            <w:pPr>
              <w:widowControl/>
              <w:kinsoku w:val="0"/>
              <w:autoSpaceDE w:val="0"/>
              <w:autoSpaceDN w:val="0"/>
              <w:adjustRightInd w:val="0"/>
              <w:snapToGrid w:val="0"/>
              <w:spacing w:line="200" w:lineRule="exact"/>
              <w:ind w:firstLine="0" w:firstLineChars="0"/>
              <w:jc w:val="center"/>
              <w:textAlignment w:val="baseline"/>
              <w:rPr>
                <w:rFonts w:hint="default" w:ascii="Times New Roman" w:hAnsi="Times New Roman" w:eastAsia="仿宋_GB2312" w:cs="Times New Roman"/>
                <w:b w:val="0"/>
                <w:color w:val="000000"/>
                <w:spacing w:val="0"/>
                <w:sz w:val="20"/>
                <w:szCs w:val="20"/>
                <w:lang w:val="en-US" w:eastAsia="zh-CN"/>
              </w:rPr>
            </w:pPr>
          </w:p>
        </w:tc>
      </w:tr>
    </w:tbl>
    <w:p>
      <w:pPr>
        <w:pStyle w:val="15"/>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pPr>
      <w:bookmarkStart w:id="0" w:name="_GoBack"/>
      <w:bookmarkEnd w:id="0"/>
    </w:p>
    <w:sectPr>
      <w:pgSz w:w="16838" w:h="11906" w:orient="landscape"/>
      <w:pgMar w:top="1587" w:right="2098" w:bottom="1474" w:left="1984" w:header="851" w:footer="1304"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40EA963-7BAB-480E-AD6E-44D9CA34543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C7FE0B75-99DB-4649-9EC4-869F3E512F03}"/>
  </w:font>
  <w:font w:name="仿宋_GB2312">
    <w:panose1 w:val="02010609030101010101"/>
    <w:charset w:val="86"/>
    <w:family w:val="auto"/>
    <w:pitch w:val="default"/>
    <w:sig w:usb0="00000001" w:usb1="080E0000" w:usb2="00000000" w:usb3="00000000" w:csb0="00040000" w:csb1="00000000"/>
    <w:embedRegular r:id="rId3" w:fontKey="{3AEB7872-5050-442D-8845-2E222484D835}"/>
  </w:font>
  <w:font w:name="方正小标宋简体">
    <w:panose1 w:val="02010601030101010101"/>
    <w:charset w:val="86"/>
    <w:family w:val="auto"/>
    <w:pitch w:val="default"/>
    <w:sig w:usb0="00000001" w:usb1="080E0000" w:usb2="00000000" w:usb3="00000000" w:csb0="00040000" w:csb1="00000000"/>
    <w:embedRegular r:id="rId4" w:fontKey="{2CD76C4C-6276-4DBA-B8AC-72FFB1C13ED3}"/>
  </w:font>
  <w:font w:name="方正黑体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lNjZlYjZjYzY3M2I2YjhmYjFmNTkyYjgyM2M4MjEifQ=="/>
  </w:docVars>
  <w:rsids>
    <w:rsidRoot w:val="00000000"/>
    <w:rsid w:val="013225BA"/>
    <w:rsid w:val="01D506D9"/>
    <w:rsid w:val="027112CC"/>
    <w:rsid w:val="079422B4"/>
    <w:rsid w:val="0CD0362A"/>
    <w:rsid w:val="0DD57ECE"/>
    <w:rsid w:val="10D95BF6"/>
    <w:rsid w:val="126741BF"/>
    <w:rsid w:val="12821CDF"/>
    <w:rsid w:val="13AB75EB"/>
    <w:rsid w:val="17367AD1"/>
    <w:rsid w:val="181E15AF"/>
    <w:rsid w:val="1AB8551A"/>
    <w:rsid w:val="1AEE3BBF"/>
    <w:rsid w:val="1C427076"/>
    <w:rsid w:val="201975E4"/>
    <w:rsid w:val="20F2349D"/>
    <w:rsid w:val="214B2529"/>
    <w:rsid w:val="24747FE9"/>
    <w:rsid w:val="24D26ABE"/>
    <w:rsid w:val="24FE5B05"/>
    <w:rsid w:val="262313F3"/>
    <w:rsid w:val="284D2A58"/>
    <w:rsid w:val="29D71E4B"/>
    <w:rsid w:val="2A9F19FC"/>
    <w:rsid w:val="2AEB08D9"/>
    <w:rsid w:val="2CE54580"/>
    <w:rsid w:val="2E170E53"/>
    <w:rsid w:val="2EEB0EA8"/>
    <w:rsid w:val="30AE173A"/>
    <w:rsid w:val="31DA578E"/>
    <w:rsid w:val="32A93554"/>
    <w:rsid w:val="34D523DE"/>
    <w:rsid w:val="35D12E10"/>
    <w:rsid w:val="3A4F49E1"/>
    <w:rsid w:val="3AD65514"/>
    <w:rsid w:val="3B220A43"/>
    <w:rsid w:val="3CD757EA"/>
    <w:rsid w:val="442B201A"/>
    <w:rsid w:val="455779B3"/>
    <w:rsid w:val="46696E2A"/>
    <w:rsid w:val="49F17862"/>
    <w:rsid w:val="4A001853"/>
    <w:rsid w:val="4ACF278A"/>
    <w:rsid w:val="4EA76741"/>
    <w:rsid w:val="4EB56727"/>
    <w:rsid w:val="50970469"/>
    <w:rsid w:val="51574C37"/>
    <w:rsid w:val="51E63A25"/>
    <w:rsid w:val="53780202"/>
    <w:rsid w:val="54B42FFE"/>
    <w:rsid w:val="566B7DEF"/>
    <w:rsid w:val="59284923"/>
    <w:rsid w:val="5D193652"/>
    <w:rsid w:val="5D497450"/>
    <w:rsid w:val="5DA7165D"/>
    <w:rsid w:val="5E5C4534"/>
    <w:rsid w:val="60627C05"/>
    <w:rsid w:val="60A57B09"/>
    <w:rsid w:val="61BE4076"/>
    <w:rsid w:val="62344338"/>
    <w:rsid w:val="62DA0597"/>
    <w:rsid w:val="64E21E2A"/>
    <w:rsid w:val="674C1951"/>
    <w:rsid w:val="6A541ED6"/>
    <w:rsid w:val="6A780A72"/>
    <w:rsid w:val="6BFD39ED"/>
    <w:rsid w:val="6D7A3976"/>
    <w:rsid w:val="6F4D6A39"/>
    <w:rsid w:val="700F1F41"/>
    <w:rsid w:val="70C948CD"/>
    <w:rsid w:val="728E35F1"/>
    <w:rsid w:val="7364531B"/>
    <w:rsid w:val="73AD5883"/>
    <w:rsid w:val="755318E9"/>
    <w:rsid w:val="764B6ABF"/>
    <w:rsid w:val="76AC6994"/>
    <w:rsid w:val="77147E3D"/>
    <w:rsid w:val="79396FA7"/>
    <w:rsid w:val="79FD2E0A"/>
    <w:rsid w:val="7A1E34AC"/>
    <w:rsid w:val="7B17584D"/>
    <w:rsid w:val="7C8D2B6B"/>
    <w:rsid w:val="7E920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6" w:lineRule="exact"/>
      <w:ind w:firstLine="420" w:firstLineChars="200"/>
      <w:jc w:val="both"/>
    </w:pPr>
    <w:rPr>
      <w:rFonts w:ascii="Times New Roman" w:hAnsi="Times New Roman" w:eastAsia="仿宋_GB2312" w:cstheme="minorBidi"/>
      <w:kern w:val="2"/>
      <w:sz w:val="32"/>
      <w:szCs w:val="32"/>
      <w:lang w:val="en-US" w:eastAsia="zh-CN" w:bidi="ar-SA"/>
    </w:rPr>
  </w:style>
  <w:style w:type="paragraph" w:styleId="4">
    <w:name w:val="heading 1"/>
    <w:basedOn w:val="1"/>
    <w:next w:val="1"/>
    <w:qFormat/>
    <w:uiPriority w:val="0"/>
    <w:pPr>
      <w:keepNext w:val="0"/>
      <w:keepLines w:val="0"/>
      <w:spacing w:beforeLines="0" w:beforeAutospacing="0" w:afterLines="0" w:afterAutospacing="0" w:line="576" w:lineRule="exact"/>
      <w:jc w:val="center"/>
      <w:outlineLvl w:val="0"/>
    </w:pPr>
    <w:rPr>
      <w:rFonts w:eastAsia="方正小标宋简体"/>
      <w:kern w:val="44"/>
      <w:sz w:val="44"/>
      <w:szCs w:val="44"/>
    </w:rPr>
  </w:style>
  <w:style w:type="paragraph" w:styleId="5">
    <w:name w:val="heading 2"/>
    <w:basedOn w:val="1"/>
    <w:next w:val="1"/>
    <w:semiHidden/>
    <w:unhideWhenUsed/>
    <w:qFormat/>
    <w:uiPriority w:val="0"/>
    <w:pPr>
      <w:keepNext w:val="0"/>
      <w:keepLines w:val="0"/>
      <w:kinsoku/>
      <w:spacing w:beforeLines="0" w:beforeAutospacing="0" w:afterLines="0" w:afterAutospacing="0" w:line="576" w:lineRule="exact"/>
      <w:ind w:firstLine="420" w:firstLineChars="200"/>
      <w:outlineLvl w:val="1"/>
    </w:pPr>
    <w:rPr>
      <w:rFonts w:ascii="Times New Roman" w:hAnsi="Times New Roman" w:eastAsia="方正黑体简体" w:cs="Times New Roman"/>
      <w:snapToGrid w:val="0"/>
      <w:color w:val="000000"/>
      <w:kern w:val="0"/>
      <w:sz w:val="32"/>
      <w:szCs w:val="32"/>
      <w:lang w:eastAsia="en-US"/>
    </w:rPr>
  </w:style>
  <w:style w:type="paragraph" w:styleId="6">
    <w:name w:val="heading 3"/>
    <w:basedOn w:val="1"/>
    <w:next w:val="1"/>
    <w:semiHidden/>
    <w:unhideWhenUsed/>
    <w:qFormat/>
    <w:uiPriority w:val="0"/>
    <w:pPr>
      <w:keepNext w:val="0"/>
      <w:keepLines w:val="0"/>
      <w:kinsoku/>
      <w:spacing w:beforeLines="0" w:beforeAutospacing="0" w:afterLines="0" w:afterAutospacing="0" w:line="576" w:lineRule="exact"/>
      <w:ind w:firstLine="420" w:firstLineChars="200"/>
      <w:outlineLvl w:val="2"/>
    </w:pPr>
    <w:rPr>
      <w:rFonts w:ascii="Times New Roman" w:hAnsi="Times New Roman" w:eastAsia="楷体_GB2312" w:cs="Times New Roman"/>
      <w:snapToGrid w:val="0"/>
      <w:color w:val="000000"/>
      <w:kern w:val="0"/>
      <w:sz w:val="32"/>
      <w:szCs w:val="32"/>
      <w:lang w:eastAsia="en-US"/>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after="0" w:line="576" w:lineRule="exact"/>
      <w:ind w:left="420" w:leftChars="200" w:firstLine="420" w:firstLine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0"/>
    <w:pPr>
      <w:widowControl w:val="0"/>
      <w:spacing w:after="120" w:line="576" w:lineRule="exact"/>
      <w:ind w:left="420" w:leftChars="200" w:firstLine="420" w:firstLineChars="200"/>
      <w:jc w:val="both"/>
    </w:pPr>
    <w:rPr>
      <w:rFonts w:ascii="Times New Roman" w:hAnsi="Times New Roman" w:eastAsia="仿宋_GB2312" w:cstheme="minorBidi"/>
      <w:kern w:val="2"/>
      <w:sz w:val="32"/>
      <w:szCs w:val="32"/>
      <w:lang w:val="en-US" w:eastAsia="zh-CN" w:bidi="ar-SA"/>
    </w:rPr>
  </w:style>
  <w:style w:type="paragraph" w:styleId="7">
    <w:name w:val="Normal Indent"/>
    <w:basedOn w:val="1"/>
    <w:qFormat/>
    <w:uiPriority w:val="0"/>
    <w:pPr>
      <w:spacing w:line="560" w:lineRule="exact"/>
      <w:ind w:firstLine="420"/>
    </w:pPr>
    <w:rPr>
      <w:rFonts w:ascii="Times New Roman" w:hAnsi="Times New Roman" w:eastAsia="仿宋" w:cs="Times New Roman"/>
      <w:szCs w:val="24"/>
    </w:rPr>
  </w:style>
  <w:style w:type="paragraph" w:styleId="8">
    <w:name w:val="Body Text"/>
    <w:basedOn w:val="1"/>
    <w:next w:val="1"/>
    <w:link w:val="14"/>
    <w:qFormat/>
    <w:uiPriority w:val="0"/>
    <w:pPr>
      <w:kinsoku/>
      <w:spacing w:line="576" w:lineRule="exact"/>
      <w:ind w:firstLine="880" w:firstLineChars="200"/>
      <w:jc w:val="both"/>
    </w:pPr>
    <w:rPr>
      <w:rFonts w:ascii="Times New Roman" w:hAnsi="Times New Roman" w:eastAsia="仿宋_GB2312" w:cs="Times New Roman"/>
      <w:snapToGrid w:val="0"/>
      <w:color w:val="000000"/>
      <w:kern w:val="0"/>
      <w:sz w:val="32"/>
      <w:szCs w:val="32"/>
      <w:lang w:eastAsia="en-US"/>
    </w:rPr>
  </w:style>
  <w:style w:type="paragraph" w:styleId="9">
    <w:name w:val="footer"/>
    <w:basedOn w:val="1"/>
    <w:next w:val="1"/>
    <w:qFormat/>
    <w:uiPriority w:val="0"/>
    <w:pPr>
      <w:tabs>
        <w:tab w:val="center" w:pos="4153"/>
        <w:tab w:val="right" w:pos="8306"/>
      </w:tabs>
      <w:snapToGrid w:val="0"/>
      <w:spacing w:line="240" w:lineRule="auto"/>
      <w:ind w:left="320" w:leftChars="100" w:right="320" w:rightChars="100" w:firstLine="0" w:firstLineChars="0"/>
      <w:jc w:val="left"/>
    </w:pPr>
    <w:rPr>
      <w:rFonts w:eastAsia="宋体"/>
      <w:position w:val="6"/>
      <w:sz w:val="28"/>
      <w:szCs w:val="2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正文文本 Char"/>
    <w:link w:val="8"/>
    <w:qFormat/>
    <w:uiPriority w:val="0"/>
    <w:rPr>
      <w:rFonts w:ascii="Times New Roman" w:hAnsi="Times New Roman" w:eastAsia="仿宋_GB2312" w:cs="Times New Roman"/>
      <w:snapToGrid w:val="0"/>
      <w:color w:val="000000"/>
      <w:kern w:val="0"/>
      <w:sz w:val="32"/>
      <w:szCs w:val="32"/>
      <w:lang w:eastAsia="en-US"/>
    </w:rPr>
  </w:style>
  <w:style w:type="paragraph" w:customStyle="1" w:styleId="15">
    <w:name w:val="常用样式（方正仿宋简）"/>
    <w:basedOn w:val="1"/>
    <w:qFormat/>
    <w:uiPriority w:val="99"/>
    <w:pPr>
      <w:spacing w:line="560" w:lineRule="exact"/>
      <w:ind w:firstLine="640" w:firstLineChars="200"/>
    </w:pPr>
    <w:rPr>
      <w:rFonts w:eastAsia="仿宋_GB2312" w:asciiTheme="minorAscii" w:hAnsiTheme="minorAscii" w:cstheme="minorBidi"/>
      <w:sz w:val="32"/>
    </w:rPr>
  </w:style>
  <w:style w:type="paragraph" w:customStyle="1" w:styleId="16">
    <w:name w:val="章标题"/>
    <w:next w:val="17"/>
    <w:qFormat/>
    <w:uiPriority w:val="99"/>
    <w:pPr>
      <w:widowControl/>
      <w:spacing w:before="158" w:after="153" w:line="323" w:lineRule="atLeast"/>
      <w:ind w:right="-120" w:firstLine="880" w:firstLineChars="200"/>
      <w:jc w:val="left"/>
      <w:textAlignment w:val="baseline"/>
    </w:pPr>
    <w:rPr>
      <w:rFonts w:ascii="Calibri" w:hAnsi="Calibri" w:eastAsia="仿宋_GB2312" w:cstheme="minorBidi"/>
      <w:color w:val="000000"/>
      <w:kern w:val="2"/>
      <w:sz w:val="32"/>
      <w:szCs w:val="24"/>
      <w:lang w:val="en-US" w:eastAsia="zh-CN" w:bidi="ar-SA"/>
    </w:rPr>
  </w:style>
  <w:style w:type="paragraph" w:customStyle="1" w:styleId="17">
    <w:name w:val="节标题"/>
    <w:next w:val="1"/>
    <w:qFormat/>
    <w:uiPriority w:val="99"/>
    <w:pPr>
      <w:widowControl/>
      <w:spacing w:line="289" w:lineRule="atLeast"/>
      <w:ind w:firstLine="880" w:firstLineChars="200"/>
      <w:jc w:val="center"/>
      <w:textAlignment w:val="baseline"/>
    </w:pPr>
    <w:rPr>
      <w:rFonts w:ascii="Times New Roman" w:hAnsi="Times New Roman" w:eastAsia="方正仿宋简体" w:cstheme="minorBidi"/>
      <w:color w:val="000000"/>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10778</Words>
  <Characters>11179</Characters>
  <Lines>0</Lines>
  <Paragraphs>0</Paragraphs>
  <TotalTime>0</TotalTime>
  <ScaleCrop>false</ScaleCrop>
  <LinksUpToDate>false</LinksUpToDate>
  <CharactersWithSpaces>11202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2023-09-11T09:28:00Z</dcterms:created>
  <dc:creator>Administrator</dc:creator>
  <cp:lastModifiedBy>Admin</cp:lastModifiedBy>
  <cp:lastPrinted>2025-11-11T07:29:00Z</cp:lastPrinted>
  <dcterms:modified xsi:type="dcterms:W3CDTF">2025-11-12T02:44:03Z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726186E4128740559F38A01226F9D37E_13</vt:lpwstr>
  </property>
</Properties>
</file>