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遂宁市安居区</w:t>
      </w:r>
      <w:r>
        <w:rPr>
          <w:rFonts w:hint="eastAsia"/>
          <w:lang w:val="en-US" w:eastAsia="zh-CN"/>
        </w:rPr>
        <w:t>应急管理局拟调整部分行政权力事项目录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6"/>
        <w:tblW w:w="1394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3"/>
        <w:gridCol w:w="487"/>
        <w:gridCol w:w="538"/>
        <w:gridCol w:w="512"/>
        <w:gridCol w:w="2550"/>
        <w:gridCol w:w="563"/>
        <w:gridCol w:w="612"/>
        <w:gridCol w:w="813"/>
        <w:gridCol w:w="413"/>
        <w:gridCol w:w="487"/>
        <w:gridCol w:w="2864"/>
        <w:gridCol w:w="922"/>
        <w:gridCol w:w="922"/>
        <w:gridCol w:w="1217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4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清单序号</w:t>
            </w:r>
          </w:p>
        </w:tc>
        <w:tc>
          <w:tcPr>
            <w:tcW w:w="505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当前情况</w:t>
            </w:r>
          </w:p>
        </w:tc>
        <w:tc>
          <w:tcPr>
            <w:tcW w:w="41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调整方式</w:t>
            </w:r>
          </w:p>
        </w:tc>
        <w:tc>
          <w:tcPr>
            <w:tcW w:w="7039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权力类型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权力名称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行使层级</w:t>
            </w:r>
          </w:p>
        </w:tc>
        <w:tc>
          <w:tcPr>
            <w:tcW w:w="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权力类型</w:t>
            </w:r>
          </w:p>
        </w:tc>
        <w:tc>
          <w:tcPr>
            <w:tcW w:w="2864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权力名称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行使层级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3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省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市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县</w:t>
            </w:r>
          </w:p>
        </w:tc>
        <w:tc>
          <w:tcPr>
            <w:tcW w:w="413" w:type="dxa"/>
            <w:vMerge w:val="continue"/>
            <w:tcBorders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64" w:type="dxa"/>
            <w:vMerge w:val="continue"/>
            <w:tcBorders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省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市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县</w:t>
            </w:r>
          </w:p>
        </w:tc>
        <w:tc>
          <w:tcPr>
            <w:tcW w:w="627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3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8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487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2864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  <w:t>对未按照规定采取预防措施，导致发生较大以上突发事件的；未及时消除已发现的可能引发突发事件的隐患，导致发生较大以上突发事件的；未做好应急物资储备和应急设备，设施日常维护、检测工作，导致发生较大以上突发事件或者突发事件危害扩大的；突发事件发生后，不及时组织开展应急救援工作，造成严重后果的行政处罚。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✔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✔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✔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职责范围内行使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遂宁市安居区</w:t>
      </w:r>
      <w:r>
        <w:rPr>
          <w:rFonts w:hint="eastAsia"/>
          <w:lang w:val="en-US" w:eastAsia="zh-CN"/>
        </w:rPr>
        <w:t>应急管理局部分行政权力事项调整情况表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8"/>
        <w:gridCol w:w="625"/>
        <w:gridCol w:w="675"/>
        <w:gridCol w:w="588"/>
        <w:gridCol w:w="587"/>
        <w:gridCol w:w="1675"/>
        <w:gridCol w:w="588"/>
        <w:gridCol w:w="687"/>
        <w:gridCol w:w="4504"/>
        <w:gridCol w:w="959"/>
        <w:gridCol w:w="1525"/>
        <w:gridCol w:w="575"/>
        <w:gridCol w:w="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7" w:hRule="atLeast"/>
        </w:trPr>
        <w:tc>
          <w:tcPr>
            <w:tcW w:w="458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对应区直部门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清单序号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清单序号</w:t>
            </w:r>
          </w:p>
        </w:tc>
        <w:tc>
          <w:tcPr>
            <w:tcW w:w="825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  <w:t>责任清单</w:t>
            </w:r>
          </w:p>
        </w:tc>
        <w:tc>
          <w:tcPr>
            <w:tcW w:w="376" w:type="dxa"/>
            <w:vMerge w:val="restart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458" w:type="dxa"/>
            <w:vMerge w:val="continue"/>
            <w:tcBorders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25" w:type="dxa"/>
            <w:vMerge w:val="continue"/>
            <w:tcBorders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88" w:type="dxa"/>
            <w:vMerge w:val="continue"/>
            <w:tcBorders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权力类型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权力名称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设定依据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责任主体</w:t>
            </w:r>
          </w:p>
        </w:tc>
        <w:tc>
          <w:tcPr>
            <w:tcW w:w="4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责任事项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问责依据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追责情形及免责情形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监督方式</w:t>
            </w:r>
          </w:p>
        </w:tc>
        <w:tc>
          <w:tcPr>
            <w:tcW w:w="376" w:type="dxa"/>
            <w:vMerge w:val="continue"/>
            <w:tcBorders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458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调整前情况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88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87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88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504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59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7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6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>
            <w:pPr>
              <w:pStyle w:val="2"/>
              <w:bidi w:val="0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调整方式</w:t>
            </w:r>
          </w:p>
        </w:tc>
        <w:tc>
          <w:tcPr>
            <w:tcW w:w="12739" w:type="dxa"/>
            <w:gridSpan w:val="11"/>
          </w:tcPr>
          <w:p>
            <w:pPr>
              <w:pStyle w:val="2"/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>
            <w:pPr>
              <w:pStyle w:val="2"/>
              <w:bidi w:val="0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调整后情况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区应急管理局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行政处罚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对未按照规定采取预防措施，导致发生较大以上突发事件的；未及时消除已发现的可能引发突发事件的隐患，导致发生较大以上突发事件的；未做好应急物资储备和应急设备，设施日常维护、检测工作，导致发生较大以上突发事件或者突发事件危害扩大的；突发事件发生后，不及时组织开展应急救援工作，造成严重后果的行政处罚。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中华人民共和国突发事件应对法(2024修订) 第九十六条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区应急局综合行政执法大队</w:t>
            </w:r>
          </w:p>
        </w:tc>
        <w:tc>
          <w:tcPr>
            <w:tcW w:w="4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1.立案责任：对未按照规定采取预防措施，导致发生较大以上突发事件的；未及时消除已发现的可能引发突发事件的隐患，导致发生较大以上突发事件的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未做好应急物资储备和应急设备，设施日常维护、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测工作，导致发生较大以上突发事件或者突发事件危害扩大的；突发事件发生后，不及时组织开展应急救援工作，造成严重后果的予以审查，决定是否立案。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2.调查责任：对立案的案件及时组织调查取证，与当事人有直接利害关系的应当回避。执法人员不得少于两人，询问或者检查应当制作笔录，允许当事人辩解。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3.审查责任：对案件违法事实、证据、调查取证程序、法律适用、处罚种类和幅度、当事人陈述和申辩等进行审查，提出处理意见。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4.告知责任：作出行政处罚决定前，应制作《行政处罚告知书》送达当事人，告知其作出行政处罚决定的事实、理由及依据，并告知当事人依法享有的权利。符合听证规定的，制作并送达《行政处罚听证告知书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5.决定责任：作出行政处罚决定，制作《行政处罚决定书》，并载明行政处罚告知、当事人陈述申辩或者听证情况等内容。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6.送达责任：按照法律法规规定的方式和时限，将《行政处罚决定书》送达当事人。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7.执行责任：依照生效的行政处罚决定执行。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8.其他责任：法律法规规章规定应履行的其他责任。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《中华人民共和国突发事件应对法(2024修订)》《中华人民共和国行政处罚法》《应急管理行政执法人员依法履职管理规定》《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中华人民共和国公职人员政务处分法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》《安全生产领域违法违纪行为政纪处分暂行规定》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追责情形：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《中华人民共和国突发事件应对法(2024修订)》《中华人民共和国行政处罚法》《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中华人民共和国公职人员政务处分法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》《应急管理行政执法人员依法履职管理规定》以及其他依法应当追究的情形。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免责情形：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《中华人民共和国公职人员政务处分法》《应急管理行政执法人员依法履职管理规定》以及其他依法应当免责的情形。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0825-8665559</w:t>
            </w:r>
          </w:p>
        </w:tc>
        <w:tc>
          <w:tcPr>
            <w:tcW w:w="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职责范围内行使</w:t>
            </w:r>
          </w:p>
        </w:tc>
      </w:tr>
    </w:tbl>
    <w:p/>
    <w:sectPr>
      <w:pgSz w:w="16838" w:h="11905" w:orient="landscape"/>
      <w:pgMar w:top="1134" w:right="1701" w:bottom="1020" w:left="1531" w:header="850" w:footer="1559" w:gutter="0"/>
      <w:lnNumType w:countBy="0" w:distance="36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82292"/>
    <w:rsid w:val="209C49C1"/>
    <w:rsid w:val="24A16B4F"/>
    <w:rsid w:val="2EC76EC5"/>
    <w:rsid w:val="36A345B8"/>
    <w:rsid w:val="407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2021-09-27T09:07:00Z</dcterms:created>
  <dc:creator>pc1</dc:creator>
  <cp:lastModifiedBy>安居区应急局</cp:lastModifiedBy>
  <dcterms:modified xsi:type="dcterms:W3CDTF">2025-11-12T07:32:29Z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65E32A5AAE5A43ABA37AD901F96CEA32</vt:lpwstr>
  </property>
  <property fmtid="{D5CDD505-2E9C-101B-9397-08002B2CF9AE}" pid="4" name="KSOTemplateDocerSaveRecord">
    <vt:lpwstr>eyJoZGlkIjoiNTY0ZWU2YjFhMDU1MzhiNDA5ZGQ3NTNlMTcyODcyYTkiLCJ1c2VySWQiOiI1MTQwMjEwMzQifQ==</vt:lpwstr>
  </property>
</Properties>
</file>