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b/>
          <w:bCs/>
          <w:sz w:val="32"/>
          <w:szCs w:val="32"/>
          <w:lang w:eastAsia="zh-CN"/>
        </w:rPr>
      </w:pPr>
      <w:r>
        <w:rPr>
          <w:rFonts w:hint="eastAsia" w:ascii="宋体" w:hAnsi="宋体" w:eastAsia="宋体" w:cs="宋体"/>
          <w:b/>
          <w:bCs/>
          <w:kern w:val="0"/>
          <w:sz w:val="32"/>
          <w:szCs w:val="32"/>
          <w:lang w:val="en-US" w:eastAsia="zh-CN"/>
        </w:rPr>
        <w:t>遂宁市</w:t>
      </w:r>
      <w:r>
        <w:rPr>
          <w:rFonts w:hint="eastAsia" w:ascii="宋体" w:hAnsi="宋体" w:eastAsia="宋体" w:cs="宋体"/>
          <w:b/>
          <w:bCs/>
          <w:kern w:val="0"/>
          <w:sz w:val="32"/>
          <w:szCs w:val="32"/>
          <w:lang w:eastAsia="zh-CN"/>
        </w:rPr>
        <w:t>安居区经科局</w:t>
      </w:r>
      <w:r>
        <w:rPr>
          <w:rFonts w:hint="eastAsia" w:ascii="宋体" w:hAnsi="宋体" w:eastAsia="宋体" w:cs="宋体"/>
          <w:b/>
          <w:bCs/>
          <w:kern w:val="0"/>
          <w:sz w:val="32"/>
          <w:szCs w:val="32"/>
          <w:lang w:val="en-US" w:eastAsia="zh-CN"/>
        </w:rPr>
        <w:t>行政权力</w:t>
      </w:r>
      <w:r>
        <w:rPr>
          <w:rFonts w:hint="eastAsia" w:ascii="宋体" w:hAnsi="宋体" w:eastAsia="宋体" w:cs="宋体"/>
          <w:b/>
          <w:bCs/>
          <w:kern w:val="0"/>
          <w:sz w:val="32"/>
          <w:szCs w:val="32"/>
        </w:rPr>
        <w:t>责任清单</w:t>
      </w:r>
      <w:bookmarkStart w:id="0" w:name="_GoBack"/>
      <w:bookmarkEnd w:id="0"/>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表1：主体责任表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主体责任</w:t>
            </w:r>
          </w:p>
        </w:tc>
        <w:tc>
          <w:tcPr>
            <w:tcW w:w="710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lang w:eastAsia="zh-CN"/>
              </w:rPr>
              <w:t>贯彻实施法律法规。贯彻实施国家、省、市有关工业经济、科技、信息化和无线电管理的方针、政策和法律、法规，研究拟订全区有关工业经济、科技促进经济与社会发展、信息化和无线电管理的政策措施并组织实施；组织推动科技和信息化、工业化融合，承担推进全区工业结构调整、全区科技创新体系建设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lang w:eastAsia="zh-CN"/>
              </w:rPr>
              <w:t>拟订工业行业发展规划。承担拟订新型工业化发展战略和重大政策，协调解决新型工业化进程中的重大问题，组织实施工业强区、科技兴区战略；承担制定并组织实施工业行业的发展规划、年度计划和产业政策。</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lang w:eastAsia="zh-CN"/>
              </w:rPr>
              <w:t>工业经济运行及要素保障。建立全区工业经济运行预警机制，拟订中、近期经济运行目标、政策并组织实施，协调解决经济运行中的重大问题；承担电力、煤炭、成品油、天然气等重要物资综合调控、紧急调度和交通运输协调工作；承担全区盐业行业管理和食盐专营管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w:t>
            </w:r>
            <w:r>
              <w:rPr>
                <w:rFonts w:hint="eastAsia" w:ascii="宋体" w:hAnsi="宋体" w:eastAsia="宋体" w:cs="宋体"/>
                <w:kern w:val="0"/>
                <w:sz w:val="21"/>
                <w:szCs w:val="21"/>
                <w:lang w:eastAsia="zh-CN"/>
              </w:rPr>
              <w:t>推进企业技术改造和科技创新。指导全区企业技术改造项目申报国家、省、市有关专项计划并组织实施；承担科技研发平台的申报和管理；负责科技成果鉴定；负责科技示范区（基地）和产业项目工作。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lang w:eastAsia="zh-CN"/>
              </w:rPr>
              <w:t>协调园区建设服务。承担全区工业园区建设发展的综合协调和服务工作，指导工业园区合理布局，组织申报工业园区公共服务平台项目。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lang w:eastAsia="zh-CN"/>
              </w:rPr>
              <w:t>管理工业节能降耗。负责工业和信息化环境和资源综合利用工作；承担本行业节能节水降耗、循环经济发展、资源综合利用、清洁生产及低碳经济发展工作；承担工业企业淘汰落后产能、节能节水技术改造工作，组织申报国家、省财政淘汰落后产能专项资金项目和节能技术改造奖励资金项目；承担监管考核重点工业用能企业节能节水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7.</w:t>
            </w:r>
            <w:r>
              <w:rPr>
                <w:rFonts w:hint="eastAsia" w:ascii="宋体" w:hAnsi="宋体" w:eastAsia="宋体" w:cs="宋体"/>
                <w:kern w:val="0"/>
                <w:sz w:val="21"/>
                <w:szCs w:val="21"/>
                <w:lang w:eastAsia="zh-CN"/>
              </w:rPr>
              <w:t>人才培训及其他管理。指导企业建立现代企业制度、改组改造、兼并重组；承担全区企业治乱减负工作；组织和指导园区开展企业经营管理人员、专业技术人员培训，国（境）外人才、智力工作管理；承担全区规模以上工业企业和龙头骨干企业的培育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8.</w:t>
            </w:r>
            <w:r>
              <w:rPr>
                <w:rFonts w:hint="eastAsia" w:ascii="宋体" w:hAnsi="宋体" w:eastAsia="宋体" w:cs="宋体"/>
                <w:kern w:val="0"/>
                <w:sz w:val="21"/>
                <w:szCs w:val="21"/>
                <w:lang w:eastAsia="zh-CN"/>
              </w:rPr>
              <w:t>制定科技发展规划。组织编制全区科学技术发展的中长期规划和年度计划；实施管理科技计划及企业技术创新项目；深化科技体制改革；研究科技投入措施，优化科技资源配置。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9.</w:t>
            </w:r>
            <w:r>
              <w:rPr>
                <w:rFonts w:hint="eastAsia" w:ascii="宋体" w:hAnsi="宋体" w:eastAsia="宋体" w:cs="宋体"/>
                <w:kern w:val="0"/>
                <w:sz w:val="21"/>
                <w:szCs w:val="21"/>
                <w:lang w:eastAsia="zh-CN"/>
              </w:rPr>
              <w:t>建设科技服务体系。审核区级科研机构和科技服务机构的组建和调整，优化科研机构和科技服务机构布局；拟订促进技术市场、科技中介组织发展的政策措施，承担相关技术合同审核、科技评估管理、科技统计管理工作；承担全区科技合作交流，抓好区校合作、企校合作、产学研技术创新联盟建设。</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r>
              <w:rPr>
                <w:rFonts w:hint="eastAsia" w:ascii="宋体" w:hAnsi="宋体" w:eastAsia="宋体" w:cs="宋体"/>
                <w:kern w:val="0"/>
                <w:sz w:val="21"/>
                <w:szCs w:val="21"/>
                <w:lang w:eastAsia="zh-CN"/>
              </w:rPr>
              <w:t>统筹推进信息化工作。承担全区信息基础设施建设的规划、协调和管理，协调电信市场涉及社会公共利益的重大事项；指导企业信息化和物联网发展，推动跨行业、跨部门面向社会服务网络的互联互通和信息资源共享；负责数字经济产业、大数据管理相关职责。</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11.</w:t>
            </w:r>
            <w:r>
              <w:rPr>
                <w:rFonts w:hint="eastAsia" w:ascii="宋体" w:hAnsi="宋体" w:eastAsia="宋体" w:cs="宋体"/>
                <w:kern w:val="0"/>
                <w:sz w:val="21"/>
                <w:szCs w:val="21"/>
                <w:lang w:eastAsia="zh-CN"/>
              </w:rPr>
              <w:t>协助无线电管理。协助上级无线电管理部门统一配置和管理全区无线电频率资源，依法监督管理无线电台（站），协助做好无线电电磁环境保护、无线电监测、检测和干扰查处工作，依法组织实施无线电管制。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12.</w:t>
            </w:r>
            <w:r>
              <w:rPr>
                <w:rFonts w:hint="eastAsia" w:ascii="宋体" w:hAnsi="宋体" w:eastAsia="宋体" w:cs="宋体"/>
                <w:kern w:val="0"/>
                <w:sz w:val="21"/>
                <w:szCs w:val="21"/>
                <w:lang w:eastAsia="zh-CN"/>
              </w:rPr>
              <w:t>对外经济合作。会同有关部门提出工业和信息化领域对外开放和利用外资的政策建议，参与区域经济合作和承接产业转移工作；指导工业和信息化企业开展对外交流与合作、国际化经营、境外投资及兼并重组。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13.</w:t>
            </w:r>
            <w:r>
              <w:rPr>
                <w:rFonts w:hint="eastAsia" w:ascii="宋体" w:hAnsi="宋体" w:eastAsia="宋体" w:cs="宋体"/>
                <w:kern w:val="0"/>
                <w:sz w:val="21"/>
                <w:szCs w:val="21"/>
                <w:lang w:eastAsia="zh-CN"/>
              </w:rPr>
              <w:t>负责职责范围内的安全生产和职业健康、生态环境保护、审批服务便民化、市场监管、依法治理等工作。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14.</w:t>
            </w:r>
            <w:r>
              <w:rPr>
                <w:rFonts w:hint="eastAsia" w:ascii="宋体" w:hAnsi="宋体" w:eastAsia="宋体" w:cs="宋体"/>
                <w:kern w:val="0"/>
                <w:sz w:val="21"/>
                <w:szCs w:val="21"/>
                <w:lang w:eastAsia="zh-CN"/>
              </w:rPr>
              <w:t>完成区委和区政府交办的其他任务。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b/>
                <w:sz w:val="21"/>
                <w:szCs w:val="21"/>
              </w:rPr>
            </w:pPr>
            <w:r>
              <w:rPr>
                <w:rFonts w:hint="eastAsia" w:ascii="宋体" w:hAnsi="宋体" w:eastAsia="宋体" w:cs="宋体"/>
                <w:b w:val="0"/>
                <w:bCs/>
                <w:sz w:val="21"/>
                <w:szCs w:val="21"/>
              </w:rPr>
              <w:t>职责边界</w:t>
            </w:r>
          </w:p>
        </w:tc>
        <w:tc>
          <w:tcPr>
            <w:tcW w:w="710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lang w:eastAsia="zh-CN"/>
              </w:rPr>
              <w:t>与区发改局有关职责的分工。区经科局负责指导协调电力生产运行调度；监测、分析全区电力运行情况，协调处理电力运行中的重大问题；区发改局负责农网改造相关工作。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2.与区市场监管局有关职责的分工。区经科局为全区盐业主管部门，负责全区盐业行业管理和食盐专营管理工作；区市场监管局负责全区的食盐质量安全管理与监督执法。区经科局负责医药生产行业指导管理；区市场监管局负责药品、医疗器械和化妆品质量管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3.与区农业农村局有关职责的分工。区经科局负责农产品加工业（精深加工）相关工作；区农业农村局负责农产品加工业（产地初加工）相关工作。区经科局负责农业装备工业相关工作；农业农村局负责农业机械化相关工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lang w:eastAsia="zh-CN"/>
              </w:rPr>
              <w:t>4.与安居生态环境局有关职责的分工。区经科局负责拟订并组织实施全区工业能源节约和资源综合利用政策，参与拟订能源节约和资源综合利用规划；承担工业企业的节能考核和节能监察工作。安居生态环境局负责节能减排的综合协调工作，组织拟订节约能源资源及综合利用的规划和政策措施并协调实施。</w:t>
            </w:r>
          </w:p>
          <w:p>
            <w:pPr>
              <w:pStyle w:val="2"/>
              <w:keepNext w:val="0"/>
              <w:keepLines w:val="0"/>
              <w:pageBreakBefore w:val="0"/>
              <w:widowControl w:val="0"/>
              <w:numPr>
                <w:ilvl w:val="0"/>
                <w:numId w:val="0"/>
              </w:numPr>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lang w:eastAsia="zh-CN"/>
              </w:rPr>
              <w:t>与区市场监管局有关职责的分工</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lang w:eastAsia="zh-CN"/>
              </w:rPr>
              <w:t>区经科局</w:t>
            </w:r>
            <w:r>
              <w:rPr>
                <w:rFonts w:hint="eastAsia" w:ascii="宋体" w:hAnsi="宋体" w:eastAsia="宋体" w:cs="宋体"/>
                <w:kern w:val="0"/>
                <w:sz w:val="21"/>
                <w:szCs w:val="21"/>
              </w:rPr>
              <w:t>负责全</w:t>
            </w:r>
            <w:r>
              <w:rPr>
                <w:rFonts w:hint="eastAsia" w:ascii="宋体" w:hAnsi="宋体" w:eastAsia="宋体" w:cs="宋体"/>
                <w:kern w:val="0"/>
                <w:sz w:val="21"/>
                <w:szCs w:val="21"/>
                <w:lang w:eastAsia="zh-CN"/>
              </w:rPr>
              <w:t>区</w:t>
            </w:r>
            <w:r>
              <w:rPr>
                <w:rFonts w:hint="eastAsia" w:ascii="宋体" w:hAnsi="宋体" w:eastAsia="宋体" w:cs="宋体"/>
                <w:kern w:val="0"/>
                <w:sz w:val="21"/>
                <w:szCs w:val="21"/>
              </w:rPr>
              <w:t>民营经济发展工作的任务制定、调查研究、统筹协调、督促落实及民营企业合法权益维护;</w:t>
            </w:r>
            <w:r>
              <w:rPr>
                <w:rFonts w:hint="eastAsia" w:ascii="宋体" w:hAnsi="宋体" w:eastAsia="宋体" w:cs="宋体"/>
                <w:kern w:val="0"/>
                <w:sz w:val="21"/>
                <w:szCs w:val="21"/>
                <w:lang w:eastAsia="zh-CN"/>
              </w:rPr>
              <w:t>区</w:t>
            </w:r>
            <w:r>
              <w:rPr>
                <w:rFonts w:hint="eastAsia" w:ascii="宋体" w:hAnsi="宋体" w:eastAsia="宋体" w:cs="宋体"/>
                <w:kern w:val="0"/>
                <w:sz w:val="21"/>
                <w:szCs w:val="21"/>
              </w:rPr>
              <w:t>市场监督管理局负责为民营经济发展营造宽松的准入环境</w:t>
            </w:r>
            <w:r>
              <w:rPr>
                <w:rFonts w:hint="eastAsia" w:ascii="宋体" w:hAnsi="宋体" w:eastAsia="宋体" w:cs="宋体"/>
                <w:kern w:val="0"/>
                <w:sz w:val="21"/>
                <w:szCs w:val="21"/>
                <w:lang w:eastAsia="zh-CN"/>
              </w:rPr>
              <w:t>。</w:t>
            </w:r>
          </w:p>
        </w:tc>
      </w:tr>
    </w:tbl>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b w:val="0"/>
          <w:bCs w:val="0"/>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表2-</w:t>
      </w:r>
      <w:r>
        <w:rPr>
          <w:rFonts w:hint="eastAsia" w:ascii="宋体" w:hAnsi="宋体" w:eastAsia="宋体" w:cs="宋体"/>
          <w:b w:val="0"/>
          <w:bCs w:val="0"/>
          <w:color w:val="000000"/>
          <w:sz w:val="21"/>
          <w:szCs w:val="21"/>
          <w:lang w:val="en-US" w:eastAsia="zh-CN"/>
        </w:rPr>
        <w:t>1</w:t>
      </w:r>
      <w:r>
        <w:rPr>
          <w:rFonts w:hint="eastAsia" w:ascii="宋体" w:hAnsi="宋体" w:eastAsia="宋体" w:cs="宋体"/>
          <w:b w:val="0"/>
          <w:bCs w:val="0"/>
          <w:color w:val="000000"/>
          <w:sz w:val="21"/>
          <w:szCs w:val="21"/>
        </w:rPr>
        <w:t>.具体责任表</w:t>
      </w:r>
    </w:p>
    <w:tbl>
      <w:tblPr>
        <w:tblStyle w:val="7"/>
        <w:tblW w:w="9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序 号</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权力类型</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权力项目名称</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对违反原油、成品油市场管理有关规定的处罚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责任主体</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环境和资源综合利用股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责任事项</w:t>
            </w:r>
          </w:p>
        </w:tc>
        <w:tc>
          <w:tcPr>
            <w:tcW w:w="7862"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1.立案责任：发现涉嫌违反成品油市场管理的违法行为（或者利害关系人举报），予以审查，决定是否立案（不予立案告知理由），制发立案文书。</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2调查责任：立案的案件，指定专人负责，及时组织调查取证，与当事人有直接利害关系的应当回避。执法人员不得少于两人，调查时应出示证件，允许当事人辩解。</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3.审查责任：审理案件调查报告，对案件违法事实、证据、调查取证程序、法律适用、处罚种类和幅度、当事人陈述和申辩，提出处理意见。</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4.告知责任：作出行政处罚决定前，应制作《行政处罚告知书》送达当事人，符合听证规定的，制作并送达《行政处罚听证告知书》。</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5.决定责任：制作《行政处罚决定书》，载明行政处罚告知、当事人陈述申辩或者听证情况等内容。</w:t>
            </w:r>
          </w:p>
          <w:p>
            <w:pPr>
              <w:keepNext w:val="0"/>
              <w:keepLines w:val="0"/>
              <w:pageBreakBefore w:val="0"/>
              <w:kinsoku/>
              <w:wordWrap/>
              <w:overflowPunct/>
              <w:topLinePunct w:val="0"/>
              <w:autoSpaceDE/>
              <w:autoSpaceDN/>
              <w:bidi w:val="0"/>
              <w:spacing w:line="240" w:lineRule="auto"/>
              <w:ind w:firstLine="352" w:firstLineChars="200"/>
              <w:textAlignment w:val="auto"/>
              <w:rPr>
                <w:rFonts w:hint="eastAsia" w:ascii="宋体" w:hAnsi="宋体" w:eastAsia="宋体" w:cs="宋体"/>
                <w:spacing w:val="-17"/>
                <w:kern w:val="0"/>
                <w:sz w:val="21"/>
                <w:szCs w:val="21"/>
              </w:rPr>
            </w:pPr>
            <w:r>
              <w:rPr>
                <w:rFonts w:hint="eastAsia" w:ascii="宋体" w:hAnsi="宋体" w:eastAsia="宋体" w:cs="宋体"/>
                <w:spacing w:val="-17"/>
                <w:kern w:val="0"/>
                <w:sz w:val="21"/>
                <w:szCs w:val="21"/>
              </w:rPr>
              <w:t>6.送达责任：行政处罚决定书按法律规定的方式送达当事人。</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7.执行责任：依照生效的行政处罚决定，处警告、责令停业整顿、罚款等行政处罚。</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追责情形</w:t>
            </w:r>
          </w:p>
        </w:tc>
        <w:tc>
          <w:tcPr>
            <w:tcW w:w="7862" w:type="dxa"/>
            <w:vAlign w:val="center"/>
          </w:tcPr>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sz w:val="21"/>
                <w:szCs w:val="21"/>
              </w:rPr>
            </w:pPr>
            <w:r>
              <w:rPr>
                <w:rFonts w:hint="eastAsia" w:ascii="宋体" w:hAnsi="宋体" w:eastAsia="宋体" w:cs="宋体"/>
                <w:kern w:val="0"/>
                <w:sz w:val="21"/>
                <w:szCs w:val="21"/>
              </w:rPr>
              <w:t xml:space="preserve">    对不履行或不正确履行行政职责的行政机关及其工作人员，依据《中华人民共和国行政许可法》《中华人民共和国行政处罚法》《行政机关公务员处分条例》《四川省行政执法监督条例》《四川省行政审批违法违纪行为责任追究办法》《四川省行政机关工作人员行政过错责任追究试行办法》《成品油市场管理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监督电话</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p>
    <w:p>
      <w:pPr>
        <w:pStyle w:val="2"/>
        <w:keepNext w:val="0"/>
        <w:keepLines w:val="0"/>
        <w:pageBreakBefore w:val="0"/>
        <w:numPr>
          <w:ilvl w:val="0"/>
          <w:numId w:val="0"/>
        </w:numPr>
        <w:kinsoku/>
        <w:wordWrap/>
        <w:overflowPunct/>
        <w:topLinePunct w:val="0"/>
        <w:autoSpaceDE/>
        <w:autoSpaceDN/>
        <w:bidi w:val="0"/>
        <w:spacing w:line="240" w:lineRule="auto"/>
        <w:ind w:leftChars="0"/>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表2-</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.具体责任表</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 号</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kern w:val="0"/>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对违反节约能源管理有关规定的处罚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环境和资源综合利用股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109" w:type="dxa"/>
            <w:tcBorders>
              <w:bottom w:val="single" w:color="auto" w:sz="4" w:space="0"/>
            </w:tcBorders>
            <w:vAlign w:val="center"/>
          </w:tcPr>
          <w:p>
            <w:pPr>
              <w:keepNext w:val="0"/>
              <w:keepLines w:val="0"/>
              <w:pageBreakBefore w:val="0"/>
              <w:numPr>
                <w:ilvl w:val="0"/>
                <w:numId w:val="2"/>
              </w:numPr>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立案责任：依法立案或不予立案（不予立案应告知理由），依法制发立案文件。</w:t>
            </w:r>
          </w:p>
          <w:p>
            <w:pPr>
              <w:keepNext w:val="0"/>
              <w:keepLines w:val="0"/>
              <w:pageBreakBefore w:val="0"/>
              <w:numPr>
                <w:ilvl w:val="0"/>
                <w:numId w:val="2"/>
              </w:numPr>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调查责任：及时组织调查取证，与当事人有直接利害关系的应当回避。执法人员不得少于两人，调查时应出示证件，允许当事人辩解，依法进行调查（检查）和收集证据。</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3.审查责任：审理案件调查报告，对案件违法事实、证据、调查取证程序、法律适用、处罚种类和幅度、当事人陈述和申辩，提出处理意见。</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4.告知责任：作出行政处罚决定前，应制作《行政处罚告知书》送达当事人，符合听证规定的，制作并送达《行政处罚听证告知书》。</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5.决定责任：依法作出行政处罚决定，制作《行政处罚决定书》载明行政处罚告知、当事人陈述申辩或者听证情况等内容。</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6.送达责任：行政处罚决定书按法律规定的方式送达当事人。</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7.执行责任：依照生效的行政处罚决定，对当事人进行行政处罚（警告、责令限期改正、罚款等）。</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109"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rPr>
              <w:t>对不履行或不正确履行行政职责的行政机关及其工作人员，依据《中华人民共和国行政许可法》《中华人民共和国行政处罚法》《中华人民共和国行政强制法》《中华人民共和国节约能源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sz w:val="21"/>
          <w:szCs w:val="21"/>
        </w:rPr>
      </w:pPr>
      <w:r>
        <w:rPr>
          <w:rFonts w:hint="eastAsia" w:ascii="宋体" w:hAnsi="宋体" w:eastAsia="宋体" w:cs="宋体"/>
          <w:color w:val="000000"/>
          <w:sz w:val="21"/>
          <w:szCs w:val="21"/>
        </w:rPr>
        <w:t>表2-</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.具体责任表</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 号</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rPr>
              <w:t>对违反电力设施保护和供用电秩序维护的处罚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109" w:type="dxa"/>
            <w:vAlign w:val="center"/>
          </w:tcPr>
          <w:p>
            <w:pPr>
              <w:keepNext w:val="0"/>
              <w:keepLines w:val="0"/>
              <w:pageBreakBefore w:val="0"/>
              <w:kinsoku/>
              <w:wordWrap/>
              <w:overflowPunct/>
              <w:topLinePunct w:val="0"/>
              <w:autoSpaceDE/>
              <w:autoSpaceDN/>
              <w:bidi w:val="0"/>
              <w:spacing w:line="240" w:lineRule="auto"/>
              <w:ind w:firstLine="420" w:firstLineChars="200"/>
              <w:jc w:val="center"/>
              <w:textAlignment w:val="auto"/>
              <w:rPr>
                <w:rFonts w:hint="eastAsia" w:ascii="宋体" w:hAnsi="宋体" w:eastAsia="宋体" w:cs="宋体"/>
                <w:color w:val="auto"/>
                <w:sz w:val="21"/>
                <w:szCs w:val="21"/>
              </w:rPr>
            </w:pPr>
            <w:r>
              <w:rPr>
                <w:rFonts w:hint="eastAsia" w:ascii="宋体" w:hAnsi="宋体" w:eastAsia="宋体" w:cs="宋体"/>
                <w:sz w:val="21"/>
                <w:szCs w:val="21"/>
              </w:rPr>
              <w:t>环境和资源综合利用股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109"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1.立案责任：发现涉嫌违反电力设施保护和供用电秩序维护的行为，予以审查，决定是否立案。</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2.调查责任：对立案的案件，指定专人负责，及时组织调查取证，与当事人有直接利害关系的应当回避。执法人员不得少于两人，调查时应出示证件，允许当事人辩解。</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3.审查责任：对调查结果进行审查，对案件违法事实、证据、调查取证程序、法律适用、处罚种类和幅度、当事人陈述和申辩，提出处理意见。</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4.告知责任：作出行政处罚决定前，应制作《行政处罚告知书》送达当事人，符合听证规定的，制作并送达《行政处罚听证告知书》。</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5.决定责任：作出处罚决定，制作《行政处罚决定书》，并载明行政处罚告知、当事人陈述申辩或者听证情况等内容。</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6.送达责任：按法律规定的方式将行政处罚决定送达当事人。</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7.执行责任：依照生效的行政处罚决定执行。</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10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color w:val="auto"/>
                <w:kern w:val="0"/>
                <w:sz w:val="21"/>
                <w:szCs w:val="21"/>
              </w:rPr>
              <w:t xml:space="preserve">   </w:t>
            </w:r>
            <w:r>
              <w:rPr>
                <w:rFonts w:hint="eastAsia" w:ascii="宋体" w:hAnsi="宋体" w:eastAsia="宋体" w:cs="宋体"/>
                <w:i w:val="0"/>
                <w:caps w:val="0"/>
                <w:color w:val="auto"/>
                <w:spacing w:val="0"/>
                <w:sz w:val="21"/>
                <w:szCs w:val="21"/>
                <w:shd w:val="clear" w:fill="FFFFFF"/>
              </w:rPr>
              <w:t>对不履行或不正确履行行政职责的行政机关及其工作人员，依据《中华人民共和国行政监察法》《中华人民共和国行政许可法》《中华人民共和国行政处罚法》《中华人民共和国行政强制法》《行政机关公务员处分条例》《电力供应与使用条例》《四川省行政审批违法违纪行为责任追究办法》《四川省电力设施保护和供用电秩序维护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sz w:val="21"/>
          <w:szCs w:val="21"/>
        </w:rPr>
      </w:pPr>
      <w:r>
        <w:rPr>
          <w:rFonts w:hint="eastAsia" w:ascii="宋体" w:hAnsi="宋体" w:eastAsia="宋体" w:cs="宋体"/>
          <w:color w:val="000000"/>
          <w:sz w:val="21"/>
          <w:szCs w:val="21"/>
        </w:rPr>
        <w:t>表2-</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.具体责任表</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 号</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对非食盐定点企业生产或批发食盐的处罚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食品与盐业股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109" w:type="dxa"/>
            <w:vAlign w:val="center"/>
          </w:tcPr>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1.立案责任：发现非食盐定点生产企业生产食盐、非食盐定点批发企业经营食盐批发业务的，予以审查，决定是否立案。</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2调查责任：对立案的案件，指定专人负责，及时组织调查取证，与当事人有直接利害关系的应当回避。执法人员不得少于两人，调查时应出示证件，允许当事人辩解。</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3.审查责任：对调查结果进行审查，对违法事实、证据、调查取证程序、法律适用、处罚种类和幅度、当事人陈述和申辩，提出处理意见。</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4.告知责任：作出行政处罚决定前，应制作《行政处罚告知书》送达当事人，符合听证规定的，制作并送达《行政处罚听证告知书》。</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5.决定责任：作出处罚决定，制作《行政处罚决定书》，并载明行政处罚告知、当事人陈述申辩或者听证情况等内容。</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6.送达责任：按法律规定的方式将行政处罚决定书送达当事人。</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7.执行责任：依照生效的行政处罚决定，采取相应的行政处罚措施。</w:t>
            </w:r>
          </w:p>
          <w:p>
            <w:pPr>
              <w:keepNext w:val="0"/>
              <w:keepLines w:val="0"/>
              <w:pageBreakBefore w:val="0"/>
              <w:widowControl/>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SA"/>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109" w:type="dxa"/>
            <w:vAlign w:val="center"/>
          </w:tcPr>
          <w:p>
            <w:pPr>
              <w:keepNext w:val="0"/>
              <w:keepLines w:val="0"/>
              <w:pageBreakBefore w:val="0"/>
              <w:kinsoku/>
              <w:wordWrap/>
              <w:overflowPunct/>
              <w:topLinePunct w:val="0"/>
              <w:autoSpaceDE/>
              <w:autoSpaceDN/>
              <w:bidi w:val="0"/>
              <w:spacing w:line="240" w:lineRule="auto"/>
              <w:ind w:firstLine="174" w:firstLineChars="83"/>
              <w:jc w:val="left"/>
              <w:textAlignment w:val="auto"/>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color w:val="000000"/>
                <w:sz w:val="21"/>
                <w:szCs w:val="21"/>
              </w:rPr>
              <w:t>《中华人民共和国行政许可法》《中华人民共和国行政处罚法》《中华人民共和国行政强制法》《食盐专营办法》</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表2-</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.具体责任表</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 号</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对违反规定生产或批发食盐、非食用盐的处罚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食品与盐业股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109" w:type="dxa"/>
            <w:vAlign w:val="center"/>
          </w:tcPr>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1.立案责任：发现违反规定生产或批发食盐、非食用盐的行为，予以审查，决定是否立案。</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2调查责任：对立案的案件，指定专人负责，及时组织调查取证，与当事人有直接利害关系的应当回避。执法人员不得少于两人，调查时应出示证件，允许当事人辩解。</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3.审查责任：对调查结果进行审查，对违法事实、证据、调查取证程序、法律适用、处罚种类和幅度、当事人陈述和申辩，提出处理意见。</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4.告知责任：作出行政处罚决定前，应制作《行政处罚告知书》送达当事人，符合听证规定的，制作并送达《行政处罚听证告知书》。</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5.决定责任：作出处罚决定，制作《行政处罚决定书》，并载明行政处罚告知、当事人陈述申辩或者听证情况等内容。</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6.送达责任：按法律规定的方式将行政处罚决定书送达当事人。</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7.执行责任：依照生效的行政处罚决定，采取相应的行政处罚措施。</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SA"/>
              </w:rPr>
              <w:t xml:space="preserve">8.其他责任：法律法规规章文件规定应履行的其他责任。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109" w:type="dxa"/>
            <w:vAlign w:val="center"/>
          </w:tcPr>
          <w:p>
            <w:pPr>
              <w:keepNext w:val="0"/>
              <w:keepLines w:val="0"/>
              <w:pageBreakBefore w:val="0"/>
              <w:kinsoku/>
              <w:wordWrap/>
              <w:overflowPunct/>
              <w:topLinePunct w:val="0"/>
              <w:autoSpaceDE/>
              <w:autoSpaceDN/>
              <w:bidi w:val="0"/>
              <w:spacing w:line="240" w:lineRule="auto"/>
              <w:ind w:firstLine="174" w:firstLineChars="83"/>
              <w:jc w:val="left"/>
              <w:textAlignment w:val="auto"/>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color w:val="000000"/>
                <w:sz w:val="21"/>
                <w:szCs w:val="21"/>
              </w:rPr>
              <w:t>《中华人民共和国行政许可法》《中华人民共和国行政处罚法》《中华人民共和国行政强制法》《食盐专营办法》</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109" w:type="dxa"/>
            <w:vAlign w:val="center"/>
          </w:tcPr>
          <w:p>
            <w:pPr>
              <w:keepNext w:val="0"/>
              <w:keepLines w:val="0"/>
              <w:pageBreakBefore w:val="0"/>
              <w:kinsoku/>
              <w:wordWrap/>
              <w:overflowPunct/>
              <w:topLinePunct w:val="0"/>
              <w:autoSpaceDE/>
              <w:autoSpaceDN/>
              <w:bidi w:val="0"/>
              <w:spacing w:line="240" w:lineRule="auto"/>
              <w:ind w:firstLine="2100" w:firstLineChars="1000"/>
              <w:textAlignment w:val="auto"/>
              <w:rPr>
                <w:rFonts w:hint="eastAsia" w:ascii="宋体" w:hAnsi="宋体" w:eastAsia="宋体" w:cs="宋体"/>
                <w:sz w:val="21"/>
                <w:szCs w:val="21"/>
              </w:rPr>
            </w:pPr>
            <w:r>
              <w:rPr>
                <w:rFonts w:hint="eastAsia" w:ascii="宋体" w:hAnsi="宋体" w:eastAsia="宋体" w:cs="宋体"/>
                <w:kern w:val="0"/>
                <w:sz w:val="21"/>
                <w:szCs w:val="21"/>
              </w:rPr>
              <w:t>全祖辉 13882544584</w:t>
            </w:r>
          </w:p>
        </w:tc>
      </w:tr>
    </w:tbl>
    <w:p>
      <w:pPr>
        <w:pStyle w:val="2"/>
        <w:keepNext w:val="0"/>
        <w:keepLines w:val="0"/>
        <w:pageBreakBefore w:val="0"/>
        <w:numPr>
          <w:ilvl w:val="0"/>
          <w:numId w:val="0"/>
        </w:numPr>
        <w:kinsoku/>
        <w:wordWrap/>
        <w:overflowPunct/>
        <w:topLinePunct w:val="0"/>
        <w:autoSpaceDE/>
        <w:autoSpaceDN/>
        <w:bidi w:val="0"/>
        <w:spacing w:line="240" w:lineRule="auto"/>
        <w:ind w:leftChars="0"/>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表2-</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.具体责任表</w:t>
      </w:r>
    </w:p>
    <w:tbl>
      <w:tblPr>
        <w:tblStyle w:val="7"/>
        <w:tblW w:w="9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序 号</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权力类型</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权力项目名称</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对违反规定购进食盐的处罚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责任主体</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食品与盐业股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责任事项</w:t>
            </w:r>
          </w:p>
        </w:tc>
        <w:tc>
          <w:tcPr>
            <w:tcW w:w="7862" w:type="dxa"/>
            <w:vAlign w:val="center"/>
          </w:tcPr>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1.立案责任：发现违反规定购进食盐的行为，予以审查，决定是否立案。</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2.调查责任：对立案的案件，指定专人负责，及时组织调查取证，与当事人有直接利害关系的应当回避。执法人员不得少于两人，调查时应出示证件，允许当事人辩解。</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3.审查责任：对调查结果进行审查，对违法事实、证据、调查取证程序、法律适用、处罚种类和幅度、当事人陈述和申辩，提出处理意见。</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4.告知责任：作出行政处罚决定前，应制作《行政处罚告知书》送达当事人，符合听证规定的，制作并送达《行政处罚听证告知书》。</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5.决定责任：作出处罚决定，制作《行政处罚决定书》，并载明行政处罚告知、当事人陈述申辩或者听证情况等内容。</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6.送达责任：按法律规定的方式将行政处罚决定书送达当事人。</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7.执行责任：依照生效的行政处罚决定，采取相应的行政处罚措施。</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bidi="ar-SA"/>
              </w:rPr>
              <w:t xml:space="preserve">8.其他责任：法律法规规章文件规定应履行的其他责任。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追责情形</w:t>
            </w:r>
          </w:p>
        </w:tc>
        <w:tc>
          <w:tcPr>
            <w:tcW w:w="7862" w:type="dxa"/>
            <w:vAlign w:val="center"/>
          </w:tcPr>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color w:val="000000"/>
                <w:sz w:val="21"/>
                <w:szCs w:val="21"/>
              </w:rPr>
              <w:t>《中华人民共和国行政许可法》《中华人民共和国行政处罚法》《中华人民共和国行政强制法》《食盐专营办法》</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监督电话</w:t>
            </w:r>
          </w:p>
        </w:tc>
        <w:tc>
          <w:tcPr>
            <w:tcW w:w="786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sz w:val="21"/>
          <w:szCs w:val="21"/>
        </w:rPr>
      </w:pPr>
    </w:p>
    <w:p>
      <w:pPr>
        <w:pStyle w:val="2"/>
        <w:keepNext w:val="0"/>
        <w:keepLines w:val="0"/>
        <w:pageBreakBefore w:val="0"/>
        <w:numPr>
          <w:ilvl w:val="0"/>
          <w:numId w:val="0"/>
        </w:numPr>
        <w:kinsoku/>
        <w:wordWrap/>
        <w:overflowPunct/>
        <w:topLinePunct w:val="0"/>
        <w:autoSpaceDE/>
        <w:autoSpaceDN/>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sz w:val="21"/>
          <w:szCs w:val="21"/>
        </w:rPr>
      </w:pPr>
      <w:r>
        <w:rPr>
          <w:rFonts w:hint="eastAsia" w:ascii="宋体" w:hAnsi="宋体" w:eastAsia="宋体" w:cs="宋体"/>
          <w:color w:val="000000"/>
          <w:sz w:val="21"/>
          <w:szCs w:val="21"/>
        </w:rPr>
        <w:t>表2-</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.具体责任表</w:t>
      </w:r>
    </w:p>
    <w:tbl>
      <w:tblPr>
        <w:tblStyle w:val="7"/>
        <w:tblW w:w="9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序 号</w:t>
            </w:r>
          </w:p>
        </w:tc>
        <w:tc>
          <w:tcPr>
            <w:tcW w:w="7354"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权力类型</w:t>
            </w:r>
          </w:p>
        </w:tc>
        <w:tc>
          <w:tcPr>
            <w:tcW w:w="7354"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权力项目名称</w:t>
            </w:r>
          </w:p>
        </w:tc>
        <w:tc>
          <w:tcPr>
            <w:tcW w:w="7354"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对未按规定作出食盐或非食用盐标识的处罚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责任主体</w:t>
            </w:r>
          </w:p>
        </w:tc>
        <w:tc>
          <w:tcPr>
            <w:tcW w:w="7354"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食品与盐业股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责任事项</w:t>
            </w:r>
          </w:p>
        </w:tc>
        <w:tc>
          <w:tcPr>
            <w:tcW w:w="7354" w:type="dxa"/>
            <w:vAlign w:val="center"/>
          </w:tcPr>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1.立案责任：发现未按照相关规定作出食盐或非食用盐标识的行为，予以审查，决定是否立案。</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2.调查责任：对立案的案件，指定专人负责，及时组织调查取证，与当事人有直接利害关系的应当回避。执法人员不得少于两人，调查时应出示证件，允许当事人辩解。</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3.审查责任：对调查结果进行审查，对违法事实、证据、调查取证程序、法律适用、处罚种类和幅度、当事人陈述和申辩，提出处理意见。</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4.告知责任：作出行政处罚决定前，应制作《行政处罚告知书》送达当事人，符合听证规定的，制作并送达《行政处罚听证告知书》。</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5.决定责任：作出处罚决定，制作《行政处罚决定书》，并载明行政处罚告知、当事人陈述申辩或者听证情况等内容。</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6.送达责任：按法律规定的方式将行政处罚决定书送达当事人。</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7.执行责任：依照生效的行政处罚决定，采取相应的行政处罚措施。</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bidi="ar-SA"/>
              </w:rPr>
              <w:t xml:space="preserve">8.其他责任：法律法规规章文件规定应履行的其他责任。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追责情形</w:t>
            </w:r>
          </w:p>
        </w:tc>
        <w:tc>
          <w:tcPr>
            <w:tcW w:w="7354" w:type="dxa"/>
            <w:vAlign w:val="center"/>
          </w:tcPr>
          <w:p>
            <w:pPr>
              <w:keepNext w:val="0"/>
              <w:keepLines w:val="0"/>
              <w:pageBreakBefore w:val="0"/>
              <w:kinsoku/>
              <w:wordWrap/>
              <w:overflowPunct/>
              <w:topLinePunct w:val="0"/>
              <w:autoSpaceDE/>
              <w:autoSpaceDN/>
              <w:bidi w:val="0"/>
              <w:spacing w:line="240" w:lineRule="auto"/>
              <w:ind w:firstLine="174" w:firstLineChars="83"/>
              <w:jc w:val="left"/>
              <w:textAlignment w:val="auto"/>
              <w:rPr>
                <w:rFonts w:hint="eastAsia" w:ascii="宋体" w:hAnsi="宋体" w:eastAsia="宋体" w:cs="宋体"/>
                <w:kern w:val="0"/>
                <w:sz w:val="21"/>
                <w:szCs w:val="21"/>
              </w:rPr>
            </w:pPr>
            <w:r>
              <w:rPr>
                <w:rFonts w:hint="eastAsia" w:ascii="宋体" w:hAnsi="宋体" w:eastAsia="宋体" w:cs="宋体"/>
                <w:color w:val="000000"/>
                <w:sz w:val="21"/>
                <w:szCs w:val="21"/>
              </w:rPr>
              <w:t>对不履行或不正确履行行政职责的行政机关及其工作人员，依据《中华人民共和国行政许可法》《中华人民共和国行政处罚法》《中华人民共和国行政强制法》《食盐专营办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监督电话</w:t>
            </w:r>
          </w:p>
        </w:tc>
        <w:tc>
          <w:tcPr>
            <w:tcW w:w="7354"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sz w:val="21"/>
          <w:szCs w:val="21"/>
        </w:rPr>
      </w:pPr>
    </w:p>
    <w:p>
      <w:pPr>
        <w:pStyle w:val="2"/>
        <w:keepNext w:val="0"/>
        <w:keepLines w:val="0"/>
        <w:pageBreakBefore w:val="0"/>
        <w:numPr>
          <w:ilvl w:val="0"/>
          <w:numId w:val="0"/>
        </w:numPr>
        <w:kinsoku/>
        <w:wordWrap/>
        <w:overflowPunct/>
        <w:topLinePunct w:val="0"/>
        <w:autoSpaceDE/>
        <w:autoSpaceDN/>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sz w:val="21"/>
          <w:szCs w:val="21"/>
        </w:rPr>
      </w:pPr>
      <w:r>
        <w:rPr>
          <w:rFonts w:hint="eastAsia" w:ascii="宋体" w:hAnsi="宋体" w:eastAsia="宋体" w:cs="宋体"/>
          <w:color w:val="000000"/>
          <w:sz w:val="21"/>
          <w:szCs w:val="21"/>
        </w:rPr>
        <w:t>表2-</w:t>
      </w: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.具体责任表</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序 号</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权力类型</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对食盐定点企业违反规定聘用禁业限制人员的处罚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责任主体</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食品与盐业股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责任事项</w:t>
            </w:r>
          </w:p>
        </w:tc>
        <w:tc>
          <w:tcPr>
            <w:tcW w:w="7109" w:type="dxa"/>
            <w:vAlign w:val="center"/>
          </w:tcPr>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1.立案责任：发现食盐定点企业违反规定聘用禁业限制人员的行为，予以审查，决定是否立案。</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2.调查责任：对立案的案件，指定专人负责，及时组织调查取证，与当事人有直接利害关系的应当回避。执法人员不得少于两人，调查时应出示证件，允许当事人辩解。</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3.审查责任：对调查结果进行审查，对违法事实、证据、调查取证程序、法律适用、处罚种类和幅度、当事人陈述和申辩，提出处理意见。</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4.告知责任：作出行政处罚决定前，应制作《行政处罚告知书》送达当事人，符合听证规定的，制作并送达《行政处罚听证告知书》。</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5.决定责任：作出处罚决定，制作《行政处罚决定书》，并载明行政处罚告知、当事人陈述申辩或者听证情况等内容。</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6.送达责任：按法律规定的方式将行政处罚决定书送达当事人。</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7.执行责任：依照生效的行政处罚决定，采取相应的行政处罚措施。</w:t>
            </w:r>
          </w:p>
          <w:p>
            <w:pPr>
              <w:pStyle w:val="6"/>
              <w:keepNext w:val="0"/>
              <w:keepLines w:val="0"/>
              <w:pageBreakBefore w:val="0"/>
              <w:widowControl/>
              <w:kinsoku/>
              <w:wordWrap/>
              <w:overflowPunct/>
              <w:topLinePunct w:val="0"/>
              <w:autoSpaceDE/>
              <w:autoSpaceDN/>
              <w:bidi w:val="0"/>
              <w:spacing w:beforeAutospacing="0" w:afterAutospacing="0"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bidi="ar-SA"/>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追责情形</w:t>
            </w:r>
          </w:p>
        </w:tc>
        <w:tc>
          <w:tcPr>
            <w:tcW w:w="7109" w:type="dxa"/>
            <w:vAlign w:val="center"/>
          </w:tcPr>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kern w:val="0"/>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color w:val="000000"/>
                <w:sz w:val="21"/>
                <w:szCs w:val="21"/>
              </w:rPr>
              <w:t>《中华人民共和国行政许可法》《中华人民共和国行政处罚法》《中华人民共和国行政强制法》《食盐专营办法》</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监督电话</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sz w:val="21"/>
          <w:szCs w:val="21"/>
        </w:rPr>
      </w:pPr>
      <w:r>
        <w:rPr>
          <w:rFonts w:hint="eastAsia" w:ascii="宋体" w:hAnsi="宋体" w:eastAsia="宋体" w:cs="宋体"/>
          <w:color w:val="000000"/>
          <w:sz w:val="21"/>
          <w:szCs w:val="21"/>
        </w:rPr>
        <w:t>表2-</w:t>
      </w: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.具体责任表</w:t>
      </w:r>
    </w:p>
    <w:tbl>
      <w:tblPr>
        <w:tblStyle w:val="7"/>
        <w:tblW w:w="9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7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序 号</w:t>
            </w:r>
          </w:p>
        </w:tc>
        <w:tc>
          <w:tcPr>
            <w:tcW w:w="768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color w:val="000000"/>
                <w:sz w:val="21"/>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权力类型</w:t>
            </w:r>
          </w:p>
        </w:tc>
        <w:tc>
          <w:tcPr>
            <w:tcW w:w="768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color w:val="000000"/>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权力项目名称</w:t>
            </w:r>
          </w:p>
        </w:tc>
        <w:tc>
          <w:tcPr>
            <w:tcW w:w="7680" w:type="dxa"/>
          </w:tcPr>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kern w:val="0"/>
                <w:sz w:val="21"/>
                <w:szCs w:val="21"/>
              </w:rPr>
            </w:pPr>
            <w:r>
              <w:rPr>
                <w:rFonts w:hint="eastAsia" w:ascii="宋体" w:hAnsi="宋体" w:eastAsia="宋体" w:cs="宋体"/>
                <w:color w:val="000000"/>
                <w:sz w:val="21"/>
                <w:szCs w:val="21"/>
              </w:rPr>
              <w:t>对在科技成果转化和科技奖励活动中弄虚作假，侵占他人的科技成果，骗取奖励和荣誉称号的处罚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责任主体</w:t>
            </w:r>
          </w:p>
        </w:tc>
        <w:tc>
          <w:tcPr>
            <w:tcW w:w="768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color w:val="000000"/>
                <w:sz w:val="21"/>
                <w:szCs w:val="21"/>
              </w:rPr>
              <w:t>科技股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责任事项</w:t>
            </w:r>
          </w:p>
        </w:tc>
        <w:tc>
          <w:tcPr>
            <w:tcW w:w="7680"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1．立案责任：发现涉嫌在科技成果转化和科技奖励活动中弄虚作假，侵占他人的科技成果，骗取奖励和荣誉称号的，予以审查，决定是否立案。</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2．调查责任：对立案的案件及时组织调查取证，与当事人有直接利害关系的应当回避。执法人员不得少于两人，询问或者检查应当制作笔录，允许当事人陈述和辩解。</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3．审查责任：对案件违法事实、证据、调查取证程序、法律适用、处罚种类和幅度、当事人陈述和申辩进行审查，提出处理意见。</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4．告知责任：作出行政处罚前，应制作《行政处罚告知书》送达当事人，告知其作出行政处罚决定的事实、理由及依据，并告知当事人依法享有的权利。符合听证规定的，制作并送达《行政处罚听证告知书》。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5.决定责任：作出处罚决定，制作《行政处罚决定书》，并载明行政处罚告知、当事人陈述申辩或者听证情况等内容。</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6．送达责任：按照法律法规规定的方式和时限，将《行政处罚决定书》送达当事人。</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7．执行责任：依照生效的行政处罚决定执行。</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color w:val="000000"/>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6"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追责情形</w:t>
            </w:r>
          </w:p>
        </w:tc>
        <w:tc>
          <w:tcPr>
            <w:tcW w:w="7680"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color w:val="000000"/>
                <w:sz w:val="21"/>
                <w:szCs w:val="21"/>
              </w:rPr>
              <w:t>对不履行或不正确履行行政职责的行政机关及其工作人员，依据《中华人民共和国行政处罚法》、《中华人民共和国行政强制法》、《中华人民共和国促进科技成果转化法》、《行政机关公务员处分条例》、《四川省促进科技成果转化条例》、《四川省行政执法监督条例》、《四川省行政机关工作人员行政过错责任追究试行办法》、《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监督电话</w:t>
            </w:r>
          </w:p>
        </w:tc>
        <w:tc>
          <w:tcPr>
            <w:tcW w:w="7680" w:type="dxa"/>
            <w:vAlign w:val="center"/>
          </w:tcPr>
          <w:p>
            <w:pPr>
              <w:keepNext w:val="0"/>
              <w:keepLines w:val="0"/>
              <w:pageBreakBefore w:val="0"/>
              <w:kinsoku/>
              <w:wordWrap/>
              <w:overflowPunct/>
              <w:topLinePunct w:val="0"/>
              <w:autoSpaceDE/>
              <w:autoSpaceDN/>
              <w:bidi w:val="0"/>
              <w:spacing w:line="240" w:lineRule="auto"/>
              <w:ind w:firstLine="1890" w:firstLineChars="900"/>
              <w:textAlignment w:val="auto"/>
              <w:rPr>
                <w:rFonts w:hint="eastAsia" w:ascii="宋体" w:hAnsi="宋体" w:eastAsia="宋体" w:cs="宋体"/>
                <w:kern w:val="0"/>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sz w:val="21"/>
          <w:szCs w:val="21"/>
        </w:rPr>
      </w:pPr>
      <w:r>
        <w:rPr>
          <w:rFonts w:hint="eastAsia" w:ascii="宋体" w:hAnsi="宋体" w:eastAsia="宋体" w:cs="宋体"/>
          <w:color w:val="000000"/>
          <w:sz w:val="21"/>
          <w:szCs w:val="21"/>
        </w:rPr>
        <w:t>表2-1</w:t>
      </w:r>
      <w:r>
        <w:rPr>
          <w:rFonts w:hint="eastAsia" w:ascii="宋体" w:hAnsi="宋体" w:eastAsia="宋体" w:cs="宋体"/>
          <w:color w:val="000000"/>
          <w:sz w:val="21"/>
          <w:szCs w:val="21"/>
          <w:lang w:val="en-US" w:eastAsia="zh-CN"/>
        </w:rPr>
        <w:t>0</w:t>
      </w:r>
      <w:r>
        <w:rPr>
          <w:rFonts w:hint="eastAsia" w:ascii="宋体" w:hAnsi="宋体" w:eastAsia="宋体" w:cs="宋体"/>
          <w:color w:val="000000"/>
          <w:sz w:val="21"/>
          <w:szCs w:val="21"/>
        </w:rPr>
        <w:t>.具体责任表</w:t>
      </w:r>
    </w:p>
    <w:tbl>
      <w:tblPr>
        <w:tblStyle w:val="7"/>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对科技服务机构及其从业人员，故意提供虚假的信息、实验结果或者评估意见等欺骗当事人，或者与当事人一方串通欺骗另一方当事人的处罚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科技股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1．立案责任：发现科技服务机构及其从业人员故意提供虚假的信息、实验结果或者评估意见等欺骗当事人，或者与当事人一方串通欺骗另一方当事人的，予以审查，决定是否立案。</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2．调查责任：对立案的案件及时组织调查取证，与当事人有直接利害关系的应当回避。执法人员不得少于两人，询问或者检查应当制作笔录，允许当事人陈述和辩解。</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3．审查责任：对案件违法事实、证据、调查取证程序、法律适用、处罚种类和幅度、当事人陈述和申辩进行审查，提出处理意见。</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4．告知责任：作出行政处罚前，应制作《行政处罚告知书》送达当事人，告知其作出行政处罚决定的事实、理由及依据，并告知当事人依法享有的权利。符合听证规定的，制作并送达《行政处罚听证告知书》。</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5.决定责任：作出处罚决定，制作《行政处罚决定书》，并载明行政处罚告知、当事人陈述申辩或者听证情况等内容。</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6．送达责任：按照法律法规规定的方式和时限，将《行政处罚决定书》送达当事人。</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7．执行责任：依照生效的行政处罚决定执行。</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8．其他责任：法律法规规章文件规定应履行的其他责任。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对不履行或不正确履行行政职责的行政机关及其工作人员，依据《中华人民共和国行政处罚法》、《中华人民共和国行政强制法》、《中华人民共和国促进科技成果转化法》、《行政机关公务员处分条例》、《四川省促进科技成果转化条例》、《四川省行政执法监督条例》、《四川省行政机关工作人员行政过错责任追究试行办法》、《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全祖辉 13882544584</w:t>
            </w:r>
          </w:p>
        </w:tc>
      </w:tr>
    </w:tbl>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rPr>
        <w:t>表</w:t>
      </w:r>
      <w:r>
        <w:rPr>
          <w:rFonts w:hint="eastAsia" w:ascii="宋体" w:hAnsi="宋体" w:eastAsia="宋体" w:cs="宋体"/>
          <w:sz w:val="21"/>
          <w:szCs w:val="21"/>
        </w:rPr>
        <w:t>2-1</w:t>
      </w:r>
      <w:r>
        <w:rPr>
          <w:rFonts w:hint="eastAsia" w:ascii="宋体" w:hAnsi="宋体" w:eastAsia="宋体" w:cs="宋体"/>
          <w:sz w:val="21"/>
          <w:szCs w:val="21"/>
          <w:lang w:val="en-US" w:eastAsia="zh-CN"/>
        </w:rPr>
        <w:t>1</w:t>
      </w:r>
      <w:r>
        <w:rPr>
          <w:rFonts w:hint="eastAsia" w:ascii="宋体" w:hAnsi="宋体" w:eastAsia="宋体" w:cs="宋体"/>
          <w:sz w:val="21"/>
          <w:szCs w:val="21"/>
        </w:rPr>
        <w:t>.具体责任表</w:t>
      </w:r>
    </w:p>
    <w:tbl>
      <w:tblPr>
        <w:tblStyle w:val="7"/>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行政强制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查封、扣押涉嫌盐业违法行为有关的物品或查封场所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jc w:val="center"/>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食品与盐业股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1"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催告责任：实施本项措施时，应当告知当事人享有的权利，充分听取当事人的意见，对当事人提出的理由、依据进行记录并当场复核，并制作现场笔录。</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2.决定责任：当事人无法定理由的，作出查封或者扣押决定，并交付查封或者扣押决定书。根据中止和终结执行的适用情形，及时作出解除查封或者扣押的决定。</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3.执行责任：查封或者扣押的物品，行政处罚决定没收的，及时变折价处理；移送公安机关的，随案移送；不构成违法行为或行政处罚决定不予没收的，解除查封、扣押。</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4.事后监督责任：检查执行措施落实情况。</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对不履行或不正确履行行政职责的行政机关及其工作人员，依据《中华人民共和国行政许可法》《中华人民共和国行政处罚法》《中华人民共和国行政强制法》《食盐专营办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表2-1</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.具体责任表</w:t>
      </w:r>
    </w:p>
    <w:tbl>
      <w:tblPr>
        <w:tblStyle w:val="7"/>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对涉盐生产经营有关单位、个人开展监督检查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食品与盐业股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1.检查责任：根据监管需要，对食盐定点生产企业和食盐定点批发企业的生产经营场所及有关合同、票据、账簿、购销记录进行定期或者不定期监督检查。</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2.处置责任：根据检查情况，依法依规采取相应处置措施。</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b/>
                <w:sz w:val="21"/>
                <w:szCs w:val="21"/>
              </w:rPr>
            </w:pPr>
            <w:r>
              <w:rPr>
                <w:rFonts w:hint="eastAsia" w:ascii="宋体" w:hAnsi="宋体" w:eastAsia="宋体" w:cs="宋体"/>
                <w:sz w:val="21"/>
                <w:szCs w:val="21"/>
              </w:rPr>
              <w:t>4.其他责任：法律法规规章文件规定应履行的其他责任。</w:t>
            </w:r>
            <w:r>
              <w:rPr>
                <w:rFonts w:hint="eastAsia" w:ascii="宋体" w:hAnsi="宋体" w:eastAsia="宋体" w:cs="宋体"/>
                <w:color w:val="000000"/>
                <w:sz w:val="21"/>
                <w:szCs w:val="21"/>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512" w:type="dxa"/>
            <w:vAlign w:val="center"/>
          </w:tcPr>
          <w:p>
            <w:pPr>
              <w:keepNext w:val="0"/>
              <w:keepLines w:val="0"/>
              <w:pageBreakBefore w:val="0"/>
              <w:kinsoku/>
              <w:wordWrap/>
              <w:overflowPunct/>
              <w:topLinePunct w:val="0"/>
              <w:autoSpaceDE/>
              <w:autoSpaceDN/>
              <w:bidi w:val="0"/>
              <w:spacing w:line="240" w:lineRule="auto"/>
              <w:ind w:firstLine="174" w:firstLineChars="83"/>
              <w:jc w:val="left"/>
              <w:textAlignment w:val="auto"/>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color w:val="000000"/>
                <w:sz w:val="21"/>
                <w:szCs w:val="21"/>
              </w:rPr>
              <w:t>《食盐专营办法》</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全祖辉 13882544584</w:t>
            </w:r>
          </w:p>
          <w:p>
            <w:pPr>
              <w:pStyle w:val="2"/>
              <w:keepNext w:val="0"/>
              <w:keepLines w:val="0"/>
              <w:pageBreakBefore w:val="0"/>
              <w:numPr>
                <w:ilvl w:val="0"/>
                <w:numId w:val="0"/>
              </w:numPr>
              <w:kinsoku/>
              <w:wordWrap/>
              <w:overflowPunct/>
              <w:topLinePunct w:val="0"/>
              <w:autoSpaceDE/>
              <w:autoSpaceDN/>
              <w:bidi w:val="0"/>
              <w:spacing w:line="240" w:lineRule="auto"/>
              <w:textAlignment w:val="auto"/>
              <w:rPr>
                <w:rFonts w:hint="eastAsia" w:ascii="宋体" w:hAnsi="宋体" w:eastAsia="宋体" w:cs="宋体"/>
                <w:sz w:val="21"/>
                <w:szCs w:val="21"/>
              </w:rPr>
            </w:pPr>
          </w:p>
        </w:tc>
      </w:tr>
    </w:tbl>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sz w:val="21"/>
          <w:szCs w:val="21"/>
        </w:rPr>
      </w:pPr>
      <w:r>
        <w:rPr>
          <w:rFonts w:hint="eastAsia" w:ascii="宋体" w:hAnsi="宋体" w:eastAsia="宋体" w:cs="宋体"/>
          <w:color w:val="000000"/>
          <w:sz w:val="21"/>
          <w:szCs w:val="21"/>
        </w:rPr>
        <w:t>表2-1</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.具体责任表</w:t>
      </w:r>
    </w:p>
    <w:tbl>
      <w:tblPr>
        <w:tblStyle w:val="7"/>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民用爆炸物品销售许可监督管理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综合股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1.检查责任：对民用爆炸物品生产、销售企业的安全生产情况开展定期成者不定期监督检查。</w:t>
            </w:r>
          </w:p>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处置责任：对检查中发现的安全生产违法行为,应当予以纠正、责令限期攻正,责令停产停业整顿、吊销或核销许可证:对依法应当给予行政处罚的行为，依照有关法律法规的规定，作出行政处罚决定。违法行为构成犯罪的应当将案件移送司法机关，依法追究其刑事责任。</w:t>
            </w:r>
          </w:p>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b/>
                <w:sz w:val="21"/>
                <w:szCs w:val="21"/>
              </w:rPr>
            </w:pPr>
            <w:r>
              <w:rPr>
                <w:rFonts w:hint="eastAsia" w:ascii="宋体" w:hAnsi="宋体" w:eastAsia="宋体" w:cs="宋体"/>
                <w:sz w:val="21"/>
                <w:szCs w:val="21"/>
              </w:rPr>
              <w:t>4.其他责任：法律法规规章文件规定应履行的其他责任。</w:t>
            </w:r>
            <w:r>
              <w:rPr>
                <w:rFonts w:hint="eastAsia" w:ascii="宋体" w:hAnsi="宋体" w:eastAsia="宋体" w:cs="宋体"/>
                <w:color w:val="000000"/>
                <w:sz w:val="21"/>
                <w:szCs w:val="21"/>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512" w:type="dxa"/>
            <w:vAlign w:val="center"/>
          </w:tcPr>
          <w:p>
            <w:pPr>
              <w:keepNext w:val="0"/>
              <w:keepLines w:val="0"/>
              <w:pageBreakBefore w:val="0"/>
              <w:kinsoku/>
              <w:wordWrap/>
              <w:overflowPunct/>
              <w:topLinePunct w:val="0"/>
              <w:autoSpaceDE/>
              <w:autoSpaceDN/>
              <w:bidi w:val="0"/>
              <w:spacing w:line="240" w:lineRule="auto"/>
              <w:ind w:firstLine="174" w:firstLineChars="83"/>
              <w:jc w:val="left"/>
              <w:textAlignment w:val="auto"/>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们政许可法》《中华人民共和国行政处罚法》《行政机关公务员处分条例》《民用爆炸物品安全管理条例》《民用爆炸物品销售许可实施办法》《四川省行政执法监督条例》《四川省行政机关工作人员行政过错责任追究试行办法》《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512" w:type="dxa"/>
            <w:vAlign w:val="center"/>
          </w:tcPr>
          <w:p>
            <w:pPr>
              <w:pStyle w:val="2"/>
              <w:keepNext w:val="0"/>
              <w:keepLines w:val="0"/>
              <w:pageBreakBefore w:val="0"/>
              <w:numPr>
                <w:ilvl w:val="0"/>
                <w:numId w:val="0"/>
              </w:numPr>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表2-1</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.具体责任表</w:t>
      </w:r>
    </w:p>
    <w:tbl>
      <w:tblPr>
        <w:tblStyle w:val="7"/>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民爆物品生产企业安全生产许可监督管理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综合股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1.检查责任：对民用爆炸物品生产、销售企业的安全生产情况开展定期成者不定期监督检查。</w:t>
            </w:r>
          </w:p>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处置责任：对检查中发现的安全生产违法行为,应当予以纠正、责令限期攻正,责令停产停业整顿、吊销或核销许可证:对依法应当给予行政处罚的行为，依照有关法律法规的规定，作出行政处罚决定。违法行为构成犯罪的应当将案件移送司法机关，依法追究其刑事责任。</w:t>
            </w:r>
          </w:p>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3.信息公开责任：按照相关规定办理信息公开事项。</w:t>
            </w:r>
          </w:p>
          <w:p>
            <w:pPr>
              <w:keepNext w:val="0"/>
              <w:keepLines w:val="0"/>
              <w:pageBreakBefore w:val="0"/>
              <w:kinsoku/>
              <w:wordWrap/>
              <w:overflowPunct/>
              <w:topLinePunct w:val="0"/>
              <w:autoSpaceDE/>
              <w:autoSpaceDN/>
              <w:bidi w:val="0"/>
              <w:spacing w:line="240" w:lineRule="auto"/>
              <w:ind w:firstLine="420" w:firstLineChars="200"/>
              <w:jc w:val="left"/>
              <w:textAlignment w:val="auto"/>
              <w:rPr>
                <w:rFonts w:hint="eastAsia" w:ascii="宋体" w:hAnsi="宋体" w:eastAsia="宋体" w:cs="宋体"/>
                <w:b/>
                <w:sz w:val="21"/>
                <w:szCs w:val="21"/>
              </w:rPr>
            </w:pPr>
            <w:r>
              <w:rPr>
                <w:rFonts w:hint="eastAsia" w:ascii="宋体" w:hAnsi="宋体" w:eastAsia="宋体" w:cs="宋体"/>
                <w:sz w:val="21"/>
                <w:szCs w:val="21"/>
              </w:rPr>
              <w:t>4.其他责任：法律法规规章文件规定应履行的其他责任。</w:t>
            </w:r>
            <w:r>
              <w:rPr>
                <w:rFonts w:hint="eastAsia" w:ascii="宋体" w:hAnsi="宋体" w:eastAsia="宋体" w:cs="宋体"/>
                <w:color w:val="000000"/>
                <w:sz w:val="21"/>
                <w:szCs w:val="21"/>
                <w:shd w:val="clear" w:color="auto" w:fill="FFFFFF"/>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512" w:type="dxa"/>
            <w:vAlign w:val="center"/>
          </w:tcPr>
          <w:p>
            <w:pPr>
              <w:keepNext w:val="0"/>
              <w:keepLines w:val="0"/>
              <w:pageBreakBefore w:val="0"/>
              <w:kinsoku/>
              <w:wordWrap/>
              <w:overflowPunct/>
              <w:topLinePunct w:val="0"/>
              <w:autoSpaceDE/>
              <w:autoSpaceDN/>
              <w:bidi w:val="0"/>
              <w:spacing w:line="240" w:lineRule="auto"/>
              <w:ind w:firstLine="174" w:firstLineChars="83"/>
              <w:jc w:val="left"/>
              <w:textAlignment w:val="auto"/>
              <w:rPr>
                <w:rFonts w:hint="eastAsia" w:ascii="宋体" w:hAnsi="宋体" w:eastAsia="宋体" w:cs="宋体"/>
                <w:sz w:val="21"/>
                <w:szCs w:val="21"/>
              </w:rPr>
            </w:pPr>
            <w:r>
              <w:rPr>
                <w:rFonts w:hint="eastAsia" w:ascii="宋体" w:hAnsi="宋体" w:eastAsia="宋体" w:cs="宋体"/>
                <w:sz w:val="21"/>
                <w:szCs w:val="21"/>
              </w:rPr>
              <w:t>对不履行或不正确履行行政职责的行政机关及其工作人员,依据《中华人民共和国们政许可法》《中华人民共和国行政处罚法》《行政机关公务员处分条例》《民用爆炸物品安全管理条例》《民用爆炸物品销售许可实施办法》《四川省行政执法监督条例》《四川省行政机关工作人员行政过错责任追究试行办法》《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全祖辉 13882544584</w:t>
            </w:r>
          </w:p>
        </w:tc>
      </w:tr>
    </w:tbl>
    <w:p>
      <w:pPr>
        <w:pStyle w:val="2"/>
        <w:keepNext w:val="0"/>
        <w:keepLines w:val="0"/>
        <w:pageBreakBefore w:val="0"/>
        <w:widowControl w:val="0"/>
        <w:numPr>
          <w:ilvl w:val="0"/>
          <w:numId w:val="0"/>
        </w:numPr>
        <w:kinsoku/>
        <w:wordWrap/>
        <w:overflowPunct/>
        <w:topLinePunct w:val="0"/>
        <w:autoSpaceDE/>
        <w:autoSpaceDN/>
        <w:bidi w:val="0"/>
        <w:spacing w:line="240" w:lineRule="auto"/>
        <w:jc w:val="both"/>
        <w:textAlignment w:val="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sz w:val="21"/>
          <w:szCs w:val="21"/>
        </w:rPr>
      </w:pPr>
      <w:r>
        <w:rPr>
          <w:rFonts w:hint="eastAsia" w:ascii="宋体" w:hAnsi="宋体" w:eastAsia="宋体" w:cs="宋体"/>
          <w:color w:val="000000"/>
          <w:sz w:val="21"/>
          <w:szCs w:val="21"/>
        </w:rPr>
        <w:t>表2-1</w:t>
      </w:r>
      <w:r>
        <w:rPr>
          <w:rFonts w:hint="eastAsia" w:ascii="宋体" w:hAnsi="宋体" w:eastAsia="宋体" w:cs="宋体"/>
          <w:color w:val="000000"/>
          <w:sz w:val="21"/>
          <w:szCs w:val="21"/>
          <w:lang w:val="en-US" w:eastAsia="zh-CN"/>
        </w:rPr>
        <w:t>5</w:t>
      </w:r>
      <w:r>
        <w:rPr>
          <w:rFonts w:hint="eastAsia" w:ascii="宋体" w:hAnsi="宋体" w:eastAsia="宋体" w:cs="宋体"/>
          <w:color w:val="000000"/>
          <w:sz w:val="21"/>
          <w:szCs w:val="21"/>
        </w:rPr>
        <w:t>.具体责任表</w:t>
      </w:r>
    </w:p>
    <w:tbl>
      <w:tblPr>
        <w:tblStyle w:val="7"/>
        <w:tblW w:w="92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序 号</w:t>
            </w:r>
          </w:p>
        </w:tc>
        <w:tc>
          <w:tcPr>
            <w:tcW w:w="768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权力类型</w:t>
            </w:r>
          </w:p>
        </w:tc>
        <w:tc>
          <w:tcPr>
            <w:tcW w:w="768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行政奖励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权力项目名称</w:t>
            </w:r>
          </w:p>
        </w:tc>
        <w:tc>
          <w:tcPr>
            <w:tcW w:w="768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对维护电力设施安全和反窃电行为的奖励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责任主体</w:t>
            </w:r>
          </w:p>
        </w:tc>
        <w:tc>
          <w:tcPr>
            <w:tcW w:w="768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环境和资源综合利用股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责任事项</w:t>
            </w:r>
          </w:p>
        </w:tc>
        <w:tc>
          <w:tcPr>
            <w:tcW w:w="7680" w:type="dxa"/>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1.制定方案责任：根据电力设施保护和供用电秩序维护工作成效情况，决定是否开展年度表彰奖励。制定评选、表彰、奖励活动实施方案，并组织实施。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    2.组织推荐责任：按照方案规定的条件、程序开展组织推荐工作，对推荐对象进行初审。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    3.审核公示责任：对符合条件的推荐对象进行审核，报经批准后予以公示。评审实行回避制度。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    4.表彰责任：公示无异议或者异议不成立的，给予精神或物质奖励。 </w:t>
            </w:r>
            <w:r>
              <w:rPr>
                <w:rFonts w:hint="eastAsia" w:ascii="宋体" w:hAnsi="宋体" w:eastAsia="宋体" w:cs="宋体"/>
                <w:kern w:val="0"/>
                <w:sz w:val="21"/>
                <w:szCs w:val="21"/>
              </w:rPr>
              <w:br w:type="textWrapping"/>
            </w:r>
            <w:r>
              <w:rPr>
                <w:rFonts w:hint="eastAsia" w:ascii="宋体" w:hAnsi="宋体" w:eastAsia="宋体" w:cs="宋体"/>
                <w:kern w:val="0"/>
                <w:sz w:val="21"/>
                <w:szCs w:val="21"/>
              </w:rPr>
              <w:t xml:space="preserve">    5.其他责任：法律法规规章文件规定应履行的其他责任。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追责情形</w:t>
            </w:r>
          </w:p>
        </w:tc>
        <w:tc>
          <w:tcPr>
            <w:tcW w:w="7680" w:type="dxa"/>
            <w:vAlign w:val="center"/>
          </w:tcPr>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对不履行或不正确履行行政职责的行政机关及其工作人员，依据《中华人民共和国行政许可法》《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监督电话</w:t>
            </w:r>
          </w:p>
        </w:tc>
        <w:tc>
          <w:tcPr>
            <w:tcW w:w="768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eastAsia="zh-CN"/>
              </w:rPr>
            </w:pPr>
            <w:r>
              <w:rPr>
                <w:rFonts w:hint="eastAsia" w:ascii="宋体" w:hAnsi="宋体" w:eastAsia="宋体" w:cs="宋体"/>
                <w:kern w:val="0"/>
                <w:sz w:val="21"/>
                <w:szCs w:val="21"/>
              </w:rPr>
              <w:t>全祖辉 13882544584</w:t>
            </w:r>
          </w:p>
        </w:tc>
      </w:tr>
    </w:tbl>
    <w:p>
      <w:pPr>
        <w:pStyle w:val="2"/>
        <w:keepNext w:val="0"/>
        <w:keepLines w:val="0"/>
        <w:pageBreakBefore w:val="0"/>
        <w:numPr>
          <w:ilvl w:val="0"/>
          <w:numId w:val="0"/>
        </w:numPr>
        <w:kinsoku/>
        <w:wordWrap/>
        <w:overflowPunct/>
        <w:topLinePunct w:val="0"/>
        <w:autoSpaceDE/>
        <w:autoSpaceDN/>
        <w:bidi w:val="0"/>
        <w:spacing w:line="240" w:lineRule="auto"/>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表2-1</w:t>
      </w:r>
      <w:r>
        <w:rPr>
          <w:rFonts w:hint="eastAsia" w:ascii="宋体" w:hAnsi="宋体" w:eastAsia="宋体" w:cs="宋体"/>
          <w:color w:val="000000"/>
          <w:sz w:val="21"/>
          <w:szCs w:val="21"/>
          <w:lang w:val="en-US" w:eastAsia="zh-CN"/>
        </w:rPr>
        <w:t>6</w:t>
      </w:r>
      <w:r>
        <w:rPr>
          <w:rFonts w:hint="eastAsia" w:ascii="宋体" w:hAnsi="宋体" w:eastAsia="宋体" w:cs="宋体"/>
          <w:color w:val="000000"/>
          <w:sz w:val="21"/>
          <w:szCs w:val="21"/>
        </w:rPr>
        <w:t>.具体责任表</w:t>
      </w:r>
    </w:p>
    <w:tbl>
      <w:tblPr>
        <w:tblStyle w:val="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7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序 号</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权力类型</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其他行政权力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权力项目名称</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对工业用盐等非食用盐的管理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责任主体</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食品与盐业股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责任事项</w:t>
            </w:r>
          </w:p>
        </w:tc>
        <w:tc>
          <w:tcPr>
            <w:tcW w:w="7109" w:type="dxa"/>
            <w:vAlign w:val="center"/>
          </w:tcPr>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1.监督检查责任：盐业主管机构负责加强对工业盐运销事中、事后监管，采取定期或不定期的方式，检查工业盐生产企业、经营企业、用盐企业、抽查工业盐的生产、销售、购进、使用、库存情况，特别要对工业副产物盐产品采取重点监管。</w:t>
            </w:r>
          </w:p>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color w:val="000000"/>
                <w:sz w:val="21"/>
                <w:szCs w:val="21"/>
                <w:shd w:val="clear" w:color="auto" w:fill="FFFFFF"/>
              </w:rPr>
            </w:pPr>
            <w:r>
              <w:rPr>
                <w:rFonts w:hint="eastAsia" w:ascii="宋体" w:hAnsi="宋体" w:eastAsia="宋体" w:cs="宋体"/>
                <w:sz w:val="21"/>
                <w:szCs w:val="21"/>
              </w:rPr>
              <w:t>2.处置责任：根据检查情况，会同相关部门以书面警告、责令整改、吊销相关证照等形式采取相应处置措施。</w:t>
            </w:r>
          </w:p>
          <w:p>
            <w:pPr>
              <w:keepNext w:val="0"/>
              <w:keepLines w:val="0"/>
              <w:pageBreakBefore w:val="0"/>
              <w:widowControl/>
              <w:kinsoku/>
              <w:wordWrap/>
              <w:overflowPunct/>
              <w:topLinePunct w:val="0"/>
              <w:autoSpaceDE/>
              <w:autoSpaceDN/>
              <w:bidi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shd w:val="clear" w:color="auto" w:fill="FFFFFF"/>
              </w:rPr>
              <w:t>3.其他责任：法律法规规章文件规定应履行的其他责任。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追责情形</w:t>
            </w:r>
          </w:p>
        </w:tc>
        <w:tc>
          <w:tcPr>
            <w:tcW w:w="7109" w:type="dxa"/>
            <w:vAlign w:val="center"/>
          </w:tcPr>
          <w:p>
            <w:pPr>
              <w:keepNext w:val="0"/>
              <w:keepLines w:val="0"/>
              <w:pageBreakBefore w:val="0"/>
              <w:kinsoku/>
              <w:wordWrap/>
              <w:overflowPunct/>
              <w:topLinePunct w:val="0"/>
              <w:autoSpaceDE/>
              <w:autoSpaceDN/>
              <w:bidi w:val="0"/>
              <w:spacing w:line="240" w:lineRule="auto"/>
              <w:ind w:firstLine="174" w:firstLineChars="83"/>
              <w:jc w:val="left"/>
              <w:textAlignment w:val="auto"/>
              <w:rPr>
                <w:rFonts w:hint="eastAsia" w:ascii="宋体" w:hAnsi="宋体" w:eastAsia="宋体" w:cs="宋体"/>
                <w:kern w:val="0"/>
                <w:sz w:val="21"/>
                <w:szCs w:val="21"/>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color w:val="000000"/>
                <w:sz w:val="21"/>
                <w:szCs w:val="21"/>
              </w:rPr>
              <w:t>《中华人民共和国行政许可法》《中华人民共和国行政处罚法》《中华人民共和国行政强制法》《食盐专营办法》</w:t>
            </w:r>
            <w:r>
              <w:rPr>
                <w:rFonts w:hint="eastAsia" w:ascii="宋体" w:hAnsi="宋体" w:eastAsia="宋体" w:cs="宋体"/>
                <w:sz w:val="21"/>
                <w:szCs w:val="21"/>
              </w:rPr>
              <w:t>《行政机关公务员处分条例》《四川省行政审批违法违纪行为责任追究办法》等法律法规规章的相关规定追究相应的责任。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1951"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监督电话</w:t>
            </w:r>
          </w:p>
        </w:tc>
        <w:tc>
          <w:tcPr>
            <w:tcW w:w="7109"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表2-1</w:t>
      </w:r>
      <w:r>
        <w:rPr>
          <w:rFonts w:hint="eastAsia" w:ascii="宋体" w:hAnsi="宋体" w:eastAsia="宋体" w:cs="宋体"/>
          <w:color w:val="000000"/>
          <w:sz w:val="21"/>
          <w:szCs w:val="21"/>
          <w:lang w:val="en-US" w:eastAsia="zh-CN"/>
        </w:rPr>
        <w:t>7</w:t>
      </w:r>
      <w:r>
        <w:rPr>
          <w:rFonts w:hint="eastAsia" w:ascii="宋体" w:hAnsi="宋体" w:eastAsia="宋体" w:cs="宋体"/>
          <w:color w:val="000000"/>
          <w:sz w:val="21"/>
          <w:szCs w:val="21"/>
        </w:rPr>
        <w:t>.具体责任表</w:t>
      </w:r>
    </w:p>
    <w:tbl>
      <w:tblPr>
        <w:tblStyle w:val="7"/>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对食盐储备的管理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食品与盐业股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1.监督检查责任：盐业主管部门负责加强对食盐定点生产企业和食盐定点批发企业食盐储备监管，保持食盐合理库存。                                                             </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2.申请动用储备盐责任：发生全市食盐异常波动且符合动用政府储备盐条件，按有关规定，负责向上级盐业主管部门申请动用储备盐。</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512" w:type="dxa"/>
            <w:vAlign w:val="center"/>
          </w:tcPr>
          <w:p>
            <w:pPr>
              <w:keepNext w:val="0"/>
              <w:keepLines w:val="0"/>
              <w:pageBreakBefore w:val="0"/>
              <w:kinsoku/>
              <w:wordWrap/>
              <w:overflowPunct/>
              <w:topLinePunct w:val="0"/>
              <w:autoSpaceDE/>
              <w:autoSpaceDN/>
              <w:bidi w:val="0"/>
              <w:spacing w:line="240" w:lineRule="auto"/>
              <w:ind w:firstLine="174" w:firstLineChars="83"/>
              <w:jc w:val="left"/>
              <w:textAlignment w:val="auto"/>
              <w:rPr>
                <w:rFonts w:hint="eastAsia" w:ascii="宋体" w:hAnsi="宋体" w:eastAsia="宋体" w:cs="宋体"/>
                <w:color w:val="000000"/>
                <w:sz w:val="21"/>
                <w:szCs w:val="21"/>
                <w:shd w:val="clear" w:color="auto" w:fill="FFFFFF"/>
              </w:rPr>
            </w:pPr>
            <w:r>
              <w:rPr>
                <w:rFonts w:hint="eastAsia" w:ascii="宋体" w:hAnsi="宋体" w:eastAsia="宋体" w:cs="宋体"/>
                <w:sz w:val="21"/>
                <w:szCs w:val="21"/>
              </w:rPr>
              <w:t>对不履行或不正确履行行政职责的行政机关及其工作人员，依据</w:t>
            </w:r>
            <w:r>
              <w:rPr>
                <w:rFonts w:hint="eastAsia" w:ascii="宋体" w:hAnsi="宋体" w:eastAsia="宋体" w:cs="宋体"/>
                <w:color w:val="000000"/>
                <w:sz w:val="21"/>
                <w:szCs w:val="21"/>
              </w:rPr>
              <w:t>《食盐专营办法》</w:t>
            </w:r>
            <w:r>
              <w:rPr>
                <w:rFonts w:hint="eastAsia" w:ascii="宋体" w:hAnsi="宋体" w:eastAsia="宋体" w:cs="宋体"/>
                <w:sz w:val="21"/>
                <w:szCs w:val="21"/>
              </w:rPr>
              <w:t>《行政机关公务员处分条例》等法律法规规章的相关规定追究相应的责任。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对食盐储备的管理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color w:val="000000"/>
          <w:sz w:val="21"/>
          <w:szCs w:val="21"/>
        </w:rPr>
      </w:pPr>
    </w:p>
    <w:p>
      <w:pPr>
        <w:keepNext w:val="0"/>
        <w:keepLines w:val="0"/>
        <w:pageBreakBefore w:val="0"/>
        <w:kinsoku/>
        <w:wordWrap/>
        <w:overflowPunct/>
        <w:topLinePunct w:val="0"/>
        <w:autoSpaceDE/>
        <w:autoSpaceDN/>
        <w:bidi w:val="0"/>
        <w:adjustRightInd w:val="0"/>
        <w:snapToGrid w:val="0"/>
        <w:spacing w:line="240" w:lineRule="auto"/>
        <w:ind w:right="128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表2-</w:t>
      </w:r>
      <w:r>
        <w:rPr>
          <w:rFonts w:hint="eastAsia" w:ascii="宋体" w:hAnsi="宋体" w:eastAsia="宋体" w:cs="宋体"/>
          <w:color w:val="000000"/>
          <w:sz w:val="21"/>
          <w:szCs w:val="21"/>
          <w:lang w:val="en-US" w:eastAsia="zh-CN"/>
        </w:rPr>
        <w:t>18</w:t>
      </w:r>
      <w:r>
        <w:rPr>
          <w:rFonts w:hint="eastAsia" w:ascii="宋体" w:hAnsi="宋体" w:eastAsia="宋体" w:cs="宋体"/>
          <w:color w:val="000000"/>
          <w:sz w:val="21"/>
          <w:szCs w:val="21"/>
        </w:rPr>
        <w:t>.具体责任表</w:t>
      </w:r>
    </w:p>
    <w:tbl>
      <w:tblPr>
        <w:tblStyle w:val="7"/>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权力类型</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其他行政权力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权力项目名称</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企业、事业单位、社会团体等投资建设的固定资产投资项目备案（技术改造）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责任主体</w:t>
            </w:r>
          </w:p>
        </w:tc>
        <w:tc>
          <w:tcPr>
            <w:tcW w:w="7512"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综合股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责任事项</w:t>
            </w:r>
          </w:p>
        </w:tc>
        <w:tc>
          <w:tcPr>
            <w:tcW w:w="7512" w:type="dxa"/>
            <w:vAlign w:val="center"/>
          </w:tcPr>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1.受理责任：公示应当提交的材料，一次性告知补充材料，依法受理或不予受理（不予受理应当告知理由）。</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2.审查责任：按照产业结构调整指导目录（2019年本）等相关要求，对申请材料进行审查。</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3.决定责任：作出审查通过或者不通过的决定，法定告知（不通过的应当告知理由）。</w:t>
            </w:r>
          </w:p>
          <w:p>
            <w:pPr>
              <w:keepNext w:val="0"/>
              <w:keepLines w:val="0"/>
              <w:pageBreakBefore w:val="0"/>
              <w:kinsoku/>
              <w:wordWrap/>
              <w:overflowPunct/>
              <w:topLinePunct w:val="0"/>
              <w:autoSpaceDE/>
              <w:autoSpaceDN/>
              <w:bidi w:val="0"/>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4.事后监督责任：建立实施监督检查的运行机制和管理制度，开展定期和不定期检查，依法采取相关处置措施。</w:t>
            </w:r>
          </w:p>
          <w:p>
            <w:pPr>
              <w:keepNext w:val="0"/>
              <w:keepLines w:val="0"/>
              <w:pageBreakBefore w:val="0"/>
              <w:kinsoku/>
              <w:wordWrap/>
              <w:overflowPunct/>
              <w:topLinePunct w:val="0"/>
              <w:autoSpaceDE/>
              <w:autoSpaceDN/>
              <w:bidi w:val="0"/>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5.其他责任：法律法规规章文件规定应履行的其它责任。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追责情形</w:t>
            </w:r>
          </w:p>
        </w:tc>
        <w:tc>
          <w:tcPr>
            <w:tcW w:w="7512" w:type="dxa"/>
            <w:vAlign w:val="center"/>
          </w:tcPr>
          <w:p>
            <w:pPr>
              <w:keepNext w:val="0"/>
              <w:keepLines w:val="0"/>
              <w:pageBreakBefore w:val="0"/>
              <w:kinsoku/>
              <w:wordWrap/>
              <w:overflowPunct/>
              <w:topLinePunct w:val="0"/>
              <w:autoSpaceDE/>
              <w:autoSpaceDN/>
              <w:bidi w:val="0"/>
              <w:spacing w:line="240" w:lineRule="auto"/>
              <w:textAlignment w:val="auto"/>
              <w:rPr>
                <w:rFonts w:hint="eastAsia" w:ascii="宋体" w:hAnsi="宋体" w:eastAsia="宋体" w:cs="宋体"/>
                <w:b/>
                <w:sz w:val="21"/>
                <w:szCs w:val="21"/>
              </w:rPr>
            </w:pPr>
            <w:r>
              <w:rPr>
                <w:rFonts w:hint="eastAsia" w:ascii="宋体" w:hAnsi="宋体" w:eastAsia="宋体" w:cs="宋体"/>
                <w:sz w:val="21"/>
                <w:szCs w:val="21"/>
              </w:rPr>
              <w:t>对不履行或不正确履行行政职责的行政机关及其工作人员，依据《中华人民共和国行政许可法》《行政机关公务员处分条例》《四川省行政审批违法违纪行为责任追究办法》《四川省行政机关工作人员行政过错责任追究试行办法》《国务院&lt;关于发布政府核准的投资项目目录（2019年本）&gt;的通知》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1560" w:type="dxa"/>
            <w:vAlign w:val="center"/>
          </w:tcPr>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监督电话</w:t>
            </w:r>
          </w:p>
        </w:tc>
        <w:tc>
          <w:tcPr>
            <w:tcW w:w="7512" w:type="dxa"/>
            <w:vAlign w:val="center"/>
          </w:tcPr>
          <w:p>
            <w:pPr>
              <w:keepNext w:val="0"/>
              <w:keepLines w:val="0"/>
              <w:pageBreakBefore w:val="0"/>
              <w:kinsoku/>
              <w:wordWrap/>
              <w:overflowPunct/>
              <w:topLinePunct w:val="0"/>
              <w:autoSpaceDE/>
              <w:autoSpaceDN/>
              <w:bidi w:val="0"/>
              <w:spacing w:line="240" w:lineRule="auto"/>
              <w:ind w:firstLine="2310" w:firstLineChars="1100"/>
              <w:textAlignment w:val="auto"/>
              <w:rPr>
                <w:rFonts w:hint="eastAsia" w:ascii="宋体" w:hAnsi="宋体" w:eastAsia="宋体" w:cs="宋体"/>
                <w:sz w:val="21"/>
                <w:szCs w:val="21"/>
              </w:rPr>
            </w:pPr>
            <w:r>
              <w:rPr>
                <w:rFonts w:hint="eastAsia" w:ascii="宋体" w:hAnsi="宋体" w:eastAsia="宋体" w:cs="宋体"/>
                <w:kern w:val="0"/>
                <w:sz w:val="21"/>
                <w:szCs w:val="21"/>
              </w:rPr>
              <w:t>全祖辉 13882544584</w:t>
            </w:r>
          </w:p>
        </w:tc>
      </w:tr>
    </w:tbl>
    <w:p>
      <w:pPr>
        <w:keepNext w:val="0"/>
        <w:keepLines w:val="0"/>
        <w:pageBreakBefore w:val="0"/>
        <w:kinsoku/>
        <w:wordWrap/>
        <w:overflowPunct/>
        <w:topLinePunct w:val="0"/>
        <w:autoSpaceDE/>
        <w:autoSpaceDN/>
        <w:bidi w:val="0"/>
        <w:adjustRightInd w:val="0"/>
        <w:snapToGrid w:val="0"/>
        <w:spacing w:line="240" w:lineRule="auto"/>
        <w:ind w:right="1280"/>
        <w:textAlignment w:val="auto"/>
      </w:pPr>
    </w:p>
    <w:sectPr>
      <w:footerReference r:id="rId3" w:type="default"/>
      <w:pgSz w:w="11906" w:h="16838"/>
      <w:pgMar w:top="1531" w:right="1474" w:bottom="1531"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ascii="仿宋_GB2312" w:hAnsi="仿宋_GB2312" w:cs="仿宋_GB2312"/>
                              <w:sz w:val="28"/>
                              <w:szCs w:val="28"/>
                            </w:rPr>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ascii="仿宋_GB2312" w:hAnsi="仿宋_GB2312" w:cs="仿宋_GB2312"/>
                              <w:sz w:val="28"/>
                              <w:szCs w:val="28"/>
                            </w:rPr>
                            <w:t>- 18 -</w:t>
                          </w:r>
                          <w:r>
                            <w:rPr>
                              <w:rFonts w:hint="eastAsia" w:ascii="仿宋_GB2312" w:hAnsi="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4"/>
                      <w:rPr>
                        <w:rFonts w:ascii="仿宋_GB2312" w:hAnsi="仿宋_GB2312" w:cs="仿宋_GB2312"/>
                        <w:sz w:val="28"/>
                        <w:szCs w:val="28"/>
                      </w:rPr>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ascii="仿宋_GB2312" w:hAnsi="仿宋_GB2312" w:cs="仿宋_GB2312"/>
                        <w:sz w:val="28"/>
                        <w:szCs w:val="28"/>
                      </w:rPr>
                      <w:t>- 18 -</w:t>
                    </w:r>
                    <w:r>
                      <w:rPr>
                        <w:rFonts w:hint="eastAsia" w:ascii="仿宋_GB2312" w:hAnsi="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0654F0"/>
    <w:multiLevelType w:val="singleLevel"/>
    <w:tmpl w:val="490654F0"/>
    <w:lvl w:ilvl="0" w:tentative="0">
      <w:start w:val="1"/>
      <w:numFmt w:val="decimal"/>
      <w:pStyle w:val="2"/>
      <w:lvlText w:val="%1."/>
      <w:lvlJc w:val="left"/>
      <w:pPr>
        <w:tabs>
          <w:tab w:val="left" w:pos="360"/>
        </w:tabs>
        <w:ind w:left="360" w:hanging="360"/>
      </w:pPr>
    </w:lvl>
  </w:abstractNum>
  <w:abstractNum w:abstractNumId="1">
    <w:nsid w:val="55DE6FD5"/>
    <w:multiLevelType w:val="singleLevel"/>
    <w:tmpl w:val="55DE6FD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AB"/>
    <w:rsid w:val="00015D00"/>
    <w:rsid w:val="000F25AB"/>
    <w:rsid w:val="002E6B3F"/>
    <w:rsid w:val="003E03AD"/>
    <w:rsid w:val="0048397C"/>
    <w:rsid w:val="00735CDD"/>
    <w:rsid w:val="008379BB"/>
    <w:rsid w:val="008A245A"/>
    <w:rsid w:val="008E33D9"/>
    <w:rsid w:val="00B200F4"/>
    <w:rsid w:val="00BB2034"/>
    <w:rsid w:val="00C14A00"/>
    <w:rsid w:val="00C32E01"/>
    <w:rsid w:val="00DB734A"/>
    <w:rsid w:val="00DC3B10"/>
    <w:rsid w:val="00ED627B"/>
    <w:rsid w:val="00F4356D"/>
    <w:rsid w:val="00F44B25"/>
    <w:rsid w:val="00FE0468"/>
    <w:rsid w:val="031A6619"/>
    <w:rsid w:val="05E96438"/>
    <w:rsid w:val="05FD2730"/>
    <w:rsid w:val="07221292"/>
    <w:rsid w:val="07AC0F30"/>
    <w:rsid w:val="081C15D6"/>
    <w:rsid w:val="09BA236F"/>
    <w:rsid w:val="09E20420"/>
    <w:rsid w:val="0AC23294"/>
    <w:rsid w:val="0BC563B6"/>
    <w:rsid w:val="0D412719"/>
    <w:rsid w:val="0D445035"/>
    <w:rsid w:val="0D63013E"/>
    <w:rsid w:val="0F003FB4"/>
    <w:rsid w:val="0F692BEE"/>
    <w:rsid w:val="0FDC6957"/>
    <w:rsid w:val="126212F2"/>
    <w:rsid w:val="12DF6DE9"/>
    <w:rsid w:val="14AA1AB0"/>
    <w:rsid w:val="1507238B"/>
    <w:rsid w:val="16AC5868"/>
    <w:rsid w:val="1728002E"/>
    <w:rsid w:val="17DE2A08"/>
    <w:rsid w:val="184B6869"/>
    <w:rsid w:val="18620CDA"/>
    <w:rsid w:val="18C571BD"/>
    <w:rsid w:val="19FC72DE"/>
    <w:rsid w:val="1B691007"/>
    <w:rsid w:val="1C91432B"/>
    <w:rsid w:val="1D843754"/>
    <w:rsid w:val="1EC65651"/>
    <w:rsid w:val="1FA00E52"/>
    <w:rsid w:val="217022E2"/>
    <w:rsid w:val="21E43FD2"/>
    <w:rsid w:val="220F57D1"/>
    <w:rsid w:val="236D74F3"/>
    <w:rsid w:val="2411509C"/>
    <w:rsid w:val="25004FBF"/>
    <w:rsid w:val="25071BD8"/>
    <w:rsid w:val="25731A3B"/>
    <w:rsid w:val="25B5542A"/>
    <w:rsid w:val="26890F06"/>
    <w:rsid w:val="271C2670"/>
    <w:rsid w:val="2A8B6F57"/>
    <w:rsid w:val="2AE9726B"/>
    <w:rsid w:val="2BA53369"/>
    <w:rsid w:val="2BF816E9"/>
    <w:rsid w:val="2DD9041C"/>
    <w:rsid w:val="2DD95F44"/>
    <w:rsid w:val="30BA2525"/>
    <w:rsid w:val="31A00C6B"/>
    <w:rsid w:val="3338539E"/>
    <w:rsid w:val="3538332B"/>
    <w:rsid w:val="38E92F24"/>
    <w:rsid w:val="38EF1B27"/>
    <w:rsid w:val="3A4E1ED3"/>
    <w:rsid w:val="3B4350AB"/>
    <w:rsid w:val="3CA60E85"/>
    <w:rsid w:val="3CF44433"/>
    <w:rsid w:val="41B023D1"/>
    <w:rsid w:val="43EE45E0"/>
    <w:rsid w:val="45421A14"/>
    <w:rsid w:val="46CC50AB"/>
    <w:rsid w:val="47704C19"/>
    <w:rsid w:val="47C5328C"/>
    <w:rsid w:val="4D724C30"/>
    <w:rsid w:val="4E4C39B3"/>
    <w:rsid w:val="4EC84802"/>
    <w:rsid w:val="4F4C6186"/>
    <w:rsid w:val="4F627D0B"/>
    <w:rsid w:val="4FB04DF0"/>
    <w:rsid w:val="4FBC3DB5"/>
    <w:rsid w:val="51E14319"/>
    <w:rsid w:val="51FD7F3E"/>
    <w:rsid w:val="522706BD"/>
    <w:rsid w:val="52A07117"/>
    <w:rsid w:val="536859E6"/>
    <w:rsid w:val="55982E02"/>
    <w:rsid w:val="55E22458"/>
    <w:rsid w:val="59186405"/>
    <w:rsid w:val="5B42573E"/>
    <w:rsid w:val="5BA83898"/>
    <w:rsid w:val="5E675339"/>
    <w:rsid w:val="5F332816"/>
    <w:rsid w:val="624A6E84"/>
    <w:rsid w:val="62880A53"/>
    <w:rsid w:val="62D81DE1"/>
    <w:rsid w:val="636F2C91"/>
    <w:rsid w:val="646C783B"/>
    <w:rsid w:val="64B00C10"/>
    <w:rsid w:val="655D2009"/>
    <w:rsid w:val="65BD3152"/>
    <w:rsid w:val="673873B3"/>
    <w:rsid w:val="6C795F75"/>
    <w:rsid w:val="6D8C2D76"/>
    <w:rsid w:val="6EB72812"/>
    <w:rsid w:val="6ED93962"/>
    <w:rsid w:val="6EE722D3"/>
    <w:rsid w:val="6FFD7550"/>
    <w:rsid w:val="70D95079"/>
    <w:rsid w:val="75227799"/>
    <w:rsid w:val="76D66D79"/>
    <w:rsid w:val="76E11CBD"/>
    <w:rsid w:val="78FA2724"/>
    <w:rsid w:val="795924A3"/>
    <w:rsid w:val="797C4B44"/>
    <w:rsid w:val="79A81EB7"/>
    <w:rsid w:val="7A4351A7"/>
    <w:rsid w:val="7A59096C"/>
    <w:rsid w:val="7AB24CCE"/>
    <w:rsid w:val="7B2604EA"/>
    <w:rsid w:val="7B6E5C67"/>
    <w:rsid w:val="7B7F4FC7"/>
    <w:rsid w:val="7CB267F9"/>
    <w:rsid w:val="7D0B29BC"/>
    <w:rsid w:val="7DF94E76"/>
    <w:rsid w:val="7DFC3AE6"/>
    <w:rsid w:val="7E4E57C4"/>
    <w:rsid w:val="7F2733F4"/>
    <w:rsid w:val="7F342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List Number"/>
    <w:basedOn w:val="1"/>
    <w:semiHidden/>
    <w:unhideWhenUsed/>
    <w:qFormat/>
    <w:uiPriority w:val="99"/>
    <w:pPr>
      <w:numPr>
        <w:ilvl w:val="0"/>
        <w:numId w:val="1"/>
      </w:numPr>
    </w:p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99"/>
    <w:rPr>
      <w:color w:val="0000FF" w:themeColor="hyperlink"/>
      <w:u w:val="single"/>
      <w14:textFill>
        <w14:solidFill>
          <w14:schemeClr w14:val="hlink"/>
        </w14:solidFill>
      </w14:textFill>
    </w:rPr>
  </w:style>
  <w:style w:type="paragraph" w:styleId="11">
    <w:name w:val="List Paragraph"/>
    <w:basedOn w:val="1"/>
    <w:qFormat/>
    <w:uiPriority w:val="34"/>
    <w:pPr>
      <w:ind w:firstLine="420" w:firstLineChars="200"/>
    </w:pPr>
  </w:style>
  <w:style w:type="character" w:customStyle="1" w:styleId="12">
    <w:name w:val="页眉 Char"/>
    <w:basedOn w:val="9"/>
    <w:link w:val="5"/>
    <w:qFormat/>
    <w:uiPriority w:val="99"/>
    <w:rPr>
      <w:rFonts w:ascii="Times New Roman" w:hAnsi="Times New Roman" w:eastAsia="仿宋_GB2312" w:cs="Times New Roman"/>
      <w:sz w:val="18"/>
      <w:szCs w:val="18"/>
    </w:rPr>
  </w:style>
  <w:style w:type="character" w:customStyle="1" w:styleId="13">
    <w:name w:val="页脚 Char"/>
    <w:basedOn w:val="9"/>
    <w:link w:val="4"/>
    <w:qFormat/>
    <w:uiPriority w:val="99"/>
    <w:rPr>
      <w:rFonts w:ascii="Times New Roman" w:hAnsi="Times New Roman" w:eastAsia="仿宋_GB2312" w:cs="Times New Roman"/>
      <w:sz w:val="18"/>
      <w:szCs w:val="18"/>
    </w:rPr>
  </w:style>
  <w:style w:type="character" w:customStyle="1" w:styleId="14">
    <w:name w:val="apple-converted-space"/>
    <w:basedOn w:val="9"/>
    <w:qFormat/>
    <w:uiPriority w:val="0"/>
  </w:style>
  <w:style w:type="character" w:customStyle="1" w:styleId="15">
    <w:name w:val="批注框文本 Char"/>
    <w:basedOn w:val="9"/>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18</Pages>
  <Words>1491</Words>
  <Characters>8503</Characters>
  <Lines>70</Lines>
  <Paragraphs>19</Paragraphs>
  <TotalTime>17</TotalTime>
  <ScaleCrop>false</ScaleCrop>
  <LinksUpToDate>false</LinksUpToDate>
  <CharactersWithSpaces>9975</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2018-02-07T02:58:00Z</dcterms:created>
  <dc:creator>China</dc:creator>
  <cp:lastModifiedBy>洋洋</cp:lastModifiedBy>
  <cp:lastPrinted>2020-01-07T02:40:00Z</cp:lastPrinted>
  <dcterms:modified xsi:type="dcterms:W3CDTF">2020-01-14T01:17:30Z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