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60" w:lineRule="exact"/>
        <w:jc w:val="center"/>
        <w:textAlignment w:val="auto"/>
        <w:rPr>
          <w:rFonts w:ascii="Times New Roman" w:hAnsi="Times New Roman" w:eastAsia="仿宋_GB2312" w:cs="仿宋_GB2312"/>
          <w:sz w:val="32"/>
          <w:szCs w:val="32"/>
        </w:rPr>
      </w:pPr>
      <w:r>
        <w:rPr>
          <w:rFonts w:hint="eastAsia" w:ascii="宋体" w:hAnsi="宋体" w:eastAsia="宋体" w:cs="宋体"/>
          <w:b/>
          <w:bCs/>
          <w:kern w:val="0"/>
          <w:sz w:val="32"/>
          <w:szCs w:val="32"/>
          <w:lang w:val="en-US" w:eastAsia="zh-CN"/>
        </w:rPr>
        <w:t>遂宁市安居区商务局</w:t>
      </w:r>
      <w:r>
        <w:rPr>
          <w:rFonts w:hint="eastAsia" w:ascii="宋体" w:hAnsi="宋体" w:cs="宋体"/>
          <w:b/>
          <w:bCs/>
          <w:kern w:val="0"/>
          <w:sz w:val="32"/>
          <w:szCs w:val="32"/>
          <w:lang w:val="en-US" w:eastAsia="zh-CN"/>
        </w:rPr>
        <w:t>行政权力</w:t>
      </w:r>
      <w:r>
        <w:rPr>
          <w:rFonts w:hint="eastAsia" w:ascii="宋体" w:hAnsi="宋体" w:eastAsia="宋体" w:cs="宋体"/>
          <w:b/>
          <w:bCs/>
          <w:kern w:val="0"/>
          <w:sz w:val="32"/>
          <w:szCs w:val="32"/>
        </w:rPr>
        <w:t>责任清单</w:t>
      </w:r>
      <w:bookmarkStart w:id="0" w:name="_GoBack"/>
      <w:bookmarkEnd w:id="0"/>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Cs w:val="21"/>
        </w:rPr>
      </w:pPr>
      <w:r>
        <w:rPr>
          <w:rFonts w:hint="eastAsia" w:ascii="宋体" w:hAnsi="宋体" w:eastAsia="宋体" w:cs="宋体"/>
          <w:szCs w:val="21"/>
        </w:rPr>
        <w:t>表1：主体责任表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Times New Roman" w:hAnsi="Times New Roman" w:cs="仿宋_GB2312"/>
                <w:b/>
                <w:szCs w:val="21"/>
              </w:rPr>
            </w:pPr>
            <w:r>
              <w:rPr>
                <w:rFonts w:hint="eastAsia" w:ascii="Times New Roman" w:hAnsi="Times New Roman" w:cs="仿宋_GB2312"/>
                <w:b/>
                <w:szCs w:val="21"/>
              </w:rPr>
              <w:t>主体责任</w:t>
            </w:r>
          </w:p>
        </w:tc>
        <w:tc>
          <w:tcPr>
            <w:tcW w:w="710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ascii="宋体" w:hAnsi="宋体"/>
                <w:szCs w:val="21"/>
              </w:rPr>
            </w:pPr>
            <w:r>
              <w:rPr>
                <w:rFonts w:ascii="宋体" w:hAnsi="宋体"/>
                <w:szCs w:val="21"/>
              </w:rPr>
              <w:t>1.承担全区商贸服务业发展工作的牵头协调职责，建立公开、平等、规范的流通市场准入制度; 加强政策性资金对商贸服务业发展的支持; 加大商贸服务业对外开放力度; 加强流通市场监督;指导管理以安居名义在境内外举办、参加各种商贸交易会、展览展销会和经贸交易活动。</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2.贯彻落实国家、省、市、区有关国内外贸易、外商投资和国际经济合作的法律、法规和方针、政策，拟定全区国内外贸易、外商投资和对外经济合作的相关政策、规范性文件和实施细则，制定全区商贸发展规划、年度计划并组织实施。</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3.负责全区物流产业发展综合协调工作; 拟定和组织贯彻落实现代物流业发展政策; 推进物流产业结构调整，加快第三方物流发展。</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4.贯彻落实规范市场运行和流通秩序的相关政策，组织编制城乡市场发展规划，推进城市商业体系建设和农村市场体系建设，促进城乡市场一体化发展。</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5.指导流通企业改革，提出促进商贸企业发展的政策建议，推动流通标准化和连锁经营、商业特许经营、物流配送、电子商务等现代流通方式的发展。</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6.牵头协调全区整顿和规范市场经济秩序工作; 推动商务领域信用体系建设，建立市场诚信公共服务平台。</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7.承担组织实施重要消费品市场调控和监测，负责建立健全生活必需品市场供应应急管理机制，监测分析市场运行、商品供求状况，调查分析商品价格信息，进行预测预警和信息引导，按分工负责重要消费品储备管理和市场调控工作。</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ascii="宋体" w:hAnsi="宋体"/>
                <w:szCs w:val="21"/>
              </w:rPr>
            </w:pPr>
            <w:r>
              <w:rPr>
                <w:rFonts w:ascii="宋体" w:hAnsi="宋体"/>
                <w:szCs w:val="21"/>
              </w:rPr>
              <w:t>8.拟订促进转变外贸增长方式的政策措施，指导对外贸易行业执行国家进出口商品、加工贸易管理办法和进出口管理商品、技术目录;推进进出口贸易标准化工作;指导贸易促进活动和外贸促进体系建设。</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ascii="宋体" w:hAnsi="宋体"/>
                <w:szCs w:val="21"/>
              </w:rPr>
            </w:pPr>
            <w:r>
              <w:rPr>
                <w:rFonts w:ascii="宋体" w:hAnsi="宋体"/>
                <w:szCs w:val="21"/>
              </w:rPr>
              <w:t>9.拟订应对经济全球化、区域经济合作的对策措施，加强与自由贸易区、港澳台地区的商贸合作，推进贸易和投资便利化。</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10.指导全区外商投资促进和管理工作;负责全区对外经济合作工作。</w:t>
            </w:r>
          </w:p>
          <w:p>
            <w:pPr>
              <w:keepNext w:val="0"/>
              <w:keepLines w:val="0"/>
              <w:pageBreakBefore w:val="0"/>
              <w:widowControl w:val="0"/>
              <w:kinsoku/>
              <w:wordWrap/>
              <w:overflowPunct/>
              <w:topLinePunct w:val="0"/>
              <w:autoSpaceDE/>
              <w:autoSpaceDN/>
              <w:bidi w:val="0"/>
              <w:adjustRightInd/>
              <w:snapToGrid/>
              <w:spacing w:line="300" w:lineRule="exact"/>
              <w:ind w:firstLine="435"/>
              <w:textAlignment w:val="auto"/>
              <w:outlineLvl w:val="9"/>
              <w:rPr>
                <w:rFonts w:ascii="宋体" w:hAnsi="宋体"/>
                <w:szCs w:val="21"/>
              </w:rPr>
            </w:pPr>
            <w:r>
              <w:rPr>
                <w:rFonts w:ascii="宋体" w:hAnsi="宋体"/>
                <w:szCs w:val="21"/>
              </w:rPr>
              <w:t>11.规划全区商务系统电子政务、公共商务信息服务体系建设并组织实施，推动电子商务发展。</w:t>
            </w:r>
          </w:p>
          <w:p>
            <w:pPr>
              <w:keepNext w:val="0"/>
              <w:keepLines w:val="0"/>
              <w:pageBreakBefore w:val="0"/>
              <w:widowControl w:val="0"/>
              <w:kinsoku/>
              <w:wordWrap/>
              <w:overflowPunct/>
              <w:topLinePunct w:val="0"/>
              <w:autoSpaceDE/>
              <w:autoSpaceDN/>
              <w:bidi w:val="0"/>
              <w:adjustRightInd/>
              <w:snapToGrid/>
              <w:spacing w:line="300" w:lineRule="exact"/>
              <w:ind w:firstLine="435"/>
              <w:textAlignment w:val="auto"/>
              <w:outlineLvl w:val="9"/>
              <w:rPr>
                <w:rFonts w:ascii="宋体" w:hAnsi="宋体"/>
                <w:szCs w:val="21"/>
              </w:rPr>
            </w:pPr>
            <w:r>
              <w:rPr>
                <w:rFonts w:ascii="宋体" w:hAnsi="宋体"/>
                <w:szCs w:val="21"/>
              </w:rPr>
              <w:t>12.承担区政府公布的有关行政审批事项。</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ascii="Times New Roman" w:hAnsi="Times New Roman" w:eastAsia="仿宋_GB2312"/>
                <w:szCs w:val="21"/>
              </w:rPr>
            </w:pPr>
            <w:r>
              <w:rPr>
                <w:rFonts w:ascii="宋体" w:hAnsi="宋体"/>
                <w:szCs w:val="21"/>
              </w:rPr>
              <w:t>13.承办区政府交办的其他事项。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ascii="Times New Roman" w:hAnsi="Times New Roman" w:cs="仿宋_GB2312"/>
                <w:b/>
                <w:szCs w:val="21"/>
              </w:rPr>
            </w:pPr>
            <w:r>
              <w:rPr>
                <w:rFonts w:hint="eastAsia" w:ascii="Times New Roman" w:hAnsi="Times New Roman" w:cs="仿宋_GB2312"/>
                <w:b/>
                <w:szCs w:val="21"/>
              </w:rPr>
              <w:t>职责边界</w:t>
            </w:r>
          </w:p>
        </w:tc>
        <w:tc>
          <w:tcPr>
            <w:tcW w:w="7109" w:type="dxa"/>
            <w:tcBorders>
              <w:top w:val="single" w:color="auto" w:sz="4" w:space="0"/>
              <w:left w:val="nil"/>
              <w:bottom w:val="single" w:color="auto" w:sz="4" w:space="0"/>
              <w:right w:val="single" w:color="auto" w:sz="4" w:space="0"/>
            </w:tcBorders>
            <w:noWrap w:val="0"/>
            <w:vAlign w:val="center"/>
          </w:tcPr>
          <w:p>
            <w:pPr>
              <w:spacing w:line="300" w:lineRule="exact"/>
              <w:ind w:firstLine="420" w:firstLineChars="200"/>
              <w:rPr>
                <w:rFonts w:ascii="宋体" w:hAnsi="宋体"/>
                <w:szCs w:val="21"/>
              </w:rPr>
            </w:pPr>
            <w:r>
              <w:rPr>
                <w:rFonts w:ascii="宋体" w:hAnsi="宋体"/>
                <w:szCs w:val="21"/>
              </w:rPr>
              <w:t>1.再生资源回收管理：商务主管部门是再生资源回收的行业主管部门，负责制定和实施再生资源回收产业政策、回收标准和回收行业发展规划；发展改革部门负责研究提出促进再生资源发展的政策，组织实施再生资源利用新技术、新设备的推广应用和产业化示范；公安机关负责再生资源回收的治安管理；</w:t>
            </w:r>
            <w:r>
              <w:rPr>
                <w:rFonts w:hint="eastAsia" w:ascii="宋体" w:hAnsi="宋体"/>
                <w:szCs w:val="21"/>
                <w:lang w:val="en-US" w:eastAsia="zh-CN"/>
              </w:rPr>
              <w:t>市场监管</w:t>
            </w:r>
            <w:r>
              <w:rPr>
                <w:rFonts w:ascii="宋体" w:hAnsi="宋体"/>
                <w:szCs w:val="21"/>
              </w:rPr>
              <w:t>部门负责再生资源回收经营者的登记管理和再生资源交易市场内的监督管理；</w:t>
            </w:r>
            <w:r>
              <w:rPr>
                <w:rFonts w:hint="eastAsia" w:ascii="宋体" w:hAnsi="宋体"/>
                <w:szCs w:val="21"/>
                <w:lang w:val="en-US" w:eastAsia="zh-CN"/>
              </w:rPr>
              <w:t>生态环境</w:t>
            </w:r>
            <w:r>
              <w:rPr>
                <w:rFonts w:ascii="宋体" w:hAnsi="宋体"/>
                <w:szCs w:val="21"/>
              </w:rPr>
              <w:t>管理部门负责对再生资源回收过程中环境污染的防治工作实施监督管理，依法对违反污染环境防治法律法规的行为进行处罚；</w:t>
            </w:r>
            <w:r>
              <w:rPr>
                <w:rFonts w:hint="eastAsia" w:ascii="宋体" w:hAnsi="宋体"/>
                <w:szCs w:val="21"/>
                <w:lang w:val="en-US" w:eastAsia="zh-CN"/>
              </w:rPr>
              <w:t>住建</w:t>
            </w:r>
            <w:r>
              <w:rPr>
                <w:rFonts w:ascii="宋体" w:hAnsi="宋体"/>
                <w:szCs w:val="21"/>
              </w:rPr>
              <w:t>、</w:t>
            </w:r>
            <w:r>
              <w:rPr>
                <w:rFonts w:hint="eastAsia" w:ascii="宋体" w:hAnsi="宋体"/>
                <w:szCs w:val="21"/>
                <w:lang w:val="en-US" w:eastAsia="zh-CN"/>
              </w:rPr>
              <w:t>自然资源规划</w:t>
            </w:r>
            <w:r>
              <w:rPr>
                <w:rFonts w:ascii="宋体" w:hAnsi="宋体"/>
                <w:szCs w:val="21"/>
              </w:rPr>
              <w:t>管理部门负责将再生资源回收网点纳入城市规划，依法对违反城市规划、建设管理有关法律法规的行为进行查处和清理整顿。</w:t>
            </w:r>
          </w:p>
          <w:p>
            <w:pPr>
              <w:shd w:val="clear" w:fill="FFFFFF" w:themeFill="background1"/>
              <w:spacing w:line="240" w:lineRule="auto"/>
              <w:ind w:firstLine="420" w:firstLineChars="200"/>
              <w:rPr>
                <w:rFonts w:ascii="宋体" w:hAnsi="宋体"/>
                <w:szCs w:val="21"/>
              </w:rPr>
            </w:pPr>
            <w:r>
              <w:rPr>
                <w:rFonts w:hint="eastAsia" w:ascii="宋体" w:hAnsi="宋体"/>
                <w:szCs w:val="21"/>
                <w:lang w:val="en-US" w:eastAsia="zh-CN"/>
              </w:rPr>
              <w:t>2.</w:t>
            </w:r>
            <w:r>
              <w:rPr>
                <w:rFonts w:ascii="宋体" w:hAnsi="宋体"/>
                <w:szCs w:val="21"/>
              </w:rPr>
              <w:t>二手车流通管理：商务部门负责制订二手车市场发展、布局规划和建设标准；</w:t>
            </w:r>
            <w:r>
              <w:rPr>
                <w:rFonts w:hint="eastAsia" w:ascii="宋体" w:hAnsi="宋体"/>
                <w:szCs w:val="21"/>
                <w:lang w:val="en-US" w:eastAsia="zh-CN"/>
              </w:rPr>
              <w:t>市场监管</w:t>
            </w:r>
            <w:r>
              <w:rPr>
                <w:rFonts w:ascii="宋体" w:hAnsi="宋体"/>
                <w:szCs w:val="21"/>
              </w:rPr>
              <w:t>部门负责二手车经营主体的注册登记、二手车市场和二手车经营主体交易行为的监督管理、二手车经营活动中各种格式合同的推广工作、受理二手车消费者投诉举报；公安部门负责二手车转移登记工作，依法打击二手车流通领域的违法犯罪活动；税务部门负责依法查处发票使用和管理的违法行为。</w:t>
            </w:r>
          </w:p>
          <w:p>
            <w:pPr>
              <w:shd w:val="clear" w:fill="FFFFFF" w:themeFill="background1"/>
              <w:spacing w:line="240" w:lineRule="auto"/>
              <w:ind w:firstLine="420" w:firstLineChars="200"/>
              <w:rPr>
                <w:rFonts w:ascii="宋体" w:hAnsi="宋体"/>
                <w:szCs w:val="21"/>
              </w:rPr>
            </w:pPr>
            <w:r>
              <w:rPr>
                <w:rFonts w:hint="eastAsia" w:ascii="宋体" w:hAnsi="宋体"/>
                <w:szCs w:val="21"/>
                <w:lang w:val="en-US" w:eastAsia="zh-CN"/>
              </w:rPr>
              <w:t>3</w:t>
            </w:r>
            <w:r>
              <w:rPr>
                <w:rFonts w:ascii="宋体" w:hAnsi="宋体"/>
                <w:szCs w:val="21"/>
              </w:rPr>
              <w:t>.茧丝绸管理：商务部门负责本地区鲜茧收购经营者的资格认定，颁发《鲜茧收购资格证书》，向社会公布，并上报备案。</w:t>
            </w:r>
            <w:r>
              <w:rPr>
                <w:rFonts w:hint="eastAsia" w:ascii="宋体" w:hAnsi="宋体"/>
                <w:szCs w:val="21"/>
                <w:lang w:val="en-US" w:eastAsia="zh-CN"/>
              </w:rPr>
              <w:t>市场监管</w:t>
            </w:r>
            <w:r>
              <w:rPr>
                <w:rFonts w:ascii="宋体" w:hAnsi="宋体"/>
                <w:szCs w:val="21"/>
              </w:rPr>
              <w:t>部门负责鲜茧收购秩序的监督管理工作。</w:t>
            </w:r>
          </w:p>
          <w:p>
            <w:pPr>
              <w:shd w:val="clear" w:fill="FFFFFF" w:themeFill="background1"/>
              <w:spacing w:line="240" w:lineRule="auto"/>
              <w:ind w:firstLine="420" w:firstLineChars="200"/>
              <w:rPr>
                <w:rFonts w:ascii="宋体" w:hAnsi="宋体"/>
                <w:szCs w:val="21"/>
              </w:rPr>
            </w:pPr>
            <w:r>
              <w:rPr>
                <w:rFonts w:hint="eastAsia" w:ascii="宋体" w:hAnsi="宋体"/>
                <w:szCs w:val="21"/>
                <w:lang w:val="en-US" w:eastAsia="zh-CN"/>
              </w:rPr>
              <w:t>4</w:t>
            </w:r>
            <w:r>
              <w:rPr>
                <w:rFonts w:ascii="宋体" w:hAnsi="宋体"/>
                <w:szCs w:val="21"/>
              </w:rPr>
              <w:t>.药品流通管理：商务主管部门负责研究制定药品流通行业发展规划、行业标准和有关政策，配合实施国家基本药物制度，提高行业组织化程度和现代化水平，逐步建立药品流通行业统计制度，推进行业信用体系建设，指导行业协会实行行业自律，开展行业培训，加强国际合作与交流。</w:t>
            </w:r>
            <w:r>
              <w:rPr>
                <w:rFonts w:hint="eastAsia" w:ascii="宋体" w:hAnsi="宋体"/>
                <w:szCs w:val="21"/>
                <w:lang w:val="en-US" w:eastAsia="zh-CN"/>
              </w:rPr>
              <w:t>市场监管</w:t>
            </w:r>
            <w:r>
              <w:rPr>
                <w:rFonts w:ascii="宋体" w:hAnsi="宋体"/>
                <w:szCs w:val="21"/>
              </w:rPr>
              <w:t>部门负责对药品经营企业进行准入管理，制定药品经营质量管理规范并监督实施，监管药品质量安全；组织查处药品经营的违法违规行为。</w:t>
            </w:r>
          </w:p>
          <w:p>
            <w:pPr>
              <w:shd w:val="clear" w:fill="FFFFFF" w:themeFill="background1"/>
              <w:spacing w:line="240" w:lineRule="auto"/>
              <w:ind w:firstLine="420" w:firstLineChars="200"/>
              <w:rPr>
                <w:rFonts w:ascii="宋体" w:hAnsi="宋体"/>
                <w:szCs w:val="21"/>
              </w:rPr>
            </w:pPr>
            <w:r>
              <w:rPr>
                <w:rFonts w:hint="eastAsia" w:ascii="宋体" w:hAnsi="宋体"/>
                <w:szCs w:val="21"/>
                <w:lang w:val="en-US" w:eastAsia="zh-CN"/>
              </w:rPr>
              <w:t>5</w:t>
            </w:r>
            <w:r>
              <w:rPr>
                <w:rFonts w:ascii="宋体" w:hAnsi="宋体"/>
                <w:szCs w:val="21"/>
              </w:rPr>
              <w:t>.会展管理：商务部门负责对会展申办单位进行备案管理；</w:t>
            </w:r>
            <w:r>
              <w:rPr>
                <w:rFonts w:hint="eastAsia" w:ascii="宋体" w:hAnsi="宋体"/>
                <w:szCs w:val="21"/>
                <w:lang w:val="en-US" w:eastAsia="zh-CN"/>
              </w:rPr>
              <w:t>市场监管</w:t>
            </w:r>
            <w:r>
              <w:rPr>
                <w:rFonts w:ascii="宋体" w:hAnsi="宋体"/>
                <w:szCs w:val="21"/>
              </w:rPr>
              <w:t>部门负责维护会展交易秩序、查出三无产品</w:t>
            </w:r>
            <w:r>
              <w:rPr>
                <w:rFonts w:hint="eastAsia" w:ascii="宋体" w:hAnsi="宋体"/>
                <w:szCs w:val="21"/>
                <w:lang w:eastAsia="zh-CN"/>
              </w:rPr>
              <w:t>、</w:t>
            </w:r>
            <w:r>
              <w:rPr>
                <w:rFonts w:ascii="宋体" w:hAnsi="宋体"/>
                <w:szCs w:val="21"/>
              </w:rPr>
              <w:t>假冒伪劣商品</w:t>
            </w:r>
            <w:r>
              <w:rPr>
                <w:rFonts w:hint="eastAsia" w:ascii="宋体" w:hAnsi="宋体"/>
                <w:szCs w:val="21"/>
                <w:lang w:val="en-US" w:eastAsia="zh-CN"/>
              </w:rPr>
              <w:t>及</w:t>
            </w:r>
            <w:r>
              <w:rPr>
                <w:rFonts w:ascii="宋体" w:hAnsi="宋体"/>
                <w:szCs w:val="21"/>
              </w:rPr>
              <w:t>会展商品质量监督；</w:t>
            </w:r>
            <w:r>
              <w:rPr>
                <w:rFonts w:hint="eastAsia" w:ascii="宋体" w:hAnsi="宋体"/>
                <w:szCs w:val="21"/>
                <w:lang w:val="en-US" w:eastAsia="zh-CN"/>
              </w:rPr>
              <w:t>市场监管</w:t>
            </w:r>
            <w:r>
              <w:rPr>
                <w:rFonts w:ascii="宋体" w:hAnsi="宋体"/>
                <w:szCs w:val="21"/>
              </w:rPr>
              <w:t>、</w:t>
            </w:r>
            <w:r>
              <w:rPr>
                <w:rFonts w:hint="eastAsia" w:ascii="宋体" w:hAnsi="宋体"/>
                <w:szCs w:val="21"/>
                <w:lang w:val="en-US" w:eastAsia="zh-CN"/>
              </w:rPr>
              <w:t>应急</w:t>
            </w:r>
            <w:r>
              <w:rPr>
                <w:rFonts w:ascii="宋体" w:hAnsi="宋体"/>
                <w:szCs w:val="21"/>
              </w:rPr>
              <w:t>、</w:t>
            </w:r>
            <w:r>
              <w:rPr>
                <w:rFonts w:hint="eastAsia" w:ascii="宋体" w:hAnsi="宋体"/>
                <w:szCs w:val="21"/>
                <w:lang w:val="en-US" w:eastAsia="zh-CN"/>
              </w:rPr>
              <w:t>卫健</w:t>
            </w:r>
            <w:r>
              <w:rPr>
                <w:rFonts w:ascii="宋体" w:hAnsi="宋体"/>
                <w:szCs w:val="21"/>
              </w:rPr>
              <w:t>部门负责会展食品药品安全、危险化学品等方面监管；公安部门负责做好会展期间治安、交通、消防等工作；</w:t>
            </w:r>
            <w:r>
              <w:rPr>
                <w:rFonts w:hint="eastAsia" w:ascii="宋体" w:hAnsi="宋体"/>
                <w:szCs w:val="21"/>
                <w:lang w:val="en-US" w:eastAsia="zh-CN"/>
              </w:rPr>
              <w:t>综合执法</w:t>
            </w:r>
            <w:r>
              <w:rPr>
                <w:rFonts w:ascii="宋体" w:hAnsi="宋体"/>
                <w:szCs w:val="21"/>
              </w:rPr>
              <w:t>部门负责城市公共空间场地使用权审批、展位搭建规范、环境卫生秩序监管；</w:t>
            </w:r>
            <w:r>
              <w:rPr>
                <w:rFonts w:hint="eastAsia" w:ascii="宋体" w:hAnsi="宋体"/>
                <w:szCs w:val="21"/>
                <w:lang w:val="en-US" w:eastAsia="zh-CN"/>
              </w:rPr>
              <w:t>市场监管</w:t>
            </w:r>
            <w:r>
              <w:rPr>
                <w:rFonts w:ascii="宋体" w:hAnsi="宋体"/>
                <w:szCs w:val="21"/>
              </w:rPr>
              <w:t>部门负责查处各类知识产权侵权行为；财政、发改等行政管理部门负责公开涉及会展业的收费项目、收费依据和标准，严禁乱收费；统计部门负责会同商务部门建立会展业信息统计制度，健全会展业统计指标体系，加强会展业数据采集、分析，定期向社会发布全市会展业有关信息。</w:t>
            </w:r>
          </w:p>
          <w:p>
            <w:pPr>
              <w:shd w:val="clear" w:fill="FFFFFF" w:themeFill="background1"/>
              <w:spacing w:line="240" w:lineRule="auto"/>
              <w:ind w:firstLine="420" w:firstLineChars="200"/>
              <w:rPr>
                <w:rFonts w:ascii="宋体" w:hAnsi="宋体"/>
                <w:szCs w:val="21"/>
              </w:rPr>
            </w:pPr>
            <w:r>
              <w:rPr>
                <w:rFonts w:hint="eastAsia" w:ascii="宋体" w:hAnsi="宋体"/>
                <w:szCs w:val="21"/>
                <w:lang w:val="en-US" w:eastAsia="zh-CN"/>
              </w:rPr>
              <w:t>6</w:t>
            </w:r>
            <w:r>
              <w:rPr>
                <w:rFonts w:ascii="宋体" w:hAnsi="宋体"/>
                <w:szCs w:val="21"/>
              </w:rPr>
              <w:t>.外商投资管理：发改部门会同商务等部门起草上报《外商投资产业指导目录》的调整意见。发改部门按规定权限负责对外商投资项目进行核准，商务部门按规定权限负责对外商投资企业合同、章程等进行审批。</w:t>
            </w:r>
          </w:p>
          <w:p>
            <w:pPr>
              <w:keepNext w:val="0"/>
              <w:keepLines w:val="0"/>
              <w:pageBreakBefore w:val="0"/>
              <w:shd w:val="clear" w:fill="FFFFFF" w:themeFill="background1"/>
              <w:kinsoku/>
              <w:wordWrap/>
              <w:overflowPunct/>
              <w:topLinePunct w:val="0"/>
              <w:autoSpaceDE/>
              <w:autoSpaceDN/>
              <w:bidi w:val="0"/>
              <w:spacing w:line="240" w:lineRule="auto"/>
              <w:ind w:firstLine="420" w:firstLineChars="200"/>
              <w:textAlignment w:val="auto"/>
              <w:rPr>
                <w:rFonts w:ascii="Times New Roman" w:hAnsi="Times New Roman" w:eastAsia="仿宋_GB2312"/>
                <w:szCs w:val="21"/>
              </w:rPr>
            </w:pPr>
            <w:r>
              <w:rPr>
                <w:rFonts w:hint="eastAsia" w:ascii="宋体" w:hAnsi="宋体"/>
                <w:szCs w:val="21"/>
                <w:lang w:val="en-US" w:eastAsia="zh-CN"/>
              </w:rPr>
              <w:t>7</w:t>
            </w:r>
            <w:r>
              <w:rPr>
                <w:rFonts w:ascii="宋体" w:hAnsi="宋体"/>
                <w:szCs w:val="21"/>
              </w:rPr>
              <w:t>.并购安全审查：发改和商务部门按照各自职责，分别配合中、省发改和商务部门做好外国投资者并购市内企业安全审查的相关工作。</w:t>
            </w:r>
          </w:p>
        </w:tc>
      </w:tr>
    </w:tbl>
    <w:p>
      <w:pPr>
        <w:keepNext w:val="0"/>
        <w:keepLines w:val="0"/>
        <w:pageBreakBefore w:val="0"/>
        <w:kinsoku/>
        <w:wordWrap/>
        <w:overflowPunct/>
        <w:topLinePunct w:val="0"/>
        <w:autoSpaceDE/>
        <w:autoSpaceDN/>
        <w:bidi w:val="0"/>
        <w:spacing w:line="560" w:lineRule="exact"/>
        <w:textAlignment w:val="auto"/>
        <w:rPr>
          <w:rFonts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hint="eastAsia"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hint="eastAsia"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hint="eastAsia" w:ascii="Times New Roman" w:hAnsi="Times New Roman" w:cs="仿宋_GB2312"/>
          <w:szCs w:val="21"/>
        </w:rPr>
      </w:pPr>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r>
        <w:rPr>
          <w:rFonts w:hint="eastAsia" w:ascii="宋体" w:hAnsi="宋体" w:eastAsia="宋体" w:cs="宋体"/>
          <w:sz w:val="21"/>
          <w:szCs w:val="21"/>
        </w:rPr>
        <w:t>表2</w:t>
      </w:r>
      <w:r>
        <w:rPr>
          <w:rFonts w:hint="eastAsia" w:ascii="宋体" w:hAnsi="宋体" w:eastAsia="宋体" w:cs="宋体"/>
          <w:sz w:val="21"/>
          <w:szCs w:val="21"/>
          <w:lang w:val="en-US" w:eastAsia="zh-CN"/>
        </w:rPr>
        <w:t>-1</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对外贸易经营者备案登记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napToGrid w:val="0"/>
              <w:spacing w:line="30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1.审查责任：对企业上报的《对外贸易经营者备案登记表》等材料进行审核；对企业申报材料真实性进行审核。</w:t>
            </w:r>
          </w:p>
          <w:p>
            <w:pPr>
              <w:snapToGrid w:val="0"/>
              <w:spacing w:line="30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2.解释备案责任：作出同意备案决定（不予备案的告知理由）；按规定在5个工作日内办结；法定告知。</w:t>
            </w:r>
          </w:p>
          <w:p>
            <w:pPr>
              <w:numPr>
                <w:ilvl w:val="0"/>
                <w:numId w:val="0"/>
              </w:num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lang w:val="en-US" w:eastAsia="zh-CN"/>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r>
        <w:rPr>
          <w:rFonts w:hint="eastAsia" w:ascii="宋体" w:hAnsi="宋体" w:eastAsia="宋体" w:cs="宋体"/>
          <w:sz w:val="21"/>
          <w:szCs w:val="21"/>
        </w:rPr>
        <w:t>表2</w:t>
      </w:r>
      <w:r>
        <w:rPr>
          <w:rFonts w:hint="eastAsia" w:ascii="宋体" w:hAnsi="宋体" w:eastAsia="宋体" w:cs="宋体"/>
          <w:sz w:val="21"/>
          <w:szCs w:val="21"/>
          <w:lang w:val="en-US" w:eastAsia="zh-CN"/>
        </w:rPr>
        <w:t>-2</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对办展未按规定发布招展信息的处罚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1.立案责任：发现涉嫌办展未按规定发布招展信息的，予以审查，决定是否立案。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keepNext w:val="0"/>
              <w:keepLines w:val="0"/>
              <w:pageBreakBefore w:val="0"/>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对办展未按规定备案的处罚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1.立案责任：发现涉嫌办展未按规定备案的，予以审查，决定是否立案。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对商场、超市等公共场所不采取有效禁烟措施的处罚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1.立案责任：发现商场、超市等公共场所涉嫌不采取有效禁烟措施的，予以审查，决定是否立案。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keepNext w:val="0"/>
              <w:keepLines w:val="0"/>
              <w:pageBreakBefore w:val="0"/>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对违法经营美容美发业务的处罚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1.立案责任：发现涉嫌违法经营美容美发业务的，予以审查，决定是否立案。</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对再生资源回收经营者不依法备案的处罚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1.立案责任：发现再生资源回收经营者涉嫌不依法备案的，予以审查，决定是否立案。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对违反《洗染业管理办法》相关规定的处罚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1.立案责任：发现涉嫌违反《洗染业管理办法》相关规定的，予以审查，决定是否立案。</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对零售商或者供应商违反公平交易规定的处罚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1.立案责任：发现涉嫌零售商或者供应商违反公平交易规定的，予以审查，决定是否立案。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对擅自从事或不按照许可的经营范围从事对外劳务经营活动的处罚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1.立案责任：发现涉嫌擅自从事或不按照许可的经营范围从事对外劳务经营活动的，予以审查，决定是否立案。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highlight w:val="none"/>
              </w:rPr>
              <w:t>对对</w:t>
            </w:r>
            <w:r>
              <w:rPr>
                <w:rFonts w:hint="eastAsia" w:ascii="宋体" w:hAnsi="宋体" w:eastAsia="宋体" w:cs="宋体"/>
                <w:sz w:val="21"/>
                <w:szCs w:val="21"/>
              </w:rPr>
              <w:t>外劳务合作经营企业不按规定缴纳备用金的处罚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1.立案责任：检查中发现或者接到举报投诉报废汽车回收企业此类违法行为或有关部门移送的此类报废汽车回收企业违法案件，予以审查，决定是否立案。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2.调查取证责任：商务部门对立案的案件，指定案件承办人员，及时、全面、客观、公正地调查收集与案件有关的证据，查明事实，必要时可进行现场检查。与当事人有直接利害关系的予以回避。执法人员不得少于两人，调查时应出示执法证件。在收集证据时，可以采取抽样取证的方法；在证据可能灭失或者以后难以取得的情况下，经行政机关负责人批准，可以先行登记保存，并应当在法定期限内及时作出处理决定。</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3.审查责任：商务部门对案件违法事实、证据、调查取证程序、法律适用、当事人陈述和申辩理由等方面进行审查，提出处理意见。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4.告知责任：商务部门在做出行政处罚决定前，书面告知当事人拟作出处罚决定的事实、理由、依据、处罚内容，以及当事人享有的陈述权、申辩权或听证权。</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5.决定责任：依法需要给予行政处罚的，商务部门应制作《行政处罚决定书》，载明违法事实和证据、处罚依据和内容、申请行政复议或提起行政诉讼的途径和期限等内容。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6.送达责任：行政处罚决定书应在宣告后当场交付当事人；当事人不在场的，商务部门应当在法定期限内将行政处罚决定书送达当事人。</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7.执行责任：监督当事人在决定的期限内，履行生效的行政处罚决定。当事人在法定期限内不申请行政复议或提起行政诉讼，又不履行的，可依法强制执行或者申请人民法院强制执行。</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8.其他法律法规规章文件规定应履行的责任。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对单用途商业预付卡发卡企业未按规定办理备案的处罚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1.立案责任：发现单用途商业预付卡发卡企业涉嫌未按规定办理备案的，予以审查，决定是否立案。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对单用途商业预付卡发卡企业或售卡企业违反发行与服务相关规定的处罚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1.立案责任：发现单用途商业预付卡发卡企业或售卡企业涉嫌违反发行与服务相关规定的，予以审查，决定是否立案。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对单用途商业预付卡发卡企业违反资金管理及业务报告相关规定的处罚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1.立案责任：发现单用途商业预付卡发卡企业涉嫌违反资金管理及业务报告相关规定的，予以审查，决定是否立案。</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对违反《家电维修服务业管理办法》相关规定的处罚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1.立案责任：发现涉嫌违反《家电维修服务业管理办法》相关规定的，予以审查，决定是否立案。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对家庭服务机构违反经营规范的处罚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1.立案责任：发现家庭服务机构涉嫌违反经营规范的，予以审查，决定是否立案。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对家庭服务机构未按要求订立家庭服务合同、拒绝家庭服务员获取家庭服务合同的处罚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1.立案责任：发现家庭服务机构涉嫌未按要求订立家庭服务合同、拒绝家庭服务员获取家庭服务合同的，予以审查，决定是否立案。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keepNext w:val="0"/>
              <w:keepLines w:val="0"/>
              <w:pageBreakBefore w:val="0"/>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对家庭服务机构未按要求建立工作档案、跟踪管理制度的处罚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1.立案责任：发现家庭服务机构涉嫌未按要求建立工作档案、跟踪管理制度的，予以审查，决定是否立案。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对家庭服务机构未按要求提供信息的处罚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1.立案责任：发现家庭服务机构涉嫌未按要求提供信息的，予以审查，决定是否立案。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对家庭服务机构未公开服务项目、收费标准和投诉监督电话的处罚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1.立案责任：发现家庭服务机构涉嫌未公开服务项目、收费标准和投诉监督电话的，予以审查，决定是否立案。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对经营者销售禁止流通的旧电器电子产品的处罚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1.立案责任：发现经营者涉嫌销售禁止流通的旧电器电子产品的，予以审查，决定是否立案。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-21</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对经营者收购禁止流通的旧电器电子产品的处罚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1.立案责任：发现经营者涉嫌收购禁止流通的旧电器电子产品的，予以审查，决定是否立案。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-22</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对经营者和旧电器电子产品市场不配合商务主管部门监督检查的处罚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1.立案责任：发现经营者和旧电器电子产品市场涉嫌不配合商务主管部门监督检查的，予以审查，决定是否立案。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-23</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对经营者未设立销售台账，对销售情况进行如实、准确记录的处罚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shd w:val="clear" w:color="auto" w:fill="FFFFFF" w:themeFill="background1"/>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1.立案责任：发现经营者涉嫌未设立销售台账，对销售情况进行如实、准确记录的，予以审查，决定是否立案。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shd w:val="clear" w:color="auto" w:fill="FFFFFF" w:themeFill="background1"/>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-24</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对经营者销售旧电器电子产品时，未向购买者明示产品质量性能状况、主要部件维修、翻新等有关情况的处罚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1.立案责任：发现经营者销售旧电器电子产品时，涉嫌未向购买者明示产品质量性能状况、主要部件维修、翻新等有关情况的，予以审查，决定是否立案。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-25</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对待售的旧电器电子产品未在显著位置标识为旧货的处罚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1.立案责任：发现待售的旧电器电子产品未在显著位置标识为旧货的，予以审查，决定是否立案。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-26</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对经营者将在流通过程中获得的机关、企（事）业单位及个人信息用于与旧电器电子产品流通活动无关的领域的处罚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1.立案责任：发现经营者涉嫌将在流通过程中获得的机关、企（事）业单位及个人信息用于与旧电器电子产品流通活动无关的领域的，予以审查，决定是否立案。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-27</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对旧电器电子产品市场未建立旧电器电子经营者档案的处罚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1.立案责任：发现旧电器电子产品市场涉嫌未建立旧电器电子经营者档案的，予以审查，决定是否立案。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对经营者未建立旧电器电子产品档案资料的处罚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1.立案责任：发现经营者涉嫌未建立旧电器电子产品档案资料的，予以审查，决定是否立案。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对经营者收购旧电器电子产品未对收购产品进行登记的处罚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1.立案责任：发现经营者涉嫌收购旧电器电子产品未对收购产品进行登记的，予以审查，决定是否立案。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-30</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对以商务、旅游、留学等名义组织劳务人员赴国外工作、允许其他单位或者个人以本企业的名义组织劳务人员赴国外工作、组织劳务人员赴国外从事与赌博、色情活动相关的处罚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立案责任：对检查中发现、接到举报投诉对外劳务合作企业从事以商务、旅游、留学等名义组织劳务人员赴国外工作等行为或经有关部门移送此类违法案件予以审查，决定是否立案。</w:t>
            </w:r>
          </w:p>
          <w:p>
            <w:pPr>
              <w:keepNext w:val="0"/>
              <w:keepLines w:val="0"/>
              <w:pageBreakBefore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诉。</w:t>
            </w:r>
          </w:p>
          <w:p>
            <w:pPr>
              <w:keepNext w:val="0"/>
              <w:keepLines w:val="0"/>
              <w:pageBreakBefore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审查责任：对案件违法事实、证据、调查取证程序、法律适用、处罚种类和幅度、当事人陈述和申辩理由等方面进行审查，提出处理意见。</w:t>
            </w:r>
          </w:p>
          <w:p>
            <w:pPr>
              <w:keepNext w:val="0"/>
              <w:keepLines w:val="0"/>
              <w:pageBreakBefore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告知责任：在做出行政处罚决定前，书面告知当事人拟做出处罚决定的事实、理由、依据、处罚内容，以及当事人享有的陈述权、申辩权和听证权。</w:t>
            </w:r>
            <w:r>
              <w:rPr>
                <w:rFonts w:hint="eastAsia" w:ascii="宋体" w:hAnsi="宋体" w:eastAsia="宋体" w:cs="宋体"/>
                <w:sz w:val="21"/>
                <w:szCs w:val="21"/>
                <w:lang w:val="en-US" w:eastAsia="zh-CN"/>
              </w:rPr>
              <w:t xml:space="preserve">  </w:t>
            </w:r>
          </w:p>
          <w:p>
            <w:pPr>
              <w:keepNext w:val="0"/>
              <w:keepLines w:val="0"/>
              <w:pageBreakBefore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5.决定责任：依法需要给予行政处罚的，制作《行政处罚决定书》，载明违法事实和证据、处罚依据和内容、申请行政复议或提起行政诉讼的途径和期限等内容。</w:t>
            </w:r>
          </w:p>
          <w:p>
            <w:pPr>
              <w:keepNext w:val="0"/>
              <w:keepLines w:val="0"/>
              <w:pageBreakBefore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6.送达责任：行政处罚决定书应当在宣告后当场交付当事人；当事人不在场的，行政机关应当在七日内依照民事诉讼法的有关规定，将行政处罚决定书送达当事人。</w:t>
            </w:r>
          </w:p>
          <w:p>
            <w:pPr>
              <w:keepNext w:val="0"/>
              <w:keepLines w:val="0"/>
              <w:pageBreakBefore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7.执行责任：监督当事人在决定的期限内（15日内），履行生效的行政处罚决定。当事人在法定期限内没有申请行政复议或提起行政诉讼，又不履行的，可申请人民法院强制执行。</w:t>
            </w:r>
          </w:p>
          <w:p>
            <w:pPr>
              <w:keepNext w:val="0"/>
              <w:keepLines w:val="0"/>
              <w:pageBreakBefore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8.其他法律法规规章文件规定应履行的责任。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-31</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对未安排劳务人员接受培训，组织劳务人员赴国外工作、未按规定为劳务人员购买在国外工作期间的人身意外伤害保险、未按规定安排随行管理人员的处罚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1.立案责任：发现涉嫌未安排劳务人员接受培训，组织劳务人员赴国外工作、未按规定为劳务人员购买在国外工作期间的人身意外伤害保险、未按规定安排随行管理人员的，予以审查，决定是否立案。</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-32</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对未依法订立劳务合作合同，组织劳务人员赴国外工作及在国外发生突发事件时不及时处理、停止开展对外劳务合作，未对其派出的尚在国外工作的劳务人员作出安排的处罚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1.立案责任：受案部门在对报案、控告、举报、群众扭送或者违法嫌疑人投案，以及其他行政主管部门、司法机关移送的案件，应当及时受理，并指定专人负责调查执法人员不得少于二人。</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2.调查责任：受案部门对于立案的案件，与当事人有直接利害关系的应当回避。调查时应出示执法证件，执法人员应保守案件秘密。</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3.复查责任：受案部门应当对案件违法事实、证据、调查取证程序、法律适用、处罚种类和幅度、当事人陈述和申辩理由等内容进行审查，提出处理意见（主要证据不足的，及时调查补充）。</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4.告知责任：受案部门在做出行政处罚前，应当告知当事人违法事实以及依法享有的陈述、申辩和要求听证的权利。</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5.决定责任：受案部门根据案件审查情况决定是否予以行政处罚。依法给予行政处罚的，应当制作行政处罚决定书，载明违法事实和依据、处罚依据和内容、申请行政复议或提起行政诉讼的途径和期限等内容。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6.送达责任：行政处罚决定书应依法按时送达当事人。</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7.执行责任：监督当事人在决定书的期限内，履行生效的行政处罚决定。当事人在法定期限内不申请行政复议或提起行政诉讼，又不履行的，受案部门可依法采取加处罚款或向人民法院申请强制执行等措施。</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-33</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highlight w:val="none"/>
              </w:rPr>
              <w:t>对对</w:t>
            </w:r>
            <w:r>
              <w:rPr>
                <w:rFonts w:hint="eastAsia" w:ascii="宋体" w:hAnsi="宋体" w:eastAsia="宋体" w:cs="宋体"/>
                <w:sz w:val="21"/>
                <w:szCs w:val="21"/>
              </w:rPr>
              <w:t>外劳务合作经营企业未依法履行备案义务的处罚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1.立案责任：受案部门在对报案、控告、举报、群众扭送或者违法嫌疑人投案，以及其他行政主管部门、司法机关移送的案件，应当及时受理，并指定专人负责调查执法人员不得少于二人。</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2.调查责任：受案部门对于立案的案件，与当事人有直接利害关系的应当回避。调查时应出示执法证件，执法人员应保守案件秘密。</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3.复查责任：受案部门应当对案件违法事实、证据、调查取证程序、法律适用、处罚种类和幅度、当事人陈述和申辩理由等内容进行审查，提出处理意见（主要证据不足的，及时调查补充）。</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4.告知责任：受案部门在做出行政处罚前，应当告知当事人违法事实以及依法享有的陈述、申辩和要求听证的权利。</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5.决定责任：受案部门根据案件审查情况决定是否予以行政处罚。依法给予行政处罚的，应当制作行政处罚决定书，载明违法事实和依据、处罚依据和内容、申请行政复议或提起行政诉讼的途径和期限等内容。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6.送达责任：行政处罚决定书应依法按时送达当事人。</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7.执行责任：监督当事人在决定书的期限内，履行生效的行政处罚决定。当事人在法定期限内不申请行政复议或提起行政诉讼，又不履行的，受案部门可依法采取加处罚款或向人民法院申请强制执行等措施。</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-34</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对违反《餐饮业经营管理办法（试行）》相关规定的处罚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1.立案责任：发现涉嫌违反《餐饮业经营管理办法（试行）》相关规定的，予以审查，决定是否立案。</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-35</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对零售商促销行为违反《零售商促销行为管理办法》相关规定的处罚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1.立案责任：发现零售商促销行为违反《零售商促销行为管理办法》相关规定的，予以审查，决定是否立案。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-36</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对市场经营者违反《商品现货市场交易特别规定（试行）》相关规定的处罚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1.立案责任：发现市场经营者涉嫌违反《商品现货市场交易特别规定（试行）》相关规定的，予以审查，决定是否立案。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-37</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对违反《生活必需品市场供应应急管理办法》相关规定的处罚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1.立案责任：发现对违反《生活必需品市场供应应急管理办法》相关规定的，予以审查，决定是否立案。</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对主办方展会期间知识产权保护不力的处罚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1.立案责任：发现主办方涉嫌展会期间知识产权保护不力的，予以审查，决定是否立案。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2.调查责任：对立案的案件及时组织调查取证，与当事人有直接利害关系的应当回避。执法人员不得少于两人，询问或者检查应当制作笔录，允许当事人辩解。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力。符合听证规定的，制作并送达《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p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对外商投资企业或其投资者未经审批在国家规定实施准入特别管理措施所列的限制投资领域或禁止投资领域开展投资经营活动的处罚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1.立案责任：发现或接到举报有依法应当给予行政处罚行为，以及有关部门移送的案件，予以审查，决定是否立案。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2.调查责任：对立案的案件，组织调查取证（必要时，依法进行检查）,调查时执法人员不得少于两人，执法时应出示执法身份证件，允许当事人辩解陈述，执法人员与当事人有直接利害关系的应当回避。</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3.审查责任：对违法事实、证据、调查取证程序、法律适用、处罚种类和幅度、当事人陈述和申辩理由等方面进行审查，提出处理意见。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4.告知责任：作出行政处罚决定之前，制作《行政处罚决定书》，告知当事人处罚的事实、理由和依据及其依法享有的陈述、申辩等权利。符合听证规则的，制作《行政处罚听证告知书》。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7.执行责任：依照生效的行政处罚决定进行处罚。</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-40</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对外商投资企业或其投资者逃避、拒绝或以其他方式阻挠商务主管部门监督检查的处罚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1.立案责任：发现或接到举报有依法应当给予行政处罚行为，以及有关部门移送的案件，予以审查，决定是否立案。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2.调查责任：对立案的案件，组织调查取证（必要时，依法进行检查）,调查时执法人员不得少于两人，执法时应出示执法身份证件，允许当事人辩解陈述，执法人员与当事人有直接利害关系的应当回避。</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3.审查责任：对违法事实、证据、调查取证程序、法律适用、处罚种类和幅度、当事人陈述和申辩理由等方面进行审查，提出处理意见。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4.告知责任：作出行政处罚决定之前，制作《行政处罚决定书》，告知当事人处罚的事实、理由和依据及其依法享有的陈述、申辩等权利。符合听证规则的，制作《行政处罚听证告知书》。</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w:t>
            </w:r>
            <w:r>
              <w:rPr>
                <w:rFonts w:hint="eastAsia" w:ascii="宋体" w:hAnsi="宋体" w:eastAsia="宋体" w:cs="宋体"/>
                <w:sz w:val="21"/>
                <w:szCs w:val="21"/>
                <w:lang w:val="en-US" w:eastAsia="zh-CN"/>
              </w:rPr>
              <w:t>等内容。</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7.执行责任：依照生效的行政处罚决定进行处罚。</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2"/>
                <w:sz w:val="21"/>
                <w:szCs w:val="21"/>
                <w:u w:val="none"/>
                <w:lang w:val="en-US" w:eastAsia="zh-CN" w:bidi="ar-SA"/>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对汽车经营主体违反《汽车销售管理办法》相关规定的处罚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numPr>
                <w:ilvl w:val="0"/>
                <w:numId w:val="0"/>
              </w:num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立案责任：运管部门在发现或者接到举报有相关违法行为时，及时审查，决定是否立案。 </w:t>
            </w:r>
          </w:p>
          <w:p>
            <w:pPr>
              <w:numPr>
                <w:ilvl w:val="0"/>
                <w:numId w:val="0"/>
              </w:num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调查责任：全面、客观、公正地进行调查，收集、调取证据，交通运输执法人员不得少于两人，调查时出示执法证件，允许当事人辩解陈述，保守有关秘密。</w:t>
            </w:r>
          </w:p>
          <w:p>
            <w:pPr>
              <w:numPr>
                <w:ilvl w:val="0"/>
                <w:numId w:val="0"/>
              </w:num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审查责任：对擅自在公路上设卡等行为的违法事实、证据、调查取证程序、法律适用、处罚种类和幅度、当事人陈述和申辩理由等方面进行审查，提出处理意见。 </w:t>
            </w:r>
          </w:p>
          <w:p>
            <w:pPr>
              <w:numPr>
                <w:ilvl w:val="0"/>
                <w:numId w:val="0"/>
              </w:num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告知责任：作出处理决定前，书面告知当事人违法事实及其享有的陈述、申辩等权力。</w:t>
            </w:r>
          </w:p>
          <w:p>
            <w:pPr>
              <w:numPr>
                <w:ilvl w:val="0"/>
                <w:numId w:val="0"/>
              </w:num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决定责任：根据审理情况决定是否予以行政处罚。依法需要给予行政处罚的，制作行政处罚决定书，载明违法事实和证据、处罚依据和内容、申请行政复议或提起行政诉讼的途径和期限等内容。</w:t>
            </w:r>
          </w:p>
          <w:p>
            <w:pPr>
              <w:numPr>
                <w:ilvl w:val="0"/>
                <w:numId w:val="0"/>
              </w:num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送达责任：在规定期限内将行政处罚决定书送达当事人。 </w:t>
            </w:r>
          </w:p>
          <w:p>
            <w:pPr>
              <w:numPr>
                <w:ilvl w:val="0"/>
                <w:numId w:val="0"/>
              </w:num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执行责任：监督当事人在决定的期限内履行生效的处罚决定。 </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对汽车销售及其相关服务活动的检查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1.核查责任：组织对服务网点进行书面审查及实地核查。</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2.解释报备责任：将</w:t>
            </w:r>
            <w:r>
              <w:rPr>
                <w:rFonts w:hint="eastAsia" w:ascii="宋体" w:hAnsi="宋体" w:eastAsia="宋体" w:cs="宋体"/>
                <w:sz w:val="21"/>
                <w:szCs w:val="21"/>
                <w:lang w:val="en-US" w:eastAsia="zh-CN"/>
              </w:rPr>
              <w:t>汽车销售</w:t>
            </w:r>
            <w:r>
              <w:rPr>
                <w:rFonts w:hint="eastAsia" w:ascii="宋体" w:hAnsi="宋体" w:eastAsia="宋体" w:cs="宋体"/>
                <w:sz w:val="21"/>
                <w:szCs w:val="21"/>
              </w:rPr>
              <w:t>企业服务网点核查结果报商务部备案，并按规定向社会公布。</w:t>
            </w:r>
          </w:p>
          <w:p>
            <w:pPr>
              <w:spacing w:line="24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rPr>
              <w:t>3.其他责任：法律法规规章文件规定应履行的其他责任</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直销企业服务网点方案审查和服务网点核查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1.核查责任：组织对服务网点进行书面审查及实地核查。</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2.解释报备责任：将直销企业服务网点核查结果报商务部备案，并按规定向社会公布。</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-44</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零售商促销备案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1.立项责任：零售商向所在地商务主管部门提交备案材料。</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2.审查责任：商务主管部门审查相关材料，材料齐全、符合备案条件的予以受理，申报材料不齐全或不符合有关要求的，告知申请人。</w:t>
            </w:r>
          </w:p>
          <w:p>
            <w:pPr>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3.解释备案责任：商务主管部门办理备案登记。</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-45</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单用途商业预付卡发卡企业备案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1.立项责任：发卡企业向备案机关提交备案材料。</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2.审查责任：备案机关对企业提交的材料进行审核，符合要求的予以备案。不予备案的，将说明原因。</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3.决定公布责任：备案机关对已备案的发卡企业予以编号，并在商务部和备案机关指定的媒体上公告，提供公众查询服务。</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4.解释备案责任：企业以备案编号登录单用途商业预付卡系统，并按期填报报表。</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-46</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洗染业经营者备案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1.审查责任：商务主管部门对经营者提交的备案材料进行审查。</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2.解释备案责任：经营者应当在取得营业执照后60日内，向登记注册地工商行政管理部门的同级商务主管部门办理备案。</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w:t>
      </w:r>
    </w:p>
    <w:tbl>
      <w:tblPr>
        <w:tblStyle w:val="4"/>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举办会展备案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市场体系建设和运行股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1.受理责任：公示举办会展备案应提交的材料，一次性告知补正材料，依法受理或不予受理（不予受理的应当告知理由）。</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 对提交的材料进行审核，提出审查意见。</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3.决定责任：对同意备案的，出具备案证明。</w:t>
            </w:r>
          </w:p>
          <w:p>
            <w:pPr>
              <w:spacing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lang w:eastAsia="zh-CN"/>
              </w:rPr>
            </w:pPr>
            <w:r>
              <w:rPr>
                <w:rFonts w:hint="eastAsia" w:ascii="宋体" w:hAnsi="宋体" w:eastAsia="宋体" w:cs="宋体"/>
                <w:sz w:val="21"/>
                <w:szCs w:val="21"/>
              </w:rPr>
              <w:t>对不履行或不正确履行行政职责的行政机关及其工作人员，依据《中华人民共和国监察法》、《行政机关公务员处分条例》等法律法规规章的相关规定追究相应的责任。</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0825-8663833</w:t>
            </w:r>
          </w:p>
        </w:tc>
      </w:tr>
    </w:tbl>
    <w:p>
      <w:pPr>
        <w:keepNext w:val="0"/>
        <w:keepLines w:val="0"/>
        <w:pageBreakBefore w:val="0"/>
        <w:kinsoku/>
        <w:wordWrap/>
        <w:overflowPunct/>
        <w:topLinePunct w:val="0"/>
        <w:autoSpaceDE/>
        <w:autoSpaceDN/>
        <w:bidi w:val="0"/>
        <w:spacing w:line="560" w:lineRule="exact"/>
        <w:textAlignment w:val="auto"/>
        <w:rPr>
          <w:rFonts w:ascii="Times New Roman" w:hAnsi="Times New Roman" w:eastAsia="仿宋_GB2312"/>
          <w:sz w:val="28"/>
          <w:szCs w:val="28"/>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- 0 -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- 0 -</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E18B3"/>
    <w:rsid w:val="008E5B7F"/>
    <w:rsid w:val="01110D6D"/>
    <w:rsid w:val="03BE0022"/>
    <w:rsid w:val="04001FDE"/>
    <w:rsid w:val="05D75348"/>
    <w:rsid w:val="07F412F7"/>
    <w:rsid w:val="0C2E0532"/>
    <w:rsid w:val="103129B6"/>
    <w:rsid w:val="134D569B"/>
    <w:rsid w:val="15F25543"/>
    <w:rsid w:val="198E739C"/>
    <w:rsid w:val="1C3936DF"/>
    <w:rsid w:val="1CBF4C68"/>
    <w:rsid w:val="1D8F6C15"/>
    <w:rsid w:val="1F084D4F"/>
    <w:rsid w:val="24F31E08"/>
    <w:rsid w:val="260C562E"/>
    <w:rsid w:val="26C42B2C"/>
    <w:rsid w:val="26EF7522"/>
    <w:rsid w:val="2B0F21A0"/>
    <w:rsid w:val="2BB95A1D"/>
    <w:rsid w:val="2F2A7912"/>
    <w:rsid w:val="31F23EE2"/>
    <w:rsid w:val="367D44D5"/>
    <w:rsid w:val="368724BF"/>
    <w:rsid w:val="36F2049D"/>
    <w:rsid w:val="37AB55C2"/>
    <w:rsid w:val="3B3B756A"/>
    <w:rsid w:val="408767A4"/>
    <w:rsid w:val="445F7D73"/>
    <w:rsid w:val="46353364"/>
    <w:rsid w:val="464B2B39"/>
    <w:rsid w:val="46E1159C"/>
    <w:rsid w:val="48CF2EF7"/>
    <w:rsid w:val="4C6B1043"/>
    <w:rsid w:val="4CF56176"/>
    <w:rsid w:val="502F5EBF"/>
    <w:rsid w:val="50EA000E"/>
    <w:rsid w:val="50FE0FE2"/>
    <w:rsid w:val="526E18B3"/>
    <w:rsid w:val="52E673A8"/>
    <w:rsid w:val="53124873"/>
    <w:rsid w:val="53F10801"/>
    <w:rsid w:val="555B78AE"/>
    <w:rsid w:val="5A7F7462"/>
    <w:rsid w:val="5B6463CB"/>
    <w:rsid w:val="5B7F2BB9"/>
    <w:rsid w:val="5CBF400F"/>
    <w:rsid w:val="5D4768F0"/>
    <w:rsid w:val="5DDB0DA0"/>
    <w:rsid w:val="65D20BDB"/>
    <w:rsid w:val="687965B5"/>
    <w:rsid w:val="69273D0C"/>
    <w:rsid w:val="696F453A"/>
    <w:rsid w:val="69AD654B"/>
    <w:rsid w:val="6CF228DB"/>
    <w:rsid w:val="70247276"/>
    <w:rsid w:val="723F5D32"/>
    <w:rsid w:val="73E3431A"/>
    <w:rsid w:val="750A19E2"/>
    <w:rsid w:val="790A7EC5"/>
    <w:rsid w:val="7A5C0855"/>
    <w:rsid w:val="7B9035C7"/>
    <w:rsid w:val="7D876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page number"/>
    <w:basedOn w:val="5"/>
    <w:qFormat/>
    <w:uiPriority w:val="0"/>
  </w:style>
  <w:style w:type="character" w:styleId="8">
    <w:name w:val="FollowedHyperlink"/>
    <w:basedOn w:val="5"/>
    <w:qFormat/>
    <w:uiPriority w:val="0"/>
    <w:rPr>
      <w:color w:val="FF0000"/>
      <w:sz w:val="18"/>
      <w:szCs w:val="18"/>
      <w:u w:val="none"/>
    </w:rPr>
  </w:style>
  <w:style w:type="character" w:styleId="9">
    <w:name w:val="Emphasis"/>
    <w:basedOn w:val="5"/>
    <w:qFormat/>
    <w:uiPriority w:val="0"/>
    <w:rPr>
      <w:i/>
    </w:rPr>
  </w:style>
  <w:style w:type="character" w:styleId="10">
    <w:name w:val="HTML Definition"/>
    <w:basedOn w:val="5"/>
    <w:qFormat/>
    <w:uiPriority w:val="0"/>
    <w:rPr>
      <w:color w:val="006EAB"/>
      <w:u w:val="none"/>
    </w:rPr>
  </w:style>
  <w:style w:type="character" w:styleId="11">
    <w:name w:val="HTML Acronym"/>
    <w:basedOn w:val="5"/>
    <w:qFormat/>
    <w:uiPriority w:val="0"/>
  </w:style>
  <w:style w:type="character" w:styleId="12">
    <w:name w:val="HTML Variable"/>
    <w:basedOn w:val="5"/>
    <w:qFormat/>
    <w:uiPriority w:val="0"/>
  </w:style>
  <w:style w:type="character" w:styleId="13">
    <w:name w:val="Hyperlink"/>
    <w:basedOn w:val="5"/>
    <w:qFormat/>
    <w:uiPriority w:val="0"/>
    <w:rPr>
      <w:color w:val="575757"/>
      <w:sz w:val="18"/>
      <w:szCs w:val="18"/>
      <w:u w:val="none"/>
    </w:rPr>
  </w:style>
  <w:style w:type="character" w:styleId="14">
    <w:name w:val="HTML Code"/>
    <w:basedOn w:val="5"/>
    <w:qFormat/>
    <w:uiPriority w:val="0"/>
    <w:rPr>
      <w:rFonts w:ascii="Courier New" w:hAnsi="Courier New"/>
      <w:sz w:val="20"/>
    </w:rPr>
  </w:style>
  <w:style w:type="character" w:styleId="15">
    <w:name w:val="HTML Cite"/>
    <w:basedOn w:val="5"/>
    <w:qFormat/>
    <w:uiPriority w:val="0"/>
  </w:style>
  <w:style w:type="character" w:customStyle="1" w:styleId="16">
    <w:name w:val="hover"/>
    <w:basedOn w:val="5"/>
    <w:qFormat/>
    <w:uiPriority w:val="0"/>
    <w:rPr>
      <w:color w:val="FF3636"/>
    </w:rPr>
  </w:style>
  <w:style w:type="character" w:customStyle="1" w:styleId="17">
    <w:name w:val="dqwz"/>
    <w:basedOn w:val="5"/>
    <w:qFormat/>
    <w:uiPriority w:val="0"/>
  </w:style>
  <w:style w:type="character" w:customStyle="1" w:styleId="18">
    <w:name w:val="dqwz1"/>
    <w:basedOn w:val="5"/>
    <w:qFormat/>
    <w:uiPriority w:val="0"/>
  </w:style>
  <w:style w:type="character" w:customStyle="1" w:styleId="19">
    <w:name w:val="time2"/>
    <w:basedOn w:val="5"/>
    <w:qFormat/>
    <w:uiPriority w:val="0"/>
    <w:rPr>
      <w:color w:val="A7A7A7"/>
    </w:rPr>
  </w:style>
  <w:style w:type="character" w:customStyle="1" w:styleId="20">
    <w:name w:val="huanf"/>
    <w:basedOn w:val="5"/>
    <w:qFormat/>
    <w:uiPriority w:val="0"/>
    <w:rPr>
      <w:sz w:val="21"/>
      <w:szCs w:val="21"/>
    </w:rPr>
  </w:style>
  <w:style w:type="character" w:customStyle="1" w:styleId="21">
    <w:name w:val="mengwen"/>
    <w:basedOn w:val="5"/>
    <w:qFormat/>
    <w:uiPriority w:val="0"/>
  </w:style>
  <w:style w:type="character" w:customStyle="1" w:styleId="22">
    <w:name w:val="lypicbg1"/>
    <w:basedOn w:val="5"/>
    <w:qFormat/>
    <w:uiPriority w:val="0"/>
  </w:style>
  <w:style w:type="character" w:customStyle="1" w:styleId="23">
    <w:name w:val="lypicbg2"/>
    <w:basedOn w:val="5"/>
    <w:qFormat/>
    <w:uiPriority w:val="0"/>
    <w:rPr>
      <w:shd w:val="clear" w:fill="F8A901"/>
    </w:rPr>
  </w:style>
  <w:style w:type="character" w:customStyle="1" w:styleId="24">
    <w:name w:val="acline"/>
    <w:basedOn w:val="5"/>
    <w:qFormat/>
    <w:uiPriority w:val="0"/>
  </w:style>
  <w:style w:type="character" w:customStyle="1" w:styleId="25">
    <w:name w:val="acline1"/>
    <w:basedOn w:val="5"/>
    <w:qFormat/>
    <w:uiPriority w:val="0"/>
  </w:style>
  <w:style w:type="character" w:customStyle="1" w:styleId="26">
    <w:name w:val="acline2"/>
    <w:basedOn w:val="5"/>
    <w:qFormat/>
    <w:uiPriority w:val="0"/>
  </w:style>
  <w:style w:type="character" w:customStyle="1" w:styleId="27">
    <w:name w:val="nth-child(1)"/>
    <w:basedOn w:val="5"/>
    <w:qFormat/>
    <w:uiPriority w:val="0"/>
    <w:rPr>
      <w:b/>
      <w:color w:val="737373"/>
      <w:sz w:val="21"/>
      <w:szCs w:val="21"/>
    </w:rPr>
  </w:style>
  <w:style w:type="character" w:customStyle="1" w:styleId="28">
    <w:name w:val="action"/>
    <w:basedOn w:val="5"/>
    <w:qFormat/>
    <w:uiPriority w:val="0"/>
    <w:rPr>
      <w:shd w:val="clear" w:fill="2181B6"/>
    </w:rPr>
  </w:style>
  <w:style w:type="character" w:customStyle="1" w:styleId="29">
    <w:name w:val="hover7"/>
    <w:basedOn w:val="5"/>
    <w:qFormat/>
    <w:uiPriority w:val="0"/>
    <w:rPr>
      <w:shd w:val="clear" w:fill="2181B6"/>
    </w:rPr>
  </w:style>
  <w:style w:type="character" w:customStyle="1" w:styleId="30">
    <w:name w:val="hover8"/>
    <w:basedOn w:val="5"/>
    <w:qFormat/>
    <w:uiPriority w:val="0"/>
    <w:rPr>
      <w:shd w:val="clear" w:fill="2181B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2019-12-19T01:34:00Z</dcterms:created>
  <dc:creator>USER</dc:creator>
  <cp:lastModifiedBy>洋洋</cp:lastModifiedBy>
  <cp:lastPrinted>2019-12-23T07:20:00Z</cp:lastPrinted>
  <dcterms:modified xsi:type="dcterms:W3CDTF">2020-01-14T01:18:56Z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