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rPr>
        <w:t>遂宁市</w:t>
      </w:r>
      <w:r>
        <w:rPr>
          <w:rFonts w:hint="eastAsia" w:ascii="宋体" w:hAnsi="宋体" w:eastAsia="宋体" w:cs="宋体"/>
          <w:b/>
          <w:bCs/>
          <w:sz w:val="32"/>
          <w:szCs w:val="32"/>
          <w:lang w:eastAsia="zh-CN"/>
        </w:rPr>
        <w:t>安居区</w:t>
      </w:r>
      <w:r>
        <w:rPr>
          <w:rFonts w:hint="eastAsia" w:ascii="宋体" w:hAnsi="宋体" w:eastAsia="宋体" w:cs="宋体"/>
          <w:b/>
          <w:bCs/>
          <w:sz w:val="32"/>
          <w:szCs w:val="32"/>
        </w:rPr>
        <w:t>残疾人联合会行政权力责任清单</w:t>
      </w:r>
      <w:bookmarkStart w:id="0" w:name="_GoBack"/>
      <w:bookmarkEnd w:id="0"/>
    </w:p>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表1 </w:t>
      </w:r>
    </w:p>
    <w:tbl>
      <w:tblPr>
        <w:tblStyle w:val="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793" w:type="dxa"/>
            <w:vAlign w:val="center"/>
          </w:tcPr>
          <w:p>
            <w:pPr>
              <w:keepNext w:val="0"/>
              <w:keepLines w:val="0"/>
              <w:pageBreakBefore w:val="0"/>
              <w:widowControl/>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主体责任</w:t>
            </w:r>
          </w:p>
        </w:tc>
        <w:tc>
          <w:tcPr>
            <w:tcW w:w="7927" w:type="dxa"/>
            <w:vAlign w:val="center"/>
          </w:tcPr>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color w:val="auto"/>
                <w:sz w:val="21"/>
                <w:szCs w:val="21"/>
              </w:rPr>
            </w:pP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1.听取残疾人意见，反映残疾人需求，维护残疾人合法权益，为残疾人服务。</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2.团结、教育残疾人遵守法律，履行应尽的义务，发扬乐观进取精神，自尊、自信、自强、自立，为社会主义建设贡献力量。</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3.弘扬人道主义，宣传残疾人事业，沟通政府、社会等与残疾人之间的联系。动员社会理解、尊重、关心、帮助残疾人。</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4.开展残疾人康复、扶贫、教育、劳动就业、文化、体育、科研、用品供应、福利、社会服务、无障碍设施和残疾预防工作，创造良好的环境和条件，扶助残疾人平等参与社会生活。</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5.协助政府研究制定和起草、实施残疾人事业的政策法规、规划、计划、调查掌握残疾人状况，向政府提出决策建议，对有关业务领域进行指导和管理。</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6.承担</w:t>
            </w:r>
            <w:r>
              <w:rPr>
                <w:rFonts w:hint="eastAsia" w:ascii="宋体" w:hAnsi="宋体" w:eastAsia="宋体" w:cs="宋体"/>
                <w:color w:val="auto"/>
                <w:sz w:val="21"/>
                <w:szCs w:val="21"/>
                <w:lang w:eastAsia="zh-CN"/>
              </w:rPr>
              <w:t>区</w:t>
            </w:r>
            <w:r>
              <w:rPr>
                <w:rFonts w:hint="eastAsia" w:ascii="宋体" w:hAnsi="宋体" w:eastAsia="宋体" w:cs="宋体"/>
                <w:color w:val="auto"/>
                <w:sz w:val="21"/>
                <w:szCs w:val="21"/>
              </w:rPr>
              <w:t>政府残疾人工作协调委员会的日常工作，做好综合、组织、协调和服务。</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7.组织实施残疾人分散按比例就业工作，按规定收取和管理残疾人就业保障金。会同有关部门制定并监督实施残疾人社会福利生产的扶持保护政策。</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8.做好残联干部的管理工作。</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9.管理和发放残疾人证，指导和管理各类残疾人社团组织。</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10.统筹开展为残疾人事业募捐活动。</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11.开展残疾人事业的对外交流与合作。</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12.承办</w:t>
            </w:r>
            <w:r>
              <w:rPr>
                <w:rFonts w:hint="eastAsia" w:ascii="宋体" w:hAnsi="宋体" w:eastAsia="宋体" w:cs="宋体"/>
                <w:color w:val="auto"/>
                <w:sz w:val="21"/>
                <w:szCs w:val="21"/>
                <w:lang w:eastAsia="zh-CN"/>
              </w:rPr>
              <w:t>区</w:t>
            </w:r>
            <w:r>
              <w:rPr>
                <w:rFonts w:hint="eastAsia" w:ascii="宋体" w:hAnsi="宋体" w:eastAsia="宋体" w:cs="宋体"/>
                <w:color w:val="auto"/>
                <w:sz w:val="21"/>
                <w:szCs w:val="21"/>
              </w:rPr>
              <w:t>委、</w:t>
            </w:r>
            <w:r>
              <w:rPr>
                <w:rFonts w:hint="eastAsia" w:ascii="宋体" w:hAnsi="宋体" w:eastAsia="宋体" w:cs="宋体"/>
                <w:color w:val="auto"/>
                <w:sz w:val="21"/>
                <w:szCs w:val="21"/>
                <w:lang w:eastAsia="zh-CN"/>
              </w:rPr>
              <w:t>区</w:t>
            </w:r>
            <w:r>
              <w:rPr>
                <w:rFonts w:hint="eastAsia" w:ascii="宋体" w:hAnsi="宋体" w:eastAsia="宋体" w:cs="宋体"/>
                <w:color w:val="auto"/>
                <w:sz w:val="21"/>
                <w:szCs w:val="21"/>
              </w:rPr>
              <w:t>政府和上级主管部门交办的其他工作。</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793" w:type="dxa"/>
            <w:vAlign w:val="center"/>
          </w:tcPr>
          <w:p>
            <w:pPr>
              <w:keepNext w:val="0"/>
              <w:keepLines w:val="0"/>
              <w:pageBreakBefore w:val="0"/>
              <w:widowControl/>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职责边界</w:t>
            </w:r>
          </w:p>
        </w:tc>
        <w:tc>
          <w:tcPr>
            <w:tcW w:w="7927" w:type="dxa"/>
            <w:vAlign w:val="center"/>
          </w:tcPr>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1.安全生产监管职责分工：依照法律法规和有关规定，在部门职责范围内对本行业领域的安全生产工作实施监督管理，履行安全生产和职业健康行业监督管理职责。</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2.环境保护工作职责分工：依照法律法规和有关规定，在部门职责范围内做好相关环境保护工作。</w:t>
            </w:r>
          </w:p>
        </w:tc>
      </w:tr>
    </w:tbl>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表2-1</w:t>
      </w:r>
    </w:p>
    <w:tbl>
      <w:tblPr>
        <w:tblStyle w:val="7"/>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权力类型</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行政确认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权力项目名称</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用人单位按比例安置残疾人就业情况审核确认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责任主体</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遂宁市就业管理所（委托实施）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责任事项</w:t>
            </w:r>
          </w:p>
        </w:tc>
        <w:tc>
          <w:tcPr>
            <w:tcW w:w="7109"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受理责任：依法受理用人单位上报的安置残疾人情况材料。</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审查责任：由残疾人安置领导小组审查资料的真实性。</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决定责任：通过确认，出具《用人单位安置残疾人情况认定书》。</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送达责任：指派专人将《认定书》送达用人单位。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追责情形</w:t>
            </w:r>
          </w:p>
        </w:tc>
        <w:tc>
          <w:tcPr>
            <w:tcW w:w="7109" w:type="dxa"/>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行政机关公务员处分条例》、《四川省行政执法监督条例》、《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监督电话</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8663501</w:t>
            </w:r>
          </w:p>
        </w:tc>
      </w:tr>
    </w:tbl>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表2-2</w:t>
      </w:r>
    </w:p>
    <w:tbl>
      <w:tblPr>
        <w:tblStyle w:val="7"/>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权力类型</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行政确认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权力项目名称</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《中华人民共和国残疾人证》核发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责任主体</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区残联</w:t>
            </w:r>
            <w:r>
              <w:rPr>
                <w:rFonts w:hint="eastAsia" w:ascii="宋体" w:hAnsi="宋体" w:eastAsia="宋体" w:cs="宋体"/>
                <w:color w:val="auto"/>
                <w:sz w:val="21"/>
                <w:szCs w:val="21"/>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责任事项</w:t>
            </w:r>
          </w:p>
        </w:tc>
        <w:tc>
          <w:tcPr>
            <w:tcW w:w="7109"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1.受理责任：</w:t>
            </w:r>
            <w:r>
              <w:rPr>
                <w:rFonts w:hint="eastAsia" w:ascii="宋体" w:hAnsi="宋体" w:eastAsia="宋体" w:cs="宋体"/>
                <w:color w:val="auto"/>
                <w:sz w:val="21"/>
                <w:szCs w:val="21"/>
                <w:lang w:eastAsia="zh-CN"/>
              </w:rPr>
              <w:t>区</w:t>
            </w:r>
            <w:r>
              <w:rPr>
                <w:rFonts w:hint="eastAsia" w:ascii="宋体" w:hAnsi="宋体" w:eastAsia="宋体" w:cs="宋体"/>
                <w:color w:val="auto"/>
                <w:sz w:val="21"/>
                <w:szCs w:val="21"/>
              </w:rPr>
              <w:t>级残联接到办证申请人提交的申请材料后，由受理人对申请人、法定监护人、照片、身份证、户口本进行确认，对于填写虚假信息者不予受理。</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评定责任：指定机构对于申办残疾人证的申请人进行残疾评定，按照残疾标准作出明确的残疾类别和等级评定结论，填写评定表并加盖公章。评定结论符合残疾标准的，应在申请人所在的村（社区）予以公示，公示时间为五个工作日；申请人是未成年人的，原则上不予公示。</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3.审查责任：</w:t>
            </w:r>
            <w:r>
              <w:rPr>
                <w:rFonts w:hint="eastAsia" w:ascii="宋体" w:hAnsi="宋体" w:eastAsia="宋体" w:cs="宋体"/>
                <w:color w:val="auto"/>
                <w:sz w:val="21"/>
                <w:szCs w:val="21"/>
                <w:lang w:eastAsia="zh-CN"/>
              </w:rPr>
              <w:t>区</w:t>
            </w:r>
            <w:r>
              <w:rPr>
                <w:rFonts w:hint="eastAsia" w:ascii="宋体" w:hAnsi="宋体" w:eastAsia="宋体" w:cs="宋体"/>
                <w:color w:val="auto"/>
                <w:sz w:val="21"/>
                <w:szCs w:val="21"/>
              </w:rPr>
              <w:t>级残联对办证申请材料、受理程序、残疾评定结论和公示结果进行审核，并在十个工作日内审核完毕。决定责任：通过确认，出具《用人单位安置残疾人情况认定书》。</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4.发放责任：</w:t>
            </w:r>
            <w:r>
              <w:rPr>
                <w:rFonts w:hint="eastAsia" w:ascii="宋体" w:hAnsi="宋体" w:eastAsia="宋体" w:cs="宋体"/>
                <w:color w:val="auto"/>
                <w:sz w:val="21"/>
                <w:szCs w:val="21"/>
                <w:lang w:eastAsia="zh-CN"/>
              </w:rPr>
              <w:t>区</w:t>
            </w:r>
            <w:r>
              <w:rPr>
                <w:rFonts w:hint="eastAsia" w:ascii="宋体" w:hAnsi="宋体" w:eastAsia="宋体" w:cs="宋体"/>
                <w:color w:val="auto"/>
                <w:sz w:val="21"/>
                <w:szCs w:val="21"/>
              </w:rPr>
              <w:t>级残联将残疾人证发放给申请人，并将申请表、评定表、公示结果等相关材料存档、长期保存。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追责情形</w:t>
            </w:r>
          </w:p>
        </w:tc>
        <w:tc>
          <w:tcPr>
            <w:tcW w:w="7109" w:type="dxa"/>
            <w:vAlign w:val="center"/>
          </w:tcPr>
          <w:p>
            <w:pPr>
              <w:keepNext w:val="0"/>
              <w:keepLines w:val="0"/>
              <w:pageBreakBefore w:val="0"/>
              <w:kinsoku/>
              <w:wordWrap/>
              <w:overflowPunct/>
              <w:topLinePunct w:val="0"/>
              <w:autoSpaceDE/>
              <w:autoSpaceDN/>
              <w:bidi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相关责任单位及其工作人员，依据《中华人民共和国残疾人证管理办法》、《行政机关公务员处分条例》、《四川省行政执法监督条例》、《四川省行政机关工作人员行政过错责任追究试行办法》、《四川省&lt;中华人民共和国残疾人证管理办法&gt;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监督电话</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8663501</w:t>
            </w:r>
          </w:p>
        </w:tc>
      </w:tr>
    </w:tbl>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表2-3</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权力类型</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行政确认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权力项目名称</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用人单位按比例安置残疾人就业情况检查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责任主体</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遂宁市就业管理所（委托实施）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检查责任：根据本地区实情，每年在3月、6月、9月、12月期间，对用人单位按比例安置残疾人就业情况进行检查。</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处置责任：对未落实按比例安置残疾人就业以及未按规定为残疾职工购买社会保险的用人单位进行政策宣传，督促政策落实。</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3.信息公开责任：按照相关规定，每年12月份</w:t>
            </w:r>
            <w:r>
              <w:rPr>
                <w:rFonts w:hint="eastAsia" w:ascii="宋体" w:hAnsi="宋体" w:eastAsia="宋体" w:cs="宋体"/>
                <w:color w:val="auto"/>
                <w:sz w:val="21"/>
                <w:szCs w:val="21"/>
                <w:lang w:val="en-US" w:eastAsia="zh-CN"/>
              </w:rPr>
              <w:t>上报市残联，由市残联</w:t>
            </w:r>
            <w:r>
              <w:rPr>
                <w:rFonts w:hint="eastAsia" w:ascii="宋体" w:hAnsi="宋体" w:eastAsia="宋体" w:cs="宋体"/>
                <w:color w:val="auto"/>
                <w:sz w:val="21"/>
                <w:szCs w:val="21"/>
              </w:rPr>
              <w:t>在《遂宁日报》上对用人单位按比例安置残疾人就业情况进行公示。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追责情形</w:t>
            </w:r>
          </w:p>
        </w:tc>
        <w:tc>
          <w:tcPr>
            <w:tcW w:w="7109" w:type="dxa"/>
            <w:vAlign w:val="center"/>
          </w:tcPr>
          <w:p>
            <w:pPr>
              <w:keepNext w:val="0"/>
              <w:keepLines w:val="0"/>
              <w:pageBreakBefore w:val="0"/>
              <w:kinsoku/>
              <w:wordWrap/>
              <w:overflowPunct/>
              <w:topLinePunct w:val="0"/>
              <w:autoSpaceDE/>
              <w:autoSpaceDN/>
              <w:bidi w:val="0"/>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行政机关公务员处分条例》、《四川省行政执法监督条例》、《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监督电话</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8663501</w:t>
            </w:r>
          </w:p>
        </w:tc>
      </w:tr>
    </w:tbl>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表2-4</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权力类型</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行政奖励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权力项目名称</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对残疾人工作先进单位、先进个人的评选表彰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责任主体</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区残联</w:t>
            </w:r>
            <w:r>
              <w:rPr>
                <w:rFonts w:hint="eastAsia" w:ascii="宋体" w:hAnsi="宋体" w:eastAsia="宋体" w:cs="宋体"/>
                <w:color w:val="auto"/>
                <w:sz w:val="21"/>
                <w:szCs w:val="21"/>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责任事项</w:t>
            </w:r>
          </w:p>
        </w:tc>
        <w:tc>
          <w:tcPr>
            <w:tcW w:w="7109"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1.制定方案责任：在征求意见基础上，科学制定表彰方案。 </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2.组织推荐责任：严格按照表彰方案规定的条件、程序，组织推荐工作，对推荐对象进行初审。 </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3.审核公示责任：对符合条件的推荐对象进行审核，并报请研究审定，并进行公示。 </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4.表彰责任：按照程序报请决定，以</w:t>
            </w:r>
            <w:r>
              <w:rPr>
                <w:rFonts w:hint="eastAsia" w:ascii="宋体" w:hAnsi="宋体" w:eastAsia="宋体" w:cs="宋体"/>
                <w:color w:val="auto"/>
                <w:sz w:val="21"/>
                <w:szCs w:val="21"/>
                <w:lang w:eastAsia="zh-CN"/>
              </w:rPr>
              <w:t>区</w:t>
            </w:r>
            <w:r>
              <w:rPr>
                <w:rFonts w:hint="eastAsia" w:ascii="宋体" w:hAnsi="宋体" w:eastAsia="宋体" w:cs="宋体"/>
                <w:color w:val="auto"/>
                <w:sz w:val="21"/>
                <w:szCs w:val="21"/>
              </w:rPr>
              <w:t xml:space="preserve">人民政府名义表彰。 </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追责情形</w:t>
            </w:r>
          </w:p>
        </w:tc>
        <w:tc>
          <w:tcPr>
            <w:tcW w:w="7109"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对不履行或不正确履行行政职责的行政机关及其工作人员，依据《中华人民共和国行政许可法》、《行政机关公务员处分条例》、《四川省行政审批违法违纪行为责任追究办法》等法律法规规章的相关规定追究相应的责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监督电话</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8663501</w:t>
            </w:r>
          </w:p>
        </w:tc>
      </w:tr>
    </w:tbl>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表2-5</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权力类型</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行政奖励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权力项目名称</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对自强模范暨助残先进集体和个人评选表彰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责任主体</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区残联</w:t>
            </w:r>
            <w:r>
              <w:rPr>
                <w:rFonts w:hint="eastAsia" w:ascii="宋体" w:hAnsi="宋体" w:eastAsia="宋体" w:cs="宋体"/>
                <w:color w:val="auto"/>
                <w:sz w:val="21"/>
                <w:szCs w:val="21"/>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责任事项</w:t>
            </w:r>
          </w:p>
        </w:tc>
        <w:tc>
          <w:tcPr>
            <w:tcW w:w="7109"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1.制定方案责任：在征求意见基础上，科学制定表彰方案。 </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2.组织推荐责任：严格按照表彰方案规定的条件、程序，组织推荐工作，对推荐对象进行初审。 </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3.审核公示责任：对符合条件的推荐对象进行审核，并报请研究审定，并进行公示。 </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4.表彰责任：按照程序报请决定，以</w:t>
            </w:r>
            <w:r>
              <w:rPr>
                <w:rFonts w:hint="eastAsia" w:ascii="宋体" w:hAnsi="宋体" w:eastAsia="宋体" w:cs="宋体"/>
                <w:color w:val="auto"/>
                <w:sz w:val="21"/>
                <w:szCs w:val="21"/>
                <w:lang w:eastAsia="zh-CN"/>
              </w:rPr>
              <w:t>区</w:t>
            </w:r>
            <w:r>
              <w:rPr>
                <w:rFonts w:hint="eastAsia" w:ascii="宋体" w:hAnsi="宋体" w:eastAsia="宋体" w:cs="宋体"/>
                <w:color w:val="auto"/>
                <w:sz w:val="21"/>
                <w:szCs w:val="21"/>
              </w:rPr>
              <w:t xml:space="preserve">人民政府名义表彰。 </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追责情形</w:t>
            </w:r>
          </w:p>
        </w:tc>
        <w:tc>
          <w:tcPr>
            <w:tcW w:w="7109"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行政许可法》、《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监督电话</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8663501</w:t>
            </w:r>
          </w:p>
        </w:tc>
      </w:tr>
    </w:tbl>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表2-6</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权力类型</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行政奖励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权力项目名称</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对残疾人就业工作先进集体和个人评选表彰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责任主体</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区残联</w:t>
            </w:r>
            <w:r>
              <w:rPr>
                <w:rFonts w:hint="eastAsia" w:ascii="宋体" w:hAnsi="宋体" w:eastAsia="宋体" w:cs="宋体"/>
                <w:color w:val="auto"/>
                <w:sz w:val="21"/>
                <w:szCs w:val="21"/>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责任事项</w:t>
            </w:r>
          </w:p>
        </w:tc>
        <w:tc>
          <w:tcPr>
            <w:tcW w:w="7109"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1.制定方案责任：在征求意见基础上，科学制定表彰方案。 </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2.组织推荐责任：严格按照表彰方案规定的条件、程序，组织推荐工作，对推荐对象进行初审。 </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3.审核公示责任：对符合条件的推荐对象进行审核，并报请研究审定，并进行公示。 </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4.表彰责任：按照程序报请决定，以</w:t>
            </w:r>
            <w:r>
              <w:rPr>
                <w:rFonts w:hint="eastAsia" w:ascii="宋体" w:hAnsi="宋体" w:eastAsia="宋体" w:cs="宋体"/>
                <w:color w:val="auto"/>
                <w:sz w:val="21"/>
                <w:szCs w:val="21"/>
                <w:lang w:eastAsia="zh-CN"/>
              </w:rPr>
              <w:t>区</w:t>
            </w:r>
            <w:r>
              <w:rPr>
                <w:rFonts w:hint="eastAsia" w:ascii="宋体" w:hAnsi="宋体" w:eastAsia="宋体" w:cs="宋体"/>
                <w:color w:val="auto"/>
                <w:sz w:val="21"/>
                <w:szCs w:val="21"/>
              </w:rPr>
              <w:t xml:space="preserve">人民政府名义表彰。 </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1" w:hRule="atLeast"/>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追责情形</w:t>
            </w:r>
          </w:p>
        </w:tc>
        <w:tc>
          <w:tcPr>
            <w:tcW w:w="7109"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对不履行或不正确履行行政职责的行政机关及其工作人员，依据《中华人民共和国行政许可法》、《行政机关公务员处分条例》、《四川省行政审批违法违纪行为责任追究办法》等法律法规规章的相关规定追究相应的责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监督电话</w:t>
            </w:r>
          </w:p>
        </w:tc>
        <w:tc>
          <w:tcPr>
            <w:tcW w:w="7109" w:type="dxa"/>
            <w:vAlign w:val="center"/>
          </w:tcPr>
          <w:p>
            <w:pPr>
              <w:keepNext w:val="0"/>
              <w:keepLines w:val="0"/>
              <w:pageBreakBefore w:val="0"/>
              <w:kinsoku/>
              <w:wordWrap/>
              <w:overflowPunct/>
              <w:topLinePunct w:val="0"/>
              <w:autoSpaceDE/>
              <w:autoSpaceDN/>
              <w:bidi w:val="0"/>
              <w:spacing w:after="0"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8663501</w:t>
            </w:r>
          </w:p>
        </w:tc>
      </w:tr>
    </w:tbl>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spacing w:after="0" w:line="400" w:lineRule="exact"/>
        <w:textAlignment w:val="auto"/>
        <w:rPr>
          <w:rFonts w:hint="eastAsia" w:ascii="宋体" w:hAnsi="宋体" w:eastAsia="宋体" w:cs="宋体"/>
          <w:color w:val="auto"/>
          <w:sz w:val="21"/>
          <w:szCs w:val="21"/>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4074A"/>
    <w:rsid w:val="00043CC2"/>
    <w:rsid w:val="00090719"/>
    <w:rsid w:val="000B2823"/>
    <w:rsid w:val="00103D50"/>
    <w:rsid w:val="00175E19"/>
    <w:rsid w:val="001B430C"/>
    <w:rsid w:val="001D3C4C"/>
    <w:rsid w:val="002758FC"/>
    <w:rsid w:val="002B7D36"/>
    <w:rsid w:val="002C744B"/>
    <w:rsid w:val="00323B43"/>
    <w:rsid w:val="003D37D8"/>
    <w:rsid w:val="003E6D79"/>
    <w:rsid w:val="00416613"/>
    <w:rsid w:val="00426133"/>
    <w:rsid w:val="004358AB"/>
    <w:rsid w:val="0045311A"/>
    <w:rsid w:val="004611C3"/>
    <w:rsid w:val="004B09EB"/>
    <w:rsid w:val="004F0AD2"/>
    <w:rsid w:val="00511175"/>
    <w:rsid w:val="00553995"/>
    <w:rsid w:val="005B6D98"/>
    <w:rsid w:val="00625EDE"/>
    <w:rsid w:val="00652175"/>
    <w:rsid w:val="006E549C"/>
    <w:rsid w:val="00790A60"/>
    <w:rsid w:val="008B7726"/>
    <w:rsid w:val="009616E7"/>
    <w:rsid w:val="00992F9C"/>
    <w:rsid w:val="009D4931"/>
    <w:rsid w:val="00AB0B04"/>
    <w:rsid w:val="00AB3EC1"/>
    <w:rsid w:val="00AF7B14"/>
    <w:rsid w:val="00B31D02"/>
    <w:rsid w:val="00B363E1"/>
    <w:rsid w:val="00B77DD7"/>
    <w:rsid w:val="00BC4E3A"/>
    <w:rsid w:val="00D31D50"/>
    <w:rsid w:val="00D5751B"/>
    <w:rsid w:val="00D719AF"/>
    <w:rsid w:val="00DC44B8"/>
    <w:rsid w:val="00E14864"/>
    <w:rsid w:val="0BBC05B6"/>
    <w:rsid w:val="0C4C0D59"/>
    <w:rsid w:val="12ED3E42"/>
    <w:rsid w:val="15DC30CC"/>
    <w:rsid w:val="18DB6AF8"/>
    <w:rsid w:val="1D3F0B95"/>
    <w:rsid w:val="1FDF2743"/>
    <w:rsid w:val="200B69D4"/>
    <w:rsid w:val="2129764A"/>
    <w:rsid w:val="2AD71BF4"/>
    <w:rsid w:val="2B731BCB"/>
    <w:rsid w:val="4007453D"/>
    <w:rsid w:val="407316B4"/>
    <w:rsid w:val="46174969"/>
    <w:rsid w:val="4ED92305"/>
    <w:rsid w:val="53FA5B18"/>
    <w:rsid w:val="593038A0"/>
    <w:rsid w:val="5C00381C"/>
    <w:rsid w:val="633A7EB1"/>
    <w:rsid w:val="65802930"/>
    <w:rsid w:val="6A274DE1"/>
    <w:rsid w:val="711D1308"/>
    <w:rsid w:val="71F63868"/>
    <w:rsid w:val="73E4592E"/>
    <w:rsid w:val="7BE90E29"/>
    <w:rsid w:val="7EC47C70"/>
    <w:rsid w:val="7ED70607"/>
    <w:rsid w:val="7F394A3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qFormat/>
    <w:locked/>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locked/>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semiHidden/>
    <w:qFormat/>
    <w:uiPriority w:val="99"/>
    <w:pPr>
      <w:tabs>
        <w:tab w:val="center" w:pos="4153"/>
        <w:tab w:val="right" w:pos="8306"/>
      </w:tabs>
    </w:pPr>
    <w:rPr>
      <w:sz w:val="18"/>
      <w:szCs w:val="18"/>
    </w:rPr>
  </w:style>
  <w:style w:type="paragraph" w:styleId="5">
    <w:name w:val="header"/>
    <w:basedOn w:val="1"/>
    <w:link w:val="9"/>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qFormat/>
    <w:uiPriority w:val="99"/>
    <w:pPr>
      <w:adjustRightInd/>
      <w:snapToGrid/>
      <w:spacing w:before="100" w:beforeAutospacing="1" w:after="100" w:afterAutospacing="1"/>
    </w:pPr>
    <w:rPr>
      <w:rFonts w:ascii="宋体" w:hAnsi="宋体" w:eastAsia="宋体" w:cs="宋体"/>
      <w:sz w:val="24"/>
      <w:szCs w:val="24"/>
    </w:rPr>
  </w:style>
  <w:style w:type="character" w:customStyle="1" w:styleId="9">
    <w:name w:val="Header Char"/>
    <w:basedOn w:val="8"/>
    <w:link w:val="5"/>
    <w:semiHidden/>
    <w:qFormat/>
    <w:locked/>
    <w:uiPriority w:val="99"/>
    <w:rPr>
      <w:rFonts w:ascii="Tahoma" w:hAnsi="Tahoma" w:cs="Tahoma"/>
      <w:sz w:val="18"/>
      <w:szCs w:val="18"/>
    </w:rPr>
  </w:style>
  <w:style w:type="character" w:customStyle="1" w:styleId="10">
    <w:name w:val="Footer Char"/>
    <w:basedOn w:val="8"/>
    <w:link w:val="4"/>
    <w:semiHidden/>
    <w:qFormat/>
    <w:locked/>
    <w:uiPriority w:val="99"/>
    <w:rPr>
      <w:rFonts w:ascii="Tahoma" w:hAnsi="Tahoma" w:cs="Tahoma"/>
      <w:sz w:val="18"/>
      <w:szCs w:val="18"/>
    </w:rPr>
  </w:style>
  <w:style w:type="paragraph" w:styleId="11">
    <w:name w:val="List Paragraph"/>
    <w:basedOn w:val="1"/>
    <w:qFormat/>
    <w:uiPriority w:val="99"/>
    <w:pPr>
      <w:ind w:firstLine="420" w:firstLineChars="200"/>
    </w:pPr>
  </w:style>
  <w:style w:type="paragraph" w:customStyle="1" w:styleId="12">
    <w:name w:val="Header or footer|2"/>
    <w:basedOn w:val="1"/>
    <w:qFormat/>
    <w:uiPriority w:val="0"/>
    <w:pPr>
      <w:widowControl w:val="0"/>
      <w:shd w:val="clear" w:color="auto" w:fill="auto"/>
    </w:pPr>
    <w:rPr>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Win7w.Com</Company>
  <Pages>7</Pages>
  <Words>475</Words>
  <Characters>2709</Characters>
  <Lines>0</Lines>
  <Paragraphs>0</Paragraphs>
  <TotalTime>17</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Win7w</dc:creator>
  <cp:lastModifiedBy>洋洋</cp:lastModifiedBy>
  <cp:lastPrinted>2019-12-20T06:01:00Z</cp:lastPrinted>
  <dcterms:modified xsi:type="dcterms:W3CDTF">2020-01-14T01:20:12Z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