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png" ContentType="image/png"/>
  <Default Extension="wdp" ContentType="image/vnd.ms-photo"/>
  <Default Extension="wmf" ContentType="image/x-wmf"/>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6ACD89A">
      <w:pPr>
        <w:adjustRightInd w:val="0"/>
        <w:snapToGrid w:val="0"/>
        <w:jc w:val="center"/>
        <w:rPr>
          <w:rFonts w:ascii="Times New Roman" w:hAnsi="Times New Roman" w:eastAsia="方正小标宋_GBK" w:cs="Times New Roman"/>
          <w:bCs/>
          <w:color w:val="000000" w:themeColor="text1"/>
          <w:sz w:val="72"/>
          <w:szCs w:val="72"/>
          <w14:textFill>
            <w14:solidFill>
              <w14:schemeClr w14:val="tx1"/>
            </w14:solidFill>
          </w14:textFill>
        </w:rPr>
      </w:pPr>
    </w:p>
    <w:p w14:paraId="04897FF9">
      <w:pPr>
        <w:adjustRightInd w:val="0"/>
        <w:snapToGrid w:val="0"/>
        <w:jc w:val="center"/>
        <w:rPr>
          <w:rFonts w:ascii="Times New Roman" w:hAnsi="Times New Roman" w:eastAsia="方正小标宋_GBK" w:cs="Times New Roman"/>
          <w:bCs/>
          <w:color w:val="000000" w:themeColor="text1"/>
          <w:sz w:val="72"/>
          <w:szCs w:val="72"/>
          <w14:textFill>
            <w14:solidFill>
              <w14:schemeClr w14:val="tx1"/>
            </w14:solidFill>
          </w14:textFill>
        </w:rPr>
      </w:pPr>
      <w:r>
        <w:rPr>
          <w:rFonts w:ascii="Times New Roman" w:hAnsi="Times New Roman" w:eastAsia="方正小标宋_GBK" w:cs="Times New Roman"/>
          <w:bCs/>
          <w:color w:val="000000" w:themeColor="text1"/>
          <w:sz w:val="72"/>
          <w:szCs w:val="72"/>
          <w14:textFill>
            <w14:solidFill>
              <w14:schemeClr w14:val="tx1"/>
            </w14:solidFill>
          </w14:textFill>
        </w:rPr>
        <w:t>建设项目环境影响报告表</w:t>
      </w:r>
    </w:p>
    <w:p w14:paraId="46EACA04">
      <w:pPr>
        <w:adjustRightInd w:val="0"/>
        <w:snapToGrid w:val="0"/>
        <w:spacing w:before="249" w:beforeLines="80"/>
        <w:jc w:val="center"/>
        <w:rPr>
          <w:rFonts w:ascii="Times New Roman" w:hAnsi="Times New Roman" w:eastAsia="楷体_GB2312" w:cs="Times New Roman"/>
          <w:bCs/>
          <w:color w:val="000000" w:themeColor="text1"/>
          <w:sz w:val="48"/>
          <w:szCs w:val="48"/>
          <w14:textFill>
            <w14:solidFill>
              <w14:schemeClr w14:val="tx1"/>
            </w14:solidFill>
          </w14:textFill>
        </w:rPr>
      </w:pPr>
      <w:r>
        <w:rPr>
          <w:rFonts w:ascii="Times New Roman" w:hAnsi="Times New Roman" w:eastAsia="楷体_GB2312" w:cs="Times New Roman"/>
          <w:bCs/>
          <w:color w:val="000000" w:themeColor="text1"/>
          <w:sz w:val="48"/>
          <w:szCs w:val="48"/>
          <w14:textFill>
            <w14:solidFill>
              <w14:schemeClr w14:val="tx1"/>
            </w14:solidFill>
          </w14:textFill>
        </w:rPr>
        <w:t>（污染影响类项目报批件）</w:t>
      </w:r>
    </w:p>
    <w:p w14:paraId="10550E33">
      <w:pPr>
        <w:adjustRightInd w:val="0"/>
        <w:snapToGrid w:val="0"/>
        <w:jc w:val="center"/>
        <w:rPr>
          <w:rFonts w:ascii="Times New Roman" w:hAnsi="Times New Roman" w:eastAsia="华文仿宋" w:cs="Times New Roman"/>
          <w:color w:val="000000" w:themeColor="text1"/>
          <w:kern w:val="44"/>
          <w:sz w:val="40"/>
          <w:szCs w:val="44"/>
          <w14:textFill>
            <w14:solidFill>
              <w14:schemeClr w14:val="tx1"/>
            </w14:solidFill>
          </w14:textFill>
        </w:rPr>
      </w:pPr>
    </w:p>
    <w:p w14:paraId="2DC8D400">
      <w:pPr>
        <w:jc w:val="center"/>
        <w:rPr>
          <w:rFonts w:ascii="Times New Roman" w:hAnsi="Times New Roman" w:eastAsia="仿宋" w:cs="Times New Roman"/>
          <w:color w:val="000000" w:themeColor="text1"/>
          <w:sz w:val="48"/>
          <w:szCs w:val="52"/>
          <w14:textFill>
            <w14:solidFill>
              <w14:schemeClr w14:val="tx1"/>
            </w14:solidFill>
          </w14:textFill>
        </w:rPr>
      </w:pPr>
    </w:p>
    <w:p w14:paraId="1C73C0E8">
      <w:pPr>
        <w:ind w:firstLine="1040"/>
        <w:rPr>
          <w:rFonts w:ascii="Times New Roman" w:hAnsi="Times New Roman" w:eastAsia="仿宋" w:cs="Times New Roman"/>
          <w:color w:val="000000" w:themeColor="text1"/>
          <w:sz w:val="40"/>
          <w:szCs w:val="44"/>
          <w14:textFill>
            <w14:solidFill>
              <w14:schemeClr w14:val="tx1"/>
            </w14:solidFill>
          </w14:textFill>
        </w:rPr>
      </w:pPr>
    </w:p>
    <w:p w14:paraId="6394D413">
      <w:pPr>
        <w:ind w:firstLine="1040"/>
        <w:rPr>
          <w:rFonts w:ascii="Times New Roman" w:hAnsi="Times New Roman" w:eastAsia="仿宋" w:cs="Times New Roman"/>
          <w:color w:val="000000" w:themeColor="text1"/>
          <w:sz w:val="40"/>
          <w:szCs w:val="44"/>
          <w14:textFill>
            <w14:solidFill>
              <w14:schemeClr w14:val="tx1"/>
            </w14:solidFill>
          </w14:textFill>
        </w:rPr>
      </w:pPr>
    </w:p>
    <w:p w14:paraId="71402B9B">
      <w:pPr>
        <w:ind w:firstLine="440" w:firstLineChars="200"/>
        <w:rPr>
          <w:rFonts w:ascii="Times New Roman" w:hAnsi="Times New Roman" w:eastAsia="宋体" w:cs="Times New Roman"/>
          <w:color w:val="000000" w:themeColor="text1"/>
          <w:sz w:val="22"/>
          <w:szCs w:val="24"/>
          <w14:textFill>
            <w14:solidFill>
              <w14:schemeClr w14:val="tx1"/>
            </w14:solidFill>
          </w14:textFill>
        </w:rPr>
      </w:pPr>
    </w:p>
    <w:p w14:paraId="2DB2B424">
      <w:pPr>
        <w:ind w:firstLine="1040"/>
        <w:rPr>
          <w:rFonts w:ascii="Times New Roman" w:hAnsi="Times New Roman" w:eastAsia="仿宋" w:cs="Times New Roman"/>
          <w:color w:val="000000" w:themeColor="text1"/>
          <w:sz w:val="40"/>
          <w:szCs w:val="44"/>
          <w14:textFill>
            <w14:solidFill>
              <w14:schemeClr w14:val="tx1"/>
            </w14:solidFill>
          </w14:textFill>
        </w:rPr>
      </w:pPr>
    </w:p>
    <w:p w14:paraId="0B18FD1D">
      <w:pPr>
        <w:ind w:left="315" w:leftChars="150" w:right="525" w:rightChars="250"/>
        <w:rPr>
          <w:rFonts w:ascii="Times New Roman" w:hAnsi="Times New Roman" w:eastAsia="仿宋" w:cs="Times New Roman"/>
          <w:color w:val="000000" w:themeColor="text1"/>
          <w:sz w:val="40"/>
          <w:szCs w:val="44"/>
          <w14:textFill>
            <w14:solidFill>
              <w14:schemeClr w14:val="tx1"/>
            </w14:solidFill>
          </w14:textFill>
        </w:rPr>
      </w:pPr>
    </w:p>
    <w:p w14:paraId="2952E2E0">
      <w:pPr>
        <w:adjustRightInd w:val="0"/>
        <w:snapToGrid w:val="0"/>
        <w:spacing w:line="288" w:lineRule="auto"/>
        <w:ind w:left="210" w:leftChars="100" w:right="210" w:rightChars="100"/>
        <w:rPr>
          <w:rFonts w:ascii="Times New Roman" w:hAnsi="Times New Roman" w:eastAsia="仿宋_GB2312" w:cs="Times New Roman"/>
          <w:color w:val="000000" w:themeColor="text1"/>
          <w:sz w:val="36"/>
          <w:szCs w:val="36"/>
          <w:u w:val="single"/>
          <w14:textFill>
            <w14:solidFill>
              <w14:schemeClr w14:val="tx1"/>
            </w14:solidFill>
          </w14:textFill>
        </w:rPr>
      </w:pPr>
      <w:r>
        <w:rPr>
          <w:rFonts w:ascii="Times New Roman" w:hAnsi="Times New Roman" w:eastAsia="仿宋_GB2312" w:cs="Times New Roman"/>
          <w:color w:val="000000" w:themeColor="text1"/>
          <w:sz w:val="36"/>
          <w:szCs w:val="36"/>
          <w14:textFill>
            <w14:solidFill>
              <w14:schemeClr w14:val="tx1"/>
            </w14:solidFill>
          </w14:textFill>
        </w:rPr>
        <w:t>项目名称：</w:t>
      </w:r>
      <w:r>
        <w:rPr>
          <w:rFonts w:ascii="Times New Roman" w:hAnsi="Times New Roman" w:eastAsia="仿宋_GB2312" w:cs="Times New Roman"/>
          <w:color w:val="000000" w:themeColor="text1"/>
          <w:sz w:val="36"/>
          <w:szCs w:val="36"/>
          <w:u w:val="single"/>
          <w14:textFill>
            <w14:solidFill>
              <w14:schemeClr w14:val="tx1"/>
            </w14:solidFill>
          </w14:textFill>
        </w:rPr>
        <w:t>遂宁市安居区麒新机砖厂技术改造项目</w:t>
      </w:r>
    </w:p>
    <w:p w14:paraId="4A498C55">
      <w:pPr>
        <w:adjustRightInd w:val="0"/>
        <w:snapToGrid w:val="0"/>
        <w:spacing w:line="288" w:lineRule="auto"/>
        <w:ind w:left="2010" w:leftChars="100" w:right="210" w:rightChars="100" w:hanging="1800" w:hangingChars="500"/>
        <w:rPr>
          <w:rFonts w:ascii="Times New Roman" w:hAnsi="Times New Roman" w:eastAsia="仿宋_GB2312" w:cs="Times New Roman"/>
          <w:color w:val="000000" w:themeColor="text1"/>
          <w:sz w:val="36"/>
          <w:szCs w:val="36"/>
          <w:u w:val="single"/>
          <w14:textFill>
            <w14:solidFill>
              <w14:schemeClr w14:val="tx1"/>
            </w14:solidFill>
          </w14:textFill>
        </w:rPr>
      </w:pPr>
      <w:r>
        <w:rPr>
          <w:rFonts w:ascii="Times New Roman" w:hAnsi="Times New Roman" w:eastAsia="仿宋_GB2312" w:cs="Times New Roman"/>
          <w:color w:val="000000" w:themeColor="text1"/>
          <w:sz w:val="36"/>
          <w:szCs w:val="36"/>
          <w14:textFill>
            <w14:solidFill>
              <w14:schemeClr w14:val="tx1"/>
            </w14:solidFill>
          </w14:textFill>
        </w:rPr>
        <w:t>建设单位（盖章）：</w:t>
      </w:r>
      <w:r>
        <w:rPr>
          <w:rFonts w:ascii="Times New Roman" w:hAnsi="Times New Roman" w:eastAsia="仿宋_GB2312" w:cs="Times New Roman"/>
          <w:color w:val="000000" w:themeColor="text1"/>
          <w:sz w:val="36"/>
          <w:szCs w:val="36"/>
          <w:u w:val="single"/>
          <w14:textFill>
            <w14:solidFill>
              <w14:schemeClr w14:val="tx1"/>
            </w14:solidFill>
          </w14:textFill>
        </w:rPr>
        <w:t xml:space="preserve">遂宁市安居区麒新机砖厂（有限合伙）                            </w:t>
      </w:r>
    </w:p>
    <w:p w14:paraId="71C6913E">
      <w:pPr>
        <w:adjustRightInd w:val="0"/>
        <w:snapToGrid w:val="0"/>
        <w:spacing w:line="288" w:lineRule="auto"/>
        <w:ind w:left="210" w:leftChars="100" w:right="210" w:rightChars="100"/>
        <w:rPr>
          <w:rFonts w:ascii="Times New Roman" w:hAnsi="Times New Roman" w:eastAsia="仿宋_GB2312" w:cs="Times New Roman"/>
          <w:color w:val="000000" w:themeColor="text1"/>
          <w:sz w:val="36"/>
          <w:szCs w:val="36"/>
          <w:u w:val="single"/>
          <w14:textFill>
            <w14:solidFill>
              <w14:schemeClr w14:val="tx1"/>
            </w14:solidFill>
          </w14:textFill>
        </w:rPr>
      </w:pPr>
      <w:r>
        <w:rPr>
          <w:rFonts w:ascii="Times New Roman" w:hAnsi="Times New Roman" w:eastAsia="仿宋_GB2312" w:cs="Times New Roman"/>
          <w:color w:val="000000" w:themeColor="text1"/>
          <w:sz w:val="36"/>
          <w:szCs w:val="36"/>
          <w14:textFill>
            <w14:solidFill>
              <w14:schemeClr w14:val="tx1"/>
            </w14:solidFill>
          </w14:textFill>
        </w:rPr>
        <w:t>编制日期：</w:t>
      </w:r>
      <w:r>
        <w:rPr>
          <w:rFonts w:ascii="Times New Roman" w:hAnsi="Times New Roman" w:eastAsia="仿宋_GB2312" w:cs="Times New Roman"/>
          <w:color w:val="000000" w:themeColor="text1"/>
          <w:sz w:val="36"/>
          <w:szCs w:val="36"/>
          <w:u w:val="single"/>
          <w14:textFill>
            <w14:solidFill>
              <w14:schemeClr w14:val="tx1"/>
            </w14:solidFill>
          </w14:textFill>
        </w:rPr>
        <w:t xml:space="preserve">           2023年11月             </w:t>
      </w:r>
    </w:p>
    <w:p w14:paraId="5F4708FE">
      <w:pPr>
        <w:adjustRightInd w:val="0"/>
        <w:snapToGrid w:val="0"/>
        <w:spacing w:line="288" w:lineRule="auto"/>
        <w:ind w:left="420" w:leftChars="200" w:right="420" w:rightChars="200" w:firstLine="1040"/>
        <w:rPr>
          <w:rFonts w:ascii="Times New Roman" w:hAnsi="Times New Roman" w:eastAsia="仿宋_GB2312" w:cs="Times New Roman"/>
          <w:color w:val="000000" w:themeColor="text1"/>
          <w:sz w:val="36"/>
          <w:szCs w:val="36"/>
          <w:u w:val="single"/>
          <w14:textFill>
            <w14:solidFill>
              <w14:schemeClr w14:val="tx1"/>
            </w14:solidFill>
          </w14:textFill>
        </w:rPr>
      </w:pPr>
      <w:bookmarkStart w:id="0" w:name="_Hlk57884087"/>
    </w:p>
    <w:p w14:paraId="68DE9303">
      <w:pPr>
        <w:adjustRightInd w:val="0"/>
        <w:snapToGrid w:val="0"/>
        <w:spacing w:line="288" w:lineRule="auto"/>
        <w:ind w:firstLine="1040"/>
        <w:rPr>
          <w:rFonts w:ascii="Times New Roman" w:hAnsi="Times New Roman" w:eastAsia="仿宋_GB2312" w:cs="Times New Roman"/>
          <w:color w:val="000000" w:themeColor="text1"/>
          <w:sz w:val="36"/>
          <w:szCs w:val="36"/>
          <w14:textFill>
            <w14:solidFill>
              <w14:schemeClr w14:val="tx1"/>
            </w14:solidFill>
          </w14:textFill>
        </w:rPr>
      </w:pPr>
    </w:p>
    <w:p w14:paraId="38592CEE">
      <w:pPr>
        <w:adjustRightInd w:val="0"/>
        <w:snapToGrid w:val="0"/>
        <w:spacing w:line="288" w:lineRule="auto"/>
        <w:ind w:firstLine="1040"/>
        <w:rPr>
          <w:rFonts w:ascii="Times New Roman" w:hAnsi="Times New Roman" w:eastAsia="仿宋_GB2312" w:cs="Times New Roman"/>
          <w:color w:val="000000" w:themeColor="text1"/>
          <w:sz w:val="36"/>
          <w:szCs w:val="36"/>
          <w14:textFill>
            <w14:solidFill>
              <w14:schemeClr w14:val="tx1"/>
            </w14:solidFill>
          </w14:textFill>
        </w:rPr>
      </w:pPr>
    </w:p>
    <w:p w14:paraId="498BB7C3">
      <w:pPr>
        <w:adjustRightInd w:val="0"/>
        <w:snapToGrid w:val="0"/>
        <w:spacing w:line="288" w:lineRule="auto"/>
        <w:ind w:firstLine="1040"/>
        <w:rPr>
          <w:rFonts w:ascii="Times New Roman" w:hAnsi="Times New Roman" w:eastAsia="仿宋_GB2312" w:cs="Times New Roman"/>
          <w:color w:val="000000" w:themeColor="text1"/>
          <w:sz w:val="36"/>
          <w:szCs w:val="36"/>
          <w14:textFill>
            <w14:solidFill>
              <w14:schemeClr w14:val="tx1"/>
            </w14:solidFill>
          </w14:textFill>
        </w:rPr>
      </w:pPr>
    </w:p>
    <w:p w14:paraId="40151271">
      <w:pPr>
        <w:adjustRightInd w:val="0"/>
        <w:snapToGrid w:val="0"/>
        <w:spacing w:line="288" w:lineRule="auto"/>
        <w:ind w:firstLine="1040"/>
        <w:rPr>
          <w:rFonts w:ascii="Times New Roman" w:hAnsi="Times New Roman" w:eastAsia="仿宋_GB2312" w:cs="Times New Roman"/>
          <w:color w:val="000000" w:themeColor="text1"/>
          <w:sz w:val="36"/>
          <w:szCs w:val="36"/>
          <w14:textFill>
            <w14:solidFill>
              <w14:schemeClr w14:val="tx1"/>
            </w14:solidFill>
          </w14:textFill>
        </w:rPr>
      </w:pPr>
    </w:p>
    <w:bookmarkEnd w:id="0"/>
    <w:p w14:paraId="16108E74">
      <w:pPr>
        <w:jc w:val="center"/>
        <w:rPr>
          <w:rFonts w:ascii="Times New Roman" w:hAnsi="Times New Roman" w:eastAsia="楷体_GB2312" w:cs="Times New Roman"/>
          <w:color w:val="000000" w:themeColor="text1"/>
          <w:sz w:val="36"/>
          <w:szCs w:val="36"/>
          <w14:textFill>
            <w14:solidFill>
              <w14:schemeClr w14:val="tx1"/>
            </w14:solidFill>
          </w14:textFill>
        </w:rPr>
        <w:sectPr>
          <w:footerReference r:id="rId3" w:type="default"/>
          <w:pgSz w:w="11906" w:h="16838"/>
          <w:pgMar w:top="1440" w:right="1800" w:bottom="1440" w:left="1800" w:header="851" w:footer="992" w:gutter="0"/>
          <w:cols w:space="425" w:num="1"/>
          <w:docGrid w:type="lines" w:linePitch="312" w:charSpace="0"/>
        </w:sectPr>
      </w:pPr>
      <w:r>
        <w:rPr>
          <w:rFonts w:ascii="Times New Roman" w:hAnsi="Times New Roman" w:eastAsia="楷体_GB2312" w:cs="Times New Roman"/>
          <w:color w:val="000000" w:themeColor="text1"/>
          <w:sz w:val="36"/>
          <w:szCs w:val="36"/>
          <w14:textFill>
            <w14:solidFill>
              <w14:schemeClr w14:val="tx1"/>
            </w14:solidFill>
          </w14:textFill>
        </w:rPr>
        <w:t>中华人民共和国生态环境部制</w:t>
      </w:r>
    </w:p>
    <w:p w14:paraId="1B17E187">
      <w:pPr>
        <w:spacing w:line="360" w:lineRule="auto"/>
        <w:jc w:val="center"/>
        <w:rPr>
          <w:rFonts w:ascii="Times New Roman" w:hAnsi="Times New Roman" w:eastAsia="仿宋_GB2312" w:cs="Times New Roman"/>
          <w:color w:val="000000" w:themeColor="text1"/>
          <w:sz w:val="28"/>
          <w:szCs w:val="28"/>
          <w14:textFill>
            <w14:solidFill>
              <w14:schemeClr w14:val="tx1"/>
            </w14:solidFill>
          </w14:textFill>
        </w:rPr>
      </w:pPr>
      <w:r>
        <w:rPr>
          <w:rFonts w:ascii="Times New Roman" w:hAnsi="Times New Roman" w:eastAsia="仿宋_GB2312" w:cs="Times New Roman"/>
          <w:color w:val="000000" w:themeColor="text1"/>
          <w:sz w:val="28"/>
          <w:szCs w:val="28"/>
          <w14:textFill>
            <w14:solidFill>
              <w14:schemeClr w14:val="tx1"/>
            </w14:solidFill>
          </w14:textFill>
        </w:rPr>
        <w:t>遂宁市安居区麒新机砖厂（有限合伙）</w:t>
      </w:r>
    </w:p>
    <w:p w14:paraId="24D98704">
      <w:pPr>
        <w:spacing w:line="360" w:lineRule="auto"/>
        <w:jc w:val="center"/>
        <w:rPr>
          <w:rFonts w:ascii="Times New Roman" w:hAnsi="Times New Roman" w:eastAsia="仿宋_GB2312" w:cs="Times New Roman"/>
          <w:color w:val="000000" w:themeColor="text1"/>
          <w:sz w:val="28"/>
          <w:szCs w:val="28"/>
          <w14:textFill>
            <w14:solidFill>
              <w14:schemeClr w14:val="tx1"/>
            </w14:solidFill>
          </w14:textFill>
        </w:rPr>
      </w:pPr>
      <w:r>
        <w:rPr>
          <w:rFonts w:ascii="Times New Roman" w:hAnsi="Times New Roman" w:eastAsia="仿宋_GB2312" w:cs="Times New Roman"/>
          <w:color w:val="000000" w:themeColor="text1"/>
          <w:sz w:val="28"/>
          <w:szCs w:val="28"/>
          <w14:textFill>
            <w14:solidFill>
              <w14:schemeClr w14:val="tx1"/>
            </w14:solidFill>
          </w14:textFill>
        </w:rPr>
        <w:t>《遂宁市安居区麒新机砖厂技术改造项目》专家审查意见修改清单</w:t>
      </w:r>
    </w:p>
    <w:p w14:paraId="6FA24FE3">
      <w:pPr>
        <w:pStyle w:val="2"/>
        <w:ind w:firstLine="492"/>
        <w:rPr>
          <w:rFonts w:ascii="Times New Roman" w:cs="Times New Roman"/>
        </w:rPr>
      </w:pPr>
    </w:p>
    <w:p w14:paraId="43EAC09E">
      <w:pPr>
        <w:pStyle w:val="6"/>
        <w:spacing w:line="360" w:lineRule="auto"/>
      </w:pPr>
      <w:r>
        <w:rPr>
          <w:rFonts w:eastAsia="仿宋_GB2312"/>
          <w:color w:val="000000" w:themeColor="text1"/>
          <w:sz w:val="24"/>
          <w:szCs w:val="28"/>
          <w14:textFill>
            <w14:solidFill>
              <w14:schemeClr w14:val="tx1"/>
            </w14:solidFill>
          </w14:textFill>
        </w:rPr>
        <w:t>遂宁市安居区麒新机砖厂（有限合伙）《遂宁市安居区麒新机砖厂技术改造项目》环境影响评价报告表经专家审查后，我单位根据专家审查意见对报告表进行了修改，修改情况如下：</w:t>
      </w:r>
    </w:p>
    <w:tbl>
      <w:tblPr>
        <w:tblStyle w:val="2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342"/>
        <w:gridCol w:w="4180"/>
      </w:tblGrid>
      <w:tr w14:paraId="741229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342" w:type="dxa"/>
            <w:shd w:val="clear" w:color="auto" w:fill="auto"/>
          </w:tcPr>
          <w:p w14:paraId="24AA8976">
            <w:pPr>
              <w:pStyle w:val="15"/>
              <w:numPr>
                <w:ilvl w:val="0"/>
                <w:numId w:val="0"/>
              </w:numPr>
              <w:snapToGrid w:val="0"/>
              <w:jc w:val="center"/>
              <w:rPr>
                <w:rFonts w:ascii="宋体" w:hAnsi="宋体" w:eastAsia="宋体" w:cs="Times New Roman"/>
                <w:szCs w:val="21"/>
              </w:rPr>
            </w:pPr>
            <w:r>
              <w:rPr>
                <w:rFonts w:ascii="宋体" w:hAnsi="宋体" w:eastAsia="宋体" w:cs="Times New Roman"/>
                <w:szCs w:val="21"/>
              </w:rPr>
              <w:t>评审意见</w:t>
            </w:r>
          </w:p>
        </w:tc>
        <w:tc>
          <w:tcPr>
            <w:tcW w:w="4180" w:type="dxa"/>
            <w:shd w:val="clear" w:color="auto" w:fill="auto"/>
          </w:tcPr>
          <w:p w14:paraId="30931147">
            <w:pPr>
              <w:pStyle w:val="15"/>
              <w:numPr>
                <w:ilvl w:val="0"/>
                <w:numId w:val="0"/>
              </w:numPr>
              <w:snapToGrid w:val="0"/>
              <w:jc w:val="center"/>
              <w:rPr>
                <w:rFonts w:ascii="宋体" w:hAnsi="宋体" w:eastAsia="宋体" w:cs="Times New Roman"/>
                <w:szCs w:val="21"/>
              </w:rPr>
            </w:pPr>
            <w:r>
              <w:rPr>
                <w:rFonts w:ascii="宋体" w:hAnsi="宋体" w:eastAsia="宋体" w:cs="Times New Roman"/>
                <w:szCs w:val="21"/>
              </w:rPr>
              <w:t>修改详情</w:t>
            </w:r>
          </w:p>
        </w:tc>
      </w:tr>
      <w:tr w14:paraId="79BC18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342" w:type="dxa"/>
            <w:shd w:val="clear" w:color="auto" w:fill="auto"/>
          </w:tcPr>
          <w:p w14:paraId="2B673818">
            <w:pPr>
              <w:pStyle w:val="35"/>
              <w:numPr>
                <w:ilvl w:val="0"/>
                <w:numId w:val="2"/>
              </w:numPr>
              <w:adjustRightInd w:val="0"/>
              <w:snapToGrid w:val="0"/>
              <w:ind w:left="0" w:firstLine="0" w:firstLineChars="0"/>
              <w:jc w:val="left"/>
              <w:rPr>
                <w:rFonts w:ascii="宋体" w:hAnsi="宋体" w:eastAsia="宋体"/>
                <w:szCs w:val="21"/>
              </w:rPr>
            </w:pPr>
            <w:r>
              <w:rPr>
                <w:rFonts w:ascii="宋体" w:hAnsi="宋体" w:eastAsia="宋体"/>
                <w:szCs w:val="21"/>
              </w:rPr>
              <w:t>细化外环境关系和环境保护目标调查，校核本项目厂界与周边敏感点的方位、距离和高差（补充现状照片）。进一步梳理公司现有环境问题，完善整改措施；核实现有厂区是否存在环保投诉和纠纷，提供依据。</w:t>
            </w:r>
          </w:p>
        </w:tc>
        <w:tc>
          <w:tcPr>
            <w:tcW w:w="4180" w:type="dxa"/>
            <w:shd w:val="clear" w:color="auto" w:fill="auto"/>
          </w:tcPr>
          <w:p w14:paraId="39FE3993">
            <w:pPr>
              <w:pStyle w:val="35"/>
              <w:adjustRightInd w:val="0"/>
              <w:snapToGrid w:val="0"/>
              <w:ind w:firstLine="0" w:firstLineChars="0"/>
              <w:jc w:val="left"/>
              <w:rPr>
                <w:rFonts w:ascii="宋体" w:hAnsi="宋体" w:eastAsia="宋体"/>
                <w:szCs w:val="21"/>
              </w:rPr>
            </w:pPr>
            <w:r>
              <w:rPr>
                <w:rFonts w:ascii="宋体" w:hAnsi="宋体" w:eastAsia="宋体"/>
                <w:szCs w:val="21"/>
              </w:rPr>
              <w:t>P</w:t>
            </w:r>
            <w:r>
              <w:rPr>
                <w:rFonts w:ascii="宋体" w:hAnsi="宋体" w:eastAsia="宋体"/>
                <w:szCs w:val="21"/>
              </w:rPr>
              <w:fldChar w:fldCharType="begin"/>
            </w:r>
            <w:r>
              <w:rPr>
                <w:rFonts w:ascii="宋体" w:hAnsi="宋体" w:eastAsia="宋体"/>
                <w:szCs w:val="21"/>
              </w:rPr>
              <w:instrText xml:space="preserve"> PAGEREF _Ref140479447 \h </w:instrText>
            </w:r>
            <w:r>
              <w:rPr>
                <w:rFonts w:ascii="宋体" w:hAnsi="宋体" w:eastAsia="宋体"/>
                <w:szCs w:val="21"/>
              </w:rPr>
              <w:fldChar w:fldCharType="separate"/>
            </w:r>
            <w:r>
              <w:rPr>
                <w:rFonts w:ascii="宋体" w:hAnsi="宋体" w:eastAsia="宋体"/>
                <w:szCs w:val="21"/>
              </w:rPr>
              <w:t>83</w:t>
            </w:r>
            <w:r>
              <w:rPr>
                <w:rFonts w:ascii="宋体" w:hAnsi="宋体" w:eastAsia="宋体"/>
                <w:szCs w:val="21"/>
              </w:rPr>
              <w:fldChar w:fldCharType="end"/>
            </w:r>
            <w:r>
              <w:rPr>
                <w:rFonts w:ascii="宋体" w:hAnsi="宋体" w:eastAsia="宋体"/>
                <w:szCs w:val="21"/>
              </w:rPr>
              <w:t>，根据大气专章评价范围，细化补充敏感目标，</w:t>
            </w:r>
            <w:r>
              <w:rPr>
                <w:rFonts w:hint="eastAsia" w:ascii="宋体" w:hAnsi="宋体" w:eastAsia="宋体"/>
                <w:szCs w:val="21"/>
              </w:rPr>
              <w:t>P82</w:t>
            </w:r>
            <w:r>
              <w:rPr>
                <w:rFonts w:ascii="宋体" w:hAnsi="宋体" w:eastAsia="宋体"/>
                <w:szCs w:val="21"/>
              </w:rPr>
              <w:t>补充项目旁敏感点照片，</w:t>
            </w:r>
            <w:r>
              <w:rPr>
                <w:rFonts w:hint="eastAsia" w:ascii="宋体" w:hAnsi="宋体" w:eastAsia="宋体"/>
                <w:szCs w:val="21"/>
              </w:rPr>
              <w:t>P</w:t>
            </w:r>
            <w:r>
              <w:rPr>
                <w:rFonts w:ascii="宋体" w:hAnsi="宋体" w:eastAsia="宋体"/>
                <w:szCs w:val="21"/>
              </w:rPr>
              <w:fldChar w:fldCharType="begin"/>
            </w:r>
            <w:r>
              <w:rPr>
                <w:rFonts w:ascii="宋体" w:hAnsi="宋体" w:eastAsia="宋体"/>
                <w:szCs w:val="21"/>
              </w:rPr>
              <w:instrText xml:space="preserve"> PAGEREF _Ref150784502 \h </w:instrText>
            </w:r>
            <w:r>
              <w:rPr>
                <w:rFonts w:ascii="宋体" w:hAnsi="宋体" w:eastAsia="宋体"/>
                <w:szCs w:val="21"/>
              </w:rPr>
              <w:fldChar w:fldCharType="separate"/>
            </w:r>
            <w:r>
              <w:rPr>
                <w:rFonts w:ascii="宋体" w:hAnsi="宋体" w:eastAsia="宋体"/>
                <w:szCs w:val="21"/>
              </w:rPr>
              <w:t>17</w:t>
            </w:r>
            <w:r>
              <w:rPr>
                <w:rFonts w:ascii="宋体" w:hAnsi="宋体" w:eastAsia="宋体"/>
                <w:szCs w:val="21"/>
              </w:rPr>
              <w:fldChar w:fldCharType="end"/>
            </w:r>
            <w:r>
              <w:rPr>
                <w:rFonts w:ascii="宋体" w:hAnsi="宋体" w:eastAsia="宋体"/>
                <w:szCs w:val="21"/>
              </w:rPr>
              <w:t>补充敏感点与项目高差。P</w:t>
            </w:r>
            <w:r>
              <w:rPr>
                <w:rFonts w:ascii="宋体" w:hAnsi="宋体" w:eastAsia="宋体"/>
                <w:szCs w:val="21"/>
              </w:rPr>
              <w:fldChar w:fldCharType="begin"/>
            </w:r>
            <w:r>
              <w:rPr>
                <w:rFonts w:ascii="宋体" w:hAnsi="宋体" w:eastAsia="宋体"/>
                <w:szCs w:val="21"/>
              </w:rPr>
              <w:instrText xml:space="preserve"> PAGEREF 例行监测整改1 \h </w:instrText>
            </w:r>
            <w:r>
              <w:rPr>
                <w:rFonts w:ascii="宋体" w:hAnsi="宋体" w:eastAsia="宋体"/>
                <w:szCs w:val="21"/>
              </w:rPr>
              <w:fldChar w:fldCharType="separate"/>
            </w:r>
            <w:r>
              <w:rPr>
                <w:rFonts w:ascii="宋体" w:hAnsi="宋体" w:eastAsia="宋体"/>
                <w:szCs w:val="21"/>
              </w:rPr>
              <w:t>68</w:t>
            </w:r>
            <w:r>
              <w:rPr>
                <w:rFonts w:ascii="宋体" w:hAnsi="宋体" w:eastAsia="宋体"/>
                <w:szCs w:val="21"/>
              </w:rPr>
              <w:fldChar w:fldCharType="end"/>
            </w:r>
            <w:r>
              <w:rPr>
                <w:rFonts w:ascii="宋体" w:hAnsi="宋体" w:eastAsia="宋体"/>
                <w:szCs w:val="21"/>
              </w:rPr>
              <w:t>、</w:t>
            </w:r>
            <w:r>
              <w:rPr>
                <w:rFonts w:ascii="宋体" w:hAnsi="宋体" w:eastAsia="宋体"/>
                <w:szCs w:val="21"/>
              </w:rPr>
              <w:fldChar w:fldCharType="begin"/>
            </w:r>
            <w:r>
              <w:rPr>
                <w:rFonts w:ascii="宋体" w:hAnsi="宋体" w:eastAsia="宋体"/>
                <w:szCs w:val="21"/>
              </w:rPr>
              <w:instrText xml:space="preserve"> PAGEREF 例行监测整改2 \h </w:instrText>
            </w:r>
            <w:r>
              <w:rPr>
                <w:rFonts w:ascii="宋体" w:hAnsi="宋体" w:eastAsia="宋体"/>
                <w:szCs w:val="21"/>
              </w:rPr>
              <w:fldChar w:fldCharType="separate"/>
            </w:r>
            <w:r>
              <w:rPr>
                <w:rFonts w:ascii="宋体" w:hAnsi="宋体" w:eastAsia="宋体"/>
                <w:szCs w:val="21"/>
              </w:rPr>
              <w:t>69</w:t>
            </w:r>
            <w:r>
              <w:rPr>
                <w:rFonts w:ascii="宋体" w:hAnsi="宋体" w:eastAsia="宋体"/>
                <w:szCs w:val="21"/>
              </w:rPr>
              <w:fldChar w:fldCharType="end"/>
            </w:r>
            <w:r>
              <w:rPr>
                <w:rFonts w:ascii="宋体" w:hAnsi="宋体" w:eastAsia="宋体"/>
                <w:szCs w:val="21"/>
              </w:rPr>
              <w:t>细化现有环境问题，补充例行监测情况，据此完善整改要求。</w:t>
            </w:r>
            <w:r>
              <w:rPr>
                <w:rFonts w:hint="eastAsia" w:ascii="宋体" w:hAnsi="宋体" w:eastAsia="宋体"/>
                <w:szCs w:val="21"/>
              </w:rPr>
              <w:t>P</w:t>
            </w:r>
            <w:r>
              <w:rPr>
                <w:rFonts w:ascii="宋体" w:hAnsi="宋体" w:eastAsia="宋体"/>
                <w:szCs w:val="21"/>
              </w:rPr>
              <w:fldChar w:fldCharType="begin"/>
            </w:r>
            <w:r>
              <w:rPr>
                <w:rFonts w:ascii="宋体" w:hAnsi="宋体" w:eastAsia="宋体"/>
                <w:szCs w:val="21"/>
              </w:rPr>
              <w:instrText xml:space="preserve"> </w:instrText>
            </w:r>
            <w:r>
              <w:rPr>
                <w:rFonts w:hint="eastAsia" w:ascii="宋体" w:hAnsi="宋体" w:eastAsia="宋体"/>
                <w:szCs w:val="21"/>
              </w:rPr>
              <w:instrText xml:space="preserve">PAGEREF 投诉调查 \h</w:instrText>
            </w:r>
            <w:r>
              <w:rPr>
                <w:rFonts w:ascii="宋体" w:hAnsi="宋体" w:eastAsia="宋体"/>
                <w:szCs w:val="21"/>
              </w:rPr>
              <w:instrText xml:space="preserve"> </w:instrText>
            </w:r>
            <w:r>
              <w:rPr>
                <w:rFonts w:ascii="宋体" w:hAnsi="宋体" w:eastAsia="宋体"/>
                <w:szCs w:val="21"/>
              </w:rPr>
              <w:fldChar w:fldCharType="separate"/>
            </w:r>
            <w:r>
              <w:rPr>
                <w:rFonts w:ascii="宋体" w:hAnsi="宋体" w:eastAsia="宋体"/>
                <w:szCs w:val="21"/>
              </w:rPr>
              <w:t>68</w:t>
            </w:r>
            <w:r>
              <w:rPr>
                <w:rFonts w:ascii="宋体" w:hAnsi="宋体" w:eastAsia="宋体"/>
                <w:szCs w:val="21"/>
              </w:rPr>
              <w:fldChar w:fldCharType="end"/>
            </w:r>
            <w:r>
              <w:rPr>
                <w:rFonts w:hint="eastAsia" w:ascii="宋体" w:hAnsi="宋体" w:eastAsia="宋体"/>
                <w:szCs w:val="21"/>
              </w:rPr>
              <w:t>补充</w:t>
            </w:r>
            <w:r>
              <w:rPr>
                <w:rFonts w:ascii="宋体" w:hAnsi="宋体" w:eastAsia="宋体"/>
                <w:szCs w:val="21"/>
              </w:rPr>
              <w:t>投诉情况，整改情况。</w:t>
            </w:r>
          </w:p>
        </w:tc>
      </w:tr>
      <w:tr w14:paraId="253618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342" w:type="dxa"/>
            <w:shd w:val="clear" w:color="auto" w:fill="auto"/>
          </w:tcPr>
          <w:p w14:paraId="77B40677">
            <w:pPr>
              <w:pStyle w:val="35"/>
              <w:numPr>
                <w:ilvl w:val="0"/>
                <w:numId w:val="2"/>
              </w:numPr>
              <w:adjustRightInd w:val="0"/>
              <w:snapToGrid w:val="0"/>
              <w:ind w:left="0" w:firstLine="0" w:firstLineChars="0"/>
              <w:jc w:val="left"/>
              <w:rPr>
                <w:rFonts w:ascii="宋体" w:hAnsi="宋体" w:eastAsia="宋体"/>
                <w:szCs w:val="21"/>
              </w:rPr>
            </w:pPr>
            <w:r>
              <w:rPr>
                <w:rFonts w:ascii="宋体" w:hAnsi="宋体" w:eastAsia="宋体"/>
                <w:szCs w:val="21"/>
              </w:rPr>
              <w:t>明确并确定水基岩屑、无机工业污泥具体来源、种类和数量，明确其供货单位与本项目的责任划分，提供依据；核实用地性质和类型，完善占地手续。进一步完善项目与场镇规划、“三区三线”等规划符合性分析。</w:t>
            </w:r>
          </w:p>
        </w:tc>
        <w:tc>
          <w:tcPr>
            <w:tcW w:w="4180" w:type="dxa"/>
            <w:shd w:val="clear" w:color="auto" w:fill="auto"/>
          </w:tcPr>
          <w:p w14:paraId="3BC6D340">
            <w:pPr>
              <w:pStyle w:val="35"/>
              <w:adjustRightInd w:val="0"/>
              <w:snapToGrid w:val="0"/>
              <w:ind w:firstLine="0" w:firstLineChars="0"/>
              <w:jc w:val="left"/>
              <w:rPr>
                <w:rFonts w:ascii="宋体" w:hAnsi="宋体" w:eastAsia="宋体"/>
                <w:szCs w:val="21"/>
              </w:rPr>
            </w:pPr>
            <w:r>
              <w:rPr>
                <w:rFonts w:ascii="宋体" w:hAnsi="宋体" w:eastAsia="宋体"/>
                <w:szCs w:val="21"/>
              </w:rPr>
              <w:t>P</w:t>
            </w:r>
            <w:r>
              <w:rPr>
                <w:rFonts w:ascii="宋体" w:hAnsi="宋体" w:eastAsia="宋体"/>
                <w:szCs w:val="21"/>
              </w:rPr>
              <w:fldChar w:fldCharType="begin"/>
            </w:r>
            <w:r>
              <w:rPr>
                <w:rFonts w:ascii="宋体" w:hAnsi="宋体" w:eastAsia="宋体"/>
                <w:szCs w:val="21"/>
              </w:rPr>
              <w:instrText xml:space="preserve"> PAGEREF 原料种类 \h </w:instrText>
            </w:r>
            <w:r>
              <w:rPr>
                <w:rFonts w:ascii="宋体" w:hAnsi="宋体" w:eastAsia="宋体"/>
                <w:szCs w:val="21"/>
              </w:rPr>
              <w:fldChar w:fldCharType="separate"/>
            </w:r>
            <w:r>
              <w:rPr>
                <w:rFonts w:ascii="宋体" w:hAnsi="宋体" w:eastAsia="宋体"/>
                <w:szCs w:val="21"/>
              </w:rPr>
              <w:t>26</w:t>
            </w:r>
            <w:r>
              <w:rPr>
                <w:rFonts w:ascii="宋体" w:hAnsi="宋体" w:eastAsia="宋体"/>
                <w:szCs w:val="21"/>
              </w:rPr>
              <w:fldChar w:fldCharType="end"/>
            </w:r>
            <w:r>
              <w:rPr>
                <w:rFonts w:ascii="宋体" w:hAnsi="宋体" w:eastAsia="宋体"/>
                <w:szCs w:val="21"/>
              </w:rPr>
              <w:t>明确水基岩屑来源为天然气井钻、无机工业污泥，来源于遂宁自来水生产、裕宁、信利、东捷，并全文校核。P</w:t>
            </w:r>
            <w:r>
              <w:rPr>
                <w:rFonts w:ascii="宋体" w:hAnsi="宋体" w:eastAsia="宋体"/>
                <w:szCs w:val="21"/>
              </w:rPr>
              <w:fldChar w:fldCharType="begin"/>
            </w:r>
            <w:r>
              <w:rPr>
                <w:rFonts w:ascii="宋体" w:hAnsi="宋体" w:eastAsia="宋体"/>
                <w:szCs w:val="21"/>
              </w:rPr>
              <w:instrText xml:space="preserve"> PAGEREF 责任划分 \h </w:instrText>
            </w:r>
            <w:r>
              <w:rPr>
                <w:rFonts w:ascii="宋体" w:hAnsi="宋体" w:eastAsia="宋体"/>
                <w:szCs w:val="21"/>
              </w:rPr>
              <w:fldChar w:fldCharType="separate"/>
            </w:r>
            <w:r>
              <w:rPr>
                <w:rFonts w:ascii="宋体" w:hAnsi="宋体" w:eastAsia="宋体"/>
                <w:szCs w:val="21"/>
              </w:rPr>
              <w:t>44</w:t>
            </w:r>
            <w:r>
              <w:rPr>
                <w:rFonts w:ascii="宋体" w:hAnsi="宋体" w:eastAsia="宋体"/>
                <w:szCs w:val="21"/>
              </w:rPr>
              <w:fldChar w:fldCharType="end"/>
            </w:r>
            <w:r>
              <w:rPr>
                <w:rFonts w:ascii="宋体" w:hAnsi="宋体" w:eastAsia="宋体"/>
                <w:szCs w:val="21"/>
              </w:rPr>
              <w:t>明确本项目不进行一般固废运输，责任为仅对进场的一般工业固废进行综合利用，一般固废运输责任主体为产废单位。</w:t>
            </w:r>
            <w:r>
              <w:rPr>
                <w:rFonts w:hint="eastAsia" w:ascii="宋体" w:hAnsi="宋体" w:eastAsia="宋体"/>
                <w:szCs w:val="21"/>
              </w:rPr>
              <w:t>P</w:t>
            </w:r>
            <w:r>
              <w:rPr>
                <w:rFonts w:ascii="宋体" w:hAnsi="宋体" w:eastAsia="宋体"/>
                <w:szCs w:val="21"/>
              </w:rPr>
              <w:fldChar w:fldCharType="begin"/>
            </w:r>
            <w:r>
              <w:rPr>
                <w:rFonts w:ascii="宋体" w:hAnsi="宋体" w:eastAsia="宋体"/>
                <w:szCs w:val="21"/>
              </w:rPr>
              <w:instrText xml:space="preserve"> </w:instrText>
            </w:r>
            <w:r>
              <w:rPr>
                <w:rFonts w:hint="eastAsia" w:ascii="宋体" w:hAnsi="宋体" w:eastAsia="宋体"/>
                <w:szCs w:val="21"/>
              </w:rPr>
              <w:instrText xml:space="preserve">PAGEREF 用地规划 \h</w:instrText>
            </w:r>
            <w:r>
              <w:rPr>
                <w:rFonts w:ascii="宋体" w:hAnsi="宋体" w:eastAsia="宋体"/>
                <w:szCs w:val="21"/>
              </w:rPr>
              <w:instrText xml:space="preserve"> </w:instrText>
            </w:r>
            <w:r>
              <w:rPr>
                <w:rFonts w:ascii="宋体" w:hAnsi="宋体" w:eastAsia="宋体"/>
                <w:szCs w:val="21"/>
              </w:rPr>
              <w:fldChar w:fldCharType="separate"/>
            </w:r>
            <w:r>
              <w:rPr>
                <w:rFonts w:ascii="宋体" w:hAnsi="宋体" w:eastAsia="宋体"/>
                <w:szCs w:val="21"/>
              </w:rPr>
              <w:t>15</w:t>
            </w:r>
            <w:r>
              <w:rPr>
                <w:rFonts w:ascii="宋体" w:hAnsi="宋体" w:eastAsia="宋体"/>
                <w:szCs w:val="21"/>
              </w:rPr>
              <w:fldChar w:fldCharType="end"/>
            </w:r>
            <w:r>
              <w:rPr>
                <w:rFonts w:ascii="宋体" w:hAnsi="宋体" w:eastAsia="宋体"/>
                <w:szCs w:val="21"/>
              </w:rPr>
              <w:t>补充安居区自然资源和规划局关于</w:t>
            </w:r>
            <w:r>
              <w:rPr>
                <w:rFonts w:hint="eastAsia" w:ascii="宋体" w:hAnsi="宋体" w:eastAsia="宋体"/>
                <w:szCs w:val="21"/>
              </w:rPr>
              <w:t>本砖厂</w:t>
            </w:r>
            <w:r>
              <w:rPr>
                <w:rFonts w:ascii="宋体" w:hAnsi="宋体" w:eastAsia="宋体"/>
                <w:szCs w:val="21"/>
              </w:rPr>
              <w:t>用地国土空间符合性审查回复，明确项目不占用基本农田、生态保护红线，用地属于打锣坡页岩矿矿山范围内，属工业用地中矿山用地。</w:t>
            </w:r>
          </w:p>
        </w:tc>
      </w:tr>
      <w:tr w14:paraId="3B0736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342" w:type="dxa"/>
            <w:shd w:val="clear" w:color="auto" w:fill="auto"/>
          </w:tcPr>
          <w:p w14:paraId="08FCFCDB">
            <w:pPr>
              <w:pStyle w:val="35"/>
              <w:numPr>
                <w:ilvl w:val="0"/>
                <w:numId w:val="2"/>
              </w:numPr>
              <w:adjustRightInd w:val="0"/>
              <w:snapToGrid w:val="0"/>
              <w:ind w:left="0" w:firstLine="0" w:firstLineChars="0"/>
              <w:jc w:val="left"/>
              <w:rPr>
                <w:rFonts w:ascii="宋体" w:hAnsi="宋体" w:eastAsia="宋体"/>
                <w:szCs w:val="21"/>
              </w:rPr>
            </w:pPr>
            <w:r>
              <w:rPr>
                <w:rFonts w:ascii="宋体" w:hAnsi="宋体" w:eastAsia="宋体"/>
                <w:szCs w:val="21"/>
              </w:rPr>
              <w:t>补充现状烟气特征污染物监测（重金属等），据此校核三本账和以新带老措施，进一步完善污染物（NO</w:t>
            </w:r>
            <w:r>
              <w:rPr>
                <w:rFonts w:ascii="宋体" w:hAnsi="宋体" w:eastAsia="宋体"/>
                <w:szCs w:val="21"/>
                <w:vertAlign w:val="subscript"/>
              </w:rPr>
              <w:t>X</w:t>
            </w:r>
            <w:r>
              <w:rPr>
                <w:rFonts w:ascii="宋体" w:hAnsi="宋体" w:eastAsia="宋体"/>
                <w:szCs w:val="21"/>
              </w:rPr>
              <w:t>、SO</w:t>
            </w:r>
            <w:r>
              <w:rPr>
                <w:rFonts w:ascii="宋体" w:hAnsi="宋体" w:eastAsia="宋体"/>
                <w:szCs w:val="21"/>
                <w:vertAlign w:val="subscript"/>
              </w:rPr>
              <w:t>2</w:t>
            </w:r>
            <w:r>
              <w:rPr>
                <w:rFonts w:ascii="宋体" w:hAnsi="宋体" w:eastAsia="宋体"/>
                <w:szCs w:val="21"/>
              </w:rPr>
              <w:t>、氟化物、氯化氢、二噁英、粉尘等）不新增的支撑依据。</w:t>
            </w:r>
          </w:p>
        </w:tc>
        <w:tc>
          <w:tcPr>
            <w:tcW w:w="4180" w:type="dxa"/>
            <w:shd w:val="clear" w:color="auto" w:fill="auto"/>
          </w:tcPr>
          <w:p w14:paraId="5FA9263E">
            <w:pPr>
              <w:pStyle w:val="15"/>
              <w:numPr>
                <w:ilvl w:val="0"/>
                <w:numId w:val="0"/>
              </w:numPr>
              <w:snapToGrid w:val="0"/>
              <w:rPr>
                <w:rFonts w:ascii="宋体" w:hAnsi="宋体" w:eastAsia="宋体" w:cs="Times New Roman"/>
                <w:szCs w:val="21"/>
              </w:rPr>
            </w:pPr>
            <w:r>
              <w:rPr>
                <w:rFonts w:hint="eastAsia" w:ascii="宋体" w:hAnsi="宋体" w:eastAsia="宋体" w:cs="Times New Roman"/>
                <w:szCs w:val="21"/>
              </w:rPr>
              <w:t>P</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PAGEREF _Ref150787324 \h</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ascii="宋体" w:hAnsi="宋体" w:eastAsia="宋体" w:cs="Times New Roman"/>
                <w:szCs w:val="21"/>
              </w:rPr>
              <w:t>72</w:t>
            </w:r>
            <w:r>
              <w:rPr>
                <w:rFonts w:ascii="宋体" w:hAnsi="宋体" w:eastAsia="宋体" w:cs="Times New Roman"/>
                <w:szCs w:val="21"/>
              </w:rPr>
              <w:fldChar w:fldCharType="end"/>
            </w:r>
            <w:r>
              <w:rPr>
                <w:rFonts w:ascii="宋体" w:hAnsi="宋体" w:eastAsia="宋体" w:cs="Times New Roman"/>
                <w:szCs w:val="21"/>
              </w:rPr>
              <w:t>-</w:t>
            </w:r>
            <w:r>
              <w:rPr>
                <w:rFonts w:ascii="宋体" w:hAnsi="宋体" w:eastAsia="宋体" w:cs="Times New Roman"/>
                <w:szCs w:val="21"/>
              </w:rPr>
              <w:fldChar w:fldCharType="begin"/>
            </w:r>
            <w:r>
              <w:rPr>
                <w:rFonts w:ascii="宋体" w:hAnsi="宋体" w:eastAsia="宋体" w:cs="Times New Roman"/>
                <w:szCs w:val="21"/>
              </w:rPr>
              <w:instrText xml:space="preserve"> PAGEREF _Ref150787343 \h </w:instrText>
            </w:r>
            <w:r>
              <w:rPr>
                <w:rFonts w:ascii="宋体" w:hAnsi="宋体" w:eastAsia="宋体" w:cs="Times New Roman"/>
                <w:szCs w:val="21"/>
              </w:rPr>
              <w:fldChar w:fldCharType="separate"/>
            </w:r>
            <w:r>
              <w:rPr>
                <w:rFonts w:ascii="宋体" w:hAnsi="宋体" w:eastAsia="宋体" w:cs="Times New Roman"/>
                <w:szCs w:val="21"/>
              </w:rPr>
              <w:t>75</w:t>
            </w:r>
            <w:r>
              <w:rPr>
                <w:rFonts w:ascii="宋体" w:hAnsi="宋体" w:eastAsia="宋体" w:cs="Times New Roman"/>
                <w:szCs w:val="21"/>
              </w:rPr>
              <w:fldChar w:fldCharType="end"/>
            </w:r>
            <w:r>
              <w:rPr>
                <w:rFonts w:ascii="宋体" w:hAnsi="宋体" w:eastAsia="宋体" w:cs="Times New Roman"/>
                <w:szCs w:val="21"/>
              </w:rPr>
              <w:t>补充敏感点重金属、二噁英环境质量现状监测、</w:t>
            </w:r>
            <w:r>
              <w:rPr>
                <w:rFonts w:hint="eastAsia" w:ascii="宋体" w:hAnsi="宋体" w:eastAsia="宋体" w:cs="Times New Roman"/>
                <w:szCs w:val="21"/>
              </w:rPr>
              <w:t>P</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PAGEREF _Ref150787406 \h</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ascii="宋体" w:hAnsi="宋体" w:eastAsia="宋体" w:cs="Times New Roman"/>
                <w:szCs w:val="21"/>
              </w:rPr>
              <w:t>61</w:t>
            </w:r>
            <w:r>
              <w:rPr>
                <w:rFonts w:ascii="宋体" w:hAnsi="宋体" w:eastAsia="宋体" w:cs="Times New Roman"/>
                <w:szCs w:val="21"/>
              </w:rPr>
              <w:fldChar w:fldCharType="end"/>
            </w:r>
            <w:r>
              <w:rPr>
                <w:rFonts w:ascii="宋体" w:hAnsi="宋体" w:eastAsia="宋体" w:cs="Times New Roman"/>
                <w:szCs w:val="21"/>
              </w:rPr>
              <w:t>补充项目排气筒重金属及二噁英污染源监测。</w:t>
            </w:r>
            <w:r>
              <w:rPr>
                <w:rFonts w:hint="eastAsia" w:ascii="宋体" w:hAnsi="宋体" w:eastAsia="宋体" w:cs="Times New Roman"/>
                <w:szCs w:val="21"/>
              </w:rPr>
              <w:t>P</w:t>
            </w:r>
            <w:r>
              <w:rPr>
                <w:rFonts w:ascii="宋体" w:hAnsi="宋体" w:eastAsia="宋体" w:cs="Times New Roman"/>
                <w:szCs w:val="21"/>
              </w:rPr>
              <w:fldChar w:fldCharType="begin"/>
            </w:r>
            <w:r>
              <w:rPr>
                <w:rFonts w:ascii="宋体" w:hAnsi="宋体" w:eastAsia="宋体" w:cs="Times New Roman"/>
                <w:szCs w:val="21"/>
              </w:rPr>
              <w:instrText xml:space="preserve"> </w:instrText>
            </w:r>
            <w:r>
              <w:rPr>
                <w:rFonts w:hint="eastAsia" w:ascii="宋体" w:hAnsi="宋体" w:eastAsia="宋体" w:cs="Times New Roman"/>
                <w:szCs w:val="21"/>
              </w:rPr>
              <w:instrText xml:space="preserve">PAGEREF 以新带老 \h</w:instrText>
            </w:r>
            <w:r>
              <w:rPr>
                <w:rFonts w:ascii="宋体" w:hAnsi="宋体" w:eastAsia="宋体" w:cs="Times New Roman"/>
                <w:szCs w:val="21"/>
              </w:rPr>
              <w:instrText xml:space="preserve"> </w:instrText>
            </w:r>
            <w:r>
              <w:rPr>
                <w:rFonts w:ascii="宋体" w:hAnsi="宋体" w:eastAsia="宋体" w:cs="Times New Roman"/>
                <w:szCs w:val="21"/>
              </w:rPr>
              <w:fldChar w:fldCharType="separate"/>
            </w:r>
            <w:r>
              <w:rPr>
                <w:rFonts w:ascii="宋体" w:hAnsi="宋体" w:eastAsia="宋体" w:cs="Times New Roman"/>
                <w:szCs w:val="21"/>
              </w:rPr>
              <w:t>68</w:t>
            </w:r>
            <w:r>
              <w:rPr>
                <w:rFonts w:ascii="宋体" w:hAnsi="宋体" w:eastAsia="宋体" w:cs="Times New Roman"/>
                <w:szCs w:val="21"/>
              </w:rPr>
              <w:fldChar w:fldCharType="end"/>
            </w:r>
            <w:r>
              <w:rPr>
                <w:rFonts w:hint="eastAsia" w:ascii="宋体" w:hAnsi="宋体" w:eastAsia="宋体" w:cs="Times New Roman"/>
                <w:szCs w:val="21"/>
              </w:rPr>
              <w:t>根据检测结果校核以新带老措施，P</w:t>
            </w:r>
            <w:r>
              <w:rPr>
                <w:rFonts w:ascii="宋体" w:hAnsi="宋体" w:eastAsia="宋体" w:cs="Times New Roman"/>
                <w:szCs w:val="21"/>
              </w:rPr>
              <w:fldChar w:fldCharType="begin"/>
            </w:r>
            <w:r>
              <w:rPr>
                <w:rFonts w:ascii="宋体" w:hAnsi="宋体" w:eastAsia="宋体" w:cs="Times New Roman"/>
                <w:szCs w:val="21"/>
              </w:rPr>
              <w:instrText xml:space="preserve"> PAGEREF _Ref143681403 \h </w:instrText>
            </w:r>
            <w:r>
              <w:rPr>
                <w:rFonts w:ascii="宋体" w:hAnsi="宋体" w:eastAsia="宋体" w:cs="Times New Roman"/>
                <w:szCs w:val="21"/>
              </w:rPr>
              <w:fldChar w:fldCharType="separate"/>
            </w:r>
            <w:r>
              <w:rPr>
                <w:rFonts w:ascii="宋体" w:hAnsi="宋体" w:eastAsia="宋体" w:cs="Times New Roman"/>
                <w:szCs w:val="21"/>
              </w:rPr>
              <w:t>90</w:t>
            </w:r>
            <w:r>
              <w:rPr>
                <w:rFonts w:ascii="宋体" w:hAnsi="宋体" w:eastAsia="宋体" w:cs="Times New Roman"/>
                <w:szCs w:val="21"/>
              </w:rPr>
              <w:fldChar w:fldCharType="end"/>
            </w:r>
            <w:r>
              <w:rPr>
                <w:rFonts w:hint="eastAsia" w:ascii="宋体" w:hAnsi="宋体" w:eastAsia="宋体" w:cs="Times New Roman"/>
                <w:szCs w:val="21"/>
              </w:rPr>
              <w:t>校核三本账</w:t>
            </w:r>
            <w:r>
              <w:rPr>
                <w:rFonts w:ascii="宋体" w:hAnsi="宋体" w:eastAsia="宋体" w:cs="Times New Roman"/>
                <w:szCs w:val="21"/>
              </w:rPr>
              <w:t>，并补充二噁英</w:t>
            </w:r>
            <w:r>
              <w:rPr>
                <w:rFonts w:hint="eastAsia" w:ascii="宋体" w:hAnsi="宋体" w:eastAsia="宋体" w:cs="Times New Roman"/>
                <w:szCs w:val="21"/>
              </w:rPr>
              <w:t>。</w:t>
            </w:r>
          </w:p>
        </w:tc>
      </w:tr>
      <w:tr w14:paraId="05F1AD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342" w:type="dxa"/>
            <w:shd w:val="clear" w:color="auto" w:fill="auto"/>
          </w:tcPr>
          <w:p w14:paraId="7DD7A89C">
            <w:pPr>
              <w:pStyle w:val="35"/>
              <w:numPr>
                <w:ilvl w:val="0"/>
                <w:numId w:val="2"/>
              </w:numPr>
              <w:adjustRightInd w:val="0"/>
              <w:snapToGrid w:val="0"/>
              <w:ind w:left="0" w:firstLine="0" w:firstLineChars="0"/>
              <w:jc w:val="left"/>
              <w:rPr>
                <w:rFonts w:ascii="宋体" w:hAnsi="宋体" w:eastAsia="宋体"/>
                <w:szCs w:val="21"/>
              </w:rPr>
            </w:pPr>
            <w:r>
              <w:rPr>
                <w:rFonts w:ascii="宋体" w:hAnsi="宋体" w:eastAsia="宋体"/>
                <w:szCs w:val="21"/>
              </w:rPr>
              <w:t>校核全厂水平衡和物料平衡，细化厂区“清污分流、雨污分流”措施，细化厂区生产废水沉淀循环回用的措施，核实沉淀池个数和容积，明确水基岩屑渗滤水经渗滤水收集池收集后回用环节。</w:t>
            </w:r>
          </w:p>
        </w:tc>
        <w:tc>
          <w:tcPr>
            <w:tcW w:w="4180" w:type="dxa"/>
            <w:shd w:val="clear" w:color="auto" w:fill="auto"/>
          </w:tcPr>
          <w:p w14:paraId="782E5CC2">
            <w:pPr>
              <w:pStyle w:val="15"/>
              <w:numPr>
                <w:ilvl w:val="0"/>
                <w:numId w:val="0"/>
              </w:numPr>
              <w:snapToGrid w:val="0"/>
              <w:rPr>
                <w:rFonts w:ascii="宋体" w:hAnsi="宋体" w:eastAsia="宋体" w:cs="Times New Roman"/>
                <w:szCs w:val="21"/>
              </w:rPr>
            </w:pPr>
            <w:r>
              <w:rPr>
                <w:rFonts w:ascii="宋体" w:hAnsi="宋体" w:eastAsia="宋体" w:cs="Times New Roman"/>
                <w:szCs w:val="21"/>
              </w:rPr>
              <w:t>P</w:t>
            </w:r>
            <w:r>
              <w:rPr>
                <w:rFonts w:ascii="宋体" w:hAnsi="宋体" w:eastAsia="宋体" w:cs="Times New Roman"/>
                <w:szCs w:val="21"/>
              </w:rPr>
              <w:fldChar w:fldCharType="begin"/>
            </w:r>
            <w:r>
              <w:rPr>
                <w:rFonts w:ascii="宋体" w:hAnsi="宋体" w:eastAsia="宋体" w:cs="Times New Roman"/>
                <w:szCs w:val="21"/>
              </w:rPr>
              <w:instrText xml:space="preserve"> PAGEREF 水平衡 \h </w:instrText>
            </w:r>
            <w:r>
              <w:rPr>
                <w:rFonts w:ascii="宋体" w:hAnsi="宋体" w:eastAsia="宋体" w:cs="Times New Roman"/>
                <w:szCs w:val="21"/>
              </w:rPr>
              <w:fldChar w:fldCharType="separate"/>
            </w:r>
            <w:r>
              <w:rPr>
                <w:rFonts w:ascii="宋体" w:hAnsi="宋体" w:eastAsia="宋体" w:cs="Times New Roman"/>
                <w:szCs w:val="21"/>
              </w:rPr>
              <w:t>106</w:t>
            </w:r>
            <w:r>
              <w:rPr>
                <w:rFonts w:ascii="宋体" w:hAnsi="宋体" w:eastAsia="宋体" w:cs="Times New Roman"/>
                <w:szCs w:val="21"/>
              </w:rPr>
              <w:fldChar w:fldCharType="end"/>
            </w:r>
            <w:r>
              <w:rPr>
                <w:rFonts w:ascii="宋体" w:hAnsi="宋体" w:eastAsia="宋体" w:cs="Times New Roman"/>
                <w:szCs w:val="21"/>
              </w:rPr>
              <w:t>校核项目用水情况；P</w:t>
            </w:r>
            <w:r>
              <w:rPr>
                <w:rFonts w:ascii="宋体" w:hAnsi="宋体" w:eastAsia="宋体" w:cs="Times New Roman"/>
                <w:szCs w:val="21"/>
              </w:rPr>
              <w:fldChar w:fldCharType="begin"/>
            </w:r>
            <w:r>
              <w:rPr>
                <w:rFonts w:ascii="宋体" w:hAnsi="宋体" w:eastAsia="宋体" w:cs="Times New Roman"/>
                <w:szCs w:val="21"/>
              </w:rPr>
              <w:instrText xml:space="preserve"> PAGEREF _Ref140571864 \h </w:instrText>
            </w:r>
            <w:r>
              <w:rPr>
                <w:rFonts w:ascii="宋体" w:hAnsi="宋体" w:eastAsia="宋体" w:cs="Times New Roman"/>
                <w:szCs w:val="21"/>
              </w:rPr>
              <w:fldChar w:fldCharType="separate"/>
            </w:r>
            <w:r>
              <w:rPr>
                <w:rFonts w:ascii="宋体" w:hAnsi="宋体" w:eastAsia="宋体" w:cs="Times New Roman"/>
                <w:szCs w:val="21"/>
              </w:rPr>
              <w:t>37</w:t>
            </w:r>
            <w:r>
              <w:rPr>
                <w:rFonts w:ascii="宋体" w:hAnsi="宋体" w:eastAsia="宋体" w:cs="Times New Roman"/>
                <w:szCs w:val="21"/>
              </w:rPr>
              <w:fldChar w:fldCharType="end"/>
            </w:r>
            <w:r>
              <w:rPr>
                <w:rFonts w:ascii="宋体" w:hAnsi="宋体" w:eastAsia="宋体" w:cs="Times New Roman"/>
                <w:szCs w:val="21"/>
              </w:rPr>
              <w:t>，校核项目原辅材料用量。P</w:t>
            </w:r>
            <w:r>
              <w:rPr>
                <w:rFonts w:ascii="宋体" w:hAnsi="宋体" w:eastAsia="宋体" w:cs="Times New Roman"/>
                <w:szCs w:val="21"/>
              </w:rPr>
              <w:fldChar w:fldCharType="begin"/>
            </w:r>
            <w:r>
              <w:rPr>
                <w:rFonts w:ascii="宋体" w:hAnsi="宋体" w:eastAsia="宋体" w:cs="Times New Roman"/>
                <w:szCs w:val="21"/>
              </w:rPr>
              <w:instrText xml:space="preserve"> PAGEREF 雨水池容积 \h </w:instrText>
            </w:r>
            <w:r>
              <w:rPr>
                <w:rFonts w:ascii="宋体" w:hAnsi="宋体" w:eastAsia="宋体" w:cs="Times New Roman"/>
                <w:szCs w:val="21"/>
              </w:rPr>
              <w:fldChar w:fldCharType="separate"/>
            </w:r>
            <w:r>
              <w:rPr>
                <w:rFonts w:ascii="宋体" w:hAnsi="宋体" w:eastAsia="宋体" w:cs="Times New Roman"/>
                <w:szCs w:val="21"/>
              </w:rPr>
              <w:t>69</w:t>
            </w:r>
            <w:r>
              <w:rPr>
                <w:rFonts w:ascii="宋体" w:hAnsi="宋体" w:eastAsia="宋体" w:cs="Times New Roman"/>
                <w:szCs w:val="21"/>
              </w:rPr>
              <w:fldChar w:fldCharType="end"/>
            </w:r>
            <w:r>
              <w:rPr>
                <w:rFonts w:ascii="宋体" w:hAnsi="宋体" w:eastAsia="宋体" w:cs="Times New Roman"/>
                <w:szCs w:val="21"/>
              </w:rPr>
              <w:t>明确设置雨水收集池1个260m</w:t>
            </w:r>
            <w:r>
              <w:rPr>
                <w:rFonts w:ascii="宋体" w:hAnsi="宋体" w:eastAsia="宋体" w:cs="Times New Roman"/>
                <w:szCs w:val="21"/>
                <w:vertAlign w:val="superscript"/>
              </w:rPr>
              <w:t>3</w:t>
            </w:r>
            <w:r>
              <w:rPr>
                <w:rFonts w:ascii="宋体" w:hAnsi="宋体" w:eastAsia="宋体" w:cs="Times New Roman"/>
                <w:szCs w:val="21"/>
              </w:rPr>
              <w:t>，P</w:t>
            </w:r>
            <w:r>
              <w:rPr>
                <w:rFonts w:ascii="宋体" w:hAnsi="宋体" w:eastAsia="宋体" w:cs="Times New Roman"/>
                <w:szCs w:val="21"/>
              </w:rPr>
              <w:fldChar w:fldCharType="begin"/>
            </w:r>
            <w:r>
              <w:rPr>
                <w:rFonts w:ascii="宋体" w:hAnsi="宋体" w:eastAsia="宋体" w:cs="Times New Roman"/>
                <w:szCs w:val="21"/>
              </w:rPr>
              <w:instrText xml:space="preserve"> PAGEREF _Ref140572270 \h </w:instrText>
            </w:r>
            <w:r>
              <w:rPr>
                <w:rFonts w:ascii="宋体" w:hAnsi="宋体" w:eastAsia="宋体" w:cs="Times New Roman"/>
                <w:szCs w:val="21"/>
              </w:rPr>
              <w:fldChar w:fldCharType="separate"/>
            </w:r>
            <w:r>
              <w:rPr>
                <w:rFonts w:ascii="宋体" w:hAnsi="宋体" w:eastAsia="宋体" w:cs="Times New Roman"/>
                <w:szCs w:val="21"/>
              </w:rPr>
              <w:t>34</w:t>
            </w:r>
            <w:r>
              <w:rPr>
                <w:rFonts w:ascii="宋体" w:hAnsi="宋体" w:eastAsia="宋体" w:cs="Times New Roman"/>
                <w:szCs w:val="21"/>
              </w:rPr>
              <w:fldChar w:fldCharType="end"/>
            </w:r>
            <w:r>
              <w:rPr>
                <w:rFonts w:ascii="宋体" w:hAnsi="宋体" w:eastAsia="宋体" w:cs="Times New Roman"/>
                <w:szCs w:val="21"/>
              </w:rPr>
              <w:t>明确脱硫沉淀池为1个8m</w:t>
            </w:r>
            <w:r>
              <w:rPr>
                <w:rFonts w:ascii="宋体" w:hAnsi="宋体" w:eastAsia="宋体" w:cs="Times New Roman"/>
                <w:szCs w:val="21"/>
                <w:vertAlign w:val="superscript"/>
              </w:rPr>
              <w:t>3</w:t>
            </w:r>
            <w:r>
              <w:rPr>
                <w:rFonts w:ascii="宋体" w:hAnsi="宋体" w:eastAsia="宋体" w:cs="Times New Roman"/>
                <w:szCs w:val="21"/>
              </w:rPr>
              <w:t>，P</w:t>
            </w:r>
            <w:r>
              <w:rPr>
                <w:rFonts w:ascii="宋体" w:hAnsi="宋体" w:eastAsia="宋体" w:cs="Times New Roman"/>
                <w:szCs w:val="21"/>
              </w:rPr>
              <w:fldChar w:fldCharType="begin"/>
            </w:r>
            <w:r>
              <w:rPr>
                <w:rFonts w:ascii="宋体" w:hAnsi="宋体" w:eastAsia="宋体" w:cs="Times New Roman"/>
                <w:szCs w:val="21"/>
              </w:rPr>
              <w:instrText xml:space="preserve"> PAGEREF 水平衡 \h </w:instrText>
            </w:r>
            <w:r>
              <w:rPr>
                <w:rFonts w:ascii="宋体" w:hAnsi="宋体" w:eastAsia="宋体" w:cs="Times New Roman"/>
                <w:szCs w:val="21"/>
              </w:rPr>
              <w:fldChar w:fldCharType="separate"/>
            </w:r>
            <w:r>
              <w:rPr>
                <w:rFonts w:ascii="宋体" w:hAnsi="宋体" w:eastAsia="宋体" w:cs="Times New Roman"/>
                <w:szCs w:val="21"/>
              </w:rPr>
              <w:t>106</w:t>
            </w:r>
            <w:r>
              <w:rPr>
                <w:rFonts w:ascii="宋体" w:hAnsi="宋体" w:eastAsia="宋体" w:cs="Times New Roman"/>
                <w:szCs w:val="21"/>
              </w:rPr>
              <w:fldChar w:fldCharType="end"/>
            </w:r>
            <w:r>
              <w:rPr>
                <w:rFonts w:ascii="宋体" w:hAnsi="宋体" w:eastAsia="宋体" w:cs="Times New Roman"/>
                <w:szCs w:val="21"/>
              </w:rPr>
              <w:t>明取废水回用措施；P</w:t>
            </w:r>
            <w:r>
              <w:rPr>
                <w:rFonts w:ascii="宋体" w:hAnsi="宋体" w:eastAsia="宋体" w:cs="Times New Roman"/>
                <w:szCs w:val="21"/>
              </w:rPr>
              <w:fldChar w:fldCharType="begin"/>
            </w:r>
            <w:r>
              <w:rPr>
                <w:rFonts w:ascii="宋体" w:hAnsi="宋体" w:eastAsia="宋体" w:cs="Times New Roman"/>
                <w:szCs w:val="21"/>
              </w:rPr>
              <w:instrText xml:space="preserve"> PAGEREF 水平衡 \h </w:instrText>
            </w:r>
            <w:r>
              <w:rPr>
                <w:rFonts w:ascii="宋体" w:hAnsi="宋体" w:eastAsia="宋体" w:cs="Times New Roman"/>
                <w:szCs w:val="21"/>
              </w:rPr>
              <w:fldChar w:fldCharType="separate"/>
            </w:r>
            <w:r>
              <w:rPr>
                <w:rFonts w:ascii="宋体" w:hAnsi="宋体" w:eastAsia="宋体" w:cs="Times New Roman"/>
                <w:szCs w:val="21"/>
              </w:rPr>
              <w:t>106</w:t>
            </w:r>
            <w:r>
              <w:rPr>
                <w:rFonts w:ascii="宋体" w:hAnsi="宋体" w:eastAsia="宋体" w:cs="Times New Roman"/>
                <w:szCs w:val="21"/>
              </w:rPr>
              <w:fldChar w:fldCharType="end"/>
            </w:r>
            <w:r>
              <w:rPr>
                <w:rFonts w:ascii="宋体" w:hAnsi="宋体" w:eastAsia="宋体" w:cs="Times New Roman"/>
                <w:szCs w:val="21"/>
              </w:rPr>
              <w:t>明确渗滤液会用于制砖拌和工序。</w:t>
            </w:r>
          </w:p>
        </w:tc>
      </w:tr>
      <w:tr w14:paraId="279C2E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342" w:type="dxa"/>
            <w:shd w:val="clear" w:color="auto" w:fill="auto"/>
          </w:tcPr>
          <w:p w14:paraId="08583648">
            <w:pPr>
              <w:pStyle w:val="35"/>
              <w:numPr>
                <w:ilvl w:val="0"/>
                <w:numId w:val="2"/>
              </w:numPr>
              <w:adjustRightInd w:val="0"/>
              <w:snapToGrid w:val="0"/>
              <w:ind w:left="0" w:firstLine="0" w:firstLineChars="0"/>
              <w:jc w:val="left"/>
              <w:rPr>
                <w:rFonts w:ascii="宋体" w:hAnsi="宋体" w:eastAsia="宋体"/>
                <w:szCs w:val="21"/>
              </w:rPr>
            </w:pPr>
            <w:r>
              <w:rPr>
                <w:rFonts w:ascii="宋体" w:hAnsi="宋体" w:eastAsia="宋体"/>
                <w:szCs w:val="21"/>
              </w:rPr>
              <w:t>按导则规范完善大气专项评价内容，完善评价范围保护目标分析。</w:t>
            </w:r>
          </w:p>
        </w:tc>
        <w:tc>
          <w:tcPr>
            <w:tcW w:w="4180" w:type="dxa"/>
            <w:shd w:val="clear" w:color="auto" w:fill="auto"/>
          </w:tcPr>
          <w:p w14:paraId="06890A95">
            <w:pPr>
              <w:pStyle w:val="15"/>
              <w:numPr>
                <w:ilvl w:val="0"/>
                <w:numId w:val="0"/>
              </w:numPr>
              <w:snapToGrid w:val="0"/>
              <w:rPr>
                <w:rFonts w:ascii="宋体" w:hAnsi="宋体" w:eastAsia="宋体" w:cs="Times New Roman"/>
                <w:szCs w:val="21"/>
              </w:rPr>
            </w:pPr>
            <w:r>
              <w:rPr>
                <w:rFonts w:ascii="宋体" w:hAnsi="宋体" w:eastAsia="宋体" w:cs="Times New Roman"/>
                <w:szCs w:val="21"/>
              </w:rPr>
              <w:t>P</w:t>
            </w:r>
            <w:r>
              <w:rPr>
                <w:rFonts w:ascii="宋体" w:hAnsi="宋体" w:eastAsia="宋体" w:cs="Times New Roman"/>
                <w:szCs w:val="21"/>
              </w:rPr>
              <w:fldChar w:fldCharType="begin"/>
            </w:r>
            <w:r>
              <w:rPr>
                <w:rFonts w:ascii="宋体" w:hAnsi="宋体" w:eastAsia="宋体" w:cs="Times New Roman"/>
                <w:szCs w:val="21"/>
              </w:rPr>
              <w:instrText xml:space="preserve"> PAGEREF _Ref140479447 \h </w:instrText>
            </w:r>
            <w:r>
              <w:rPr>
                <w:rFonts w:ascii="宋体" w:hAnsi="宋体" w:eastAsia="宋体" w:cs="Times New Roman"/>
                <w:szCs w:val="21"/>
              </w:rPr>
              <w:fldChar w:fldCharType="separate"/>
            </w:r>
            <w:r>
              <w:rPr>
                <w:rFonts w:ascii="宋体" w:hAnsi="宋体" w:eastAsia="宋体" w:cs="Times New Roman"/>
                <w:szCs w:val="21"/>
              </w:rPr>
              <w:t>83</w:t>
            </w:r>
            <w:r>
              <w:rPr>
                <w:rFonts w:ascii="宋体" w:hAnsi="宋体" w:eastAsia="宋体" w:cs="Times New Roman"/>
                <w:szCs w:val="21"/>
              </w:rPr>
              <w:fldChar w:fldCharType="end"/>
            </w:r>
            <w:r>
              <w:rPr>
                <w:rFonts w:ascii="宋体" w:hAnsi="宋体" w:eastAsia="宋体" w:cs="Times New Roman"/>
                <w:szCs w:val="21"/>
              </w:rPr>
              <w:t>按评价范围修订项目外环境关系及专章、并修订专项评价内容。</w:t>
            </w:r>
            <w:r>
              <w:rPr>
                <w:rFonts w:hint="eastAsia" w:ascii="宋体" w:hAnsi="宋体" w:eastAsia="宋体" w:cs="Times New Roman"/>
                <w:szCs w:val="21"/>
              </w:rPr>
              <w:t>并</w:t>
            </w:r>
            <w:r>
              <w:rPr>
                <w:rFonts w:ascii="宋体" w:hAnsi="宋体" w:eastAsia="宋体" w:cs="Times New Roman"/>
                <w:szCs w:val="21"/>
              </w:rPr>
              <w:t>补充二噁英预测。</w:t>
            </w:r>
          </w:p>
        </w:tc>
      </w:tr>
      <w:tr w14:paraId="059CA7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342" w:type="dxa"/>
            <w:shd w:val="clear" w:color="auto" w:fill="auto"/>
          </w:tcPr>
          <w:p w14:paraId="02A0A9AE">
            <w:pPr>
              <w:pStyle w:val="2"/>
              <w:numPr>
                <w:ilvl w:val="0"/>
                <w:numId w:val="2"/>
              </w:numPr>
              <w:snapToGrid w:val="0"/>
              <w:spacing w:line="240" w:lineRule="auto"/>
              <w:ind w:left="0" w:firstLine="0" w:firstLineChars="0"/>
              <w:rPr>
                <w:rFonts w:hAnsi="宋体" w:eastAsia="宋体" w:cs="Times New Roman"/>
                <w:sz w:val="21"/>
                <w:szCs w:val="21"/>
              </w:rPr>
            </w:pPr>
            <w:r>
              <w:rPr>
                <w:rFonts w:hAnsi="宋体" w:eastAsia="宋体" w:cs="Times New Roman"/>
                <w:sz w:val="21"/>
                <w:szCs w:val="21"/>
              </w:rPr>
              <w:t>规范结论，校核环保措施及投资估算一览表，校核文本；完善附图、附件。</w:t>
            </w:r>
          </w:p>
        </w:tc>
        <w:tc>
          <w:tcPr>
            <w:tcW w:w="4180" w:type="dxa"/>
            <w:shd w:val="clear" w:color="auto" w:fill="auto"/>
          </w:tcPr>
          <w:p w14:paraId="60B66089">
            <w:pPr>
              <w:pStyle w:val="15"/>
              <w:numPr>
                <w:ilvl w:val="0"/>
                <w:numId w:val="0"/>
              </w:numPr>
              <w:snapToGrid w:val="0"/>
              <w:rPr>
                <w:rFonts w:ascii="宋体" w:hAnsi="宋体" w:eastAsia="宋体" w:cs="Times New Roman"/>
                <w:szCs w:val="21"/>
              </w:rPr>
            </w:pPr>
            <w:r>
              <w:rPr>
                <w:rFonts w:ascii="宋体" w:hAnsi="宋体" w:eastAsia="宋体" w:cs="Times New Roman"/>
                <w:szCs w:val="21"/>
              </w:rPr>
              <w:t>校核结论，环保措施及投资估算一览表，校核文本；完善附图、附件。补充自规局国土空间符合性回复附件、排气筒二噁英</w:t>
            </w:r>
            <w:r>
              <w:rPr>
                <w:rFonts w:hint="eastAsia" w:ascii="宋体" w:hAnsi="宋体" w:eastAsia="宋体" w:cs="Times New Roman"/>
                <w:szCs w:val="21"/>
              </w:rPr>
              <w:t>检</w:t>
            </w:r>
            <w:r>
              <w:rPr>
                <w:rFonts w:ascii="宋体" w:hAnsi="宋体" w:eastAsia="宋体" w:cs="Times New Roman"/>
                <w:szCs w:val="21"/>
              </w:rPr>
              <w:t>测报告附件、排气筒及敏感点重金属检测报告附件</w:t>
            </w:r>
          </w:p>
        </w:tc>
      </w:tr>
    </w:tbl>
    <w:p w14:paraId="66140913">
      <w:pPr>
        <w:pStyle w:val="2"/>
        <w:ind w:firstLine="492"/>
        <w:rPr>
          <w:rFonts w:ascii="Times New Roman" w:cs="Times New Roman"/>
        </w:rPr>
        <w:sectPr>
          <w:pgSz w:w="11906" w:h="16838"/>
          <w:pgMar w:top="1440" w:right="1800" w:bottom="1440" w:left="1800" w:header="851" w:footer="992" w:gutter="0"/>
          <w:cols w:space="425" w:num="1"/>
          <w:docGrid w:type="lines" w:linePitch="312" w:charSpace="0"/>
        </w:sectPr>
      </w:pPr>
    </w:p>
    <w:sdt>
      <w:sdtPr>
        <w:rPr>
          <w:rFonts w:ascii="Times New Roman" w:hAnsi="Times New Roman" w:cs="Times New Roman" w:eastAsiaTheme="minorEastAsia"/>
          <w:color w:val="000000" w:themeColor="text1"/>
          <w:kern w:val="2"/>
          <w:sz w:val="21"/>
          <w:szCs w:val="22"/>
          <w:lang w:val="zh-CN"/>
          <w14:textFill>
            <w14:solidFill>
              <w14:schemeClr w14:val="tx1"/>
            </w14:solidFill>
          </w14:textFill>
        </w:rPr>
        <w:id w:val="-23100131"/>
        <w:docPartObj>
          <w:docPartGallery w:val="Table of Contents"/>
          <w:docPartUnique/>
        </w:docPartObj>
      </w:sdtPr>
      <w:sdtEndPr>
        <w:rPr>
          <w:rFonts w:ascii="Times New Roman" w:hAnsi="Times New Roman" w:eastAsia="宋体" w:cs="Times New Roman"/>
          <w:b/>
          <w:bCs/>
          <w:color w:val="000000" w:themeColor="text1"/>
          <w:kern w:val="2"/>
          <w:sz w:val="24"/>
          <w:szCs w:val="24"/>
          <w:lang w:val="zh-CN"/>
          <w14:textFill>
            <w14:solidFill>
              <w14:schemeClr w14:val="tx1"/>
            </w14:solidFill>
          </w14:textFill>
        </w:rPr>
      </w:sdtEndPr>
      <w:sdtContent>
        <w:p w14:paraId="699BA490">
          <w:pPr>
            <w:pStyle w:val="46"/>
            <w:jc w:val="center"/>
            <w:rPr>
              <w:rFonts w:ascii="Times New Roman" w:hAnsi="Times New Roman" w:cs="Times New Roman"/>
              <w:color w:val="000000" w:themeColor="text1"/>
              <w14:textFill>
                <w14:solidFill>
                  <w14:schemeClr w14:val="tx1"/>
                </w14:solidFill>
              </w14:textFill>
            </w:rPr>
          </w:pPr>
          <w:r>
            <w:rPr>
              <w:rFonts w:ascii="Times New Roman" w:hAnsi="Times New Roman" w:cs="Times New Roman"/>
              <w:b/>
              <w:color w:val="000000" w:themeColor="text1"/>
              <w:lang w:val="zh-CN"/>
              <w14:textFill>
                <w14:solidFill>
                  <w14:schemeClr w14:val="tx1"/>
                </w14:solidFill>
              </w14:textFill>
            </w:rPr>
            <w:t>目录</w:t>
          </w:r>
        </w:p>
        <w:p w14:paraId="4007BD13">
          <w:pPr>
            <w:pStyle w:val="20"/>
            <w:tabs>
              <w:tab w:val="right" w:leader="dot" w:pos="8306"/>
            </w:tabs>
            <w:rPr>
              <w:rFonts w:ascii="Times New Roman" w:hAnsi="Times New Roman" w:cs="Times New Roman"/>
            </w:rPr>
          </w:pPr>
          <w:r>
            <w:rPr>
              <w:rFonts w:ascii="Times New Roman" w:hAnsi="Times New Roman" w:eastAsia="宋体" w:cs="Times New Roman"/>
              <w:color w:val="000000" w:themeColor="text1"/>
              <w:sz w:val="24"/>
              <w:szCs w:val="24"/>
              <w14:textFill>
                <w14:solidFill>
                  <w14:schemeClr w14:val="tx1"/>
                </w14:solidFill>
              </w14:textFill>
            </w:rPr>
            <w:fldChar w:fldCharType="begin"/>
          </w:r>
          <w:r>
            <w:rPr>
              <w:rFonts w:ascii="Times New Roman" w:hAnsi="Times New Roman" w:eastAsia="宋体" w:cs="Times New Roman"/>
              <w:color w:val="000000" w:themeColor="text1"/>
              <w:sz w:val="24"/>
              <w:szCs w:val="24"/>
              <w14:textFill>
                <w14:solidFill>
                  <w14:schemeClr w14:val="tx1"/>
                </w14:solidFill>
              </w14:textFill>
            </w:rPr>
            <w:instrText xml:space="preserve"> TOC \o "1-3" \h \z \u </w:instrText>
          </w:r>
          <w:r>
            <w:rPr>
              <w:rFonts w:ascii="Times New Roman" w:hAnsi="Times New Roman" w:eastAsia="宋体" w:cs="Times New Roman"/>
              <w:color w:val="000000" w:themeColor="text1"/>
              <w:sz w:val="24"/>
              <w:szCs w:val="24"/>
              <w14:textFill>
                <w14:solidFill>
                  <w14:schemeClr w14:val="tx1"/>
                </w14:solidFill>
              </w14:textFill>
            </w:rPr>
            <w:fldChar w:fldCharType="separate"/>
          </w:r>
          <w:r>
            <w:fldChar w:fldCharType="begin"/>
          </w:r>
          <w:r>
            <w:instrText xml:space="preserve"> HYPERLINK \l "_Toc499" </w:instrText>
          </w:r>
          <w:r>
            <w:fldChar w:fldCharType="separate"/>
          </w:r>
          <w:r>
            <w:rPr>
              <w:rFonts w:ascii="Times New Roman" w:hAnsi="Times New Roman" w:cs="Times New Roman"/>
            </w:rPr>
            <w:t>一、建设项目基本情况</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_Toc499 \h </w:instrText>
          </w:r>
          <w:r>
            <w:rPr>
              <w:rFonts w:ascii="Times New Roman" w:hAnsi="Times New Roman" w:cs="Times New Roman"/>
            </w:rPr>
            <w:fldChar w:fldCharType="separate"/>
          </w:r>
          <w:r>
            <w:rPr>
              <w:rFonts w:ascii="Times New Roman" w:hAnsi="Times New Roman" w:cs="Times New Roman"/>
            </w:rPr>
            <w:t>1</w:t>
          </w:r>
          <w:r>
            <w:rPr>
              <w:rFonts w:ascii="Times New Roman" w:hAnsi="Times New Roman" w:cs="Times New Roman"/>
            </w:rPr>
            <w:fldChar w:fldCharType="end"/>
          </w:r>
          <w:r>
            <w:rPr>
              <w:rFonts w:ascii="Times New Roman" w:hAnsi="Times New Roman" w:cs="Times New Roman"/>
            </w:rPr>
            <w:fldChar w:fldCharType="end"/>
          </w:r>
        </w:p>
        <w:p w14:paraId="16924650">
          <w:pPr>
            <w:pStyle w:val="20"/>
            <w:tabs>
              <w:tab w:val="right" w:leader="dot" w:pos="8306"/>
            </w:tabs>
            <w:rPr>
              <w:rFonts w:ascii="Times New Roman" w:hAnsi="Times New Roman" w:cs="Times New Roman"/>
            </w:rPr>
          </w:pPr>
          <w:r>
            <w:fldChar w:fldCharType="begin"/>
          </w:r>
          <w:r>
            <w:instrText xml:space="preserve"> HYPERLINK \l "_Toc8826" </w:instrText>
          </w:r>
          <w:r>
            <w:fldChar w:fldCharType="separate"/>
          </w:r>
          <w:r>
            <w:rPr>
              <w:rFonts w:ascii="Times New Roman" w:hAnsi="Times New Roman" w:cs="Times New Roman"/>
            </w:rPr>
            <w:t>二、建设项目工程分析</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_Toc8826 \h </w:instrText>
          </w:r>
          <w:r>
            <w:rPr>
              <w:rFonts w:ascii="Times New Roman" w:hAnsi="Times New Roman" w:cs="Times New Roman"/>
            </w:rPr>
            <w:fldChar w:fldCharType="separate"/>
          </w:r>
          <w:r>
            <w:rPr>
              <w:rFonts w:ascii="Times New Roman" w:hAnsi="Times New Roman" w:cs="Times New Roman"/>
            </w:rPr>
            <w:t>25</w:t>
          </w:r>
          <w:r>
            <w:rPr>
              <w:rFonts w:ascii="Times New Roman" w:hAnsi="Times New Roman" w:cs="Times New Roman"/>
            </w:rPr>
            <w:fldChar w:fldCharType="end"/>
          </w:r>
          <w:r>
            <w:rPr>
              <w:rFonts w:ascii="Times New Roman" w:hAnsi="Times New Roman" w:cs="Times New Roman"/>
            </w:rPr>
            <w:fldChar w:fldCharType="end"/>
          </w:r>
        </w:p>
        <w:p w14:paraId="6978471B">
          <w:pPr>
            <w:pStyle w:val="20"/>
            <w:tabs>
              <w:tab w:val="right" w:leader="dot" w:pos="8306"/>
            </w:tabs>
            <w:rPr>
              <w:rFonts w:ascii="Times New Roman" w:hAnsi="Times New Roman" w:cs="Times New Roman"/>
            </w:rPr>
          </w:pPr>
          <w:r>
            <w:fldChar w:fldCharType="begin"/>
          </w:r>
          <w:r>
            <w:instrText xml:space="preserve"> HYPERLINK \l "_Toc22997" </w:instrText>
          </w:r>
          <w:r>
            <w:fldChar w:fldCharType="separate"/>
          </w:r>
          <w:r>
            <w:rPr>
              <w:rFonts w:ascii="Times New Roman" w:hAnsi="Times New Roman" w:cs="Times New Roman"/>
            </w:rPr>
            <w:t>三、区域环境质量现状、环境保护目标及评价标准</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_Toc22997 \h </w:instrText>
          </w:r>
          <w:r>
            <w:rPr>
              <w:rFonts w:ascii="Times New Roman" w:hAnsi="Times New Roman" w:cs="Times New Roman"/>
            </w:rPr>
            <w:fldChar w:fldCharType="separate"/>
          </w:r>
          <w:r>
            <w:rPr>
              <w:rFonts w:ascii="Times New Roman" w:hAnsi="Times New Roman" w:cs="Times New Roman"/>
            </w:rPr>
            <w:t>71</w:t>
          </w:r>
          <w:r>
            <w:rPr>
              <w:rFonts w:ascii="Times New Roman" w:hAnsi="Times New Roman" w:cs="Times New Roman"/>
            </w:rPr>
            <w:fldChar w:fldCharType="end"/>
          </w:r>
          <w:r>
            <w:rPr>
              <w:rFonts w:ascii="Times New Roman" w:hAnsi="Times New Roman" w:cs="Times New Roman"/>
            </w:rPr>
            <w:fldChar w:fldCharType="end"/>
          </w:r>
        </w:p>
        <w:p w14:paraId="564F5F95">
          <w:pPr>
            <w:pStyle w:val="20"/>
            <w:tabs>
              <w:tab w:val="right" w:leader="dot" w:pos="8306"/>
            </w:tabs>
            <w:rPr>
              <w:rFonts w:ascii="Times New Roman" w:hAnsi="Times New Roman" w:cs="Times New Roman"/>
            </w:rPr>
          </w:pPr>
          <w:r>
            <w:fldChar w:fldCharType="begin"/>
          </w:r>
          <w:r>
            <w:instrText xml:space="preserve"> HYPERLINK \l "_Toc9824" </w:instrText>
          </w:r>
          <w:r>
            <w:fldChar w:fldCharType="separate"/>
          </w:r>
          <w:r>
            <w:rPr>
              <w:rFonts w:ascii="Times New Roman" w:hAnsi="Times New Roman" w:cs="Times New Roman"/>
            </w:rPr>
            <w:t>四、主要环境影响和保护措施</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_Toc9824 \h </w:instrText>
          </w:r>
          <w:r>
            <w:rPr>
              <w:rFonts w:ascii="Times New Roman" w:hAnsi="Times New Roman" w:cs="Times New Roman"/>
            </w:rPr>
            <w:fldChar w:fldCharType="separate"/>
          </w:r>
          <w:r>
            <w:rPr>
              <w:rFonts w:ascii="Times New Roman" w:hAnsi="Times New Roman" w:cs="Times New Roman"/>
            </w:rPr>
            <w:t>87</w:t>
          </w:r>
          <w:r>
            <w:rPr>
              <w:rFonts w:ascii="Times New Roman" w:hAnsi="Times New Roman" w:cs="Times New Roman"/>
            </w:rPr>
            <w:fldChar w:fldCharType="end"/>
          </w:r>
          <w:r>
            <w:rPr>
              <w:rFonts w:ascii="Times New Roman" w:hAnsi="Times New Roman" w:cs="Times New Roman"/>
            </w:rPr>
            <w:fldChar w:fldCharType="end"/>
          </w:r>
        </w:p>
        <w:p w14:paraId="16682720">
          <w:pPr>
            <w:pStyle w:val="20"/>
            <w:tabs>
              <w:tab w:val="right" w:leader="dot" w:pos="8306"/>
            </w:tabs>
            <w:rPr>
              <w:rFonts w:ascii="Times New Roman" w:hAnsi="Times New Roman" w:cs="Times New Roman"/>
            </w:rPr>
          </w:pPr>
          <w:r>
            <w:fldChar w:fldCharType="begin"/>
          </w:r>
          <w:r>
            <w:instrText xml:space="preserve"> HYPERLINK \l "_Toc28822" </w:instrText>
          </w:r>
          <w:r>
            <w:fldChar w:fldCharType="separate"/>
          </w:r>
          <w:r>
            <w:rPr>
              <w:rFonts w:ascii="Times New Roman" w:hAnsi="Times New Roman" w:cs="Times New Roman"/>
            </w:rPr>
            <w:t>五、环境保护措施监督检查清单</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_Toc28822 \h </w:instrText>
          </w:r>
          <w:r>
            <w:rPr>
              <w:rFonts w:ascii="Times New Roman" w:hAnsi="Times New Roman" w:cs="Times New Roman"/>
            </w:rPr>
            <w:fldChar w:fldCharType="separate"/>
          </w:r>
          <w:r>
            <w:rPr>
              <w:rFonts w:ascii="Times New Roman" w:hAnsi="Times New Roman" w:cs="Times New Roman"/>
            </w:rPr>
            <w:t>118</w:t>
          </w:r>
          <w:r>
            <w:rPr>
              <w:rFonts w:ascii="Times New Roman" w:hAnsi="Times New Roman" w:cs="Times New Roman"/>
            </w:rPr>
            <w:fldChar w:fldCharType="end"/>
          </w:r>
          <w:r>
            <w:rPr>
              <w:rFonts w:ascii="Times New Roman" w:hAnsi="Times New Roman" w:cs="Times New Roman"/>
            </w:rPr>
            <w:fldChar w:fldCharType="end"/>
          </w:r>
        </w:p>
        <w:p w14:paraId="0CEEA396">
          <w:pPr>
            <w:pStyle w:val="20"/>
            <w:tabs>
              <w:tab w:val="right" w:leader="dot" w:pos="8306"/>
            </w:tabs>
            <w:rPr>
              <w:rFonts w:ascii="Times New Roman" w:hAnsi="Times New Roman" w:cs="Times New Roman"/>
            </w:rPr>
          </w:pPr>
          <w:r>
            <w:fldChar w:fldCharType="begin"/>
          </w:r>
          <w:r>
            <w:instrText xml:space="preserve"> HYPERLINK \l "_Toc11108" </w:instrText>
          </w:r>
          <w:r>
            <w:fldChar w:fldCharType="separate"/>
          </w:r>
          <w:r>
            <w:rPr>
              <w:rFonts w:ascii="Times New Roman" w:hAnsi="Times New Roman" w:cs="Times New Roman"/>
            </w:rPr>
            <w:t>六、结论</w:t>
          </w:r>
          <w:r>
            <w:rPr>
              <w:rFonts w:ascii="Times New Roman" w:hAnsi="Times New Roman" w:cs="Times New Roman"/>
            </w:rPr>
            <w:tab/>
          </w:r>
          <w:r>
            <w:rPr>
              <w:rFonts w:ascii="Times New Roman" w:hAnsi="Times New Roman" w:cs="Times New Roman"/>
            </w:rPr>
            <w:fldChar w:fldCharType="begin"/>
          </w:r>
          <w:r>
            <w:rPr>
              <w:rFonts w:ascii="Times New Roman" w:hAnsi="Times New Roman" w:cs="Times New Roman"/>
            </w:rPr>
            <w:instrText xml:space="preserve"> PAGEREF _Toc11108 \h </w:instrText>
          </w:r>
          <w:r>
            <w:rPr>
              <w:rFonts w:ascii="Times New Roman" w:hAnsi="Times New Roman" w:cs="Times New Roman"/>
            </w:rPr>
            <w:fldChar w:fldCharType="separate"/>
          </w:r>
          <w:r>
            <w:rPr>
              <w:rFonts w:ascii="Times New Roman" w:hAnsi="Times New Roman" w:cs="Times New Roman"/>
            </w:rPr>
            <w:t>124</w:t>
          </w:r>
          <w:r>
            <w:rPr>
              <w:rFonts w:ascii="Times New Roman" w:hAnsi="Times New Roman" w:cs="Times New Roman"/>
            </w:rPr>
            <w:fldChar w:fldCharType="end"/>
          </w:r>
          <w:r>
            <w:rPr>
              <w:rFonts w:ascii="Times New Roman" w:hAnsi="Times New Roman" w:cs="Times New Roman"/>
            </w:rPr>
            <w:fldChar w:fldCharType="end"/>
          </w:r>
        </w:p>
        <w:p w14:paraId="2EB751EC">
          <w:pPr>
            <w:pStyle w:val="20"/>
            <w:tabs>
              <w:tab w:val="right" w:leader="dot" w:pos="8296"/>
            </w:tabs>
            <w:spacing w:line="360" w:lineRule="exact"/>
            <w:rPr>
              <w:rFonts w:ascii="Times New Roman" w:hAnsi="Times New Roman" w:cs="Times New Roman"/>
            </w:rPr>
          </w:pPr>
          <w:r>
            <w:rPr>
              <w:rFonts w:ascii="Times New Roman" w:hAnsi="Times New Roman" w:eastAsia="宋体" w:cs="Times New Roman"/>
              <w:bCs/>
              <w:color w:val="000000" w:themeColor="text1"/>
              <w:szCs w:val="24"/>
              <w:lang w:val="zh-CN"/>
              <w14:textFill>
                <w14:solidFill>
                  <w14:schemeClr w14:val="tx1"/>
                </w14:solidFill>
              </w14:textFill>
            </w:rPr>
            <w:fldChar w:fldCharType="end"/>
          </w:r>
        </w:p>
      </w:sdtContent>
    </w:sdt>
    <w:p w14:paraId="28374B3E">
      <w:pPr>
        <w:pStyle w:val="20"/>
        <w:tabs>
          <w:tab w:val="right" w:leader="dot" w:pos="8296"/>
        </w:tabs>
        <w:spacing w:line="360" w:lineRule="exac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附表：建设项目污染物排放量汇总表</w:t>
      </w:r>
    </w:p>
    <w:p w14:paraId="11153278">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附图：</w:t>
      </w:r>
    </w:p>
    <w:p w14:paraId="1681AD12">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附图1项目地理位置图</w:t>
      </w:r>
    </w:p>
    <w:p w14:paraId="26D1F668">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附图2项目外环境关系图</w:t>
      </w:r>
    </w:p>
    <w:p w14:paraId="37AE3975">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附图3项目测绘极卫生防护距离包络线图</w:t>
      </w:r>
    </w:p>
    <w:p w14:paraId="453BE459">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附图4项目监测布点图</w:t>
      </w:r>
    </w:p>
    <w:p w14:paraId="4C047B1A">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附图5现有工程总平面布置图</w:t>
      </w:r>
    </w:p>
    <w:p w14:paraId="6D7F3CC5">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附图6本项目总平面布置图</w:t>
      </w:r>
    </w:p>
    <w:p w14:paraId="3DFEADB4">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w:t>
      </w:r>
    </w:p>
    <w:p w14:paraId="5374F4FE">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附件1备案证明</w:t>
      </w:r>
    </w:p>
    <w:p w14:paraId="2409A030">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附件2委托书</w:t>
      </w:r>
    </w:p>
    <w:p w14:paraId="7E104C6E">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附件3营业执照</w:t>
      </w:r>
    </w:p>
    <w:p w14:paraId="3BD978EC">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附件4取水许可证</w:t>
      </w:r>
    </w:p>
    <w:p w14:paraId="412F31E9">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附件5污水消纳协议</w:t>
      </w:r>
    </w:p>
    <w:p w14:paraId="1293E2B5">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附件6人民政府规划符合性的证明</w:t>
      </w:r>
    </w:p>
    <w:p w14:paraId="45FB49FB">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附件7现有工程排污许可证</w:t>
      </w:r>
    </w:p>
    <w:p w14:paraId="24728F2D">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附件8现有工程环评批复</w:t>
      </w:r>
    </w:p>
    <w:p w14:paraId="242EF9D8">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附件9现有工程验收意见</w:t>
      </w:r>
    </w:p>
    <w:p w14:paraId="5C8B7872">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附件10验收检测报告</w:t>
      </w:r>
    </w:p>
    <w:p w14:paraId="3AC69460">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附件11燃煤工业分析化验报告单</w:t>
      </w:r>
    </w:p>
    <w:p w14:paraId="48508616">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附件12承诺书</w:t>
      </w:r>
    </w:p>
    <w:p w14:paraId="6D583667">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附件13煤、页岩、污泥原料全量检测报告</w:t>
      </w:r>
    </w:p>
    <w:p w14:paraId="6ABCB3F1">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附件14三个厂污泥制砖样品浸出检测报告</w:t>
      </w:r>
    </w:p>
    <w:p w14:paraId="6367A1D8">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附件15烧结砖质量检验报告</w:t>
      </w:r>
    </w:p>
    <w:p w14:paraId="75FAEA09">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附件16环境质量现状检测报告</w:t>
      </w:r>
    </w:p>
    <w:p w14:paraId="6998D856">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附件17环境空气二噁英检测</w:t>
      </w:r>
    </w:p>
    <w:p w14:paraId="5EA81AB9">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附件18土壤二噁英检测</w:t>
      </w:r>
    </w:p>
    <w:p w14:paraId="5BF913AC">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附件</w:t>
      </w:r>
      <w:r>
        <w:rPr>
          <w:rFonts w:hint="eastAsia" w:ascii="Times New Roman" w:hAnsi="Times New Roman" w:eastAsia="宋体" w:cs="Times New Roman"/>
          <w:color w:val="000000" w:themeColor="text1"/>
          <w:sz w:val="24"/>
          <w:szCs w:val="24"/>
          <w14:textFill>
            <w14:solidFill>
              <w14:schemeClr w14:val="tx1"/>
            </w14:solidFill>
          </w14:textFill>
        </w:rPr>
        <w:t>1</w:t>
      </w:r>
      <w:r>
        <w:rPr>
          <w:rFonts w:ascii="Times New Roman" w:hAnsi="Times New Roman" w:eastAsia="宋体" w:cs="Times New Roman"/>
          <w:color w:val="000000" w:themeColor="text1"/>
          <w:sz w:val="24"/>
          <w:szCs w:val="24"/>
          <w14:textFill>
            <w14:solidFill>
              <w14:schemeClr w14:val="tx1"/>
            </w14:solidFill>
          </w14:textFill>
        </w:rPr>
        <w:t>9 排气筒二恶英检测报告</w:t>
      </w:r>
    </w:p>
    <w:p w14:paraId="312551A0">
      <w:pPr>
        <w:jc w:val="left"/>
        <w:rPr>
          <w:rFonts w:ascii="Times New Roman" w:eastAsia="宋体" w:cs="Times New Roman"/>
          <w:color w:val="000000" w:themeColor="text1"/>
          <w:szCs w:val="24"/>
          <w14:textFill>
            <w14:solidFill>
              <w14:schemeClr w14:val="tx1"/>
            </w14:solidFill>
          </w14:textFill>
        </w:rPr>
      </w:pPr>
      <w:r>
        <w:rPr>
          <w:rFonts w:ascii="Times New Roman" w:eastAsia="宋体" w:cs="Times New Roman"/>
          <w:color w:val="000000" w:themeColor="text1"/>
          <w:szCs w:val="24"/>
          <w14:textFill>
            <w14:solidFill>
              <w14:schemeClr w14:val="tx1"/>
            </w14:solidFill>
          </w14:textFill>
        </w:rPr>
        <w:t>附件</w:t>
      </w:r>
      <w:r>
        <w:rPr>
          <w:rFonts w:hint="eastAsia" w:ascii="Times New Roman" w:eastAsia="宋体" w:cs="Times New Roman"/>
          <w:color w:val="000000" w:themeColor="text1"/>
          <w:szCs w:val="24"/>
          <w14:textFill>
            <w14:solidFill>
              <w14:schemeClr w14:val="tx1"/>
            </w14:solidFill>
          </w14:textFill>
        </w:rPr>
        <w:t>2</w:t>
      </w:r>
      <w:r>
        <w:rPr>
          <w:rFonts w:ascii="Times New Roman" w:eastAsia="宋体" w:cs="Times New Roman"/>
          <w:color w:val="000000" w:themeColor="text1"/>
          <w:szCs w:val="24"/>
          <w14:textFill>
            <w14:solidFill>
              <w14:schemeClr w14:val="tx1"/>
            </w14:solidFill>
          </w14:textFill>
        </w:rPr>
        <w:t xml:space="preserve">0 </w:t>
      </w:r>
      <w:r>
        <w:rPr>
          <w:rFonts w:ascii="Times New Roman" w:hAnsi="Times New Roman" w:eastAsia="宋体" w:cs="Times New Roman"/>
          <w:color w:val="000000" w:themeColor="text1"/>
          <w:sz w:val="24"/>
          <w:szCs w:val="24"/>
          <w14:textFill>
            <w14:solidFill>
              <w14:schemeClr w14:val="tx1"/>
            </w14:solidFill>
          </w14:textFill>
        </w:rPr>
        <w:t>排气筒及敏感点重金属检测报告</w:t>
      </w:r>
    </w:p>
    <w:p w14:paraId="4ABCE8B6">
      <w:pPr>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eastAsia="宋体" w:cs="Times New Roman"/>
          <w:color w:val="000000" w:themeColor="text1"/>
          <w:szCs w:val="24"/>
          <w14:textFill>
            <w14:solidFill>
              <w14:schemeClr w14:val="tx1"/>
            </w14:solidFill>
          </w14:textFill>
        </w:rPr>
        <w:t>附件</w:t>
      </w:r>
      <w:r>
        <w:rPr>
          <w:rFonts w:hint="eastAsia" w:ascii="Times New Roman" w:eastAsia="宋体" w:cs="Times New Roman"/>
          <w:color w:val="000000" w:themeColor="text1"/>
          <w:szCs w:val="24"/>
          <w14:textFill>
            <w14:solidFill>
              <w14:schemeClr w14:val="tx1"/>
            </w14:solidFill>
          </w14:textFill>
        </w:rPr>
        <w:t>2</w:t>
      </w:r>
      <w:r>
        <w:rPr>
          <w:rFonts w:ascii="Times New Roman" w:eastAsia="宋体" w:cs="Times New Roman"/>
          <w:color w:val="000000" w:themeColor="text1"/>
          <w:szCs w:val="24"/>
          <w14:textFill>
            <w14:solidFill>
              <w14:schemeClr w14:val="tx1"/>
            </w14:solidFill>
          </w14:textFill>
        </w:rPr>
        <w:t xml:space="preserve">1 </w:t>
      </w:r>
      <w:r>
        <w:rPr>
          <w:rFonts w:hint="eastAsia" w:ascii="Times New Roman" w:hAnsi="Times New Roman" w:eastAsia="宋体" w:cs="Times New Roman"/>
          <w:color w:val="000000" w:themeColor="text1"/>
          <w:sz w:val="24"/>
          <w:szCs w:val="24"/>
          <w14:textFill>
            <w14:solidFill>
              <w14:schemeClr w14:val="tx1"/>
            </w14:solidFill>
          </w14:textFill>
        </w:rPr>
        <w:t>自规局</w:t>
      </w:r>
      <w:r>
        <w:rPr>
          <w:rFonts w:ascii="Times New Roman" w:hAnsi="Times New Roman" w:eastAsia="宋体" w:cs="Times New Roman"/>
          <w:color w:val="000000" w:themeColor="text1"/>
          <w:sz w:val="24"/>
          <w:szCs w:val="24"/>
          <w14:textFill>
            <w14:solidFill>
              <w14:schemeClr w14:val="tx1"/>
            </w14:solidFill>
          </w14:textFill>
        </w:rPr>
        <w:t>国土空间符合性审查回复</w:t>
      </w:r>
    </w:p>
    <w:p w14:paraId="5DF9FE62">
      <w:pPr>
        <w:jc w:val="left"/>
      </w:pPr>
      <w:r>
        <w:rPr>
          <w:rFonts w:ascii="Times New Roman" w:eastAsia="宋体" w:cs="Times New Roman"/>
          <w:color w:val="000000" w:themeColor="text1"/>
          <w:szCs w:val="24"/>
          <w14:textFill>
            <w14:solidFill>
              <w14:schemeClr w14:val="tx1"/>
            </w14:solidFill>
          </w14:textFill>
        </w:rPr>
        <w:t>附件</w:t>
      </w:r>
      <w:r>
        <w:rPr>
          <w:rFonts w:hint="eastAsia" w:ascii="Times New Roman" w:eastAsia="宋体" w:cs="Times New Roman"/>
          <w:color w:val="000000" w:themeColor="text1"/>
          <w:szCs w:val="24"/>
          <w14:textFill>
            <w14:solidFill>
              <w14:schemeClr w14:val="tx1"/>
            </w14:solidFill>
          </w14:textFill>
        </w:rPr>
        <w:t>2</w:t>
      </w:r>
      <w:r>
        <w:rPr>
          <w:rFonts w:ascii="Times New Roman" w:eastAsia="宋体" w:cs="Times New Roman"/>
          <w:color w:val="000000" w:themeColor="text1"/>
          <w:szCs w:val="24"/>
          <w14:textFill>
            <w14:solidFill>
              <w14:schemeClr w14:val="tx1"/>
            </w14:solidFill>
          </w14:textFill>
        </w:rPr>
        <w:t xml:space="preserve">2 </w:t>
      </w:r>
      <w:r>
        <w:rPr>
          <w:rFonts w:hint="eastAsia" w:ascii="Times New Roman" w:eastAsia="宋体" w:cs="Times New Roman"/>
          <w:color w:val="000000" w:themeColor="text1"/>
          <w:szCs w:val="24"/>
          <w14:textFill>
            <w14:solidFill>
              <w14:schemeClr w14:val="tx1"/>
            </w14:solidFill>
          </w14:textFill>
        </w:rPr>
        <w:t>公众参与调查表</w:t>
      </w:r>
    </w:p>
    <w:p w14:paraId="01631EF5">
      <w:pPr>
        <w:jc w:val="left"/>
      </w:pPr>
      <w:r>
        <w:rPr>
          <w:rFonts w:ascii="Times New Roman" w:eastAsia="宋体" w:cs="Times New Roman"/>
          <w:color w:val="000000" w:themeColor="text1"/>
          <w:szCs w:val="24"/>
          <w14:textFill>
            <w14:solidFill>
              <w14:schemeClr w14:val="tx1"/>
            </w14:solidFill>
          </w14:textFill>
        </w:rPr>
        <w:t>附件</w:t>
      </w:r>
      <w:r>
        <w:rPr>
          <w:rFonts w:hint="eastAsia" w:ascii="Times New Roman" w:eastAsia="宋体" w:cs="Times New Roman"/>
          <w:color w:val="000000" w:themeColor="text1"/>
          <w:szCs w:val="24"/>
          <w14:textFill>
            <w14:solidFill>
              <w14:schemeClr w14:val="tx1"/>
            </w14:solidFill>
          </w14:textFill>
        </w:rPr>
        <w:t>2</w:t>
      </w:r>
      <w:r>
        <w:rPr>
          <w:rFonts w:ascii="Times New Roman" w:eastAsia="宋体" w:cs="Times New Roman"/>
          <w:color w:val="000000" w:themeColor="text1"/>
          <w:szCs w:val="24"/>
          <w14:textFill>
            <w14:solidFill>
              <w14:schemeClr w14:val="tx1"/>
            </w14:solidFill>
          </w14:textFill>
        </w:rPr>
        <w:t xml:space="preserve">1 </w:t>
      </w:r>
      <w:r>
        <w:rPr>
          <w:rFonts w:hint="eastAsia"/>
        </w:rPr>
        <w:t>专家评审意见</w:t>
      </w:r>
    </w:p>
    <w:p w14:paraId="34BBDA26"/>
    <w:p w14:paraId="5B659F90">
      <w:pPr>
        <w:pStyle w:val="2"/>
        <w:ind w:firstLine="492"/>
        <w:sectPr>
          <w:footerReference r:id="rId4" w:type="default"/>
          <w:pgSz w:w="11906" w:h="16838"/>
          <w:pgMar w:top="1440" w:right="1800" w:bottom="1440" w:left="1800" w:header="851" w:footer="992" w:gutter="0"/>
          <w:pgNumType w:start="1"/>
          <w:cols w:space="425" w:num="1"/>
          <w:docGrid w:type="lines" w:linePitch="312" w:charSpace="0"/>
        </w:sectPr>
      </w:pPr>
    </w:p>
    <w:p w14:paraId="6D62F42D">
      <w:pPr>
        <w:jc w:val="center"/>
        <w:outlineLvl w:val="0"/>
        <w:rPr>
          <w:rFonts w:ascii="Times New Roman" w:hAnsi="Times New Roman" w:cs="Times New Roman"/>
          <w:b/>
          <w:color w:val="000000" w:themeColor="text1"/>
          <w:sz w:val="32"/>
          <w14:textFill>
            <w14:solidFill>
              <w14:schemeClr w14:val="tx1"/>
            </w14:solidFill>
          </w14:textFill>
        </w:rPr>
      </w:pPr>
      <w:bookmarkStart w:id="1" w:name="_Toc499"/>
      <w:r>
        <w:rPr>
          <w:rFonts w:ascii="Times New Roman" w:hAnsi="Times New Roman" w:cs="Times New Roman"/>
          <w:b/>
          <w:color w:val="000000" w:themeColor="text1"/>
          <w:sz w:val="32"/>
          <w14:textFill>
            <w14:solidFill>
              <w14:schemeClr w14:val="tx1"/>
            </w14:solidFill>
          </w14:textFill>
        </w:rPr>
        <w:t>一、建</w:t>
      </w:r>
      <w:r>
        <w:rPr>
          <w:rFonts w:ascii="Times New Roman" w:hAnsi="Times New Roman" w:cs="Times New Roman"/>
          <w:b/>
          <w:color w:val="000000" w:themeColor="text1"/>
          <w:sz w:val="28"/>
          <w14:textFill>
            <w14:solidFill>
              <w14:schemeClr w14:val="tx1"/>
            </w14:solidFill>
          </w14:textFill>
        </w:rPr>
        <w:t>设项目基本</w:t>
      </w:r>
      <w:r>
        <w:rPr>
          <w:rFonts w:ascii="Times New Roman" w:hAnsi="Times New Roman" w:cs="Times New Roman"/>
          <w:b/>
          <w:color w:val="000000" w:themeColor="text1"/>
          <w:sz w:val="32"/>
          <w14:textFill>
            <w14:solidFill>
              <w14:schemeClr w14:val="tx1"/>
            </w14:solidFill>
          </w14:textFill>
        </w:rPr>
        <w:t>情况</w:t>
      </w:r>
      <w:bookmarkEnd w:id="1"/>
    </w:p>
    <w:tbl>
      <w:tblPr>
        <w:tblStyle w:val="25"/>
        <w:tblW w:w="89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2"/>
        <w:gridCol w:w="922"/>
        <w:gridCol w:w="2278"/>
        <w:gridCol w:w="1788"/>
        <w:gridCol w:w="3416"/>
      </w:tblGrid>
      <w:tr w14:paraId="3F8D13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gridSpan w:val="2"/>
            <w:vAlign w:val="center"/>
          </w:tcPr>
          <w:p w14:paraId="2F6C8D2B">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建设项目名称</w:t>
            </w:r>
          </w:p>
        </w:tc>
        <w:tc>
          <w:tcPr>
            <w:tcW w:w="7261" w:type="dxa"/>
            <w:gridSpan w:val="3"/>
            <w:vAlign w:val="center"/>
          </w:tcPr>
          <w:p w14:paraId="5F706E86">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遂宁市安居区麒新机砖厂技术改造项目</w:t>
            </w:r>
          </w:p>
        </w:tc>
      </w:tr>
      <w:tr w14:paraId="7B97DA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gridSpan w:val="2"/>
            <w:vAlign w:val="center"/>
          </w:tcPr>
          <w:p w14:paraId="445B5086">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项目代码</w:t>
            </w:r>
          </w:p>
        </w:tc>
        <w:tc>
          <w:tcPr>
            <w:tcW w:w="7261" w:type="dxa"/>
            <w:gridSpan w:val="3"/>
            <w:vAlign w:val="center"/>
          </w:tcPr>
          <w:p w14:paraId="3C63AE8A">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2106-510904-07-02-782059</w:t>
            </w:r>
          </w:p>
        </w:tc>
      </w:tr>
      <w:tr w14:paraId="346D13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gridSpan w:val="2"/>
            <w:vAlign w:val="center"/>
          </w:tcPr>
          <w:p w14:paraId="1F8FD348">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建设单位联系人</w:t>
            </w:r>
          </w:p>
        </w:tc>
        <w:tc>
          <w:tcPr>
            <w:tcW w:w="2789" w:type="dxa"/>
            <w:vAlign w:val="center"/>
          </w:tcPr>
          <w:p w14:paraId="73036C3C">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张益金</w:t>
            </w:r>
          </w:p>
        </w:tc>
        <w:tc>
          <w:tcPr>
            <w:tcW w:w="1788" w:type="dxa"/>
            <w:vAlign w:val="center"/>
          </w:tcPr>
          <w:p w14:paraId="641A843B">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联系方式</w:t>
            </w:r>
          </w:p>
        </w:tc>
        <w:tc>
          <w:tcPr>
            <w:tcW w:w="2684" w:type="dxa"/>
            <w:vAlign w:val="center"/>
          </w:tcPr>
          <w:p w14:paraId="59A8F45C">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13568700589</w:t>
            </w:r>
          </w:p>
        </w:tc>
      </w:tr>
      <w:tr w14:paraId="620566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gridSpan w:val="2"/>
            <w:vAlign w:val="center"/>
          </w:tcPr>
          <w:p w14:paraId="6D1DC20A">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建设地点</w:t>
            </w:r>
          </w:p>
        </w:tc>
        <w:tc>
          <w:tcPr>
            <w:tcW w:w="7261" w:type="dxa"/>
            <w:gridSpan w:val="3"/>
            <w:vAlign w:val="center"/>
          </w:tcPr>
          <w:p w14:paraId="2354CA83">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遂宁市安居区横山镇滑泥桥三社</w:t>
            </w:r>
          </w:p>
        </w:tc>
      </w:tr>
      <w:tr w14:paraId="58888D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gridSpan w:val="2"/>
            <w:vAlign w:val="center"/>
          </w:tcPr>
          <w:p w14:paraId="37B8BE55">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地理坐标</w:t>
            </w:r>
          </w:p>
        </w:tc>
        <w:tc>
          <w:tcPr>
            <w:tcW w:w="7261" w:type="dxa"/>
            <w:gridSpan w:val="3"/>
            <w:vAlign w:val="center"/>
          </w:tcPr>
          <w:p w14:paraId="4721FA65">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（E105°27′50.96″，N30°30′4.67″）</w:t>
            </w:r>
          </w:p>
        </w:tc>
      </w:tr>
      <w:tr w14:paraId="44764F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gridSpan w:val="2"/>
            <w:vAlign w:val="center"/>
          </w:tcPr>
          <w:p w14:paraId="37A54DD1">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国民经济</w:t>
            </w:r>
          </w:p>
          <w:p w14:paraId="2696DBD5">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行业类别</w:t>
            </w:r>
          </w:p>
        </w:tc>
        <w:tc>
          <w:tcPr>
            <w:tcW w:w="2789" w:type="dxa"/>
            <w:vAlign w:val="center"/>
          </w:tcPr>
          <w:p w14:paraId="1EF89EC4">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C3031粘土砖瓦及建筑砌块制造</w:t>
            </w:r>
          </w:p>
        </w:tc>
        <w:tc>
          <w:tcPr>
            <w:tcW w:w="1788" w:type="dxa"/>
            <w:vAlign w:val="center"/>
          </w:tcPr>
          <w:p w14:paraId="641E9A6C">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bookmarkStart w:id="2" w:name="_Hlk49843745"/>
            <w:r>
              <w:rPr>
                <w:rFonts w:ascii="Times New Roman" w:hAnsi="Times New Roman" w:eastAsia="宋体" w:cs="Times New Roman"/>
                <w:color w:val="000000" w:themeColor="text1"/>
                <w:sz w:val="24"/>
                <w14:textFill>
                  <w14:solidFill>
                    <w14:schemeClr w14:val="tx1"/>
                  </w14:solidFill>
                </w14:textFill>
              </w:rPr>
              <w:t>建设项目</w:t>
            </w:r>
          </w:p>
          <w:p w14:paraId="128338F7">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行业类别</w:t>
            </w:r>
            <w:bookmarkEnd w:id="2"/>
          </w:p>
        </w:tc>
        <w:tc>
          <w:tcPr>
            <w:tcW w:w="2684" w:type="dxa"/>
            <w:vAlign w:val="center"/>
          </w:tcPr>
          <w:p w14:paraId="0A70D183">
            <w:pPr>
              <w:keepNext/>
              <w:keepLines/>
              <w:adjustRightInd w:val="0"/>
              <w:snapToGrid w:val="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二十七、非金属矿物制品业（56）砖瓦、石材等建筑材料制造</w:t>
            </w:r>
          </w:p>
        </w:tc>
      </w:tr>
      <w:tr w14:paraId="06A19D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gridSpan w:val="2"/>
            <w:vAlign w:val="center"/>
          </w:tcPr>
          <w:p w14:paraId="50C26436">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建设性质</w:t>
            </w:r>
          </w:p>
        </w:tc>
        <w:tc>
          <w:tcPr>
            <w:tcW w:w="2789" w:type="dxa"/>
            <w:vAlign w:val="center"/>
          </w:tcPr>
          <w:p w14:paraId="36484149">
            <w:pPr>
              <w:keepNext/>
              <w:keepLines/>
              <w:adjustRightInd w:val="0"/>
              <w:snapToGrid w:val="0"/>
              <w:jc w:val="left"/>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□新建（迁建）</w:t>
            </w:r>
          </w:p>
          <w:p w14:paraId="25A313EC">
            <w:pPr>
              <w:keepNext/>
              <w:keepLines/>
              <w:adjustRightInd w:val="0"/>
              <w:snapToGrid w:val="0"/>
              <w:jc w:val="left"/>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□改建</w:t>
            </w:r>
          </w:p>
          <w:p w14:paraId="748C4312">
            <w:pPr>
              <w:keepNext/>
              <w:keepLines/>
              <w:adjustRightInd w:val="0"/>
              <w:snapToGrid w:val="0"/>
              <w:jc w:val="left"/>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□扩建</w:t>
            </w:r>
          </w:p>
          <w:p w14:paraId="449FE3AA">
            <w:pPr>
              <w:keepNext/>
              <w:keepLines/>
              <w:adjustRightInd w:val="0"/>
              <w:snapToGrid w:val="0"/>
              <w:jc w:val="left"/>
              <w:rPr>
                <w:rFonts w:ascii="Times New Roman" w:hAnsi="Times New Roman" w:eastAsia="宋体" w:cs="Times New Roman"/>
                <w:color w:val="000000" w:themeColor="text1"/>
                <w:sz w:val="24"/>
                <w14:textFill>
                  <w14:solidFill>
                    <w14:schemeClr w14:val="tx1"/>
                  </w14:solidFill>
                </w14:textFill>
              </w:rPr>
            </w:pPr>
            <w:r>
              <w:rPr>
                <w:rFonts w:ascii="Segoe UI Symbol" w:hAnsi="Segoe UI Symbol" w:eastAsia="宋体" w:cs="Segoe UI Symbol"/>
                <w:color w:val="000000" w:themeColor="text1"/>
                <w:sz w:val="24"/>
                <w14:textFill>
                  <w14:solidFill>
                    <w14:schemeClr w14:val="tx1"/>
                  </w14:solidFill>
                </w14:textFill>
              </w:rPr>
              <w:t>☑</w:t>
            </w:r>
            <w:r>
              <w:rPr>
                <w:rFonts w:ascii="Times New Roman" w:hAnsi="Times New Roman" w:eastAsia="宋体" w:cs="Times New Roman"/>
                <w:color w:val="000000" w:themeColor="text1"/>
                <w:sz w:val="24"/>
                <w14:textFill>
                  <w14:solidFill>
                    <w14:schemeClr w14:val="tx1"/>
                  </w14:solidFill>
                </w14:textFill>
              </w:rPr>
              <w:t>技术改造</w:t>
            </w:r>
          </w:p>
        </w:tc>
        <w:tc>
          <w:tcPr>
            <w:tcW w:w="1788" w:type="dxa"/>
            <w:vAlign w:val="center"/>
          </w:tcPr>
          <w:p w14:paraId="545A3433">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建设项目</w:t>
            </w:r>
          </w:p>
          <w:p w14:paraId="5376B9D4">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申报情形</w:t>
            </w:r>
          </w:p>
        </w:tc>
        <w:tc>
          <w:tcPr>
            <w:tcW w:w="2684" w:type="dxa"/>
            <w:vAlign w:val="center"/>
          </w:tcPr>
          <w:p w14:paraId="0089A6EB">
            <w:pPr>
              <w:keepNext/>
              <w:keepLines/>
              <w:adjustRightInd w:val="0"/>
              <w:snapToGrid w:val="0"/>
              <w:jc w:val="left"/>
              <w:rPr>
                <w:rFonts w:ascii="Times New Roman" w:hAnsi="Times New Roman" w:eastAsia="宋体" w:cs="Times New Roman"/>
                <w:color w:val="000000" w:themeColor="text1"/>
                <w:sz w:val="24"/>
                <w14:textFill>
                  <w14:solidFill>
                    <w14:schemeClr w14:val="tx1"/>
                  </w14:solidFill>
                </w14:textFill>
              </w:rPr>
            </w:pPr>
            <w:r>
              <w:rPr>
                <w:rFonts w:ascii="Segoe UI Symbol" w:hAnsi="Segoe UI Symbol" w:eastAsia="宋体" w:cs="Segoe UI Symbol"/>
                <w:color w:val="000000" w:themeColor="text1"/>
                <w:sz w:val="24"/>
                <w14:textFill>
                  <w14:solidFill>
                    <w14:schemeClr w14:val="tx1"/>
                  </w14:solidFill>
                </w14:textFill>
              </w:rPr>
              <w:t>☑</w:t>
            </w:r>
            <w:r>
              <w:rPr>
                <w:rFonts w:ascii="Times New Roman" w:hAnsi="Times New Roman" w:eastAsia="宋体" w:cs="Times New Roman"/>
                <w:color w:val="000000" w:themeColor="text1"/>
                <w:sz w:val="24"/>
                <w14:textFill>
                  <w14:solidFill>
                    <w14:schemeClr w14:val="tx1"/>
                  </w14:solidFill>
                </w14:textFill>
              </w:rPr>
              <w:t xml:space="preserve">首次申报项目             </w:t>
            </w:r>
          </w:p>
          <w:p w14:paraId="14A85875">
            <w:pPr>
              <w:keepNext/>
              <w:keepLines/>
              <w:adjustRightInd w:val="0"/>
              <w:snapToGrid w:val="0"/>
              <w:jc w:val="left"/>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□不予批准后再次申报项目</w:t>
            </w:r>
          </w:p>
          <w:p w14:paraId="231B0AA8">
            <w:pPr>
              <w:keepNext/>
              <w:keepLines/>
              <w:adjustRightInd w:val="0"/>
              <w:snapToGrid w:val="0"/>
              <w:jc w:val="left"/>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 xml:space="preserve">□超五年重新审核项目     </w:t>
            </w:r>
          </w:p>
          <w:p w14:paraId="38F08B1A">
            <w:pPr>
              <w:keepNext/>
              <w:keepLines/>
              <w:adjustRightInd w:val="0"/>
              <w:snapToGrid w:val="0"/>
              <w:jc w:val="left"/>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□重大变动重新报批项目</w:t>
            </w:r>
          </w:p>
        </w:tc>
      </w:tr>
      <w:tr w14:paraId="4943F2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gridSpan w:val="2"/>
            <w:vAlign w:val="center"/>
          </w:tcPr>
          <w:p w14:paraId="5A9775AD">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项目审批（核准/</w:t>
            </w:r>
          </w:p>
          <w:p w14:paraId="5A2B10B8">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备案）部门（选填）</w:t>
            </w:r>
          </w:p>
        </w:tc>
        <w:tc>
          <w:tcPr>
            <w:tcW w:w="2789" w:type="dxa"/>
            <w:vAlign w:val="center"/>
          </w:tcPr>
          <w:p w14:paraId="538606AB">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安居区经济和信息化局</w:t>
            </w:r>
          </w:p>
        </w:tc>
        <w:tc>
          <w:tcPr>
            <w:tcW w:w="1788" w:type="dxa"/>
            <w:vAlign w:val="center"/>
          </w:tcPr>
          <w:p w14:paraId="38260F4B">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项目审批（核准/</w:t>
            </w:r>
          </w:p>
          <w:p w14:paraId="2293AFCA">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备案）文号（选填）</w:t>
            </w:r>
          </w:p>
        </w:tc>
        <w:tc>
          <w:tcPr>
            <w:tcW w:w="2684" w:type="dxa"/>
            <w:vAlign w:val="center"/>
          </w:tcPr>
          <w:p w14:paraId="678F6BFB">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川投资备【2106-510904-07-02-782059】JXQB-0104号</w:t>
            </w:r>
          </w:p>
        </w:tc>
      </w:tr>
      <w:tr w14:paraId="3AE79D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gridSpan w:val="2"/>
            <w:vAlign w:val="center"/>
          </w:tcPr>
          <w:p w14:paraId="7A5706E0">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总投资（万元）</w:t>
            </w:r>
          </w:p>
        </w:tc>
        <w:tc>
          <w:tcPr>
            <w:tcW w:w="2789" w:type="dxa"/>
            <w:vAlign w:val="center"/>
          </w:tcPr>
          <w:p w14:paraId="5174D697">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200</w:t>
            </w:r>
          </w:p>
        </w:tc>
        <w:tc>
          <w:tcPr>
            <w:tcW w:w="1788" w:type="dxa"/>
            <w:vAlign w:val="center"/>
          </w:tcPr>
          <w:p w14:paraId="75F2F665">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环保投资（万元）</w:t>
            </w:r>
          </w:p>
        </w:tc>
        <w:tc>
          <w:tcPr>
            <w:tcW w:w="2684" w:type="dxa"/>
            <w:vAlign w:val="center"/>
          </w:tcPr>
          <w:p w14:paraId="11FFA7C6">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15</w:t>
            </w:r>
          </w:p>
        </w:tc>
      </w:tr>
      <w:tr w14:paraId="304ED5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gridSpan w:val="2"/>
            <w:vAlign w:val="center"/>
          </w:tcPr>
          <w:p w14:paraId="5885DA61">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环保投资占比（%）</w:t>
            </w:r>
          </w:p>
        </w:tc>
        <w:tc>
          <w:tcPr>
            <w:tcW w:w="2789" w:type="dxa"/>
            <w:vAlign w:val="center"/>
          </w:tcPr>
          <w:p w14:paraId="35C283E9">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7.5</w:t>
            </w:r>
          </w:p>
        </w:tc>
        <w:tc>
          <w:tcPr>
            <w:tcW w:w="1788" w:type="dxa"/>
            <w:vAlign w:val="center"/>
          </w:tcPr>
          <w:p w14:paraId="2E0C638F">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施工工期</w:t>
            </w:r>
          </w:p>
        </w:tc>
        <w:tc>
          <w:tcPr>
            <w:tcW w:w="2684" w:type="dxa"/>
            <w:vAlign w:val="center"/>
          </w:tcPr>
          <w:p w14:paraId="293E982D">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1个月</w:t>
            </w:r>
          </w:p>
        </w:tc>
      </w:tr>
      <w:tr w14:paraId="393246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gridSpan w:val="2"/>
            <w:vAlign w:val="center"/>
          </w:tcPr>
          <w:p w14:paraId="5BEDCFA3">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是否开工建设</w:t>
            </w:r>
          </w:p>
        </w:tc>
        <w:tc>
          <w:tcPr>
            <w:tcW w:w="2789" w:type="dxa"/>
            <w:vAlign w:val="center"/>
          </w:tcPr>
          <w:p w14:paraId="12F77E42">
            <w:pPr>
              <w:keepNext/>
              <w:keepLines/>
              <w:adjustRightInd w:val="0"/>
              <w:snapToGrid w:val="0"/>
              <w:jc w:val="left"/>
              <w:rPr>
                <w:rFonts w:ascii="Times New Roman" w:hAnsi="Times New Roman" w:eastAsia="宋体" w:cs="Times New Roman"/>
                <w:color w:val="000000" w:themeColor="text1"/>
                <w:sz w:val="24"/>
                <w14:textFill>
                  <w14:solidFill>
                    <w14:schemeClr w14:val="tx1"/>
                  </w14:solidFill>
                </w14:textFill>
              </w:rPr>
            </w:pPr>
            <w:r>
              <w:rPr>
                <w:rFonts w:ascii="Segoe UI Symbol" w:hAnsi="Segoe UI Symbol" w:eastAsia="宋体" w:cs="Segoe UI Symbol"/>
                <w:color w:val="000000" w:themeColor="text1"/>
                <w:sz w:val="24"/>
                <w14:textFill>
                  <w14:solidFill>
                    <w14:schemeClr w14:val="tx1"/>
                  </w14:solidFill>
                </w14:textFill>
              </w:rPr>
              <w:t>☑</w:t>
            </w:r>
            <w:r>
              <w:rPr>
                <w:rFonts w:ascii="Times New Roman" w:hAnsi="Times New Roman" w:eastAsia="宋体" w:cs="Times New Roman"/>
                <w:color w:val="000000" w:themeColor="text1"/>
                <w:sz w:val="24"/>
                <w14:textFill>
                  <w14:solidFill>
                    <w14:schemeClr w14:val="tx1"/>
                  </w14:solidFill>
                </w14:textFill>
              </w:rPr>
              <w:t>否</w:t>
            </w:r>
          </w:p>
          <w:p w14:paraId="643F1560">
            <w:pPr>
              <w:keepNext/>
              <w:keepLines/>
              <w:adjustRightInd w:val="0"/>
              <w:snapToGrid w:val="0"/>
              <w:jc w:val="left"/>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 xml:space="preserve">□是：             </w:t>
            </w:r>
          </w:p>
        </w:tc>
        <w:tc>
          <w:tcPr>
            <w:tcW w:w="1788" w:type="dxa"/>
            <w:vAlign w:val="center"/>
          </w:tcPr>
          <w:p w14:paraId="2227E453">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用地（用海）</w:t>
            </w:r>
          </w:p>
          <w:p w14:paraId="76AAD474">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面积（m</w:t>
            </w:r>
            <w:r>
              <w:rPr>
                <w:rFonts w:ascii="Times New Roman" w:hAnsi="Times New Roman" w:eastAsia="宋体" w:cs="Times New Roman"/>
                <w:color w:val="000000" w:themeColor="text1"/>
                <w:sz w:val="24"/>
                <w:vertAlign w:val="superscript"/>
                <w14:textFill>
                  <w14:solidFill>
                    <w14:schemeClr w14:val="tx1"/>
                  </w14:solidFill>
                </w14:textFill>
              </w:rPr>
              <w:t>2</w:t>
            </w:r>
            <w:r>
              <w:rPr>
                <w:rFonts w:ascii="Times New Roman" w:hAnsi="Times New Roman" w:eastAsia="宋体" w:cs="Times New Roman"/>
                <w:color w:val="000000" w:themeColor="text1"/>
                <w:sz w:val="24"/>
                <w14:textFill>
                  <w14:solidFill>
                    <w14:schemeClr w14:val="tx1"/>
                  </w14:solidFill>
                </w14:textFill>
              </w:rPr>
              <w:t>）</w:t>
            </w:r>
          </w:p>
        </w:tc>
        <w:tc>
          <w:tcPr>
            <w:tcW w:w="2684" w:type="dxa"/>
            <w:vAlign w:val="center"/>
          </w:tcPr>
          <w:p w14:paraId="7A404816">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不新增</w:t>
            </w:r>
          </w:p>
        </w:tc>
      </w:tr>
      <w:tr w14:paraId="12F3B1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gridSpan w:val="2"/>
            <w:vAlign w:val="center"/>
          </w:tcPr>
          <w:p w14:paraId="16D70227">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专项评价设置情况</w:t>
            </w:r>
          </w:p>
        </w:tc>
        <w:tc>
          <w:tcPr>
            <w:tcW w:w="7261" w:type="dxa"/>
            <w:gridSpan w:val="3"/>
            <w:vAlign w:val="center"/>
          </w:tcPr>
          <w:p w14:paraId="4A7D73DF">
            <w:pPr>
              <w:adjustRightInd w:val="0"/>
              <w:snapToGrid w:val="0"/>
              <w:spacing w:before="156" w:beforeLines="50"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本项目为砖瓦制造项目，根据《建设项目环境影响报告表编制技术指南(污染影响类)》，本项目专项评价设置情况见下表：</w:t>
            </w:r>
          </w:p>
          <w:p w14:paraId="064D1201">
            <w:pPr>
              <w:pStyle w:val="5"/>
              <w:spacing w:after="0"/>
              <w:jc w:val="center"/>
              <w:rPr>
                <w:b/>
                <w:bCs/>
                <w:color w:val="000000" w:themeColor="text1"/>
                <w14:textFill>
                  <w14:solidFill>
                    <w14:schemeClr w14:val="tx1"/>
                  </w14:solidFill>
                </w14:textFill>
              </w:rPr>
            </w:pPr>
            <w:bookmarkStart w:id="3" w:name="_Ref150784490"/>
            <w:r>
              <w:rPr>
                <w:b/>
                <w:bCs/>
                <w:color w:val="000000" w:themeColor="text1"/>
                <w14:textFill>
                  <w14:solidFill>
                    <w14:schemeClr w14:val="tx1"/>
                  </w14:solidFill>
                </w14:textFill>
              </w:rPr>
              <w:t xml:space="preserve">表1- </w:t>
            </w:r>
            <w:r>
              <w:rPr>
                <w:b/>
                <w:bCs/>
                <w:color w:val="000000" w:themeColor="text1"/>
                <w14:textFill>
                  <w14:solidFill>
                    <w14:schemeClr w14:val="tx1"/>
                  </w14:solidFill>
                </w14:textFill>
              </w:rPr>
              <w:fldChar w:fldCharType="begin"/>
            </w:r>
            <w:r>
              <w:rPr>
                <w:b/>
                <w:bCs/>
                <w:color w:val="000000" w:themeColor="text1"/>
                <w14:textFill>
                  <w14:solidFill>
                    <w14:schemeClr w14:val="tx1"/>
                  </w14:solidFill>
                </w14:textFill>
              </w:rPr>
              <w:instrText xml:space="preserve"> SEQ 表1- \* ARABIC </w:instrText>
            </w:r>
            <w:r>
              <w:rPr>
                <w:b/>
                <w:bCs/>
                <w:color w:val="000000" w:themeColor="text1"/>
                <w14:textFill>
                  <w14:solidFill>
                    <w14:schemeClr w14:val="tx1"/>
                  </w14:solidFill>
                </w14:textFill>
              </w:rPr>
              <w:fldChar w:fldCharType="separate"/>
            </w:r>
            <w:r>
              <w:rPr>
                <w:b/>
                <w:bCs/>
                <w:color w:val="000000" w:themeColor="text1"/>
                <w14:textFill>
                  <w14:solidFill>
                    <w14:schemeClr w14:val="tx1"/>
                  </w14:solidFill>
                </w14:textFill>
              </w:rPr>
              <w:t>1</w:t>
            </w:r>
            <w:r>
              <w:rPr>
                <w:b/>
                <w:bCs/>
                <w:color w:val="000000" w:themeColor="text1"/>
                <w14:textFill>
                  <w14:solidFill>
                    <w14:schemeClr w14:val="tx1"/>
                  </w14:solidFill>
                </w14:textFill>
              </w:rPr>
              <w:fldChar w:fldCharType="end"/>
            </w:r>
            <w:r>
              <w:rPr>
                <w:b/>
                <w:bCs/>
                <w:color w:val="000000" w:themeColor="text1"/>
                <w14:textFill>
                  <w14:solidFill>
                    <w14:schemeClr w14:val="tx1"/>
                  </w14:solidFill>
                </w14:textFill>
              </w:rPr>
              <w:t>专项评价评价设置情况</w:t>
            </w:r>
            <w:bookmarkEnd w:id="3"/>
          </w:p>
          <w:tbl>
            <w:tblPr>
              <w:tblStyle w:val="2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25"/>
              <w:gridCol w:w="3085"/>
              <w:gridCol w:w="2846"/>
            </w:tblGrid>
            <w:tr w14:paraId="49A72E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44" w:type="dxa"/>
                  <w:vAlign w:val="center"/>
                </w:tcPr>
                <w:p w14:paraId="3BF2055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专项评价的类别</w:t>
                  </w:r>
                </w:p>
              </w:tc>
              <w:tc>
                <w:tcPr>
                  <w:tcW w:w="2662" w:type="dxa"/>
                  <w:vAlign w:val="center"/>
                </w:tcPr>
                <w:p w14:paraId="440EA83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设置原则</w:t>
                  </w:r>
                </w:p>
              </w:tc>
              <w:tc>
                <w:tcPr>
                  <w:tcW w:w="2456" w:type="dxa"/>
                  <w:vAlign w:val="center"/>
                </w:tcPr>
                <w:p w14:paraId="289A733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本项目情况</w:t>
                  </w:r>
                </w:p>
              </w:tc>
            </w:tr>
            <w:tr w14:paraId="257D6A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44" w:type="dxa"/>
                  <w:vAlign w:val="center"/>
                </w:tcPr>
                <w:p w14:paraId="0184185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大气</w:t>
                  </w:r>
                </w:p>
              </w:tc>
              <w:tc>
                <w:tcPr>
                  <w:tcW w:w="2662" w:type="dxa"/>
                  <w:vAlign w:val="center"/>
                </w:tcPr>
                <w:p w14:paraId="4E5E25DC">
                  <w:pPr>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排放废气含有毒有害污染物</w:t>
                  </w:r>
                  <w:r>
                    <w:rPr>
                      <w:rFonts w:ascii="Times New Roman" w:hAnsi="Times New Roman" w:eastAsia="宋体" w:cs="Times New Roman"/>
                      <w:color w:val="000000" w:themeColor="text1"/>
                      <w:szCs w:val="21"/>
                      <w:vertAlign w:val="superscript"/>
                      <w14:textFill>
                        <w14:solidFill>
                          <w14:schemeClr w14:val="tx1"/>
                        </w14:solidFill>
                      </w14:textFill>
                    </w:rPr>
                    <w:t>1</w:t>
                  </w:r>
                  <w:r>
                    <w:rPr>
                      <w:rFonts w:ascii="Times New Roman" w:hAnsi="Times New Roman" w:eastAsia="宋体" w:cs="Times New Roman"/>
                      <w:color w:val="000000" w:themeColor="text1"/>
                      <w:szCs w:val="21"/>
                      <w14:textFill>
                        <w14:solidFill>
                          <w14:schemeClr w14:val="tx1"/>
                        </w14:solidFill>
                      </w14:textFill>
                    </w:rPr>
                    <w:t>、二噁英、苯并[a]芘、氰化物、氯气且厂界外500米范围内有环境空气保护目标</w:t>
                  </w:r>
                  <w:r>
                    <w:rPr>
                      <w:rFonts w:ascii="Times New Roman" w:hAnsi="Times New Roman" w:eastAsia="宋体" w:cs="Times New Roman"/>
                      <w:color w:val="000000" w:themeColor="text1"/>
                      <w:szCs w:val="21"/>
                      <w:vertAlign w:val="superscript"/>
                      <w14:textFill>
                        <w14:solidFill>
                          <w14:schemeClr w14:val="tx1"/>
                        </w14:solidFill>
                      </w14:textFill>
                    </w:rPr>
                    <w:t>2</w:t>
                  </w:r>
                  <w:r>
                    <w:rPr>
                      <w:rFonts w:ascii="Times New Roman" w:hAnsi="Times New Roman" w:eastAsia="宋体" w:cs="Times New Roman"/>
                      <w:color w:val="000000" w:themeColor="text1"/>
                      <w:szCs w:val="21"/>
                      <w14:textFill>
                        <w14:solidFill>
                          <w14:schemeClr w14:val="tx1"/>
                        </w14:solidFill>
                      </w14:textFill>
                    </w:rPr>
                    <w:t>的建设项目</w:t>
                  </w:r>
                </w:p>
              </w:tc>
              <w:tc>
                <w:tcPr>
                  <w:tcW w:w="2456" w:type="dxa"/>
                  <w:vAlign w:val="center"/>
                </w:tcPr>
                <w:p w14:paraId="5C224156">
                  <w:pP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项目涉及微量二噁英，故设大气专项评价。</w:t>
                  </w:r>
                </w:p>
              </w:tc>
            </w:tr>
            <w:tr w14:paraId="40266E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44" w:type="dxa"/>
                  <w:vAlign w:val="center"/>
                </w:tcPr>
                <w:p w14:paraId="6D06FC0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地表水</w:t>
                  </w:r>
                </w:p>
              </w:tc>
              <w:tc>
                <w:tcPr>
                  <w:tcW w:w="2662" w:type="dxa"/>
                  <w:vAlign w:val="center"/>
                </w:tcPr>
                <w:p w14:paraId="148877E9">
                  <w:pPr>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新增工业废水直排建设项目（槽罐车外送污水处理厂的除外）；新增废水直排的污水集中处理厂。</w:t>
                  </w:r>
                </w:p>
              </w:tc>
              <w:tc>
                <w:tcPr>
                  <w:tcW w:w="2456" w:type="dxa"/>
                  <w:vAlign w:val="center"/>
                </w:tcPr>
                <w:p w14:paraId="364B65E2">
                  <w:pP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本项目生活污水经预处理池处理后用于周边土地施肥；生产废水循环使用，不外排，故不设地表水专项评价。</w:t>
                  </w:r>
                </w:p>
              </w:tc>
            </w:tr>
            <w:tr w14:paraId="08A354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44" w:type="dxa"/>
                  <w:vAlign w:val="center"/>
                </w:tcPr>
                <w:p w14:paraId="4E2C4A0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环境风险</w:t>
                  </w:r>
                </w:p>
              </w:tc>
              <w:tc>
                <w:tcPr>
                  <w:tcW w:w="2662" w:type="dxa"/>
                  <w:vAlign w:val="center"/>
                </w:tcPr>
                <w:p w14:paraId="502D2D0D">
                  <w:pPr>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有毒有害和易燃易爆危险物质存储量超过临界量的建设项目</w:t>
                  </w:r>
                </w:p>
              </w:tc>
              <w:tc>
                <w:tcPr>
                  <w:tcW w:w="2456" w:type="dxa"/>
                  <w:vAlign w:val="center"/>
                </w:tcPr>
                <w:p w14:paraId="59757AD1">
                  <w:pPr>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本项目涉及有毒有害和易燃易爆危险物质为废机油、机油，储存量未超过临界量，故不设环境风险专项评价。</w:t>
                  </w:r>
                </w:p>
              </w:tc>
            </w:tr>
            <w:tr w14:paraId="17D18D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44" w:type="dxa"/>
                  <w:vAlign w:val="center"/>
                </w:tcPr>
                <w:p w14:paraId="747543F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生态</w:t>
                  </w:r>
                </w:p>
              </w:tc>
              <w:tc>
                <w:tcPr>
                  <w:tcW w:w="2662" w:type="dxa"/>
                  <w:vAlign w:val="center"/>
                </w:tcPr>
                <w:p w14:paraId="32C5587E">
                  <w:pPr>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取水口下游500米范围内有重要水生生物的自然产卵场、索饵场、越冬场和洄游通道的新增河道取水的污染类建设项目</w:t>
                  </w:r>
                </w:p>
              </w:tc>
              <w:tc>
                <w:tcPr>
                  <w:tcW w:w="2456" w:type="dxa"/>
                  <w:vAlign w:val="center"/>
                </w:tcPr>
                <w:p w14:paraId="2C232329">
                  <w:pPr>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本项目不新设取水口，故不设生态专项评价。</w:t>
                  </w:r>
                </w:p>
              </w:tc>
            </w:tr>
            <w:tr w14:paraId="58B56F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44" w:type="dxa"/>
                  <w:vAlign w:val="center"/>
                </w:tcPr>
                <w:p w14:paraId="21AB03F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海洋</w:t>
                  </w:r>
                </w:p>
              </w:tc>
              <w:tc>
                <w:tcPr>
                  <w:tcW w:w="2662" w:type="dxa"/>
                  <w:vAlign w:val="center"/>
                </w:tcPr>
                <w:p w14:paraId="0E2F927E">
                  <w:pPr>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直接向海排放污染物的海洋工程建设项目</w:t>
                  </w:r>
                </w:p>
              </w:tc>
              <w:tc>
                <w:tcPr>
                  <w:tcW w:w="2456" w:type="dxa"/>
                  <w:vAlign w:val="center"/>
                </w:tcPr>
                <w:p w14:paraId="6A6D893D">
                  <w:pPr>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本项目不直接向海排放污染物，故不设海洋专项评价。</w:t>
                  </w:r>
                </w:p>
              </w:tc>
            </w:tr>
          </w:tbl>
          <w:p w14:paraId="6622E9D7">
            <w:pPr>
              <w:keepNext/>
              <w:keepLines/>
              <w:adjustRightInd w:val="0"/>
              <w:snapToGrid w:val="0"/>
              <w:ind w:firstLine="480" w:firstLineChars="200"/>
              <w:jc w:val="left"/>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综上所述，本项目设大气专项评价。</w:t>
            </w:r>
          </w:p>
        </w:tc>
      </w:tr>
      <w:tr w14:paraId="2F38CB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gridSpan w:val="2"/>
            <w:vAlign w:val="center"/>
          </w:tcPr>
          <w:p w14:paraId="446F0756">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规划情况</w:t>
            </w:r>
          </w:p>
        </w:tc>
        <w:tc>
          <w:tcPr>
            <w:tcW w:w="7261" w:type="dxa"/>
            <w:gridSpan w:val="3"/>
            <w:vAlign w:val="center"/>
          </w:tcPr>
          <w:p w14:paraId="25F3E753">
            <w:pPr>
              <w:keepNext/>
              <w:keepLines/>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无</w:t>
            </w:r>
          </w:p>
        </w:tc>
      </w:tr>
      <w:tr w14:paraId="4FE0B6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gridSpan w:val="2"/>
            <w:vAlign w:val="center"/>
          </w:tcPr>
          <w:p w14:paraId="457AD7FC">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规划环境影响</w:t>
            </w:r>
          </w:p>
          <w:p w14:paraId="5567F290">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评价情况</w:t>
            </w:r>
          </w:p>
        </w:tc>
        <w:tc>
          <w:tcPr>
            <w:tcW w:w="7261" w:type="dxa"/>
            <w:gridSpan w:val="3"/>
            <w:vAlign w:val="center"/>
          </w:tcPr>
          <w:p w14:paraId="5EC669EE">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无</w:t>
            </w:r>
          </w:p>
        </w:tc>
      </w:tr>
      <w:tr w14:paraId="789515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gridSpan w:val="2"/>
            <w:vAlign w:val="center"/>
          </w:tcPr>
          <w:p w14:paraId="79A34FAB">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规划及规划环境影响评价符合性分析</w:t>
            </w:r>
          </w:p>
        </w:tc>
        <w:tc>
          <w:tcPr>
            <w:tcW w:w="7261" w:type="dxa"/>
            <w:gridSpan w:val="3"/>
            <w:vAlign w:val="center"/>
          </w:tcPr>
          <w:p w14:paraId="2BBFBDE0">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无</w:t>
            </w:r>
          </w:p>
        </w:tc>
      </w:tr>
      <w:tr w14:paraId="67B7D9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62" w:type="dxa"/>
            <w:vAlign w:val="center"/>
          </w:tcPr>
          <w:p w14:paraId="0A36266F">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其他符合性分析</w:t>
            </w:r>
          </w:p>
        </w:tc>
        <w:tc>
          <w:tcPr>
            <w:tcW w:w="8364" w:type="dxa"/>
            <w:gridSpan w:val="4"/>
            <w:vAlign w:val="center"/>
          </w:tcPr>
          <w:p w14:paraId="17BD2542">
            <w:pPr>
              <w:snapToGrid w:val="0"/>
              <w:spacing w:line="360" w:lineRule="auto"/>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一、产业政策符合性分析</w:t>
            </w:r>
          </w:p>
          <w:p w14:paraId="3A46728D">
            <w:pPr>
              <w:snapToGrid w:val="0"/>
              <w:spacing w:line="360" w:lineRule="auto"/>
              <w:rPr>
                <w:rFonts w:ascii="Times New Roman" w:hAnsi="Times New Roman" w:eastAsia="宋体" w:cs="Times New Roman"/>
                <w:b/>
                <w:color w:val="000000" w:themeColor="text1"/>
                <w:sz w:val="24"/>
                <w:szCs w:val="24"/>
                <w:lang w:val="en-GB"/>
                <w14:textFill>
                  <w14:solidFill>
                    <w14:schemeClr w14:val="tx1"/>
                  </w14:solidFill>
                </w14:textFill>
              </w:rPr>
            </w:pPr>
            <w:r>
              <w:rPr>
                <w:rFonts w:ascii="Times New Roman" w:hAnsi="Times New Roman" w:eastAsia="宋体" w:cs="Times New Roman"/>
                <w:b/>
                <w:color w:val="000000" w:themeColor="text1"/>
                <w:sz w:val="24"/>
                <w:szCs w:val="24"/>
                <w:lang w:val="en-GB"/>
                <w14:textFill>
                  <w14:solidFill>
                    <w14:schemeClr w14:val="tx1"/>
                  </w14:solidFill>
                </w14:textFill>
              </w:rPr>
              <w:t>1、产业政策符合性分析</w:t>
            </w:r>
          </w:p>
          <w:p w14:paraId="5C26D6C4">
            <w:pPr>
              <w:snapToGrid w:val="0"/>
              <w:spacing w:line="360" w:lineRule="auto"/>
              <w:ind w:firstLine="480" w:firstLineChars="200"/>
              <w:rPr>
                <w:rFonts w:ascii="Times New Roman" w:hAnsi="Times New Roman" w:eastAsia="宋体" w:cs="Times New Roman"/>
                <w:color w:val="000000" w:themeColor="text1"/>
                <w:sz w:val="24"/>
                <w:szCs w:val="24"/>
                <w:lang w:val="en-GB"/>
                <w14:textFill>
                  <w14:solidFill>
                    <w14:schemeClr w14:val="tx1"/>
                  </w14:solidFill>
                </w14:textFill>
              </w:rPr>
            </w:pPr>
            <w:r>
              <w:rPr>
                <w:rFonts w:ascii="Times New Roman" w:hAnsi="Times New Roman" w:eastAsia="宋体" w:cs="Times New Roman"/>
                <w:color w:val="000000" w:themeColor="text1"/>
                <w:sz w:val="24"/>
                <w:szCs w:val="24"/>
                <w:lang w:val="en-GB"/>
                <w14:textFill>
                  <w14:solidFill>
                    <w14:schemeClr w14:val="tx1"/>
                  </w14:solidFill>
                </w14:textFill>
              </w:rPr>
              <w:t>本项目利用页岩为主要原料，同时利用水基钻井废弃物、无机工业污泥替代部分页岩制砖，属于用废料或废渣生产的建筑材料。</w:t>
            </w:r>
            <w:r>
              <w:rPr>
                <w:rFonts w:ascii="Times New Roman" w:hAnsi="Times New Roman" w:eastAsia="宋体" w:cs="Times New Roman"/>
                <w:color w:val="000000" w:themeColor="text1"/>
                <w:sz w:val="24"/>
                <w:szCs w:val="24"/>
                <w14:textFill>
                  <w14:solidFill>
                    <w14:schemeClr w14:val="tx1"/>
                  </w14:solidFill>
                </w14:textFill>
              </w:rPr>
              <w:t>属于《国民经济行业分类》（2019年修订）中</w:t>
            </w:r>
            <w:r>
              <w:rPr>
                <w:rFonts w:ascii="Times New Roman" w:hAnsi="Times New Roman" w:eastAsia="宋体" w:cs="Times New Roman"/>
                <w:color w:val="000000" w:themeColor="text1"/>
                <w:sz w:val="24"/>
                <w:szCs w:val="24"/>
                <w:lang w:val="en-GB"/>
                <w14:textFill>
                  <w14:solidFill>
                    <w14:schemeClr w14:val="tx1"/>
                  </w14:solidFill>
                </w14:textFill>
              </w:rPr>
              <w:t>“非金属矿物制品业”中的“</w:t>
            </w:r>
            <w:r>
              <w:rPr>
                <w:rFonts w:ascii="Times New Roman" w:hAnsi="Times New Roman" w:eastAsia="宋体" w:cs="Times New Roman"/>
                <w:color w:val="000000" w:themeColor="text1"/>
                <w:sz w:val="24"/>
                <w14:textFill>
                  <w14:solidFill>
                    <w14:schemeClr w14:val="tx1"/>
                  </w14:solidFill>
                </w14:textFill>
              </w:rPr>
              <w:t>C3031粘土砖瓦及建筑砌块制造</w:t>
            </w:r>
            <w:r>
              <w:rPr>
                <w:rFonts w:ascii="Times New Roman" w:hAnsi="Times New Roman" w:eastAsia="宋体" w:cs="Times New Roman"/>
                <w:color w:val="000000" w:themeColor="text1"/>
                <w:sz w:val="24"/>
                <w:szCs w:val="24"/>
                <w:lang w:val="en-GB"/>
                <w14:textFill>
                  <w14:solidFill>
                    <w14:schemeClr w14:val="tx1"/>
                  </w14:solidFill>
                </w14:textFill>
              </w:rPr>
              <w:t>”。</w:t>
            </w:r>
          </w:p>
          <w:p w14:paraId="0010FABE">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不属于《产业结构调整指导目录(2019年本）》（2021年修改）“限制类”中第九条：第9款“6000万标砖/年（不含）以下的烧结砖及烧结空心砌块生产线”，不使用“淘汰类”中第一条落后生产工艺设备：第八款“砖瓦轮窑（2020年12月31日）以及立窑、无顶轮窑、马蹄窑等土窑”。本项目不属于鼓励类、淘汰类、限制类项目，属于允许类。因此项目的建设符合国家产业政策。</w:t>
            </w:r>
          </w:p>
          <w:p w14:paraId="5D049360">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现有砖厂已完成自主竣工环境保护验收及排污许可申报（证书编号：91510904206264319U001V），不属于淘汰或产能置换的砖厂，安居区经济和信息化局以川投资备【2106-510904-07-02-782059】JXQB-0104号同意了本项目备案，允许本项目建设。</w:t>
            </w:r>
          </w:p>
          <w:p w14:paraId="37EC46D2">
            <w:pPr>
              <w:adjustRightInd w:val="0"/>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2、与《烧结砖瓦行业准入条件》符合性分析</w:t>
            </w:r>
          </w:p>
          <w:p w14:paraId="47F785C1">
            <w:pPr>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 xml:space="preserve">表1-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表1-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2</w:t>
            </w:r>
            <w:r>
              <w:rPr>
                <w:rFonts w:ascii="Times New Roman" w:hAnsi="Times New Roman" w:eastAsia="宋体" w:cs="Times New Roman"/>
                <w:b/>
                <w:bCs/>
                <w:color w:val="000000" w:themeColor="text1"/>
                <w:szCs w:val="21"/>
                <w14:textFill>
                  <w14:solidFill>
                    <w14:schemeClr w14:val="tx1"/>
                  </w14:solidFill>
                </w14:textFill>
              </w:rPr>
              <w:fldChar w:fldCharType="end"/>
            </w:r>
            <w:r>
              <w:rPr>
                <w:rFonts w:ascii="Times New Roman" w:hAnsi="Times New Roman" w:eastAsia="宋体" w:cs="Times New Roman"/>
                <w:b/>
                <w:bCs/>
                <w:color w:val="000000" w:themeColor="text1"/>
                <w:szCs w:val="21"/>
                <w14:textFill>
                  <w14:solidFill>
                    <w14:schemeClr w14:val="tx1"/>
                  </w14:solidFill>
                </w14:textFill>
              </w:rPr>
              <w:t xml:space="preserve">  与《烧结砖瓦行业准入条件》符合性分析表</w:t>
            </w:r>
          </w:p>
          <w:tbl>
            <w:tblPr>
              <w:tblStyle w:val="24"/>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9"/>
              <w:gridCol w:w="1541"/>
              <w:gridCol w:w="2126"/>
              <w:gridCol w:w="2533"/>
              <w:gridCol w:w="1066"/>
            </w:tblGrid>
            <w:tr w14:paraId="0FD944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 w:hRule="atLeast"/>
              </w:trPr>
              <w:tc>
                <w:tcPr>
                  <w:tcW w:w="2798" w:type="pct"/>
                  <w:gridSpan w:val="3"/>
                </w:tcPr>
                <w:p w14:paraId="6403DA17">
                  <w:pPr>
                    <w:jc w:val="cente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《与烧结砖瓦行业准入条件》</w:t>
                  </w:r>
                </w:p>
              </w:tc>
              <w:tc>
                <w:tcPr>
                  <w:tcW w:w="1549" w:type="pct"/>
                </w:tcPr>
                <w:p w14:paraId="764F0379">
                  <w:pPr>
                    <w:jc w:val="center"/>
                    <w:rPr>
                      <w:rFonts w:ascii="Times New Roman" w:hAnsi="Times New Roman" w:eastAsia="宋体" w:cs="Times New Roman"/>
                      <w:b/>
                      <w:color w:val="000000" w:themeColor="text1"/>
                      <w:szCs w:val="21"/>
                      <w:lang w:val="en-GB"/>
                      <w14:textFill>
                        <w14:solidFill>
                          <w14:schemeClr w14:val="tx1"/>
                        </w14:solidFill>
                      </w14:textFill>
                    </w:rPr>
                  </w:pPr>
                  <w:r>
                    <w:rPr>
                      <w:rFonts w:ascii="Times New Roman" w:hAnsi="Times New Roman" w:eastAsia="宋体" w:cs="Times New Roman"/>
                      <w:b/>
                      <w:color w:val="000000" w:themeColor="text1"/>
                      <w:szCs w:val="21"/>
                      <w:lang w:val="en-GB"/>
                      <w14:textFill>
                        <w14:solidFill>
                          <w14:schemeClr w14:val="tx1"/>
                        </w14:solidFill>
                      </w14:textFill>
                    </w:rPr>
                    <w:t>本项目</w:t>
                  </w:r>
                </w:p>
              </w:tc>
              <w:tc>
                <w:tcPr>
                  <w:tcW w:w="652" w:type="pct"/>
                </w:tcPr>
                <w:p w14:paraId="22A8044A">
                  <w:pPr>
                    <w:jc w:val="center"/>
                    <w:rPr>
                      <w:rFonts w:ascii="Times New Roman" w:hAnsi="Times New Roman" w:eastAsia="宋体" w:cs="Times New Roman"/>
                      <w:b/>
                      <w:color w:val="000000" w:themeColor="text1"/>
                      <w:szCs w:val="21"/>
                      <w:lang w:val="en-GB"/>
                      <w14:textFill>
                        <w14:solidFill>
                          <w14:schemeClr w14:val="tx1"/>
                        </w14:solidFill>
                      </w14:textFill>
                    </w:rPr>
                  </w:pPr>
                  <w:r>
                    <w:rPr>
                      <w:rFonts w:ascii="Times New Roman" w:hAnsi="Times New Roman" w:eastAsia="宋体" w:cs="Times New Roman"/>
                      <w:b/>
                      <w:color w:val="000000" w:themeColor="text1"/>
                      <w:szCs w:val="21"/>
                      <w:lang w:val="en-GB"/>
                      <w14:textFill>
                        <w14:solidFill>
                          <w14:schemeClr w14:val="tx1"/>
                        </w14:solidFill>
                      </w14:textFill>
                    </w:rPr>
                    <w:t>符合性</w:t>
                  </w:r>
                </w:p>
              </w:tc>
            </w:tr>
            <w:tr w14:paraId="48FC75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 w:hRule="atLeast"/>
              </w:trPr>
              <w:tc>
                <w:tcPr>
                  <w:tcW w:w="556" w:type="pct"/>
                  <w:vMerge w:val="restart"/>
                </w:tcPr>
                <w:p w14:paraId="7CB2F01E">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一、生产企业布局</w:t>
                  </w:r>
                </w:p>
              </w:tc>
              <w:tc>
                <w:tcPr>
                  <w:tcW w:w="2241" w:type="pct"/>
                  <w:gridSpan w:val="2"/>
                </w:tcPr>
                <w:p w14:paraId="6DD73896">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一）新建或改扩建烧结砖瓦生产项目，必须符合国家产业政策和产业规划，生产企业用地必须符合城乡规划要求，必须符合土地利用总体规划、土地供应政策和土地使用标准的规定。严格执行环节保护有关规定，严格禁止毁田烧砖。</w:t>
                  </w:r>
                </w:p>
              </w:tc>
              <w:tc>
                <w:tcPr>
                  <w:tcW w:w="1549" w:type="pct"/>
                </w:tcPr>
                <w:p w14:paraId="381A1E88">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本项目利用页岩为主要原料，同时利用水基钻井废弃物、无机工业污泥替代部分页岩制砖，属于用废料或废渣生产的建筑材料。符合国家产业政策和相关规划要求。</w:t>
                  </w:r>
                </w:p>
              </w:tc>
              <w:tc>
                <w:tcPr>
                  <w:tcW w:w="652" w:type="pct"/>
                </w:tcPr>
                <w:p w14:paraId="46AB4C53">
                  <w:pPr>
                    <w:jc w:val="cente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符合</w:t>
                  </w:r>
                </w:p>
              </w:tc>
            </w:tr>
            <w:tr w14:paraId="06CBB1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 w:hRule="atLeast"/>
              </w:trPr>
              <w:tc>
                <w:tcPr>
                  <w:tcW w:w="556" w:type="pct"/>
                  <w:vMerge w:val="continue"/>
                </w:tcPr>
                <w:p w14:paraId="63E0FE3E">
                  <w:pPr>
                    <w:rPr>
                      <w:rFonts w:ascii="Times New Roman" w:hAnsi="Times New Roman" w:eastAsia="宋体" w:cs="Times New Roman"/>
                      <w:color w:val="000000" w:themeColor="text1"/>
                      <w:szCs w:val="21"/>
                      <w:lang w:val="en-GB"/>
                      <w14:textFill>
                        <w14:solidFill>
                          <w14:schemeClr w14:val="tx1"/>
                        </w14:solidFill>
                      </w14:textFill>
                    </w:rPr>
                  </w:pPr>
                </w:p>
              </w:tc>
              <w:tc>
                <w:tcPr>
                  <w:tcW w:w="2241" w:type="pct"/>
                  <w:gridSpan w:val="2"/>
                </w:tcPr>
                <w:p w14:paraId="7F7998EC">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二)在国家法律、法规、行政规章及规划确定或县级以上人民政府批准的风景名胜、生态保护、自然和文化遗产以及饮用水源保护区，不得建设烧结砖瓦生产企业。上述区域内已经投产的烧结砖瓦生产企业要根据该区域规划通过“搬迁、转产”等方式逐步退出。</w:t>
                  </w:r>
                </w:p>
              </w:tc>
              <w:tc>
                <w:tcPr>
                  <w:tcW w:w="1549" w:type="pct"/>
                </w:tcPr>
                <w:p w14:paraId="71ED7A50">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项目所在地不涉及风景名胜、生态保护、自然和文化遗产以及饮用水源保护区</w:t>
                  </w:r>
                </w:p>
              </w:tc>
              <w:tc>
                <w:tcPr>
                  <w:tcW w:w="652" w:type="pct"/>
                </w:tcPr>
                <w:p w14:paraId="4DD7FA3E">
                  <w:pPr>
                    <w:jc w:val="cente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符合</w:t>
                  </w:r>
                </w:p>
              </w:tc>
            </w:tr>
            <w:tr w14:paraId="2A8AF9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 w:hRule="atLeast"/>
              </w:trPr>
              <w:tc>
                <w:tcPr>
                  <w:tcW w:w="556" w:type="pct"/>
                  <w:vMerge w:val="continue"/>
                </w:tcPr>
                <w:p w14:paraId="26CFFC73">
                  <w:pPr>
                    <w:rPr>
                      <w:rFonts w:ascii="Times New Roman" w:hAnsi="Times New Roman" w:eastAsia="宋体" w:cs="Times New Roman"/>
                      <w:color w:val="000000" w:themeColor="text1"/>
                      <w:szCs w:val="21"/>
                      <w:lang w:val="en-GB"/>
                      <w14:textFill>
                        <w14:solidFill>
                          <w14:schemeClr w14:val="tx1"/>
                        </w14:solidFill>
                      </w14:textFill>
                    </w:rPr>
                  </w:pPr>
                </w:p>
              </w:tc>
              <w:tc>
                <w:tcPr>
                  <w:tcW w:w="2241" w:type="pct"/>
                  <w:gridSpan w:val="2"/>
                </w:tcPr>
                <w:p w14:paraId="63638C69">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（三）在距粉煤灰、煤矸石堆存地 20 公里范围内不准新建、扩建粘土砖厂；已建的粘土砖生产企业，必须掺用一定比例的粉煤灰、煤矸石。</w:t>
                  </w:r>
                </w:p>
              </w:tc>
              <w:tc>
                <w:tcPr>
                  <w:tcW w:w="1549" w:type="pct"/>
                </w:tcPr>
                <w:p w14:paraId="68D002DF">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产品为页岩砖，不生产黏土砖。</w:t>
                  </w:r>
                </w:p>
              </w:tc>
              <w:tc>
                <w:tcPr>
                  <w:tcW w:w="652" w:type="pct"/>
                </w:tcPr>
                <w:p w14:paraId="052F74EE">
                  <w:pPr>
                    <w:jc w:val="cente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符合</w:t>
                  </w:r>
                </w:p>
              </w:tc>
            </w:tr>
            <w:tr w14:paraId="2514F1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 w:hRule="atLeast"/>
              </w:trPr>
              <w:tc>
                <w:tcPr>
                  <w:tcW w:w="556" w:type="pct"/>
                  <w:vMerge w:val="continue"/>
                </w:tcPr>
                <w:p w14:paraId="74C2FD78">
                  <w:pPr>
                    <w:rPr>
                      <w:rFonts w:ascii="Times New Roman" w:hAnsi="Times New Roman" w:eastAsia="宋体" w:cs="Times New Roman"/>
                      <w:color w:val="000000" w:themeColor="text1"/>
                      <w:szCs w:val="21"/>
                      <w:lang w:val="en-GB"/>
                      <w14:textFill>
                        <w14:solidFill>
                          <w14:schemeClr w14:val="tx1"/>
                        </w14:solidFill>
                      </w14:textFill>
                    </w:rPr>
                  </w:pPr>
                </w:p>
              </w:tc>
              <w:tc>
                <w:tcPr>
                  <w:tcW w:w="2241" w:type="pct"/>
                  <w:gridSpan w:val="2"/>
                </w:tcPr>
                <w:p w14:paraId="2C120C0F">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(四)为促进生产力合理布局和协调发展，对烧结砖瓦实施分地区指导和区别对待的政策。1、经济发达地区城市和人均耕地面积低于0.8 亩的城市，禁止生产粘土实心砖；粘土资源较为丰富的西部地区，要发展粘土空心制品，限制生产粘土实心砖。2、烧结砖瓦企业生产和质量的管理必须满足《烧结砖瓦企业质量管理规程》和《烧结砖瓦企业检验室基本条件》要求，完善质量检测手段。</w:t>
                  </w:r>
                </w:p>
              </w:tc>
              <w:tc>
                <w:tcPr>
                  <w:tcW w:w="1549" w:type="pct"/>
                </w:tcPr>
                <w:p w14:paraId="65D96EC4">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四川属于西部地区，产品为页岩砖，不生产黏土砖；企业生产和质量的管理满足《烧结砖瓦企业质量管理规程》和《烧结砖瓦企业检验室基本条件》要求，完善质量检测手段。</w:t>
                  </w:r>
                </w:p>
              </w:tc>
              <w:tc>
                <w:tcPr>
                  <w:tcW w:w="652" w:type="pct"/>
                </w:tcPr>
                <w:p w14:paraId="207E2426">
                  <w:pPr>
                    <w:jc w:val="cente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符合</w:t>
                  </w:r>
                </w:p>
              </w:tc>
            </w:tr>
            <w:tr w14:paraId="075E3D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 w:hRule="atLeast"/>
              </w:trPr>
              <w:tc>
                <w:tcPr>
                  <w:tcW w:w="556" w:type="pct"/>
                  <w:vMerge w:val="restart"/>
                </w:tcPr>
                <w:p w14:paraId="0D8990FF">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二、工艺与装备</w:t>
                  </w:r>
                </w:p>
              </w:tc>
              <w:tc>
                <w:tcPr>
                  <w:tcW w:w="942" w:type="pct"/>
                  <w:vMerge w:val="restart"/>
                </w:tcPr>
                <w:p w14:paraId="2C389B1C">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新建和改扩建烧结砖瓦项目</w:t>
                  </w:r>
                </w:p>
              </w:tc>
              <w:tc>
                <w:tcPr>
                  <w:tcW w:w="1299" w:type="pct"/>
                </w:tcPr>
                <w:p w14:paraId="400DDEF0">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1、严禁建设粘土实心砖项目(装饰砖、铺地砖及其它特种用途的砖除外)</w:t>
                  </w:r>
                </w:p>
              </w:tc>
              <w:tc>
                <w:tcPr>
                  <w:tcW w:w="1549" w:type="pct"/>
                </w:tcPr>
                <w:p w14:paraId="5C3DF660">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项目生产页岩砖。</w:t>
                  </w:r>
                </w:p>
              </w:tc>
              <w:tc>
                <w:tcPr>
                  <w:tcW w:w="652" w:type="pct"/>
                </w:tcPr>
                <w:p w14:paraId="24223D50">
                  <w:pPr>
                    <w:jc w:val="cente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符合</w:t>
                  </w:r>
                </w:p>
              </w:tc>
            </w:tr>
            <w:tr w14:paraId="773D77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 w:hRule="atLeast"/>
              </w:trPr>
              <w:tc>
                <w:tcPr>
                  <w:tcW w:w="556" w:type="pct"/>
                  <w:vMerge w:val="continue"/>
                </w:tcPr>
                <w:p w14:paraId="2AE98169">
                  <w:pPr>
                    <w:rPr>
                      <w:rFonts w:ascii="Times New Roman" w:hAnsi="Times New Roman" w:eastAsia="宋体" w:cs="Times New Roman"/>
                      <w:color w:val="000000" w:themeColor="text1"/>
                      <w:szCs w:val="21"/>
                      <w:lang w:val="en-GB"/>
                      <w14:textFill>
                        <w14:solidFill>
                          <w14:schemeClr w14:val="tx1"/>
                        </w14:solidFill>
                      </w14:textFill>
                    </w:rPr>
                  </w:pPr>
                </w:p>
              </w:tc>
              <w:tc>
                <w:tcPr>
                  <w:tcW w:w="942" w:type="pct"/>
                  <w:vMerge w:val="continue"/>
                </w:tcPr>
                <w:p w14:paraId="7B6DC048">
                  <w:pPr>
                    <w:rPr>
                      <w:rFonts w:ascii="Times New Roman" w:hAnsi="Times New Roman" w:eastAsia="宋体" w:cs="Times New Roman"/>
                      <w:color w:val="000000" w:themeColor="text1"/>
                      <w:szCs w:val="21"/>
                      <w:lang w:val="en-GB"/>
                      <w14:textFill>
                        <w14:solidFill>
                          <w14:schemeClr w14:val="tx1"/>
                        </w14:solidFill>
                      </w14:textFill>
                    </w:rPr>
                  </w:pPr>
                </w:p>
              </w:tc>
              <w:tc>
                <w:tcPr>
                  <w:tcW w:w="1299" w:type="pct"/>
                </w:tcPr>
                <w:p w14:paraId="5F83980E">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2、大中城市或经济发达地区新建和改(扩)建烧结砖企业单线生产规模不小于5000万块(折普通砖)</w:t>
                  </w:r>
                  <w:r>
                    <w:rPr>
                      <w:rFonts w:ascii="Times New Roman" w:hAnsi="Times New Roman" w:eastAsia="宋体" w:cs="Times New Roman"/>
                      <w:color w:val="000000" w:themeColor="text1"/>
                      <w:szCs w:val="21"/>
                      <w14:textFill>
                        <w14:solidFill>
                          <w14:schemeClr w14:val="tx1"/>
                        </w14:solidFill>
                      </w14:textFill>
                    </w:rPr>
                    <w:t>/</w:t>
                  </w:r>
                  <w:r>
                    <w:rPr>
                      <w:rFonts w:ascii="Times New Roman" w:hAnsi="Times New Roman" w:eastAsia="宋体" w:cs="Times New Roman"/>
                      <w:color w:val="000000" w:themeColor="text1"/>
                      <w:szCs w:val="21"/>
                      <w:lang w:val="en-GB"/>
                      <w14:textFill>
                        <w14:solidFill>
                          <w14:schemeClr w14:val="tx1"/>
                        </w14:solidFill>
                      </w14:textFill>
                    </w:rPr>
                    <w:t>年；其它地区单线生产规模不小于3000万块(折普通砖)</w:t>
                  </w:r>
                  <w:r>
                    <w:rPr>
                      <w:rFonts w:ascii="Times New Roman" w:hAnsi="Times New Roman" w:eastAsia="宋体" w:cs="Times New Roman"/>
                      <w:color w:val="000000" w:themeColor="text1"/>
                      <w:szCs w:val="21"/>
                      <w14:textFill>
                        <w14:solidFill>
                          <w14:schemeClr w14:val="tx1"/>
                        </w14:solidFill>
                      </w14:textFill>
                    </w:rPr>
                    <w:t>/</w:t>
                  </w:r>
                  <w:r>
                    <w:rPr>
                      <w:rFonts w:ascii="Times New Roman" w:hAnsi="Times New Roman" w:eastAsia="宋体" w:cs="Times New Roman"/>
                      <w:color w:val="000000" w:themeColor="text1"/>
                      <w:szCs w:val="21"/>
                      <w:lang w:val="en-GB"/>
                      <w14:textFill>
                        <w14:solidFill>
                          <w14:schemeClr w14:val="tx1"/>
                        </w14:solidFill>
                      </w14:textFill>
                    </w:rPr>
                    <w:t>年；烧结瓦企业单线生产规模不小于70万m</w:t>
                  </w:r>
                  <w:r>
                    <w:rPr>
                      <w:rFonts w:ascii="Times New Roman" w:hAnsi="Times New Roman" w:eastAsia="宋体" w:cs="Times New Roman"/>
                      <w:color w:val="000000" w:themeColor="text1"/>
                      <w:szCs w:val="21"/>
                      <w:vertAlign w:val="superscript"/>
                      <w:lang w:val="en-GB"/>
                      <w14:textFill>
                        <w14:solidFill>
                          <w14:schemeClr w14:val="tx1"/>
                        </w14:solidFill>
                      </w14:textFill>
                    </w:rPr>
                    <w:t>2</w:t>
                  </w:r>
                  <w:r>
                    <w:rPr>
                      <w:rFonts w:ascii="Times New Roman" w:hAnsi="Times New Roman" w:eastAsia="宋体" w:cs="Times New Roman"/>
                      <w:color w:val="000000" w:themeColor="text1"/>
                      <w:szCs w:val="21"/>
                      <w14:textFill>
                        <w14:solidFill>
                          <w14:schemeClr w14:val="tx1"/>
                        </w14:solidFill>
                      </w14:textFill>
                    </w:rPr>
                    <w:t>/</w:t>
                  </w:r>
                  <w:r>
                    <w:rPr>
                      <w:rFonts w:ascii="Times New Roman" w:hAnsi="Times New Roman" w:eastAsia="宋体" w:cs="Times New Roman"/>
                      <w:color w:val="000000" w:themeColor="text1"/>
                      <w:szCs w:val="21"/>
                      <w:lang w:val="en-GB"/>
                      <w14:textFill>
                        <w14:solidFill>
                          <w14:schemeClr w14:val="tx1"/>
                        </w14:solidFill>
                      </w14:textFill>
                    </w:rPr>
                    <w:t>年。</w:t>
                  </w:r>
                </w:p>
              </w:tc>
              <w:tc>
                <w:tcPr>
                  <w:tcW w:w="1549" w:type="pct"/>
                </w:tcPr>
                <w:p w14:paraId="467CAEF9">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烧结砖生产规模为8000万块（标砖）/年。</w:t>
                  </w:r>
                </w:p>
              </w:tc>
              <w:tc>
                <w:tcPr>
                  <w:tcW w:w="652" w:type="pct"/>
                </w:tcPr>
                <w:p w14:paraId="2AF7E7A9">
                  <w:pPr>
                    <w:jc w:val="cente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符合</w:t>
                  </w:r>
                </w:p>
              </w:tc>
            </w:tr>
            <w:tr w14:paraId="566D4F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4" w:hRule="atLeast"/>
              </w:trPr>
              <w:tc>
                <w:tcPr>
                  <w:tcW w:w="556" w:type="pct"/>
                  <w:vMerge w:val="continue"/>
                </w:tcPr>
                <w:p w14:paraId="2256AD6A">
                  <w:pPr>
                    <w:rPr>
                      <w:rFonts w:ascii="Times New Roman" w:hAnsi="Times New Roman" w:eastAsia="宋体" w:cs="Times New Roman"/>
                      <w:color w:val="000000" w:themeColor="text1"/>
                      <w:szCs w:val="21"/>
                      <w:lang w:val="en-GB"/>
                      <w14:textFill>
                        <w14:solidFill>
                          <w14:schemeClr w14:val="tx1"/>
                        </w14:solidFill>
                      </w14:textFill>
                    </w:rPr>
                  </w:pPr>
                </w:p>
              </w:tc>
              <w:tc>
                <w:tcPr>
                  <w:tcW w:w="942" w:type="pct"/>
                  <w:vMerge w:val="continue"/>
                </w:tcPr>
                <w:p w14:paraId="59801FE7">
                  <w:pPr>
                    <w:rPr>
                      <w:rFonts w:ascii="Times New Roman" w:hAnsi="Times New Roman" w:eastAsia="宋体" w:cs="Times New Roman"/>
                      <w:color w:val="000000" w:themeColor="text1"/>
                      <w:szCs w:val="21"/>
                      <w:lang w:val="en-GB"/>
                      <w14:textFill>
                        <w14:solidFill>
                          <w14:schemeClr w14:val="tx1"/>
                        </w14:solidFill>
                      </w14:textFill>
                    </w:rPr>
                  </w:pPr>
                </w:p>
              </w:tc>
              <w:tc>
                <w:tcPr>
                  <w:tcW w:w="1299" w:type="pct"/>
                </w:tcPr>
                <w:p w14:paraId="2F3DE252">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3、新建和改(扩)建烧结砖瓦企业的设计和建设，应满足节能设计要求，待(烧结砖瓦工厂节能设计规范)标准实施之日起，执行《烧结砖瓦工厂节能设计规范》标准的规定。</w:t>
                  </w:r>
                </w:p>
              </w:tc>
              <w:tc>
                <w:tcPr>
                  <w:tcW w:w="1549" w:type="pct"/>
                </w:tcPr>
                <w:p w14:paraId="0282181E">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节能涉及符合《(烧结砖瓦工厂节能设计规范》（GB50528-2009）。</w:t>
                  </w:r>
                </w:p>
              </w:tc>
              <w:tc>
                <w:tcPr>
                  <w:tcW w:w="652" w:type="pct"/>
                </w:tcPr>
                <w:p w14:paraId="683EEA7B">
                  <w:pPr>
                    <w:jc w:val="cente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符合</w:t>
                  </w:r>
                </w:p>
              </w:tc>
            </w:tr>
            <w:tr w14:paraId="3C497E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8" w:hRule="atLeast"/>
              </w:trPr>
              <w:tc>
                <w:tcPr>
                  <w:tcW w:w="556" w:type="pct"/>
                  <w:vMerge w:val="continue"/>
                </w:tcPr>
                <w:p w14:paraId="66FC87AC">
                  <w:pPr>
                    <w:rPr>
                      <w:rFonts w:ascii="Times New Roman" w:hAnsi="Times New Roman" w:eastAsia="宋体" w:cs="Times New Roman"/>
                      <w:color w:val="000000" w:themeColor="text1"/>
                      <w:szCs w:val="21"/>
                      <w:lang w:val="en-GB"/>
                      <w14:textFill>
                        <w14:solidFill>
                          <w14:schemeClr w14:val="tx1"/>
                        </w14:solidFill>
                      </w14:textFill>
                    </w:rPr>
                  </w:pPr>
                </w:p>
              </w:tc>
              <w:tc>
                <w:tcPr>
                  <w:tcW w:w="942" w:type="pct"/>
                  <w:vMerge w:val="continue"/>
                </w:tcPr>
                <w:p w14:paraId="13C5A0B9">
                  <w:pPr>
                    <w:rPr>
                      <w:rFonts w:ascii="Times New Roman" w:hAnsi="Times New Roman" w:eastAsia="宋体" w:cs="Times New Roman"/>
                      <w:color w:val="000000" w:themeColor="text1"/>
                      <w:szCs w:val="21"/>
                      <w:lang w:val="en-GB"/>
                      <w14:textFill>
                        <w14:solidFill>
                          <w14:schemeClr w14:val="tx1"/>
                        </w14:solidFill>
                      </w14:textFill>
                    </w:rPr>
                  </w:pPr>
                </w:p>
              </w:tc>
              <w:tc>
                <w:tcPr>
                  <w:tcW w:w="1299" w:type="pct"/>
                </w:tcPr>
                <w:p w14:paraId="3A1B0479">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4、新建和改(扩)建烧结砖瓦企业必须采用人工干燥和隧道窑的生产工艺。</w:t>
                  </w:r>
                </w:p>
              </w:tc>
              <w:tc>
                <w:tcPr>
                  <w:tcW w:w="1549" w:type="pct"/>
                </w:tcPr>
                <w:p w14:paraId="2F67E036">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采用人工干燥和隧道窑的生产工艺。</w:t>
                  </w:r>
                </w:p>
              </w:tc>
              <w:tc>
                <w:tcPr>
                  <w:tcW w:w="652" w:type="pct"/>
                </w:tcPr>
                <w:p w14:paraId="1C6EF11A">
                  <w:pPr>
                    <w:jc w:val="cente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符合</w:t>
                  </w:r>
                </w:p>
              </w:tc>
            </w:tr>
            <w:tr w14:paraId="7BDD1F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4" w:hRule="atLeast"/>
              </w:trPr>
              <w:tc>
                <w:tcPr>
                  <w:tcW w:w="556" w:type="pct"/>
                  <w:vMerge w:val="continue"/>
                </w:tcPr>
                <w:p w14:paraId="4BE9F1BF">
                  <w:pPr>
                    <w:rPr>
                      <w:rFonts w:ascii="Times New Roman" w:hAnsi="Times New Roman" w:eastAsia="宋体" w:cs="Times New Roman"/>
                      <w:color w:val="000000" w:themeColor="text1"/>
                      <w:szCs w:val="21"/>
                      <w:lang w:val="en-GB"/>
                      <w14:textFill>
                        <w14:solidFill>
                          <w14:schemeClr w14:val="tx1"/>
                        </w14:solidFill>
                      </w14:textFill>
                    </w:rPr>
                  </w:pPr>
                </w:p>
              </w:tc>
              <w:tc>
                <w:tcPr>
                  <w:tcW w:w="942" w:type="pct"/>
                  <w:vMerge w:val="continue"/>
                </w:tcPr>
                <w:p w14:paraId="750DBF3B">
                  <w:pPr>
                    <w:rPr>
                      <w:rFonts w:ascii="Times New Roman" w:hAnsi="Times New Roman" w:eastAsia="宋体" w:cs="Times New Roman"/>
                      <w:color w:val="000000" w:themeColor="text1"/>
                      <w:szCs w:val="21"/>
                      <w:lang w:val="en-GB"/>
                      <w14:textFill>
                        <w14:solidFill>
                          <w14:schemeClr w14:val="tx1"/>
                        </w14:solidFill>
                      </w14:textFill>
                    </w:rPr>
                  </w:pPr>
                </w:p>
              </w:tc>
              <w:tc>
                <w:tcPr>
                  <w:tcW w:w="1299" w:type="pct"/>
                </w:tcPr>
                <w:p w14:paraId="2BC55CD9">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5、新建和改(扩)建隧道窑的宽度必须在3m以上(含3m)，正常生产时。窑体维护结构温度无阳光照射时外墙不高于环境温度5</w:t>
                  </w:r>
                  <w:r>
                    <w:rPr>
                      <w:rFonts w:hint="eastAsia" w:ascii="宋体" w:hAnsi="宋体" w:eastAsia="宋体" w:cs="宋体"/>
                      <w:color w:val="000000" w:themeColor="text1"/>
                      <w:szCs w:val="21"/>
                      <w:lang w:val="en-GB"/>
                      <w14:textFill>
                        <w14:solidFill>
                          <w14:schemeClr w14:val="tx1"/>
                        </w14:solidFill>
                      </w14:textFill>
                    </w:rPr>
                    <w:t>℃</w:t>
                  </w:r>
                  <w:r>
                    <w:rPr>
                      <w:rFonts w:ascii="Times New Roman" w:hAnsi="Times New Roman" w:eastAsia="宋体" w:cs="Times New Roman"/>
                      <w:color w:val="000000" w:themeColor="text1"/>
                      <w:szCs w:val="21"/>
                      <w:lang w:val="en-GB"/>
                      <w14:textFill>
                        <w14:solidFill>
                          <w14:schemeClr w14:val="tx1"/>
                        </w14:solidFill>
                      </w14:textFill>
                    </w:rPr>
                    <w:t>，窑顶不高于环境温度8</w:t>
                  </w:r>
                  <w:r>
                    <w:rPr>
                      <w:rFonts w:hint="eastAsia" w:ascii="宋体" w:hAnsi="宋体" w:eastAsia="宋体" w:cs="宋体"/>
                      <w:color w:val="000000" w:themeColor="text1"/>
                      <w:szCs w:val="21"/>
                      <w:lang w:val="en-GB"/>
                      <w14:textFill>
                        <w14:solidFill>
                          <w14:schemeClr w14:val="tx1"/>
                        </w14:solidFill>
                      </w14:textFill>
                    </w:rPr>
                    <w:t>℃</w:t>
                  </w:r>
                  <w:r>
                    <w:rPr>
                      <w:rFonts w:ascii="Times New Roman" w:hAnsi="Times New Roman" w:eastAsia="宋体" w:cs="Times New Roman"/>
                      <w:color w:val="000000" w:themeColor="text1"/>
                      <w:szCs w:val="21"/>
                      <w:lang w:val="en-GB"/>
                      <w14:textFill>
                        <w14:solidFill>
                          <w14:schemeClr w14:val="tx1"/>
                        </w14:solidFill>
                      </w14:textFill>
                    </w:rPr>
                    <w:t>。以煤矸石等含热能金属氧化物废物为原料且不用商品燃料补充热量、余热充分利用后仍有富余的可不作要求。</w:t>
                  </w:r>
                </w:p>
              </w:tc>
              <w:tc>
                <w:tcPr>
                  <w:tcW w:w="1549" w:type="pct"/>
                </w:tcPr>
                <w:p w14:paraId="64B12BEA">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项目为隧道窑，宽度大于3m，正常生产时。窑体维护结构温度无阳光照射时外墙不高于环境温度5</w:t>
                  </w:r>
                  <w:r>
                    <w:rPr>
                      <w:rFonts w:hint="eastAsia" w:ascii="宋体" w:hAnsi="宋体" w:eastAsia="宋体" w:cs="宋体"/>
                      <w:color w:val="000000" w:themeColor="text1"/>
                      <w:szCs w:val="21"/>
                      <w:lang w:val="en-GB"/>
                      <w14:textFill>
                        <w14:solidFill>
                          <w14:schemeClr w14:val="tx1"/>
                        </w14:solidFill>
                      </w14:textFill>
                    </w:rPr>
                    <w:t>℃</w:t>
                  </w:r>
                  <w:r>
                    <w:rPr>
                      <w:rFonts w:ascii="Times New Roman" w:hAnsi="Times New Roman" w:eastAsia="宋体" w:cs="Times New Roman"/>
                      <w:color w:val="000000" w:themeColor="text1"/>
                      <w:szCs w:val="21"/>
                      <w:lang w:val="en-GB"/>
                      <w14:textFill>
                        <w14:solidFill>
                          <w14:schemeClr w14:val="tx1"/>
                        </w14:solidFill>
                      </w14:textFill>
                    </w:rPr>
                    <w:t>，窑顶不高于环境温度8</w:t>
                  </w:r>
                  <w:r>
                    <w:rPr>
                      <w:rFonts w:hint="eastAsia" w:ascii="宋体" w:hAnsi="宋体" w:eastAsia="宋体" w:cs="宋体"/>
                      <w:color w:val="000000" w:themeColor="text1"/>
                      <w:szCs w:val="21"/>
                      <w:lang w:val="en-GB"/>
                      <w14:textFill>
                        <w14:solidFill>
                          <w14:schemeClr w14:val="tx1"/>
                        </w14:solidFill>
                      </w14:textFill>
                    </w:rPr>
                    <w:t>℃</w:t>
                  </w:r>
                  <w:r>
                    <w:rPr>
                      <w:rFonts w:ascii="Times New Roman" w:hAnsi="Times New Roman" w:eastAsia="宋体" w:cs="Times New Roman"/>
                      <w:color w:val="000000" w:themeColor="text1"/>
                      <w:szCs w:val="21"/>
                      <w:lang w:val="en-GB"/>
                      <w14:textFill>
                        <w14:solidFill>
                          <w14:schemeClr w14:val="tx1"/>
                        </w14:solidFill>
                      </w14:textFill>
                    </w:rPr>
                    <w:t>。</w:t>
                  </w:r>
                </w:p>
              </w:tc>
              <w:tc>
                <w:tcPr>
                  <w:tcW w:w="652" w:type="pct"/>
                </w:tcPr>
                <w:p w14:paraId="7B3034DD">
                  <w:pPr>
                    <w:jc w:val="cente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符合</w:t>
                  </w:r>
                </w:p>
              </w:tc>
            </w:tr>
            <w:tr w14:paraId="2014F0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4" w:hRule="atLeast"/>
              </w:trPr>
              <w:tc>
                <w:tcPr>
                  <w:tcW w:w="556" w:type="pct"/>
                  <w:vMerge w:val="continue"/>
                </w:tcPr>
                <w:p w14:paraId="679B8329">
                  <w:pPr>
                    <w:rPr>
                      <w:rFonts w:ascii="Times New Roman" w:hAnsi="Times New Roman" w:eastAsia="宋体" w:cs="Times New Roman"/>
                      <w:color w:val="000000" w:themeColor="text1"/>
                      <w:szCs w:val="21"/>
                      <w:lang w:val="en-GB"/>
                      <w14:textFill>
                        <w14:solidFill>
                          <w14:schemeClr w14:val="tx1"/>
                        </w14:solidFill>
                      </w14:textFill>
                    </w:rPr>
                  </w:pPr>
                </w:p>
              </w:tc>
              <w:tc>
                <w:tcPr>
                  <w:tcW w:w="942" w:type="pct"/>
                  <w:vMerge w:val="continue"/>
                </w:tcPr>
                <w:p w14:paraId="1B63A5AA">
                  <w:pPr>
                    <w:rPr>
                      <w:rFonts w:ascii="Times New Roman" w:hAnsi="Times New Roman" w:eastAsia="宋体" w:cs="Times New Roman"/>
                      <w:color w:val="000000" w:themeColor="text1"/>
                      <w:szCs w:val="21"/>
                      <w:lang w:val="en-GB"/>
                      <w14:textFill>
                        <w14:solidFill>
                          <w14:schemeClr w14:val="tx1"/>
                        </w14:solidFill>
                      </w14:textFill>
                    </w:rPr>
                  </w:pPr>
                </w:p>
              </w:tc>
              <w:tc>
                <w:tcPr>
                  <w:tcW w:w="1299" w:type="pct"/>
                </w:tcPr>
                <w:p w14:paraId="781BA325">
                  <w:pPr>
                    <w:jc w:val="cente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6、新建和改(扩)建烧结砖瓦企业应采用正常挤出压力2.0blPa以上、真空度≤0.092MPa的真空挤出机。</w:t>
                  </w:r>
                </w:p>
              </w:tc>
              <w:tc>
                <w:tcPr>
                  <w:tcW w:w="1549" w:type="pct"/>
                </w:tcPr>
                <w:p w14:paraId="5331CC69">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2.0blPa 以上、真空度≤0.092MPa 的双极真空挤出机。</w:t>
                  </w:r>
                </w:p>
              </w:tc>
              <w:tc>
                <w:tcPr>
                  <w:tcW w:w="652" w:type="pct"/>
                </w:tcPr>
                <w:p w14:paraId="5F657322">
                  <w:pPr>
                    <w:jc w:val="cente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符合</w:t>
                  </w:r>
                </w:p>
              </w:tc>
            </w:tr>
            <w:tr w14:paraId="52D07E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8" w:hRule="atLeast"/>
              </w:trPr>
              <w:tc>
                <w:tcPr>
                  <w:tcW w:w="556" w:type="pct"/>
                </w:tcPr>
                <w:p w14:paraId="6FE979C8">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三、品种、质量</w:t>
                  </w:r>
                </w:p>
              </w:tc>
              <w:tc>
                <w:tcPr>
                  <w:tcW w:w="2241" w:type="pct"/>
                  <w:gridSpan w:val="2"/>
                </w:tcPr>
                <w:p w14:paraId="450726EB">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l、烧结普通砖应符合GB5l01(烧结普通砖)标准的规定。</w:t>
                  </w:r>
                </w:p>
                <w:p w14:paraId="36DFA00E">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2、烧结多孔砖应符合GB13544(烧结多孔砖)标准的规定。</w:t>
                  </w:r>
                </w:p>
                <w:p w14:paraId="4C2F4615">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3、烧结空心砖和空心砌块应符合GB13545(烧结空心砖和空心砌块)标准的规定。</w:t>
                  </w:r>
                </w:p>
                <w:p w14:paraId="1C13AA71">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4、烧结瓦应符合GB</w:t>
                  </w:r>
                  <w:r>
                    <w:rPr>
                      <w:rFonts w:ascii="Times New Roman" w:hAnsi="Times New Roman" w:eastAsia="宋体" w:cs="Times New Roman"/>
                      <w:color w:val="000000" w:themeColor="text1"/>
                      <w:szCs w:val="21"/>
                      <w14:textFill>
                        <w14:solidFill>
                          <w14:schemeClr w14:val="tx1"/>
                        </w14:solidFill>
                      </w14:textFill>
                    </w:rPr>
                    <w:t>/</w:t>
                  </w:r>
                  <w:r>
                    <w:rPr>
                      <w:rFonts w:ascii="Times New Roman" w:hAnsi="Times New Roman" w:eastAsia="宋体" w:cs="Times New Roman"/>
                      <w:color w:val="000000" w:themeColor="text1"/>
                      <w:szCs w:val="21"/>
                      <w:lang w:val="en-GB"/>
                      <w14:textFill>
                        <w14:solidFill>
                          <w14:schemeClr w14:val="tx1"/>
                        </w14:solidFill>
                      </w14:textFill>
                    </w:rPr>
                    <w:t>T21149(烧结瓦)标准的规定。</w:t>
                  </w:r>
                </w:p>
                <w:p w14:paraId="76CE8120">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5、烧结装饰砖应符合相关国家标准、行业标准和地方标准的规定。</w:t>
                  </w:r>
                </w:p>
                <w:p w14:paraId="07DA38D5">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6、烧结广场路面砖应符合相关国家标准、行业标准和地方标准的规定。</w:t>
                  </w:r>
                </w:p>
                <w:p w14:paraId="3BF6EA89">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7、烧结保温砖和砌块应符合相关国家标准、行业标准和地方标准的规定。</w:t>
                  </w:r>
                </w:p>
                <w:p w14:paraId="5D93BF52">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8、烧结复合保温砖和砌块及其它烧结砖新产品符合相关国家标准、行业标准和地方标准的规定。</w:t>
                  </w:r>
                </w:p>
              </w:tc>
              <w:tc>
                <w:tcPr>
                  <w:tcW w:w="1549" w:type="pct"/>
                </w:tcPr>
                <w:p w14:paraId="33CA42AA">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本项目生产烧结普通砖，产品质量符合GB5l01(烧结普通砖)标准的规定。</w:t>
                  </w:r>
                </w:p>
              </w:tc>
              <w:tc>
                <w:tcPr>
                  <w:tcW w:w="652" w:type="pct"/>
                </w:tcPr>
                <w:p w14:paraId="47E23C14">
                  <w:pPr>
                    <w:jc w:val="cente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符合</w:t>
                  </w:r>
                </w:p>
              </w:tc>
            </w:tr>
            <w:tr w14:paraId="797204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4" w:hRule="atLeast"/>
              </w:trPr>
              <w:tc>
                <w:tcPr>
                  <w:tcW w:w="556" w:type="pct"/>
                </w:tcPr>
                <w:p w14:paraId="613734DB">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四、能源消耗</w:t>
                  </w:r>
                </w:p>
              </w:tc>
              <w:tc>
                <w:tcPr>
                  <w:tcW w:w="942" w:type="pct"/>
                </w:tcPr>
                <w:p w14:paraId="4EF84A72">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烧结砖瓦企业生产线单位产品能耗必须满足Jc</w:t>
                  </w:r>
                  <w:r>
                    <w:rPr>
                      <w:rFonts w:ascii="Times New Roman" w:hAnsi="Times New Roman" w:eastAsia="宋体" w:cs="Times New Roman"/>
                      <w:color w:val="000000" w:themeColor="text1"/>
                      <w:szCs w:val="21"/>
                      <w14:textFill>
                        <w14:solidFill>
                          <w14:schemeClr w14:val="tx1"/>
                        </w14:solidFill>
                      </w14:textFill>
                    </w:rPr>
                    <w:t>/</w:t>
                  </w:r>
                  <w:r>
                    <w:rPr>
                      <w:rFonts w:ascii="Times New Roman" w:hAnsi="Times New Roman" w:eastAsia="宋体" w:cs="Times New Roman"/>
                      <w:color w:val="000000" w:themeColor="text1"/>
                      <w:szCs w:val="21"/>
                      <w:lang w:val="en-GB"/>
                      <w14:textFill>
                        <w14:solidFill>
                          <w14:schemeClr w14:val="tx1"/>
                        </w14:solidFill>
                      </w14:textFill>
                    </w:rPr>
                    <w:t>T713&lt;烧结砖瓦能耗等级定额&gt;标准的规定。</w:t>
                  </w:r>
                </w:p>
              </w:tc>
              <w:tc>
                <w:tcPr>
                  <w:tcW w:w="1299" w:type="pct"/>
                </w:tcPr>
                <w:p w14:paraId="288FEB93">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1、新建和改(扩)建烧结砖瓦企业生产线单位产品能耗限额应符合表</w:t>
                  </w:r>
                  <w:r>
                    <w:rPr>
                      <w:rFonts w:ascii="Times New Roman" w:hAnsi="Times New Roman" w:eastAsia="宋体" w:cs="Times New Roman"/>
                      <w:color w:val="000000" w:themeColor="text1"/>
                      <w:szCs w:val="21"/>
                      <w14:textFill>
                        <w14:solidFill>
                          <w14:schemeClr w14:val="tx1"/>
                        </w14:solidFill>
                      </w14:textFill>
                    </w:rPr>
                    <w:t>1</w:t>
                  </w:r>
                  <w:r>
                    <w:rPr>
                      <w:rFonts w:ascii="Times New Roman" w:hAnsi="Times New Roman" w:eastAsia="宋体" w:cs="Times New Roman"/>
                      <w:color w:val="000000" w:themeColor="text1"/>
                      <w:szCs w:val="21"/>
                      <w:lang w:val="en-GB"/>
                      <w14:textFill>
                        <w14:solidFill>
                          <w14:schemeClr w14:val="tx1"/>
                        </w14:solidFill>
                      </w14:textFill>
                    </w:rPr>
                    <w:t>的规定。</w:t>
                  </w:r>
                </w:p>
              </w:tc>
              <w:tc>
                <w:tcPr>
                  <w:tcW w:w="1549" w:type="pct"/>
                </w:tcPr>
                <w:p w14:paraId="549EE45D">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本项目烧结砖瓦企业生产线单位产品能耗限额符合规定。</w:t>
                  </w:r>
                </w:p>
              </w:tc>
              <w:tc>
                <w:tcPr>
                  <w:tcW w:w="652" w:type="pct"/>
                </w:tcPr>
                <w:p w14:paraId="6060D03D">
                  <w:pPr>
                    <w:jc w:val="cente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符合</w:t>
                  </w:r>
                </w:p>
              </w:tc>
            </w:tr>
            <w:tr w14:paraId="43E15A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8" w:hRule="atLeast"/>
              </w:trPr>
              <w:tc>
                <w:tcPr>
                  <w:tcW w:w="556" w:type="pct"/>
                </w:tcPr>
                <w:p w14:paraId="2167BE1D">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五、环节保护</w:t>
                  </w:r>
                </w:p>
              </w:tc>
              <w:tc>
                <w:tcPr>
                  <w:tcW w:w="2241" w:type="pct"/>
                  <w:gridSpan w:val="2"/>
                </w:tcPr>
                <w:p w14:paraId="5D4333F0">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一)烧结砖瓦企业大气污染物排放执行《大气污染物综合排放标准》(GBl6297一1996)和(工业炉窑大气污染排放标准)(GB9078-1996)中相关的排放限值，待《砖瓦工业污染物排放标准》标准实施之日起，执行(砖瓦工业污染排放标准)标准的规定。</w:t>
                  </w:r>
                </w:p>
              </w:tc>
              <w:tc>
                <w:tcPr>
                  <w:tcW w:w="1549" w:type="pct"/>
                </w:tcPr>
                <w:p w14:paraId="4CB1930B">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污染物排放满足《砖瓦工业大气污染物排放标准》（GB29620-2013）相关要求。</w:t>
                  </w:r>
                </w:p>
              </w:tc>
              <w:tc>
                <w:tcPr>
                  <w:tcW w:w="652" w:type="pct"/>
                </w:tcPr>
                <w:p w14:paraId="4E1C2AA7">
                  <w:pPr>
                    <w:jc w:val="cente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符合</w:t>
                  </w:r>
                </w:p>
              </w:tc>
            </w:tr>
            <w:tr w14:paraId="69680C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8" w:hRule="atLeast"/>
              </w:trPr>
              <w:tc>
                <w:tcPr>
                  <w:tcW w:w="556" w:type="pct"/>
                </w:tcPr>
                <w:p w14:paraId="0CF19431">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六、安全、卫生和教育</w:t>
                  </w:r>
                </w:p>
              </w:tc>
              <w:tc>
                <w:tcPr>
                  <w:tcW w:w="2241" w:type="pct"/>
                  <w:gridSpan w:val="2"/>
                </w:tcPr>
                <w:p w14:paraId="7362F80E">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新建或改建烧结砖瓦项目必须具备国家安全生产法律、法规和部门规章及标准规定的安全生产条件。</w:t>
                  </w:r>
                </w:p>
              </w:tc>
              <w:tc>
                <w:tcPr>
                  <w:tcW w:w="1549" w:type="pct"/>
                </w:tcPr>
                <w:p w14:paraId="5C32528E">
                  <w:pP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具备国家安全生产法律、法规和部门规章及标准规定的安全生产条件。</w:t>
                  </w:r>
                </w:p>
              </w:tc>
              <w:tc>
                <w:tcPr>
                  <w:tcW w:w="652" w:type="pct"/>
                </w:tcPr>
                <w:p w14:paraId="1C3A14C1">
                  <w:pPr>
                    <w:jc w:val="center"/>
                    <w:rPr>
                      <w:rFonts w:ascii="Times New Roman" w:hAnsi="Times New Roman" w:eastAsia="宋体" w:cs="Times New Roman"/>
                      <w:color w:val="000000" w:themeColor="text1"/>
                      <w:szCs w:val="21"/>
                      <w:lang w:val="en-GB"/>
                      <w14:textFill>
                        <w14:solidFill>
                          <w14:schemeClr w14:val="tx1"/>
                        </w14:solidFill>
                      </w14:textFill>
                    </w:rPr>
                  </w:pPr>
                  <w:r>
                    <w:rPr>
                      <w:rFonts w:ascii="Times New Roman" w:hAnsi="Times New Roman" w:eastAsia="宋体" w:cs="Times New Roman"/>
                      <w:color w:val="000000" w:themeColor="text1"/>
                      <w:szCs w:val="21"/>
                      <w:lang w:val="en-GB"/>
                      <w14:textFill>
                        <w14:solidFill>
                          <w14:schemeClr w14:val="tx1"/>
                        </w14:solidFill>
                      </w14:textFill>
                    </w:rPr>
                    <w:t>符合</w:t>
                  </w:r>
                </w:p>
              </w:tc>
            </w:tr>
          </w:tbl>
          <w:p w14:paraId="32ABF7B9">
            <w:pPr>
              <w:autoSpaceDE w:val="0"/>
              <w:autoSpaceDN w:val="0"/>
              <w:adjustRightInd w:val="0"/>
              <w:snapToGrid w:val="0"/>
              <w:spacing w:line="360" w:lineRule="auto"/>
              <w:ind w:firstLine="480" w:firstLineChars="200"/>
              <w:jc w:val="left"/>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综上所述，项目与《烧结砖瓦行业准入条件》相符。</w:t>
            </w:r>
          </w:p>
          <w:p w14:paraId="2DA77236">
            <w:pPr>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二、与国家及地方有关政策、规范文件的符合性分析</w:t>
            </w:r>
          </w:p>
          <w:p w14:paraId="19203E5B">
            <w:pPr>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1、与《国务院关于印发大气污染防治行动计划的通知》（国发[2013]37号）等的符合性分析</w:t>
            </w:r>
          </w:p>
          <w:p w14:paraId="40960332">
            <w:pPr>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国务院关于印发大气污染防治行动计划的通知》（国发[2013]37号）：加大综合治理力度，减少污染物排放，全面整治燃煤小锅炉；燃煤锅炉和工业容炉现有除尘设施要实施升级改造，大力发展循环经济，推进能源梯级利用，水资源循环利用、废物交换利用、土地节约集约利用，促进企业循环式生产、园区循环式发展、产业循环式组合，构建循环型工业体系，推动水泥、钢铁等工业窑炉，高炉实施废物协同处置。</w:t>
            </w:r>
          </w:p>
          <w:p w14:paraId="207559FC">
            <w:pPr>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本项目为</w:t>
            </w:r>
            <w:r>
              <w:rPr>
                <w:rFonts w:ascii="Times New Roman" w:hAnsi="Times New Roman" w:eastAsia="宋体" w:cs="Times New Roman"/>
                <w:color w:val="000000" w:themeColor="text1"/>
                <w:sz w:val="24"/>
                <w:szCs w:val="24"/>
                <w:lang w:val="en-GB"/>
                <w14:textFill>
                  <w14:solidFill>
                    <w14:schemeClr w14:val="tx1"/>
                  </w14:solidFill>
                </w14:textFill>
              </w:rPr>
              <w:t>烧结页岩砖生产技改项目</w:t>
            </w:r>
            <w:r>
              <w:rPr>
                <w:rFonts w:ascii="Times New Roman" w:hAnsi="Times New Roman" w:eastAsia="宋体" w:cs="Times New Roman"/>
                <w:color w:val="000000" w:themeColor="text1"/>
                <w:sz w:val="24"/>
                <w:szCs w:val="24"/>
                <w14:textFill>
                  <w14:solidFill>
                    <w14:schemeClr w14:val="tx1"/>
                  </w14:solidFill>
                </w14:textFill>
              </w:rPr>
              <w:t>，</w:t>
            </w:r>
            <w:r>
              <w:rPr>
                <w:rFonts w:ascii="Times New Roman" w:hAnsi="Times New Roman" w:eastAsia="宋体" w:cs="Times New Roman"/>
                <w:color w:val="000000" w:themeColor="text1"/>
                <w:sz w:val="24"/>
                <w:szCs w:val="24"/>
                <w:lang w:val="en-GB"/>
                <w14:textFill>
                  <w14:solidFill>
                    <w14:schemeClr w14:val="tx1"/>
                  </w14:solidFill>
                </w14:textFill>
              </w:rPr>
              <w:t>利用水基钻井废弃物、无机工业污泥等一般工业固废替代部分原料制砖，技改完成后，不新增产能</w:t>
            </w:r>
            <w:r>
              <w:rPr>
                <w:rFonts w:ascii="Times New Roman" w:hAnsi="Times New Roman" w:eastAsia="宋体" w:cs="Times New Roman"/>
                <w:color w:val="000000" w:themeColor="text1"/>
                <w:sz w:val="24"/>
                <w:szCs w:val="24"/>
                <w14:textFill>
                  <w14:solidFill>
                    <w14:schemeClr w14:val="tx1"/>
                  </w14:solidFill>
                </w14:textFill>
              </w:rPr>
              <w:t>。本项目不设锅炉，生产过程中不涉及VOCs的排放。因此，项目建设符合《国务院关于印发大气污染防治行动计划的通知》（国发[2013]37号）、《大气污染防治行动计划》、《四川省打赢蓝天保卫战等九个实施方案》等文件要求。</w:t>
            </w:r>
          </w:p>
          <w:p w14:paraId="55B4DDD1">
            <w:pPr>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2、与《四川省人民政府办公厅关于加强灰霾污染防治的通知》的符合性分析</w:t>
            </w:r>
          </w:p>
          <w:p w14:paraId="521F16B5">
            <w:pPr>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为加强灰霾污染防治工作，改善大气环境质量，保障人民群众身体健康，建设美丽繁荣和谐四川，四川省人民政府办公厅下发了《关于加强灰霾污染防治的通知》（川办发[2013]32号），提出总体要求“加强对固定源和移动源排放的二氧化硫、氮氧化物、烟粉尘、挥发性有机物等多污染物协同控制，强化大气一次污染物、二次污染物综合管理，统筹城乡大气环境整治，建立有效运行的灰霾污染防治联防联控工作机制，逐步完善灰霾污染防治法规政策和标准，主要大气污染物排放总量不断下降，空气环境质量逐步改善，灰霾污染有效控制。”</w:t>
            </w:r>
          </w:p>
          <w:p w14:paraId="59B9CB74">
            <w:pPr>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经分析，本项目为</w:t>
            </w:r>
            <w:r>
              <w:rPr>
                <w:rFonts w:ascii="Times New Roman" w:hAnsi="Times New Roman" w:eastAsia="宋体" w:cs="Times New Roman"/>
                <w:color w:val="000000" w:themeColor="text1"/>
                <w:sz w:val="24"/>
                <w:szCs w:val="24"/>
                <w:lang w:val="en-GB"/>
                <w14:textFill>
                  <w14:solidFill>
                    <w14:schemeClr w14:val="tx1"/>
                  </w14:solidFill>
                </w14:textFill>
              </w:rPr>
              <w:t>烧结页岩砖生产技改项目</w:t>
            </w:r>
            <w:r>
              <w:rPr>
                <w:rFonts w:ascii="Times New Roman" w:hAnsi="Times New Roman" w:eastAsia="宋体" w:cs="Times New Roman"/>
                <w:color w:val="000000" w:themeColor="text1"/>
                <w:sz w:val="24"/>
                <w:szCs w:val="24"/>
                <w14:textFill>
                  <w14:solidFill>
                    <w14:schemeClr w14:val="tx1"/>
                  </w14:solidFill>
                </w14:textFill>
              </w:rPr>
              <w:t>，</w:t>
            </w:r>
            <w:r>
              <w:rPr>
                <w:rFonts w:ascii="Times New Roman" w:hAnsi="Times New Roman" w:eastAsia="宋体" w:cs="Times New Roman"/>
                <w:color w:val="000000" w:themeColor="text1"/>
                <w:sz w:val="24"/>
                <w:szCs w:val="24"/>
                <w:lang w:val="en-GB"/>
                <w14:textFill>
                  <w14:solidFill>
                    <w14:schemeClr w14:val="tx1"/>
                  </w14:solidFill>
                </w14:textFill>
              </w:rPr>
              <w:t>利用水基钻井废弃物、无机工业污泥等一般工业固废替代部分原料制砖。技改完成后，不新增产能</w:t>
            </w:r>
            <w:r>
              <w:rPr>
                <w:rFonts w:ascii="Times New Roman" w:hAnsi="Times New Roman" w:eastAsia="宋体" w:cs="Times New Roman"/>
                <w:color w:val="000000" w:themeColor="text1"/>
                <w:sz w:val="24"/>
                <w:szCs w:val="24"/>
                <w14:textFill>
                  <w14:solidFill>
                    <w14:schemeClr w14:val="tx1"/>
                  </w14:solidFill>
                </w14:textFill>
              </w:rPr>
              <w:t>，不新增氮氧化物、工业烟粉尘、挥发性有机物等污染物的排放，对环境空气影响小，同时可削减粉尘。符合《关于加强灰霾污染防治的通知》提出的污染控制类型和要求。</w:t>
            </w:r>
          </w:p>
          <w:p w14:paraId="5AE32E20">
            <w:pPr>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3、与《遂宁市大气污染防治行动计划实施细则》符合性分析</w:t>
            </w:r>
          </w:p>
          <w:p w14:paraId="6692C9AF">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根据遂宁市政府办公室关于印发《遂宁市</w:t>
            </w:r>
            <w:r>
              <w:rPr>
                <w:rFonts w:ascii="Times New Roman" w:hAnsi="Times New Roman" w:eastAsia="宋体" w:cs="Times New Roman"/>
                <w:color w:val="000000" w:themeColor="text1"/>
                <w:sz w:val="24"/>
                <w:szCs w:val="24"/>
                <w14:textFill>
                  <w14:solidFill>
                    <w14:schemeClr w14:val="tx1"/>
                  </w14:solidFill>
                </w14:textFill>
              </w:rPr>
              <w:t>大气污染防治行动计划实施细则</w:t>
            </w:r>
            <w:r>
              <w:rPr>
                <w:rFonts w:ascii="Times New Roman" w:hAnsi="Times New Roman" w:eastAsia="宋体" w:cs="Times New Roman"/>
                <w:bCs/>
                <w:color w:val="000000" w:themeColor="text1"/>
                <w:sz w:val="24"/>
                <w:szCs w:val="24"/>
                <w14:textFill>
                  <w14:solidFill>
                    <w14:schemeClr w14:val="tx1"/>
                  </w14:solidFill>
                </w14:textFill>
              </w:rPr>
              <w:t>》的通知（遂府函[2014]148号）：实施工业污染治理，强化协同减排 改造和治理工业企业燃煤锅炉和工业炉窑，实施煤改气或完善脱硫脱硝除尘等污染治理设施，大幅度削减工业企业二氧化硫、氮氧化物、烟粉尘排放总量，确保稳定达标排放。市建成区逐步淘汰10蒸吨/时及以下的燃煤锅炉，禁止新建20蒸吨/时以下的燃煤锅炉。</w:t>
            </w:r>
          </w:p>
          <w:p w14:paraId="36B0E63A">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本项目隧道窑已采取双碱湿式脱硫除尘系统，可确保污染物达标，本次为技改项目，不新增产能，技改后不新增二氧化硫、氮氧化物、烟粉尘排放总量</w:t>
            </w:r>
            <w:r>
              <w:rPr>
                <w:rFonts w:ascii="Times New Roman" w:hAnsi="Times New Roman" w:eastAsia="宋体" w:cs="Times New Roman"/>
                <w:color w:val="000000" w:themeColor="text1"/>
                <w:sz w:val="24"/>
                <w:szCs w:val="24"/>
                <w14:textFill>
                  <w14:solidFill>
                    <w14:schemeClr w14:val="tx1"/>
                  </w14:solidFill>
                </w14:textFill>
              </w:rPr>
              <w:t>，本项目</w:t>
            </w:r>
            <w:r>
              <w:rPr>
                <w:rFonts w:ascii="Times New Roman" w:hAnsi="Times New Roman" w:eastAsia="宋体" w:cs="Times New Roman"/>
                <w:bCs/>
                <w:color w:val="000000" w:themeColor="text1"/>
                <w:sz w:val="24"/>
                <w:szCs w:val="24"/>
                <w14:textFill>
                  <w14:solidFill>
                    <w14:schemeClr w14:val="tx1"/>
                  </w14:solidFill>
                </w14:textFill>
              </w:rPr>
              <w:t>不涉及燃煤锅炉。综上分析，本项目符合《遂宁市大气污染防治行动计划实施细则》相关要求。</w:t>
            </w:r>
          </w:p>
          <w:p w14:paraId="41B4E3DD">
            <w:pPr>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4、与《水污染防治行动计划》等的符合性分析</w:t>
            </w:r>
          </w:p>
          <w:p w14:paraId="684B5A47">
            <w:pPr>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水污染防治行动计划》及《水污染防治行动计划四川省工作方案》：制定造纸、焦化、氮肥、有色金属、印染、农副食品加工、原料药制造、制革、农药电镀等行业专项治理方案，实施清洁化改造，新建、改建、扩建上述行业建设项目实行主要污染物等量或减量置换。集聚区内工业废水必须经预处理达到集中处置要求，方可进入污水集中处理设施。新建、升级工业集聚区应同步规划、建设污水、垃圾集中处置等污染治理设施。本项目为</w:t>
            </w:r>
            <w:r>
              <w:rPr>
                <w:rFonts w:ascii="Times New Roman" w:hAnsi="Times New Roman" w:eastAsia="宋体" w:cs="Times New Roman"/>
                <w:color w:val="000000" w:themeColor="text1"/>
                <w:sz w:val="24"/>
                <w:szCs w:val="24"/>
                <w:lang w:val="en-GB"/>
                <w14:textFill>
                  <w14:solidFill>
                    <w14:schemeClr w14:val="tx1"/>
                  </w14:solidFill>
                </w14:textFill>
              </w:rPr>
              <w:t>烧结页岩砖生产技改项目</w:t>
            </w:r>
            <w:r>
              <w:rPr>
                <w:rFonts w:ascii="Times New Roman" w:hAnsi="Times New Roman" w:eastAsia="宋体" w:cs="Times New Roman"/>
                <w:color w:val="000000" w:themeColor="text1"/>
                <w:sz w:val="24"/>
                <w:szCs w:val="24"/>
                <w14:textFill>
                  <w14:solidFill>
                    <w14:schemeClr w14:val="tx1"/>
                  </w14:solidFill>
                </w14:textFill>
              </w:rPr>
              <w:t>，不属于上述“十大重点行业”，不需要总量替代，仅需核定总量指标。项目生产过程无废水排放，生活污水预处理后用作农田施肥，不外排。</w:t>
            </w:r>
          </w:p>
          <w:p w14:paraId="4AB2963C">
            <w:pPr>
              <w:snapToGrid w:val="0"/>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因此，本项目符合《水污染防治行动计划》、《&lt;水污染防治行动计划&gt;四川省工作方案》的要求。</w:t>
            </w:r>
          </w:p>
          <w:p w14:paraId="5CBA8587">
            <w:pPr>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5、与《土壤污染防治行动计划》的符合性分析</w:t>
            </w:r>
          </w:p>
          <w:p w14:paraId="0A49C8E5">
            <w:pPr>
              <w:autoSpaceDE w:val="0"/>
              <w:autoSpaceDN w:val="0"/>
              <w:adjustRightInd w:val="0"/>
              <w:snapToGrid w:val="0"/>
              <w:spacing w:line="360" w:lineRule="auto"/>
              <w:ind w:firstLine="480" w:firstLineChars="200"/>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根据《土壤污染防治行动计划》：防控企业污染，严格控制在优先保护类耕地集中区域新建有色金属冶炼、石油加工、化工、焦化、电镀、制革等行业企业，现有行业企业要采用新技术、新工艺，加快提标升级改造步伐。将建设用地土壤环境管理要求纳入城市规划和供地管理，土地开发利用必须符合土壤环境质量要求，对不符合土壤环境质量要求的地块，一律不得进入用地程序。本项目属于</w:t>
            </w:r>
            <w:r>
              <w:rPr>
                <w:rFonts w:ascii="Times New Roman" w:hAnsi="Times New Roman" w:eastAsia="宋体" w:cs="Times New Roman"/>
                <w:color w:val="000000" w:themeColor="text1"/>
                <w:kern w:val="0"/>
                <w:sz w:val="24"/>
                <w:szCs w:val="24"/>
                <w:lang w:val="en-GB"/>
                <w14:textFill>
                  <w14:solidFill>
                    <w14:schemeClr w14:val="tx1"/>
                  </w14:solidFill>
                </w14:textFill>
              </w:rPr>
              <w:t>烧结页岩砖生产技改项目</w:t>
            </w:r>
            <w:r>
              <w:rPr>
                <w:rFonts w:ascii="Times New Roman" w:hAnsi="Times New Roman" w:eastAsia="宋体" w:cs="Times New Roman"/>
                <w:color w:val="000000" w:themeColor="text1"/>
                <w:kern w:val="0"/>
                <w:sz w:val="24"/>
                <w:szCs w:val="24"/>
                <w14:textFill>
                  <w14:solidFill>
                    <w14:schemeClr w14:val="tx1"/>
                  </w14:solidFill>
                </w14:textFill>
              </w:rPr>
              <w:t>，不属于上述重点行业；用地范围内土壤环境质量符合要求，不涉及重金属排放。</w:t>
            </w:r>
          </w:p>
          <w:p w14:paraId="45220B2F">
            <w:pPr>
              <w:snapToGrid w:val="0"/>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因此，本项目符合《土壤污染防治行动计划》的相关要求。</w:t>
            </w:r>
          </w:p>
          <w:p w14:paraId="1E2455DE">
            <w:pPr>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6、</w:t>
            </w:r>
            <w:r>
              <w:rPr>
                <w:rFonts w:ascii="Times New Roman" w:hAnsi="Times New Roman" w:eastAsia="宋体" w:cs="Times New Roman"/>
                <w:b/>
                <w:color w:val="000000" w:themeColor="text1"/>
                <w:sz w:val="24"/>
                <w:szCs w:val="24"/>
                <w14:textFill>
                  <w14:solidFill>
                    <w14:schemeClr w14:val="tx1"/>
                  </w14:solidFill>
                </w14:textFill>
              </w:rPr>
              <w:t>与《遂宁市“十四五”土壤污染防治规划》的符合性分析</w:t>
            </w:r>
          </w:p>
          <w:p w14:paraId="186976D5">
            <w:pPr>
              <w:snapToGrid w:val="0"/>
              <w:spacing w:line="360" w:lineRule="auto"/>
              <w:ind w:firstLine="480" w:firstLineChars="200"/>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根据《遂宁市“十四五”土壤污染防治规划》：加强重点行业企业监管。严格重点行业企业准入，强化建设项目土壤环境影响评价刚性约束，鼓励工业企业集聚发展。强化涉及有毒有害物质或可能造成土壤污染的新（改、扩）建项目环境影响评价，提出并落实防腐蚀、防渗漏、防遗撒等土壤污染防治措施。</w:t>
            </w:r>
          </w:p>
          <w:p w14:paraId="625C3141">
            <w:pPr>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加强固体废物污染监管。强化固废（危废）产生、贮存、转移和利用处置全过程监管，定期开展固体废物堆存场所排查整治行动，督促企业严格落实“三防措施”。全面实施工业固体废物排污许可管理，持续推进工业固体废物减排，逐步降低工业固体废物产生强度、提高工业固体废物综合利用率、控制工业固体废物贮存处置总量。鼓励园区内企业间循环利用固体废物，畅通固体废物综合利用运行渠道，形成企业间固体废物综合利用的协作链网，提高固体废物资源化水平。</w:t>
            </w:r>
          </w:p>
          <w:p w14:paraId="130AFF41">
            <w:pPr>
              <w:snapToGrid w:val="0"/>
              <w:spacing w:line="360" w:lineRule="auto"/>
              <w:ind w:firstLine="480" w:firstLineChars="200"/>
              <w:rPr>
                <w:rFonts w:ascii="Times New Roman" w:hAnsi="Times New Roman" w:eastAsia="宋体" w:cs="Times New Roman"/>
                <w:color w:val="000000" w:themeColor="text1"/>
                <w:sz w:val="24"/>
                <w:szCs w:val="24"/>
                <w:u w:val="single"/>
                <w14:textFill>
                  <w14:solidFill>
                    <w14:schemeClr w14:val="tx1"/>
                  </w14:solidFill>
                </w14:textFill>
              </w:rPr>
            </w:pPr>
            <w:r>
              <w:rPr>
                <w:rFonts w:ascii="Times New Roman" w:hAnsi="Times New Roman" w:eastAsia="宋体" w:cs="Times New Roman"/>
                <w:color w:val="000000" w:themeColor="text1"/>
                <w:sz w:val="24"/>
                <w:szCs w:val="24"/>
                <w:u w:val="single"/>
                <w14:textFill>
                  <w14:solidFill>
                    <w14:schemeClr w14:val="tx1"/>
                  </w14:solidFill>
                </w14:textFill>
              </w:rPr>
              <w:t>本项目属于一般固废综合利用，不属于涉重金属的重点行业企业。本项目接收、贮存、利用水基钻井废弃物、无机工业污泥等（均为一般工业固废），均采取严格的入场评估、质量控制要求，固废运输由产污企业承担，固废转运采取</w:t>
            </w:r>
            <w:r>
              <w:rPr>
                <w:rFonts w:hint="eastAsia" w:ascii="Times New Roman" w:hAnsi="Times New Roman" w:eastAsia="宋体" w:cs="Times New Roman"/>
                <w:color w:val="000000" w:themeColor="text1"/>
                <w:sz w:val="24"/>
                <w:szCs w:val="24"/>
                <w:u w:val="single"/>
                <w14:textFill>
                  <w14:solidFill>
                    <w14:schemeClr w14:val="tx1"/>
                  </w14:solidFill>
                </w14:textFill>
              </w:rPr>
              <w:t>严格</w:t>
            </w:r>
            <w:r>
              <w:rPr>
                <w:rFonts w:ascii="Times New Roman" w:hAnsi="Times New Roman" w:eastAsia="宋体" w:cs="Times New Roman"/>
                <w:color w:val="000000" w:themeColor="text1"/>
                <w:sz w:val="24"/>
                <w:szCs w:val="24"/>
                <w:u w:val="single"/>
                <w14:textFill>
                  <w14:solidFill>
                    <w14:schemeClr w14:val="tx1"/>
                  </w14:solidFill>
                </w14:textFill>
              </w:rPr>
              <w:t>的监管措施，要求固废转运必须在环保局进行备案。本项目一般固废贮存间设置导流沟、渗滤液收集池，并采取重点防渗措施。</w:t>
            </w:r>
          </w:p>
          <w:p w14:paraId="77350C2F">
            <w:pPr>
              <w:snapToGrid w:val="0"/>
              <w:spacing w:line="360" w:lineRule="auto"/>
              <w:ind w:firstLine="482" w:firstLineChars="200"/>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综上分析，本项目与《遂宁市“十四五”土壤污染防治规划》相关要求相符。</w:t>
            </w:r>
          </w:p>
          <w:p w14:paraId="64708A22">
            <w:pPr>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7、与《固体废物再生利用污染防治技术导则》（HJ1091-2020）符合性分析</w:t>
            </w:r>
          </w:p>
          <w:p w14:paraId="3630CBBE">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项目与《固体废物再生利用污染防治技术导则》（HJ1091-2020）符合性分析如下：</w:t>
            </w:r>
          </w:p>
          <w:p w14:paraId="48BA1E58">
            <w:pPr>
              <w:snapToGrid w:val="0"/>
              <w:jc w:val="center"/>
              <w:rPr>
                <w:rFonts w:ascii="Times New Roman" w:hAnsi="Times New Roman" w:eastAsia="宋体" w:cs="Times New Roman"/>
                <w:b/>
                <w:bCs/>
                <w:color w:val="000000" w:themeColor="text1"/>
                <w:szCs w:val="24"/>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 xml:space="preserve">表1-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表1-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3</w:t>
            </w:r>
            <w:r>
              <w:rPr>
                <w:rFonts w:ascii="Times New Roman" w:hAnsi="Times New Roman" w:eastAsia="宋体" w:cs="Times New Roman"/>
                <w:b/>
                <w:bCs/>
                <w:color w:val="000000" w:themeColor="text1"/>
                <w:szCs w:val="21"/>
                <w14:textFill>
                  <w14:solidFill>
                    <w14:schemeClr w14:val="tx1"/>
                  </w14:solidFill>
                </w14:textFill>
              </w:rPr>
              <w:fldChar w:fldCharType="end"/>
            </w:r>
            <w:r>
              <w:rPr>
                <w:rFonts w:ascii="Times New Roman" w:hAnsi="Times New Roman" w:eastAsia="宋体" w:cs="Times New Roman"/>
                <w:b/>
                <w:bCs/>
                <w:color w:val="000000" w:themeColor="text1"/>
                <w:szCs w:val="21"/>
                <w14:textFill>
                  <w14:solidFill>
                    <w14:schemeClr w14:val="tx1"/>
                  </w14:solidFill>
                </w14:textFill>
              </w:rPr>
              <w:t xml:space="preserve">  </w:t>
            </w:r>
            <w:r>
              <w:rPr>
                <w:rFonts w:ascii="Times New Roman" w:hAnsi="Times New Roman" w:eastAsia="宋体" w:cs="Times New Roman"/>
                <w:b/>
                <w:bCs/>
                <w:color w:val="000000" w:themeColor="text1"/>
                <w:szCs w:val="24"/>
                <w14:textFill>
                  <w14:solidFill>
                    <w14:schemeClr w14:val="tx1"/>
                  </w14:solidFill>
                </w14:textFill>
              </w:rPr>
              <w:t>与《固体废物再生利用污染防治技术导则》符合性分析</w:t>
            </w:r>
          </w:p>
          <w:tbl>
            <w:tblPr>
              <w:tblStyle w:val="25"/>
              <w:tblW w:w="81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60"/>
              <w:gridCol w:w="4111"/>
              <w:gridCol w:w="2551"/>
              <w:gridCol w:w="750"/>
            </w:tblGrid>
            <w:tr w14:paraId="13D09F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4871" w:type="dxa"/>
                  <w:gridSpan w:val="2"/>
                  <w:vAlign w:val="center"/>
                </w:tcPr>
                <w:p w14:paraId="2942A014">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导则要求</w:t>
                  </w:r>
                </w:p>
              </w:tc>
              <w:tc>
                <w:tcPr>
                  <w:tcW w:w="2551" w:type="dxa"/>
                  <w:vAlign w:val="center"/>
                </w:tcPr>
                <w:p w14:paraId="7AA309F0">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项目情况</w:t>
                  </w:r>
                </w:p>
              </w:tc>
              <w:tc>
                <w:tcPr>
                  <w:tcW w:w="750" w:type="dxa"/>
                  <w:vAlign w:val="center"/>
                </w:tcPr>
                <w:p w14:paraId="6660D764">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符合性</w:t>
                  </w:r>
                </w:p>
              </w:tc>
            </w:tr>
            <w:tr w14:paraId="17B85B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restart"/>
                  <w:vAlign w:val="center"/>
                </w:tcPr>
                <w:p w14:paraId="0AD759B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5要工艺单元污染防治技术要求</w:t>
                  </w:r>
                </w:p>
              </w:tc>
              <w:tc>
                <w:tcPr>
                  <w:tcW w:w="4111" w:type="dxa"/>
                  <w:vAlign w:val="center"/>
                </w:tcPr>
                <w:p w14:paraId="2EE5BB64">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5.1.3应根据固体废物的特性设置必要的防扬撒、防渗漏、防腐蚀设施，配备废气处理、废水处理、噪声控制等污染防治设施，按要求对主要环境影响指标进行在线监测。</w:t>
                  </w:r>
                </w:p>
              </w:tc>
              <w:tc>
                <w:tcPr>
                  <w:tcW w:w="2551" w:type="dxa"/>
                  <w:vAlign w:val="center"/>
                </w:tcPr>
                <w:p w14:paraId="06659C0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本项目设置1处150m</w:t>
                  </w:r>
                  <w:r>
                    <w:rPr>
                      <w:rFonts w:ascii="Times New Roman" w:hAnsi="Times New Roman" w:eastAsia="宋体" w:cs="Times New Roman"/>
                      <w:color w:val="000000" w:themeColor="text1"/>
                      <w:szCs w:val="21"/>
                      <w:vertAlign w:val="superscript"/>
                      <w14:textFill>
                        <w14:solidFill>
                          <w14:schemeClr w14:val="tx1"/>
                        </w14:solidFill>
                      </w14:textFill>
                    </w:rPr>
                    <w:t>2</w:t>
                  </w:r>
                  <w:r>
                    <w:rPr>
                      <w:rFonts w:ascii="Times New Roman" w:hAnsi="Times New Roman" w:eastAsia="宋体" w:cs="Times New Roman"/>
                      <w:color w:val="000000" w:themeColor="text1"/>
                      <w:szCs w:val="21"/>
                      <w14:textFill>
                        <w14:solidFill>
                          <w14:schemeClr w14:val="tx1"/>
                        </w14:solidFill>
                      </w14:textFill>
                    </w:rPr>
                    <w:t>的一般工业固废贮存间，贮存间采取重点防渗，各类固废设置单独隔间分别存储。本项目使用的一般工业固废为无机固废，不涉及有机污泥，无H</w:t>
                  </w:r>
                  <w:r>
                    <w:rPr>
                      <w:rFonts w:ascii="Times New Roman" w:hAnsi="Times New Roman" w:eastAsia="宋体" w:cs="Times New Roman"/>
                      <w:color w:val="000000" w:themeColor="text1"/>
                      <w:szCs w:val="21"/>
                      <w:vertAlign w:val="subscript"/>
                      <w14:textFill>
                        <w14:solidFill>
                          <w14:schemeClr w14:val="tx1"/>
                        </w14:solidFill>
                      </w14:textFill>
                    </w:rPr>
                    <w:t>2</w:t>
                  </w:r>
                  <w:r>
                    <w:rPr>
                      <w:rFonts w:ascii="Times New Roman" w:hAnsi="Times New Roman" w:eastAsia="宋体" w:cs="Times New Roman"/>
                      <w:color w:val="000000" w:themeColor="text1"/>
                      <w:szCs w:val="21"/>
                      <w14:textFill>
                        <w14:solidFill>
                          <w14:schemeClr w14:val="tx1"/>
                        </w14:solidFill>
                      </w14:textFill>
                    </w:rPr>
                    <w:t>S、氨等恶臭气体产生，贮存间设置为封闭彩钢结构，四周设置导流沟，满足防扬撒、防渗漏、防腐蚀要求。</w:t>
                  </w:r>
                </w:p>
              </w:tc>
              <w:tc>
                <w:tcPr>
                  <w:tcW w:w="750" w:type="dxa"/>
                  <w:vAlign w:val="center"/>
                </w:tcPr>
                <w:p w14:paraId="4A84581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457A8A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continue"/>
                  <w:vAlign w:val="center"/>
                </w:tcPr>
                <w:p w14:paraId="00CF9B5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111" w:type="dxa"/>
                  <w:vAlign w:val="center"/>
                </w:tcPr>
                <w:p w14:paraId="0C326149">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5.1.4产生粉尘和有毒有害气体的作业区应采取除尘和有毒有害气体收集措施。扬尘点应设置吸尘罩和收尘设备，有毒有害气体逸散区应设置吸附（吸收）转化装置，保证作业区粉尘、有害气体。浓度满足GBZ2.1的要求</w:t>
                  </w:r>
                </w:p>
              </w:tc>
              <w:tc>
                <w:tcPr>
                  <w:tcW w:w="2551" w:type="dxa"/>
                  <w:vAlign w:val="center"/>
                </w:tcPr>
                <w:p w14:paraId="5C9212A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本项目使用的一般工业固废为无机固废，不涉及有机污泥，无H</w:t>
                  </w:r>
                  <w:r>
                    <w:rPr>
                      <w:rFonts w:ascii="Times New Roman" w:hAnsi="Times New Roman" w:eastAsia="宋体" w:cs="Times New Roman"/>
                      <w:color w:val="000000" w:themeColor="text1"/>
                      <w:szCs w:val="21"/>
                      <w:vertAlign w:val="subscript"/>
                      <w14:textFill>
                        <w14:solidFill>
                          <w14:schemeClr w14:val="tx1"/>
                        </w14:solidFill>
                      </w14:textFill>
                    </w:rPr>
                    <w:t>2</w:t>
                  </w:r>
                  <w:r>
                    <w:rPr>
                      <w:rFonts w:ascii="Times New Roman" w:hAnsi="Times New Roman" w:eastAsia="宋体" w:cs="Times New Roman"/>
                      <w:color w:val="000000" w:themeColor="text1"/>
                      <w:szCs w:val="21"/>
                      <w14:textFill>
                        <w14:solidFill>
                          <w14:schemeClr w14:val="tx1"/>
                        </w14:solidFill>
                      </w14:textFill>
                    </w:rPr>
                    <w:t>S、氨等恶臭气体、有毒有害气体产生，贮存间设置为封闭彩钢结构。破碎过程产生的粉尘进入收尘系统处理达标排放。</w:t>
                  </w:r>
                </w:p>
              </w:tc>
              <w:tc>
                <w:tcPr>
                  <w:tcW w:w="750" w:type="dxa"/>
                  <w:vAlign w:val="center"/>
                </w:tcPr>
                <w:p w14:paraId="0895CDC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00CD50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continue"/>
                  <w:vAlign w:val="center"/>
                </w:tcPr>
                <w:p w14:paraId="43B0990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111" w:type="dxa"/>
                  <w:vAlign w:val="center"/>
                </w:tcPr>
                <w:p w14:paraId="25D3412C">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5.1.5应采取大气污染控制措施，大气污染物排放应满足特定行业排放（控制)标准的要求。没有特定行业污染排放（控制）标准的，应满足GB16297的要求，特征污染物排放（控制)应满足环境影响评价要求。</w:t>
                  </w:r>
                </w:p>
              </w:tc>
              <w:tc>
                <w:tcPr>
                  <w:tcW w:w="2551" w:type="dxa"/>
                  <w:vAlign w:val="center"/>
                </w:tcPr>
                <w:p w14:paraId="44F980F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项目破碎、筛分工序设置布袋除尘器处理，烘干、烧结工序设置湿式脱硫塔处理，废气达到《砖瓦工业大气污染物排放标准》（GB</w:t>
                  </w:r>
                </w:p>
                <w:p w14:paraId="4539E89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29620-2013）后排放。</w:t>
                  </w:r>
                </w:p>
              </w:tc>
              <w:tc>
                <w:tcPr>
                  <w:tcW w:w="750" w:type="dxa"/>
                  <w:vAlign w:val="center"/>
                </w:tcPr>
                <w:p w14:paraId="328F1EC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6053D1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continue"/>
                  <w:vAlign w:val="center"/>
                </w:tcPr>
                <w:p w14:paraId="319CA70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111" w:type="dxa"/>
                  <w:vAlign w:val="center"/>
                </w:tcPr>
                <w:p w14:paraId="3621C9C0">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5.1.6应采取必要的措施防止恶臭物质扩散，周界恶臭污染物浓度应符合GB14554的要求</w:t>
                  </w:r>
                </w:p>
              </w:tc>
              <w:tc>
                <w:tcPr>
                  <w:tcW w:w="2551" w:type="dxa"/>
                  <w:vAlign w:val="center"/>
                </w:tcPr>
                <w:p w14:paraId="022EA7D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不涉及有机污泥，无恶臭气体、有毒有害气体产生。</w:t>
                  </w:r>
                </w:p>
              </w:tc>
              <w:tc>
                <w:tcPr>
                  <w:tcW w:w="750" w:type="dxa"/>
                  <w:vAlign w:val="center"/>
                </w:tcPr>
                <w:p w14:paraId="0687933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3A3FB1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continue"/>
                  <w:vAlign w:val="center"/>
                </w:tcPr>
                <w:p w14:paraId="73CF14A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111" w:type="dxa"/>
                  <w:vAlign w:val="center"/>
                </w:tcPr>
                <w:p w14:paraId="5199AA22">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5.1.8 应防止噪声污染。设备运转时厂界噪声应符合GB12348的要求，作业车间噪声应符合GBZ2.2的要求</w:t>
                  </w:r>
                </w:p>
              </w:tc>
              <w:tc>
                <w:tcPr>
                  <w:tcW w:w="2551" w:type="dxa"/>
                  <w:vAlign w:val="center"/>
                </w:tcPr>
                <w:p w14:paraId="05ED62A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本次技改不新增主要生产设施，厂界噪声可满足《工业企业厂界环境噪声排放标准》（GB12348-2008）表1中2类标准限值要求。</w:t>
                  </w:r>
                </w:p>
              </w:tc>
              <w:tc>
                <w:tcPr>
                  <w:tcW w:w="750" w:type="dxa"/>
                  <w:vAlign w:val="center"/>
                </w:tcPr>
                <w:p w14:paraId="036DF58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1DAE2F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continue"/>
                  <w:vAlign w:val="center"/>
                </w:tcPr>
                <w:p w14:paraId="1B57654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111" w:type="dxa"/>
                  <w:vAlign w:val="center"/>
                </w:tcPr>
                <w:p w14:paraId="5837C616">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5.1.9产生的污泥、底渣、废油类等固体废物应按照其管理属性分别处置。不能自行综合利用或处置的，应交给有相应资质和处理能力的企业进行综合利用或处置</w:t>
                  </w:r>
                </w:p>
              </w:tc>
              <w:tc>
                <w:tcPr>
                  <w:tcW w:w="2551" w:type="dxa"/>
                  <w:vAlign w:val="center"/>
                </w:tcPr>
                <w:p w14:paraId="6F85E5F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本项目产生的各类危险废物暂存于危废暂存间，定期交有资质单位处置。</w:t>
                  </w:r>
                </w:p>
              </w:tc>
              <w:tc>
                <w:tcPr>
                  <w:tcW w:w="750" w:type="dxa"/>
                  <w:vAlign w:val="center"/>
                </w:tcPr>
                <w:p w14:paraId="76735BB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00CFE5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continue"/>
                  <w:vAlign w:val="center"/>
                </w:tcPr>
                <w:p w14:paraId="0F59688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111" w:type="dxa"/>
                  <w:vAlign w:val="center"/>
                </w:tcPr>
                <w:p w14:paraId="2B89B597">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5.1.10危险废物的贮存、包装、处置等应符合GB18597、HJ2042等危险废物专用标准的要求</w:t>
                  </w:r>
                </w:p>
              </w:tc>
              <w:tc>
                <w:tcPr>
                  <w:tcW w:w="2551" w:type="dxa"/>
                  <w:vAlign w:val="center"/>
                </w:tcPr>
                <w:p w14:paraId="172B87D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项目危险废物的贮存、包装和处置均符合GB18597、H2042等危险废物专用标准的要求。</w:t>
                  </w:r>
                </w:p>
              </w:tc>
              <w:tc>
                <w:tcPr>
                  <w:tcW w:w="750" w:type="dxa"/>
                  <w:vAlign w:val="center"/>
                </w:tcPr>
                <w:p w14:paraId="1329A5E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30B5E0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continue"/>
                  <w:vAlign w:val="center"/>
                </w:tcPr>
                <w:p w14:paraId="497C472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111" w:type="dxa"/>
                  <w:vAlign w:val="center"/>
                </w:tcPr>
                <w:p w14:paraId="32B025B7">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5.3.1 干燥是用热空气、烟道气、红外线、水蒸气、导热油等热源加热烘干固体废物，除去其中所含的水分等溶剂，以达到减容、减量，便于处理、处置和再利用目</w:t>
                  </w:r>
                  <w:r>
                    <w:rPr>
                      <w:rFonts w:hint="eastAsia" w:ascii="Times New Roman" w:hAnsi="Times New Roman" w:eastAsia="宋体" w:cs="Times New Roman"/>
                      <w:color w:val="000000" w:themeColor="text1"/>
                      <w:szCs w:val="21"/>
                      <w:lang w:eastAsia="zh-CN"/>
                      <w14:textFill>
                        <w14:solidFill>
                          <w14:schemeClr w14:val="tx1"/>
                        </w14:solidFill>
                      </w14:textFill>
                    </w:rPr>
                    <w:t>的</w:t>
                  </w:r>
                  <w:r>
                    <w:rPr>
                      <w:rFonts w:ascii="Times New Roman" w:hAnsi="Times New Roman" w:eastAsia="宋体" w:cs="Times New Roman"/>
                      <w:color w:val="000000" w:themeColor="text1"/>
                      <w:szCs w:val="21"/>
                      <w14:textFill>
                        <w14:solidFill>
                          <w14:schemeClr w14:val="tx1"/>
                        </w14:solidFill>
                      </w14:textFill>
                    </w:rPr>
                    <w:t>过程</w:t>
                  </w:r>
                </w:p>
              </w:tc>
              <w:tc>
                <w:tcPr>
                  <w:tcW w:w="2551" w:type="dxa"/>
                  <w:vAlign w:val="center"/>
                </w:tcPr>
                <w:p w14:paraId="7B3A264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本项目固废掺烧与砖坯中，随砖坯烘干、烧结而降低水分，达到了减容、减量、综合利用的目的。</w:t>
                  </w:r>
                </w:p>
              </w:tc>
              <w:tc>
                <w:tcPr>
                  <w:tcW w:w="750" w:type="dxa"/>
                  <w:vAlign w:val="center"/>
                </w:tcPr>
                <w:p w14:paraId="6746BFB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5B9D9A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continue"/>
                  <w:vAlign w:val="center"/>
                </w:tcPr>
                <w:p w14:paraId="15F8C21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111" w:type="dxa"/>
                  <w:vAlign w:val="center"/>
                </w:tcPr>
                <w:p w14:paraId="57D6BD70">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5.3.2 固体废物干燥技术包括喷雾干燥、流化床干燥、气流干燥、回转圆筒干燥、厢式干燥等技术。</w:t>
                  </w:r>
                </w:p>
                <w:p w14:paraId="283BDCAB">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5.3.3应根据固体废物的物理性质、化学性质及其它性质，结合干燥技术的适用性合理选择干燥技术。溶液、悬浮液或泥浆状废物的干燥宜选择喷雾干燥技术；无凝聚作用的散粒状废物的干燥宜选择流化床干燥技术；粉粒状废物的干燥宜选择气流干燥技术；粒状或小块状废物的干燥宜选择回转圆筒干燥技术；少量热敏性、易氧化废物的干燥宜选择厢式干燥技术</w:t>
                  </w:r>
                </w:p>
              </w:tc>
              <w:tc>
                <w:tcPr>
                  <w:tcW w:w="2551" w:type="dxa"/>
                  <w:vAlign w:val="center"/>
                </w:tcPr>
                <w:p w14:paraId="5BBC858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本项目水基钻井废弃物含水率约40%~60%、工业污泥含水率约70%，均呈固态，在经自然干燥控制在60%以下即可与其他原料进行拌和，不会影响本项目生产工艺和产品质量。</w:t>
                  </w:r>
                </w:p>
              </w:tc>
              <w:tc>
                <w:tcPr>
                  <w:tcW w:w="750" w:type="dxa"/>
                  <w:vAlign w:val="center"/>
                </w:tcPr>
                <w:p w14:paraId="4ABA483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645108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continue"/>
                  <w:vAlign w:val="center"/>
                </w:tcPr>
                <w:p w14:paraId="18228EB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111" w:type="dxa"/>
                  <w:vAlign w:val="center"/>
                </w:tcPr>
                <w:p w14:paraId="5EA33C1B">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5.3.4应在干燥前明确固体废物的理化特性，以确定干燥介质的种类、干燥方法和干燥设备，具体包括：（1）物理性质。如主要组成、含水率、比热容、热导率等；液态废物还应明确浓度、粘度及表面张力等；（2）化学性质。如热敏性、毒性、可燃性、氧化性、酸碱度、摩擦带电性、吸水性等；（3）其他性质。如膏糊状废物的粘附性、触变性等</w:t>
                  </w:r>
                </w:p>
              </w:tc>
              <w:tc>
                <w:tcPr>
                  <w:tcW w:w="2551" w:type="dxa"/>
                  <w:vAlign w:val="center"/>
                </w:tcPr>
                <w:p w14:paraId="1E1F61A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本项目烧结的固体废物主要为水基钻井废弃物、无机工业污泥等一般工业固废，原料进厂前对其固废属性进行鉴别，并检测其理化性质，符合制砖要求才符合入场条件，本项对掺烧固废原料采取严格的管控措施。</w:t>
                  </w:r>
                </w:p>
              </w:tc>
              <w:tc>
                <w:tcPr>
                  <w:tcW w:w="750" w:type="dxa"/>
                  <w:vAlign w:val="center"/>
                </w:tcPr>
                <w:p w14:paraId="157F85E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098EEE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continue"/>
                  <w:vAlign w:val="center"/>
                </w:tcPr>
                <w:p w14:paraId="24F53C5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111" w:type="dxa"/>
                  <w:vAlign w:val="center"/>
                </w:tcPr>
                <w:p w14:paraId="5B896A91">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5.3.5 有下列任一种情况时，应选择闭路循环式干燥设备及废气处理设施，避免气体和颗粒状物质逸出造成大气污染。包括但不限于：（1）固体废物中含有挥发性有机类物质；（2）固体废物中含有有毒有害固体粉粒状物质；（3）固体废物中含有恶臭类物质；（4）固体废物干燥过程产生的粉尘在空气中可能形成爆炸混合物；（5）固体废物干燥过程中与氧接触易发生氧化反应的</w:t>
                  </w:r>
                </w:p>
              </w:tc>
              <w:tc>
                <w:tcPr>
                  <w:tcW w:w="2551" w:type="dxa"/>
                  <w:vAlign w:val="center"/>
                </w:tcPr>
                <w:p w14:paraId="3287ABD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使用的一般工业固废为无机固废，不涉及有机污泥，无恶臭气体、有毒有害气体产生，贮存间设置为封闭彩钢结构。项目破碎、筛分工序设置布袋除尘器处理，烘干、烧结工序设置湿式脱硫塔处理，废气达到《砖瓦工业大气污染物排放标准》（GB29620-2013）后排放。</w:t>
                  </w:r>
                </w:p>
              </w:tc>
              <w:tc>
                <w:tcPr>
                  <w:tcW w:w="750" w:type="dxa"/>
                  <w:vAlign w:val="center"/>
                </w:tcPr>
                <w:p w14:paraId="549CFD1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374256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continue"/>
                  <w:vAlign w:val="center"/>
                </w:tcPr>
                <w:p w14:paraId="4BD795D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111" w:type="dxa"/>
                  <w:vAlign w:val="center"/>
                </w:tcPr>
                <w:p w14:paraId="0C651E77">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5.3.8固体废物干燥工艺单元独立排放污染物时，应配备废气收集和处理设施，防止粉尘、恶臭、有毒有害气体等逸出引起二次污染</w:t>
                  </w:r>
                </w:p>
              </w:tc>
              <w:tc>
                <w:tcPr>
                  <w:tcW w:w="2551" w:type="dxa"/>
                  <w:vAlign w:val="center"/>
                </w:tcPr>
                <w:p w14:paraId="0B25C9C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项目破碎、筛分工序设置布袋除尘器处理，烘干、烧结工序设置湿式脱硫塔处理，废气达到《砖瓦工业大气污染物排放标准》（GB29620-2013）后排放。</w:t>
                  </w:r>
                </w:p>
              </w:tc>
              <w:tc>
                <w:tcPr>
                  <w:tcW w:w="750" w:type="dxa"/>
                  <w:vAlign w:val="center"/>
                </w:tcPr>
                <w:p w14:paraId="3648556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456FF6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continue"/>
                  <w:vAlign w:val="center"/>
                </w:tcPr>
                <w:p w14:paraId="1795C6F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111" w:type="dxa"/>
                  <w:vAlign w:val="center"/>
                </w:tcPr>
                <w:p w14:paraId="24230DE1">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5.4破碎技术要求</w:t>
                  </w:r>
                </w:p>
                <w:p w14:paraId="78CCB226">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5.4.1破碎是通过机械等外力的作用，破坏固体废物内部的凝聚力和分子间作用力，使固体废物破裂变碎的过程。将小块固体废物颗粒通过研磨等方式分裂成细粉状的过程称之为磨碎。</w:t>
                  </w:r>
                </w:p>
                <w:p w14:paraId="015378B6">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5.4.2固体废物破碎技术包括锤式破碎、冲击式破碎、剪切破碎、颚式破碎、圆锥破碎、斩式破碎、球磨破碎等</w:t>
                  </w:r>
                </w:p>
              </w:tc>
              <w:tc>
                <w:tcPr>
                  <w:tcW w:w="2551" w:type="dxa"/>
                  <w:vAlign w:val="center"/>
                </w:tcPr>
                <w:p w14:paraId="0EB5924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项目破碎采取</w:t>
                  </w:r>
                  <w:r>
                    <w:rPr>
                      <w:rFonts w:ascii="Times New Roman" w:hAnsi="Times New Roman" w:eastAsia="宋体" w:cs="Times New Roman"/>
                      <w:color w:val="000000" w:themeColor="text1"/>
                      <w:kern w:val="0"/>
                      <w:szCs w:val="21"/>
                      <w:lang w:bidi="ar"/>
                      <w14:textFill>
                        <w14:solidFill>
                          <w14:schemeClr w14:val="tx1"/>
                        </w14:solidFill>
                      </w14:textFill>
                    </w:rPr>
                    <w:t>颚式破碎机、锤式破碎机进行。</w:t>
                  </w:r>
                </w:p>
              </w:tc>
              <w:tc>
                <w:tcPr>
                  <w:tcW w:w="750" w:type="dxa"/>
                  <w:vAlign w:val="center"/>
                </w:tcPr>
                <w:p w14:paraId="744457D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009D98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continue"/>
                  <w:vAlign w:val="center"/>
                </w:tcPr>
                <w:p w14:paraId="0411894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111" w:type="dxa"/>
                  <w:vAlign w:val="center"/>
                </w:tcPr>
                <w:p w14:paraId="265602B7">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5.4.3易燃易爆或易释放挥发性毒性物质的固体废物，不应直接进行破碎处理。为防止爆燃，内部含有液体的固体废物（如废铅酸蓄电池、废溶剂桶等）在破碎处理前，应采用有效措施将液体清空，再进行破碎处理。含有不相容成分的固体废物不应进行混合破碎处理</w:t>
                  </w:r>
                </w:p>
              </w:tc>
              <w:tc>
                <w:tcPr>
                  <w:tcW w:w="2551" w:type="dxa"/>
                  <w:vAlign w:val="center"/>
                </w:tcPr>
                <w:p w14:paraId="1F09A043">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项目使用水基岩屑废弃物、无机工业污泥等一般工业固废，不涉及含挥发性毒性物质的固体废物，不含不相容成分。</w:t>
                  </w:r>
                </w:p>
              </w:tc>
              <w:tc>
                <w:tcPr>
                  <w:tcW w:w="750" w:type="dxa"/>
                  <w:vAlign w:val="center"/>
                </w:tcPr>
                <w:p w14:paraId="3A64D1B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59F2CB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continue"/>
                  <w:vAlign w:val="center"/>
                </w:tcPr>
                <w:p w14:paraId="3D93FBD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111" w:type="dxa"/>
                  <w:vAlign w:val="center"/>
                </w:tcPr>
                <w:p w14:paraId="7CD25E3F">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5.4.5固体废物破碎处理前应对其进行预处理，以保证给料的均匀性，防止非破碎物混入，引起破碎机械的过载损坏</w:t>
                  </w:r>
                </w:p>
              </w:tc>
              <w:tc>
                <w:tcPr>
                  <w:tcW w:w="2551" w:type="dxa"/>
                  <w:vAlign w:val="center"/>
                </w:tcPr>
                <w:p w14:paraId="78F1DC43">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本项目进入破碎前物料含水率控制在60%以下，性质稳定、均匀，不会引起破碎机械的过载损坏。</w:t>
                  </w:r>
                </w:p>
              </w:tc>
              <w:tc>
                <w:tcPr>
                  <w:tcW w:w="750" w:type="dxa"/>
                  <w:vAlign w:val="center"/>
                </w:tcPr>
                <w:p w14:paraId="74209E1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12DD7E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Align w:val="center"/>
                </w:tcPr>
                <w:p w14:paraId="2AA9484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 固体废物建材利用污染防治技术要求</w:t>
                  </w:r>
                </w:p>
              </w:tc>
              <w:tc>
                <w:tcPr>
                  <w:tcW w:w="4111" w:type="dxa"/>
                  <w:vAlign w:val="center"/>
                </w:tcPr>
                <w:p w14:paraId="12D5410D">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6.1固体废物建材利用设施应配备必要的废气处理、防止或降低噪声与粉尘处理等污染防治装置。</w:t>
                  </w:r>
                </w:p>
                <w:p w14:paraId="68208F97">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6.3利用固体废物生产砖瓦、轻骨料、集料、玻璃、陶瓷、陶粒、路基材料等建材过程的污染控制执行相关行业污染物排放标准，相关产品中有害物质含量参照GB30760的要求执行。</w:t>
                  </w:r>
                </w:p>
                <w:p w14:paraId="4EBE077A">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6.4固体废物建材利用过程中的再生利用工艺单元的污染控制应分别满足本标准中相应再生利用工艺单元的要求。</w:t>
                  </w:r>
                </w:p>
              </w:tc>
              <w:tc>
                <w:tcPr>
                  <w:tcW w:w="2551" w:type="dxa"/>
                  <w:vAlign w:val="center"/>
                </w:tcPr>
                <w:p w14:paraId="0FC0BA4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技改后项目综合利用一般工业固废，属于“导则”规定的“固体废物建材利用”，不涉及再生利用情形。项目生产过程中产生的污染物排放满足《砖瓦工业大气污染物排放标准》（GB29620-2013）后排放。项目产品符合中有害物质含量符合《水泥窑协同处置固体废物技术规范》（GB30760）要求。</w:t>
                  </w:r>
                </w:p>
              </w:tc>
              <w:tc>
                <w:tcPr>
                  <w:tcW w:w="750" w:type="dxa"/>
                  <w:vAlign w:val="center"/>
                </w:tcPr>
                <w:p w14:paraId="115CB25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773DCD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restart"/>
                  <w:vAlign w:val="center"/>
                </w:tcPr>
                <w:p w14:paraId="023CCD3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 监测</w:t>
                  </w:r>
                </w:p>
              </w:tc>
              <w:tc>
                <w:tcPr>
                  <w:tcW w:w="4111" w:type="dxa"/>
                  <w:vAlign w:val="center"/>
                </w:tcPr>
                <w:p w14:paraId="06832A7C">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8.1固体废物再生利用企业应定期对固体废物再生利用产品进行采样监测，监测频次应满足以下要求：（1）当首次再生利用某种危</w:t>
                  </w:r>
                </w:p>
                <w:p w14:paraId="3CE12297">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险废物时，针对再生利用产品中的特征污染物监测频次不低于每天1次；连续一周监测结果均不超出环境风险评价结果时，在该危险废物来源及投加量稳定的前提下﹐频次可减为每周1 次；连续两个月监测结果均不超出环境风险评价结果时，频次可减为每月1 次；若在此期间监测结果出现异常或危险废物来源发生变化或再生利用中断超过半年以上，则监测频次重新调整为每天1次，依次重复。（2）当首次再生利用除危险废物外的某种固体废物时，针对再生利用产品中的特征污染物监测频次不低于每周3次；连续二周监测结果均不超出环境风险评价结果时，在该废物来源及投加量稳定的前提下，频次可减为每月1次；连续三个月监测结果均不超出环境风险评价结果时，频次可减为每年1 次；若在此期间监测结果出现异常或固体废物来源发生变化或再生利用中断超过半年以上，则监测频次重新调整为不低于每周3次，依次重复。</w:t>
                  </w:r>
                </w:p>
              </w:tc>
              <w:tc>
                <w:tcPr>
                  <w:tcW w:w="2551" w:type="dxa"/>
                  <w:vAlign w:val="center"/>
                </w:tcPr>
                <w:p w14:paraId="6274909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本项目属于“导则”中规定的“固体废物建材利用”，不属于“再生利用”，但企业后期运行过程应严格落实本次环评提出的“污泥准入和评估”制度，并参照该导则定期对进场污泥进行监测。</w:t>
                  </w:r>
                </w:p>
              </w:tc>
              <w:tc>
                <w:tcPr>
                  <w:tcW w:w="750" w:type="dxa"/>
                  <w:vAlign w:val="center"/>
                </w:tcPr>
                <w:p w14:paraId="7D43D7B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465853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continue"/>
                  <w:vAlign w:val="center"/>
                </w:tcPr>
                <w:p w14:paraId="2E5B26A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111" w:type="dxa"/>
                  <w:vAlign w:val="center"/>
                </w:tcPr>
                <w:p w14:paraId="46313BEE">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8.2 固体废物再生利用企业应在固体废物再生利用过程中，按照相关要求，定期对场所和设施周边的大气、土壤、地表水和地下水等进行采样监测，以判断固体废物再生利用过程是否对大气、土壤、地表水和地下水造成二次污染。</w:t>
                  </w:r>
                </w:p>
              </w:tc>
              <w:tc>
                <w:tcPr>
                  <w:tcW w:w="2551" w:type="dxa"/>
                  <w:vAlign w:val="center"/>
                </w:tcPr>
                <w:p w14:paraId="424C6AC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本项目属于“导则”中规定的“固体废物建材利用”，不属于“再生利用”，但企业后期运行过程应严格落实本次环评提出的“营运期环境监测计划”要求开展。</w:t>
                  </w:r>
                </w:p>
              </w:tc>
              <w:tc>
                <w:tcPr>
                  <w:tcW w:w="750" w:type="dxa"/>
                  <w:vAlign w:val="center"/>
                </w:tcPr>
                <w:p w14:paraId="55E490A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bl>
          <w:p w14:paraId="5643C0FC">
            <w:pPr>
              <w:snapToGrid w:val="0"/>
              <w:spacing w:before="156" w:beforeLines="50"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综上分析，本项目符合《固体废物再生利用污染防治技术导则》（HJ1091-2020）要求。</w:t>
            </w:r>
          </w:p>
          <w:p w14:paraId="3092E45E">
            <w:pPr>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8、与《工业炉窑大气污染综合治理方案》符合性分析</w:t>
            </w:r>
          </w:p>
          <w:p w14:paraId="689E7935">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2019年7月生态环境部、发展改革委、工业和信息化部、财政部联合发布了《工业炉窑大气污染综合治理方案》（环大气[2019]56号），项目与该政策相关的条款相符性分析见下表：</w:t>
            </w:r>
          </w:p>
          <w:p w14:paraId="75C9816B">
            <w:pPr>
              <w:snapToGrid w:val="0"/>
              <w:jc w:val="center"/>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 xml:space="preserve">表1-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表1-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4</w:t>
            </w:r>
            <w:r>
              <w:rPr>
                <w:rFonts w:ascii="Times New Roman" w:hAnsi="Times New Roman" w:eastAsia="宋体" w:cs="Times New Roman"/>
                <w:b/>
                <w:bCs/>
                <w:color w:val="000000" w:themeColor="text1"/>
                <w:szCs w:val="21"/>
                <w14:textFill>
                  <w14:solidFill>
                    <w14:schemeClr w14:val="tx1"/>
                  </w14:solidFill>
                </w14:textFill>
              </w:rPr>
              <w:fldChar w:fldCharType="end"/>
            </w:r>
            <w:r>
              <w:rPr>
                <w:rFonts w:ascii="Times New Roman" w:hAnsi="Times New Roman" w:eastAsia="宋体" w:cs="Times New Roman"/>
                <w:b/>
                <w:bCs/>
                <w:color w:val="000000" w:themeColor="text1"/>
                <w:szCs w:val="21"/>
                <w14:textFill>
                  <w14:solidFill>
                    <w14:schemeClr w14:val="tx1"/>
                  </w14:solidFill>
                </w14:textFill>
              </w:rPr>
              <w:t xml:space="preserve">  </w:t>
            </w:r>
            <w:r>
              <w:rPr>
                <w:rFonts w:ascii="Times New Roman" w:hAnsi="Times New Roman" w:eastAsia="宋体" w:cs="Times New Roman"/>
                <w:b/>
                <w:bCs/>
                <w:color w:val="000000" w:themeColor="text1"/>
                <w:szCs w:val="24"/>
                <w14:textFill>
                  <w14:solidFill>
                    <w14:schemeClr w14:val="tx1"/>
                  </w14:solidFill>
                </w14:textFill>
              </w:rPr>
              <w:t>与《工业炉窑大气污染综合治理方案》符合性分析</w:t>
            </w:r>
          </w:p>
          <w:tbl>
            <w:tblPr>
              <w:tblStyle w:val="25"/>
              <w:tblW w:w="81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60"/>
              <w:gridCol w:w="4248"/>
              <w:gridCol w:w="2414"/>
              <w:gridCol w:w="750"/>
            </w:tblGrid>
            <w:tr w14:paraId="5DF6BC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tblHeader/>
                <w:jc w:val="center"/>
              </w:trPr>
              <w:tc>
                <w:tcPr>
                  <w:tcW w:w="760" w:type="dxa"/>
                  <w:vAlign w:val="center"/>
                </w:tcPr>
                <w:p w14:paraId="3BFF4BD3">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序号</w:t>
                  </w:r>
                </w:p>
              </w:tc>
              <w:tc>
                <w:tcPr>
                  <w:tcW w:w="4248" w:type="dxa"/>
                  <w:vAlign w:val="center"/>
                </w:tcPr>
                <w:p w14:paraId="6F18CFA3">
                  <w:pPr>
                    <w:ind w:left="-42" w:leftChars="-20" w:right="-42" w:rightChars="-2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具体要求</w:t>
                  </w:r>
                </w:p>
              </w:tc>
              <w:tc>
                <w:tcPr>
                  <w:tcW w:w="2414" w:type="dxa"/>
                  <w:vAlign w:val="center"/>
                </w:tcPr>
                <w:p w14:paraId="5B0DA136">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项目情况</w:t>
                  </w:r>
                </w:p>
              </w:tc>
              <w:tc>
                <w:tcPr>
                  <w:tcW w:w="750" w:type="dxa"/>
                  <w:vAlign w:val="center"/>
                </w:tcPr>
                <w:p w14:paraId="0E372605">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 xml:space="preserve">符合性 </w:t>
                  </w:r>
                </w:p>
              </w:tc>
            </w:tr>
            <w:tr w14:paraId="5D2911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Align w:val="center"/>
                </w:tcPr>
                <w:p w14:paraId="5CD2FC4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w:t>
                  </w:r>
                </w:p>
              </w:tc>
              <w:tc>
                <w:tcPr>
                  <w:tcW w:w="4248" w:type="dxa"/>
                  <w:vAlign w:val="center"/>
                </w:tcPr>
                <w:p w14:paraId="4C3E073B">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加大产业结构调整力度。严格建设项目环境准入。新建涉工业炉窑的建设项目，原则上要入园区，配套建设高效环保治理设施。重点区域严格控制涉工业炉窑建设项目，严禁新增钢铁、焦化、电解铝、铸造、水泥和平板玻璃等产能；严格执行钢铁、水泥、平板玻璃等行业产能置换实施办法；原则上禁止新建燃料类煤气发生炉（园区现有企业统一建设的清洁煤制气中心除外）。加大落后产能和不达标工业炉窑淘汰力度，分行业清理《产业结构调整指导目录》淘汰类工业炉窑。</w:t>
                  </w:r>
                </w:p>
              </w:tc>
              <w:tc>
                <w:tcPr>
                  <w:tcW w:w="2414" w:type="dxa"/>
                  <w:vAlign w:val="center"/>
                </w:tcPr>
                <w:p w14:paraId="36A005C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评价项目属于技改项目，在现有用地基础上进行技改，不新增产能和用地。项目位于遂宁市，不属于新增钢铁、焦化、电解铝、铸造、水泥和平板玻璃等产能的项目。项目位于非城市规划区，评价项目将采用隧道窑生产，不属于淘汰类工业炉窑，项目不涉及煤气发生炉。</w:t>
                  </w:r>
                </w:p>
              </w:tc>
              <w:tc>
                <w:tcPr>
                  <w:tcW w:w="750" w:type="dxa"/>
                  <w:vAlign w:val="center"/>
                </w:tcPr>
                <w:p w14:paraId="0FF15AD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478711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Align w:val="center"/>
                </w:tcPr>
                <w:p w14:paraId="7BDE8A6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w:t>
                  </w:r>
                </w:p>
              </w:tc>
              <w:tc>
                <w:tcPr>
                  <w:tcW w:w="4248" w:type="dxa"/>
                  <w:vAlign w:val="center"/>
                </w:tcPr>
                <w:p w14:paraId="1B0807E4">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施污染深度治理。推进工业炉窑全面达标排放。全面加强无组织排放管理。严格控制工业炉窑生产工艺过程及相关物料储存、输送等无组织排放，在保障生产安全的前提下，采取密闭、封闭等有效措施，有效提高废气收集率，产尘点及车间不得有可见烟粉尘外逸。生产工艺产尘点（装置）应采取密闭、封闭或设置集气罩等措施。</w:t>
                  </w:r>
                </w:p>
              </w:tc>
              <w:tc>
                <w:tcPr>
                  <w:tcW w:w="2414" w:type="dxa"/>
                  <w:vAlign w:val="center"/>
                </w:tcPr>
                <w:p w14:paraId="41381C2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技改后，对生产工艺过程及相关物料储存、输送等无组织排放，在保障生产安全的前提下，采取密闭、封闭等有效措施，减少无组织排</w:t>
                  </w:r>
                </w:p>
                <w:p w14:paraId="0AB724F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放；破碎筛分粉尘布袋除尘器处理后达标排放；烧结砖窑采取双碱湿式脱硫除尘系统，确保污染物达标排放。</w:t>
                  </w:r>
                </w:p>
              </w:tc>
              <w:tc>
                <w:tcPr>
                  <w:tcW w:w="750" w:type="dxa"/>
                  <w:vAlign w:val="center"/>
                </w:tcPr>
                <w:p w14:paraId="1342D86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4A9CE8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Align w:val="center"/>
                </w:tcPr>
                <w:p w14:paraId="102DFA2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w:t>
                  </w:r>
                </w:p>
              </w:tc>
              <w:tc>
                <w:tcPr>
                  <w:tcW w:w="4248" w:type="dxa"/>
                  <w:vAlign w:val="center"/>
                </w:tcPr>
                <w:p w14:paraId="28C7DEE2">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建立健全监测监控体系。加强重点污染源自动监控体系建设。排气口高度超过45米的高架源，纳入重点排污单位名录，督促企业安装烟气排放自动监控设施。具备条件的企业，应通过分布式控制系统（DCS）等，自动连续记录工业炉窑环保设施运行及相关生产过程主要参数。自动监控、DCS 监控等数据至少要保存一年，视频监控数据至少要保存三个月。</w:t>
                  </w:r>
                </w:p>
              </w:tc>
              <w:tc>
                <w:tcPr>
                  <w:tcW w:w="2414" w:type="dxa"/>
                  <w:vAlign w:val="center"/>
                </w:tcPr>
                <w:p w14:paraId="556D848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本项目排气筒高度为18m，不属于重点排污单位。项目定期监测确保污染物达标排放。</w:t>
                  </w:r>
                </w:p>
              </w:tc>
              <w:tc>
                <w:tcPr>
                  <w:tcW w:w="750" w:type="dxa"/>
                  <w:vAlign w:val="center"/>
                </w:tcPr>
                <w:p w14:paraId="4AB6CA0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33FE1A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Align w:val="center"/>
                </w:tcPr>
                <w:p w14:paraId="49D4BFB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w:t>
                  </w:r>
                </w:p>
              </w:tc>
              <w:tc>
                <w:tcPr>
                  <w:tcW w:w="4248" w:type="dxa"/>
                  <w:vAlign w:val="center"/>
                </w:tcPr>
                <w:p w14:paraId="6EB1DE74">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加强排污许可管理。按照排污许可管理名录规定按期完成涉工业炉窑行业排污许可证核发。</w:t>
                  </w:r>
                </w:p>
              </w:tc>
              <w:tc>
                <w:tcPr>
                  <w:tcW w:w="2414" w:type="dxa"/>
                  <w:vAlign w:val="center"/>
                </w:tcPr>
                <w:p w14:paraId="745E86F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现有工程已取得排污许可证，评价项目建设完成后需严格按相关要求办理排污许可证，按证排污。</w:t>
                  </w:r>
                </w:p>
              </w:tc>
              <w:tc>
                <w:tcPr>
                  <w:tcW w:w="750" w:type="dxa"/>
                  <w:vAlign w:val="center"/>
                </w:tcPr>
                <w:p w14:paraId="4294514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1AB38D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Align w:val="center"/>
                </w:tcPr>
                <w:p w14:paraId="42F8C5B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w:t>
                  </w:r>
                </w:p>
              </w:tc>
              <w:tc>
                <w:tcPr>
                  <w:tcW w:w="4248" w:type="dxa"/>
                  <w:vAlign w:val="center"/>
                </w:tcPr>
                <w:p w14:paraId="793500D2">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以煤、煤矸石等为燃料的烧结砖瓦窑应配备高效除尘设施，配备石灰石石膏法等高效脱硫设施；以天然气为燃料的烧结砖瓦窑配备除尘设施。</w:t>
                  </w:r>
                </w:p>
              </w:tc>
              <w:tc>
                <w:tcPr>
                  <w:tcW w:w="2414" w:type="dxa"/>
                  <w:vAlign w:val="center"/>
                </w:tcPr>
                <w:p w14:paraId="0F711A3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现有项目烧结砖窑配备湿式脱硫塔，可确保污染物达标排放。</w:t>
                  </w:r>
                </w:p>
              </w:tc>
              <w:tc>
                <w:tcPr>
                  <w:tcW w:w="750" w:type="dxa"/>
                  <w:vAlign w:val="center"/>
                </w:tcPr>
                <w:p w14:paraId="3FBA62A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bl>
          <w:p w14:paraId="20529F76">
            <w:pPr>
              <w:snapToGrid w:val="0"/>
              <w:spacing w:before="156" w:beforeLines="50"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综上分析，本项目与《工业炉窑大气污染综合治理方案》（环大气[2019]56号）文件政策要求。</w:t>
            </w:r>
          </w:p>
          <w:p w14:paraId="445DF1DF">
            <w:pPr>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9、与《四川省“十四五”重金属污染防治实施方案》符合性分析</w:t>
            </w:r>
          </w:p>
          <w:p w14:paraId="4D813F00">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根据《四川省“十四五”重金属污染防治实施方案》，重点重金属污染物—铅（Pb）、汞（Hg）、镉（Cd）、铬（Cr）、砷（As）、铊（Tl）和锑（Sb），并对铅、汞、镉、铬和砷五种重金属污染物排放量实施总量控制。</w:t>
            </w:r>
          </w:p>
          <w:p w14:paraId="385DE691">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重点行业—重有色金属矿采选业（铜、铅锌、镍钴、锡、锑和汞矿采选）、重有色金属冶炼业（铜、铅锌、镍钴、锡、锑和汞冶炼）、铅蓄电池制造业、电镀行业（包含专业电镀和有电镀工序的企业）、化学原料及化学制品制造业（电石法（聚）氯乙烯制造、铬盐制造、以工业固体废物为原料的锌无机化合物工业）、皮革鞣制加工业等6个行业。</w:t>
            </w:r>
          </w:p>
          <w:p w14:paraId="4A328673">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重点区域—雅安市汉源县、石棉县和凉山州甘洛县。</w:t>
            </w:r>
          </w:p>
          <w:p w14:paraId="319F154B">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规划目标—到2025年，全省涉重金属重点行业重点重金属污染物排放量比2020年下降5%。涉重金属重点行业产业结构进一步优化，重点行业绿色发展水平较快提升，企业主体责任进一步落实，环境管理能力和水平进一步提升，推进治理一批突出历史遗留重金属污染问题。</w:t>
            </w:r>
          </w:p>
          <w:p w14:paraId="3104195D">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本项目与具体实施方案的符合性分析如下：</w:t>
            </w:r>
          </w:p>
          <w:p w14:paraId="600ED5D5">
            <w:pPr>
              <w:snapToGrid w:val="0"/>
              <w:jc w:val="center"/>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 xml:space="preserve">表1-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表1-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5</w:t>
            </w:r>
            <w:r>
              <w:rPr>
                <w:rFonts w:ascii="Times New Roman" w:hAnsi="Times New Roman" w:eastAsia="宋体" w:cs="Times New Roman"/>
                <w:b/>
                <w:bCs/>
                <w:color w:val="000000" w:themeColor="text1"/>
                <w:szCs w:val="21"/>
                <w14:textFill>
                  <w14:solidFill>
                    <w14:schemeClr w14:val="tx1"/>
                  </w14:solidFill>
                </w14:textFill>
              </w:rPr>
              <w:fldChar w:fldCharType="end"/>
            </w:r>
            <w:r>
              <w:rPr>
                <w:rFonts w:ascii="Times New Roman" w:hAnsi="Times New Roman" w:eastAsia="宋体" w:cs="Times New Roman"/>
                <w:b/>
                <w:bCs/>
                <w:color w:val="000000" w:themeColor="text1"/>
                <w:szCs w:val="21"/>
                <w14:textFill>
                  <w14:solidFill>
                    <w14:schemeClr w14:val="tx1"/>
                  </w14:solidFill>
                </w14:textFill>
              </w:rPr>
              <w:t xml:space="preserve">  </w:t>
            </w:r>
            <w:r>
              <w:rPr>
                <w:rFonts w:ascii="Times New Roman" w:hAnsi="Times New Roman" w:eastAsia="宋体" w:cs="Times New Roman"/>
                <w:b/>
                <w:bCs/>
                <w:color w:val="000000" w:themeColor="text1"/>
                <w:szCs w:val="24"/>
                <w14:textFill>
                  <w14:solidFill>
                    <w14:schemeClr w14:val="tx1"/>
                  </w14:solidFill>
                </w14:textFill>
              </w:rPr>
              <w:t>与《四川省“十四五”重金属污染防治实施方案》符合性分析</w:t>
            </w:r>
          </w:p>
          <w:tbl>
            <w:tblPr>
              <w:tblStyle w:val="25"/>
              <w:tblW w:w="81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60"/>
              <w:gridCol w:w="3398"/>
              <w:gridCol w:w="3264"/>
              <w:gridCol w:w="750"/>
            </w:tblGrid>
            <w:tr w14:paraId="326222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Align w:val="center"/>
                </w:tcPr>
                <w:p w14:paraId="06EEE75C">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类别</w:t>
                  </w:r>
                </w:p>
              </w:tc>
              <w:tc>
                <w:tcPr>
                  <w:tcW w:w="3398" w:type="dxa"/>
                  <w:vAlign w:val="center"/>
                </w:tcPr>
                <w:p w14:paraId="42C11DE1">
                  <w:pPr>
                    <w:ind w:left="-42" w:leftChars="-20" w:right="-42" w:rightChars="-2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政策要求</w:t>
                  </w:r>
                </w:p>
              </w:tc>
              <w:tc>
                <w:tcPr>
                  <w:tcW w:w="3264" w:type="dxa"/>
                  <w:vAlign w:val="center"/>
                </w:tcPr>
                <w:p w14:paraId="60E50C6A">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项目情况</w:t>
                  </w:r>
                </w:p>
              </w:tc>
              <w:tc>
                <w:tcPr>
                  <w:tcW w:w="750" w:type="dxa"/>
                  <w:vAlign w:val="center"/>
                </w:tcPr>
                <w:p w14:paraId="27529474">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 xml:space="preserve">符合性 </w:t>
                  </w:r>
                </w:p>
              </w:tc>
            </w:tr>
            <w:tr w14:paraId="73BD4E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Align w:val="center"/>
                </w:tcPr>
                <w:p w14:paraId="0BFEC53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严格环境准入，优化涉重金属产业结构和布局</w:t>
                  </w:r>
                </w:p>
              </w:tc>
              <w:tc>
                <w:tcPr>
                  <w:tcW w:w="3398" w:type="dxa"/>
                  <w:vAlign w:val="center"/>
                </w:tcPr>
                <w:p w14:paraId="1E82AD32">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严格重点行业企业准入管理。新、改、扩建重点行业建设项目应符合“三线一单”、产业政策、区域环评、规划环评和行业环境准入管控要求，同时严格执行长江经济带发展负面清单管理制度。雅安市汉源县、石棉县和凉山州甘洛县新、改、扩建重点行业建设项目应遵循重点重金属污染物排放“减量替代”原则，减量替代比例不低于1.2:1，其他区域遵循“等量替代”原则。</w:t>
                  </w:r>
                </w:p>
              </w:tc>
              <w:tc>
                <w:tcPr>
                  <w:tcW w:w="3264" w:type="dxa"/>
                  <w:vAlign w:val="center"/>
                </w:tcPr>
                <w:p w14:paraId="2A99701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本项目位于遂宁市，属于砖瓦建材行业综合利用处置一般工业固废项目，不在重点重金属污染防控区，也不属于规划确定的重点行业。</w:t>
                  </w:r>
                </w:p>
              </w:tc>
              <w:tc>
                <w:tcPr>
                  <w:tcW w:w="750" w:type="dxa"/>
                  <w:vAlign w:val="center"/>
                </w:tcPr>
                <w:p w14:paraId="4EF1167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522404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Align w:val="center"/>
                </w:tcPr>
                <w:p w14:paraId="34679FE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突出重点，深化重点行业重金属污染治理</w:t>
                  </w:r>
                </w:p>
              </w:tc>
              <w:tc>
                <w:tcPr>
                  <w:tcW w:w="3398" w:type="dxa"/>
                  <w:vAlign w:val="center"/>
                </w:tcPr>
                <w:p w14:paraId="34A41CD6">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加强涉重金属固体废物环境管理。加强重点行业企业废渣场环境管理，完善防渗漏、防流失、防扬散等措施。推动锌湿法冶炼工艺按有关规定配套建设浸出渣无害化处理系统及硫渣处理设施。加强尾矿污染防控，制定四川省“十四五”尾矿库污染治理实施方案，持续开展尾矿库污染治理。严格废铅蓄电池、冶炼灰渣、钢厂烟灰等含重金属固体废物收集、贮存、转移、利用处置过程的环境管理，防止二次污染。支持并引导含重金属固体废物资源化综合利用。</w:t>
                  </w:r>
                </w:p>
              </w:tc>
              <w:tc>
                <w:tcPr>
                  <w:tcW w:w="3264" w:type="dxa"/>
                  <w:vAlign w:val="center"/>
                </w:tcPr>
                <w:p w14:paraId="1B4527F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使用水基钻井废弃物、无机工业污泥含有微量重金属，其重金属浸出浓度满足制砖污泥质量限制要求，替代页岩掺烧后制砖综合利用。本项目设置1处一般工业固废贮存间，贮存间采取重点防渗，各类固废设置单独隔间分别存储。本项目一般工业固废贮存间设置为封闭彩钢结构厂房，设置导流沟、渗滤液收集池，满足防扬撒、防渗漏、防腐蚀要求。本项目固体废物物收集、贮存、转移、利用采取严格的管理措施，各环节均建立管理台账。</w:t>
                  </w:r>
                </w:p>
              </w:tc>
              <w:tc>
                <w:tcPr>
                  <w:tcW w:w="750" w:type="dxa"/>
                  <w:vAlign w:val="center"/>
                </w:tcPr>
                <w:p w14:paraId="3C120E1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bl>
          <w:p w14:paraId="53956B2A">
            <w:pPr>
              <w:spacing w:before="156" w:beforeLines="50" w:line="360" w:lineRule="auto"/>
              <w:ind w:firstLine="465"/>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本项目位于遂宁市，属于砖瓦建材行业综合利用处置一般工业固废项目，不在重点重金属污染防控区，也不属于规划确定的重点行业。因此，项目与《四川省“十四五”重金属污染防治实施方案》相符。</w:t>
            </w:r>
          </w:p>
          <w:p w14:paraId="41BF0390">
            <w:pPr>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10、与《四川省、重庆市长江经济带发展负面清单实施细则（试行，2022年版）》符合性分析</w:t>
            </w:r>
          </w:p>
          <w:p w14:paraId="288CF41C">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根据《四川省、重庆市长江经济带发展负面清单实施细则（试行，2022年版）》“第二十一条 禁止在合规园区外新建、扩建钢铁、石化、化工、焦化、建材、有色、制浆造纸等高污染项目”。</w:t>
            </w:r>
          </w:p>
          <w:p w14:paraId="2AC3A4F8">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本项目在现有已建项目厂区内进行技改，不新增产能，符合《四川省长江经济带发展负面清单实施细则》的要求。</w:t>
            </w:r>
          </w:p>
          <w:p w14:paraId="2D3B632F">
            <w:pPr>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11、与《污泥无害化处理和资源化利用实施方案》符合性分析</w:t>
            </w:r>
          </w:p>
          <w:p w14:paraId="651BA2A5">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为提高污泥无害化处理和资源化利用水平，2022年9月国家发展改革委、住房城乡建设部、生态环境部发布《污泥无害化处理和资源化利用实施方案》（发改环资[2022]1453号），提出：</w:t>
            </w:r>
          </w:p>
          <w:p w14:paraId="43329D61">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主要目标。2025年，全国新增污泥（含水率80%的湿污泥）无害化处置设施规模不少于2万吨/日，城市污泥无害化处置率达到90%以上，地级及以上城市达到95%以上，基本形成设施完备、运行安全、绿色低碳、监管有效的污泥无害化资源化处理体系。”</w:t>
            </w:r>
          </w:p>
          <w:p w14:paraId="7ECC2C88">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规范污泥处理方式。根据本地污泥来源、产量和泥质，综合考虑各地自然地理条件、用地条件、环境承载能力和经济发展水平等实际情况，因地制宜合理选择污泥处理路径和技术路线。鼓励采用厌氧消化、好氧发酵、干化焚烧、土地利用、建材利用等多元化组合方式处理污泥。除焚烧处理方式外，严禁将不符合泥质控制指标要求的工业污泥与城镇污水处理厂污泥混合处理。”</w:t>
            </w:r>
          </w:p>
          <w:p w14:paraId="291E1AF4">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强化技术支撑。将污泥无害化资源化处理关键技术攻关纳入生态环境领域科技创新等规划。重点突破污泥稳定化和无害化处理、资源化利用、协同处置、污水厂内减量等共性和关键技术装备，开展污泥处理和资源化利用创新技术应用。总结推广先进适用技术和实践案例。健全污泥无害化处理及资源化利用标准体系，加快制修订污泥处理相关技术标准、污泥处理产物及衍生产品标准，做好与跨行业产品标准的衔接。”</w:t>
            </w:r>
          </w:p>
          <w:p w14:paraId="4DE95D13">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本项目</w:t>
            </w:r>
            <w:r>
              <w:rPr>
                <w:rFonts w:ascii="Times New Roman" w:hAnsi="Times New Roman" w:eastAsia="宋体" w:cs="Times New Roman"/>
                <w:color w:val="000000" w:themeColor="text1"/>
                <w:sz w:val="24"/>
                <w:szCs w:val="24"/>
                <w:lang w:val="en-GB"/>
                <w14:textFill>
                  <w14:solidFill>
                    <w14:schemeClr w14:val="tx1"/>
                  </w14:solidFill>
                </w14:textFill>
              </w:rPr>
              <w:t>利用水基钻井废弃物、无机工业污泥等一般工业固废替代部分原料烧结制砖</w:t>
            </w:r>
            <w:r>
              <w:rPr>
                <w:rFonts w:ascii="Times New Roman" w:hAnsi="Times New Roman" w:eastAsia="宋体" w:cs="Times New Roman"/>
                <w:bCs/>
                <w:color w:val="000000" w:themeColor="text1"/>
                <w:sz w:val="24"/>
                <w:szCs w:val="24"/>
                <w14:textFill>
                  <w14:solidFill>
                    <w14:schemeClr w14:val="tx1"/>
                  </w14:solidFill>
                </w14:textFill>
              </w:rPr>
              <w:t>，本项目资源化利用属于一般工业固废的无机工业污泥，泥质满足</w:t>
            </w:r>
            <w:r>
              <w:rPr>
                <w:rFonts w:ascii="Times New Roman" w:hAnsi="Times New Roman" w:eastAsia="宋体" w:cs="Times New Roman"/>
                <w:color w:val="000000" w:themeColor="text1"/>
                <w:sz w:val="24"/>
                <w:szCs w:val="24"/>
                <w14:textFill>
                  <w14:solidFill>
                    <w14:schemeClr w14:val="tx1"/>
                  </w14:solidFill>
                </w14:textFill>
              </w:rPr>
              <w:t>《城镇污水处理厂污泥处置制砖用泥质》（GB/T25031-2010）中相关限值要求，不与</w:t>
            </w:r>
            <w:r>
              <w:rPr>
                <w:rFonts w:ascii="Times New Roman" w:hAnsi="Times New Roman" w:eastAsia="宋体" w:cs="Times New Roman"/>
                <w:bCs/>
                <w:color w:val="000000" w:themeColor="text1"/>
                <w:sz w:val="24"/>
                <w:szCs w:val="24"/>
                <w14:textFill>
                  <w14:solidFill>
                    <w14:schemeClr w14:val="tx1"/>
                  </w14:solidFill>
                </w14:textFill>
              </w:rPr>
              <w:t>城镇污水处理厂污泥混合处理。烧结制成的标砖浸出液检测结果满足《水泥窑协同处置固体废物技术规范》（GB/T30760-2014）表3水泥熟料中可浸出重金属含量限值要求，可实现无机工业污泥资源化利用，满足《污泥无害化处理和资源化利用实施方案》提出的污泥建材利用的技术要求。</w:t>
            </w:r>
          </w:p>
          <w:p w14:paraId="37779EF7">
            <w:pPr>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四、规划符合性分析</w:t>
            </w:r>
          </w:p>
          <w:p w14:paraId="354674FE">
            <w:pPr>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1、用地规划符合性分析</w:t>
            </w:r>
          </w:p>
          <w:p w14:paraId="73629022">
            <w:pPr>
              <w:snapToGrid w:val="0"/>
              <w:spacing w:line="360" w:lineRule="auto"/>
              <w:ind w:firstLine="530" w:firstLineChars="221"/>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遂宁市安居区麒新机砖厂址位于遂宁市安居区横山镇滑泥桥三社。项目厂址处有县道遂乐路相连，交通便利，运输方便。</w:t>
            </w:r>
          </w:p>
          <w:p w14:paraId="1887DC9D">
            <w:pPr>
              <w:snapToGrid w:val="0"/>
              <w:spacing w:line="360" w:lineRule="auto"/>
              <w:ind w:firstLine="530" w:firstLineChars="221"/>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根据测绘图，厂区现有占地23.8亩，2017年编制《</w:t>
            </w:r>
            <w:r>
              <w:rPr>
                <w:rFonts w:ascii="Times New Roman" w:hAnsi="Times New Roman" w:eastAsia="宋体" w:cs="Times New Roman"/>
                <w:color w:val="000000" w:themeColor="text1"/>
                <w:sz w:val="24"/>
                <w:szCs w:val="24"/>
                <w14:textFill>
                  <w14:solidFill>
                    <w14:schemeClr w14:val="tx1"/>
                  </w14:solidFill>
                </w14:textFill>
              </w:rPr>
              <w:t>横山机砖厂技改扩能建设项目环境影响报告表》，并取得环评批复（遂安环函</w:t>
            </w:r>
            <w:r>
              <w:rPr>
                <w:rFonts w:ascii="Times New Roman" w:hAnsi="Times New Roman" w:eastAsia="宋体" w:cs="Times New Roman"/>
                <w:color w:val="000000" w:themeColor="text1"/>
                <w:sz w:val="24"/>
                <w:szCs w:val="24"/>
                <w:lang w:bidi="ar"/>
                <w14:textFill>
                  <w14:solidFill>
                    <w14:schemeClr w14:val="tx1"/>
                  </w14:solidFill>
                </w14:textFill>
              </w:rPr>
              <w:t>[2017]230号</w:t>
            </w:r>
            <w:r>
              <w:rPr>
                <w:rFonts w:ascii="Times New Roman" w:hAnsi="Times New Roman" w:eastAsia="宋体" w:cs="Times New Roman"/>
                <w:color w:val="000000" w:themeColor="text1"/>
                <w:sz w:val="24"/>
                <w:szCs w:val="24"/>
                <w14:textFill>
                  <w14:solidFill>
                    <w14:schemeClr w14:val="tx1"/>
                  </w14:solidFill>
                </w14:textFill>
              </w:rPr>
              <w:t>）。2019年遂宁市安居区横山机砖厂企业名称变更为遂宁市安居区麒新机砖厂（有限合伙）。</w:t>
            </w:r>
          </w:p>
          <w:p w14:paraId="7417C034">
            <w:pPr>
              <w:snapToGrid w:val="0"/>
              <w:spacing w:line="360" w:lineRule="auto"/>
              <w:ind w:firstLine="530" w:firstLineChars="221"/>
              <w:rPr>
                <w:rFonts w:ascii="Times New Roman" w:hAnsi="Times New Roman" w:eastAsia="宋体" w:cs="Times New Roman"/>
                <w:color w:val="FF0000"/>
                <w:kern w:val="0"/>
                <w:sz w:val="24"/>
                <w:szCs w:val="24"/>
              </w:rPr>
            </w:pPr>
            <w:r>
              <w:rPr>
                <w:rFonts w:ascii="Times New Roman" w:hAnsi="Times New Roman" w:eastAsia="宋体" w:cs="Times New Roman"/>
                <w:color w:val="FF0000"/>
                <w:kern w:val="0"/>
                <w:sz w:val="24"/>
                <w:szCs w:val="24"/>
              </w:rPr>
              <w:t>遂宁市安居区横山镇人民政府出具《关于遂宁市安居区麒新机砖厂技术改造项目用地符合性的说明》：“项目总占地23.8亩，符合我镇土地利用总体规划。经研究决定，同意该项目建设。”。同时根据遂宁市安居区自然资源和规划局《关于遂宁市安居区麒新</w:t>
            </w:r>
            <w:bookmarkStart w:id="4" w:name="用地规划"/>
            <w:r>
              <w:rPr>
                <w:rFonts w:ascii="Times New Roman" w:hAnsi="Times New Roman" w:eastAsia="宋体" w:cs="Times New Roman"/>
                <w:color w:val="FF0000"/>
                <w:kern w:val="0"/>
                <w:sz w:val="24"/>
                <w:szCs w:val="24"/>
              </w:rPr>
              <w:t>机砖厂（有限合伙）用地国土空间符合性审查回复》，</w:t>
            </w:r>
            <w:r>
              <w:rPr>
                <w:rFonts w:hint="eastAsia" w:ascii="Times New Roman" w:hAnsi="Times New Roman" w:eastAsia="宋体" w:cs="Times New Roman"/>
                <w:color w:val="FF0000"/>
                <w:kern w:val="0"/>
                <w:sz w:val="24"/>
                <w:szCs w:val="24"/>
              </w:rPr>
              <w:t>项目</w:t>
            </w:r>
            <w:r>
              <w:rPr>
                <w:rFonts w:ascii="Times New Roman" w:hAnsi="Times New Roman" w:eastAsia="宋体" w:cs="Times New Roman"/>
                <w:color w:val="FF0000"/>
                <w:kern w:val="0"/>
                <w:sz w:val="24"/>
                <w:szCs w:val="24"/>
              </w:rPr>
              <w:t>位于安居区横山页岩砖厂打锣坡</w:t>
            </w:r>
            <w:bookmarkEnd w:id="4"/>
            <w:r>
              <w:rPr>
                <w:rFonts w:ascii="Times New Roman" w:hAnsi="Times New Roman" w:eastAsia="宋体" w:cs="Times New Roman"/>
                <w:color w:val="FF0000"/>
                <w:kern w:val="0"/>
                <w:sz w:val="24"/>
                <w:szCs w:val="24"/>
              </w:rPr>
              <w:t>页岩矿矿山范围内，为矿山用地，属于工业用地。项目不占用基本农田、生态保护红线、占用</w:t>
            </w:r>
            <w:r>
              <w:rPr>
                <w:rFonts w:hint="eastAsia" w:ascii="Times New Roman" w:hAnsi="Times New Roman" w:eastAsia="宋体" w:cs="Times New Roman"/>
                <w:color w:val="FF0000"/>
                <w:kern w:val="0"/>
                <w:sz w:val="24"/>
                <w:szCs w:val="24"/>
              </w:rPr>
              <w:t>耕地</w:t>
            </w:r>
            <w:r>
              <w:rPr>
                <w:rFonts w:ascii="Times New Roman" w:hAnsi="Times New Roman" w:eastAsia="宋体" w:cs="Times New Roman"/>
                <w:color w:val="FF0000"/>
                <w:kern w:val="0"/>
                <w:sz w:val="24"/>
                <w:szCs w:val="24"/>
              </w:rPr>
              <w:t>。</w:t>
            </w:r>
          </w:p>
          <w:p w14:paraId="7F7422ED">
            <w:pPr>
              <w:snapToGrid w:val="0"/>
              <w:spacing w:line="360" w:lineRule="auto"/>
              <w:ind w:firstLine="530" w:firstLineChars="221"/>
              <w:rPr>
                <w:rFonts w:ascii="Times New Roman" w:hAnsi="Times New Roman" w:eastAsia="宋体" w:cs="Times New Roman"/>
                <w:color w:val="FF0000"/>
                <w:kern w:val="0"/>
                <w:sz w:val="24"/>
                <w:szCs w:val="24"/>
              </w:rPr>
            </w:pPr>
            <w:r>
              <w:rPr>
                <w:rFonts w:ascii="Times New Roman" w:hAnsi="Times New Roman" w:eastAsia="宋体" w:cs="Times New Roman"/>
                <w:color w:val="FF0000"/>
                <w:kern w:val="0"/>
                <w:sz w:val="24"/>
                <w:szCs w:val="24"/>
              </w:rPr>
              <w:t>经核查，项目出入口东侧有一块未建设土地，现状为耕地（未耕种），面积约600</w:t>
            </w:r>
            <w:r>
              <w:rPr>
                <w:rFonts w:hint="eastAsia" w:ascii="Times New Roman" w:hAnsi="Times New Roman" w:eastAsia="宋体" w:cs="Times New Roman"/>
                <w:color w:val="FF0000"/>
                <w:kern w:val="0"/>
                <w:sz w:val="24"/>
                <w:szCs w:val="24"/>
              </w:rPr>
              <w:t>m</w:t>
            </w:r>
            <w:r>
              <w:rPr>
                <w:rFonts w:hint="eastAsia" w:ascii="Times New Roman" w:hAnsi="Times New Roman" w:eastAsia="宋体" w:cs="Times New Roman"/>
                <w:color w:val="FF0000"/>
                <w:kern w:val="0"/>
                <w:sz w:val="24"/>
                <w:szCs w:val="24"/>
                <w:vertAlign w:val="superscript"/>
              </w:rPr>
              <w:t>2</w:t>
            </w:r>
            <w:r>
              <w:rPr>
                <w:rFonts w:hint="eastAsia" w:ascii="Times New Roman" w:hAnsi="Times New Roman" w:eastAsia="宋体" w:cs="Times New Roman"/>
                <w:color w:val="FF0000"/>
                <w:kern w:val="0"/>
                <w:sz w:val="24"/>
                <w:szCs w:val="24"/>
              </w:rPr>
              <w:t>，现状照片如下：</w:t>
            </w:r>
          </w:p>
          <w:p w14:paraId="1CB11AEA">
            <w:pPr>
              <w:snapToGrid w:val="0"/>
              <w:spacing w:line="360" w:lineRule="auto"/>
              <w:ind w:firstLine="530" w:firstLineChars="221"/>
              <w:jc w:val="center"/>
              <w:rPr>
                <w:rFonts w:ascii="Times New Roman" w:hAnsi="Times New Roman" w:eastAsia="宋体" w:cs="Times New Roman"/>
                <w:color w:val="FF0000"/>
                <w:kern w:val="0"/>
                <w:sz w:val="24"/>
                <w:szCs w:val="24"/>
              </w:rPr>
            </w:pPr>
            <w:r>
              <w:rPr>
                <w:rFonts w:ascii="Times New Roman" w:hAnsi="Times New Roman" w:eastAsia="宋体" w:cs="Times New Roman"/>
                <w:color w:val="FF0000"/>
                <w:kern w:val="0"/>
                <w:sz w:val="24"/>
                <w:szCs w:val="24"/>
              </w:rPr>
              <w:drawing>
                <wp:inline distT="0" distB="0" distL="0" distR="0">
                  <wp:extent cx="1631950" cy="1645920"/>
                  <wp:effectExtent l="0" t="0" r="6350" b="0"/>
                  <wp:docPr id="4" name="图片 4" descr="E:\工作\01砖厂\现场\MVIMG_20230525_1052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E:\工作\01砖厂\现场\MVIMG_20230525_105247.jpg"/>
                          <pic:cNvPicPr>
                            <a:picLocks noChangeAspect="1" noChangeArrowheads="1"/>
                          </pic:cNvPicPr>
                        </pic:nvPicPr>
                        <pic:blipFill>
                          <a:blip r:embed="rId7" cstate="print">
                            <a:extLst>
                              <a:ext uri="{28A0092B-C50C-407E-A947-70E740481C1C}">
                                <a14:useLocalDpi xmlns:a14="http://schemas.microsoft.com/office/drawing/2010/main" val="0"/>
                              </a:ext>
                            </a:extLst>
                          </a:blip>
                          <a:srcRect t="24386"/>
                          <a:stretch>
                            <a:fillRect/>
                          </a:stretch>
                        </pic:blipFill>
                        <pic:spPr>
                          <a:xfrm>
                            <a:off x="0" y="0"/>
                            <a:ext cx="1634947" cy="1648361"/>
                          </a:xfrm>
                          <a:prstGeom prst="rect">
                            <a:avLst/>
                          </a:prstGeom>
                          <a:noFill/>
                          <a:ln>
                            <a:noFill/>
                          </a:ln>
                        </pic:spPr>
                      </pic:pic>
                    </a:graphicData>
                  </a:graphic>
                </wp:inline>
              </w:drawing>
            </w:r>
          </w:p>
          <w:p w14:paraId="31E4C2CE">
            <w:pPr>
              <w:snapToGrid w:val="0"/>
              <w:spacing w:line="360" w:lineRule="auto"/>
              <w:ind w:firstLine="466" w:firstLineChars="221"/>
              <w:jc w:val="center"/>
              <w:rPr>
                <w:rFonts w:ascii="Times New Roman" w:hAnsi="Times New Roman" w:eastAsia="宋体" w:cs="Times New Roman"/>
                <w:color w:val="FF0000"/>
                <w:kern w:val="0"/>
                <w:sz w:val="24"/>
                <w:szCs w:val="24"/>
              </w:rPr>
            </w:pPr>
            <w:r>
              <w:rPr>
                <w:rFonts w:ascii="Times New Roman" w:hAnsi="Times New Roman" w:eastAsia="宋体" w:cs="Times New Roman"/>
                <w:b/>
                <w:bCs/>
                <w:color w:val="000000" w:themeColor="text1"/>
                <w:szCs w:val="24"/>
                <w14:textFill>
                  <w14:solidFill>
                    <w14:schemeClr w14:val="tx1"/>
                  </w14:solidFill>
                </w14:textFill>
              </w:rPr>
              <w:t xml:space="preserve">图1-1 </w:t>
            </w:r>
            <w:r>
              <w:rPr>
                <w:rFonts w:hint="eastAsia" w:ascii="Times New Roman" w:hAnsi="Times New Roman" w:eastAsia="宋体" w:cs="Times New Roman"/>
                <w:b/>
                <w:bCs/>
                <w:color w:val="000000" w:themeColor="text1"/>
                <w:szCs w:val="24"/>
                <w14:textFill>
                  <w14:solidFill>
                    <w14:schemeClr w14:val="tx1"/>
                  </w14:solidFill>
                </w14:textFill>
              </w:rPr>
              <w:t>项目占用耕地</w:t>
            </w:r>
            <w:r>
              <w:rPr>
                <w:rFonts w:ascii="Times New Roman" w:hAnsi="Times New Roman" w:eastAsia="宋体" w:cs="Times New Roman"/>
                <w:b/>
                <w:bCs/>
                <w:color w:val="000000" w:themeColor="text1"/>
                <w:szCs w:val="24"/>
                <w14:textFill>
                  <w14:solidFill>
                    <w14:schemeClr w14:val="tx1"/>
                  </w14:solidFill>
                </w14:textFill>
              </w:rPr>
              <w:t>现状照片</w:t>
            </w:r>
          </w:p>
          <w:p w14:paraId="69BCCCDD">
            <w:pPr>
              <w:snapToGrid w:val="0"/>
              <w:spacing w:line="360" w:lineRule="auto"/>
              <w:ind w:firstLine="530" w:firstLineChars="221"/>
              <w:rPr>
                <w:rFonts w:ascii="Times New Roman" w:hAnsi="Times New Roman" w:eastAsia="宋体" w:cs="Times New Roman"/>
                <w:b/>
                <w:color w:val="000000" w:themeColor="text1"/>
                <w:sz w:val="24"/>
                <w:szCs w:val="24"/>
                <w14:textFill>
                  <w14:solidFill>
                    <w14:schemeClr w14:val="tx1"/>
                  </w14:solidFill>
                </w14:textFill>
              </w:rPr>
            </w:pPr>
            <w:r>
              <w:rPr>
                <w:rFonts w:hint="eastAsia" w:ascii="Times New Roman" w:hAnsi="Times New Roman" w:eastAsia="宋体" w:cs="Times New Roman"/>
                <w:color w:val="FF0000"/>
                <w:kern w:val="0"/>
                <w:sz w:val="24"/>
                <w:szCs w:val="24"/>
              </w:rPr>
              <w:t>厂区针对现状占用的耕地，项目对占用耕地进行复耕。</w:t>
            </w:r>
            <w:r>
              <w:rPr>
                <w:rFonts w:ascii="Times New Roman" w:hAnsi="Times New Roman" w:eastAsia="宋体" w:cs="Times New Roman"/>
                <w:color w:val="000000" w:themeColor="text1"/>
                <w:kern w:val="0"/>
                <w:sz w:val="24"/>
                <w:szCs w:val="24"/>
                <w14:textFill>
                  <w14:solidFill>
                    <w14:schemeClr w14:val="tx1"/>
                  </w14:solidFill>
                </w14:textFill>
              </w:rPr>
              <w:t>项目为技改项目，在原厂区内进行，不涉及新增用地，</w:t>
            </w:r>
            <w:r>
              <w:rPr>
                <w:rFonts w:ascii="Times New Roman" w:hAnsi="Times New Roman" w:eastAsia="宋体" w:cs="Times New Roman"/>
                <w:color w:val="FF0000"/>
                <w:kern w:val="0"/>
                <w:sz w:val="24"/>
                <w:szCs w:val="24"/>
              </w:rPr>
              <w:t>亦不在现状占用的耕地上进行建设。</w:t>
            </w:r>
            <w:r>
              <w:rPr>
                <w:rFonts w:ascii="Times New Roman" w:hAnsi="Times New Roman" w:eastAsia="宋体" w:cs="Times New Roman"/>
                <w:color w:val="000000" w:themeColor="text1"/>
                <w:kern w:val="0"/>
                <w:sz w:val="24"/>
                <w:szCs w:val="24"/>
                <w14:textFill>
                  <w14:solidFill>
                    <w14:schemeClr w14:val="tx1"/>
                  </w14:solidFill>
                </w14:textFill>
              </w:rPr>
              <w:t>项目后期，按照</w:t>
            </w:r>
            <w:r>
              <w:rPr>
                <w:rFonts w:ascii="Times New Roman" w:hAnsi="Times New Roman" w:eastAsia="宋体" w:cs="Times New Roman"/>
                <w:color w:val="FF0000"/>
                <w:kern w:val="0"/>
                <w:sz w:val="24"/>
                <w:szCs w:val="24"/>
              </w:rPr>
              <w:t>审定的《安居区横山文农旅融合片区镇级国土空间总体规划》</w:t>
            </w:r>
            <w:r>
              <w:rPr>
                <w:rFonts w:hint="eastAsia" w:ascii="Times New Roman" w:hAnsi="Times New Roman" w:eastAsia="宋体" w:cs="Times New Roman"/>
                <w:color w:val="FF0000"/>
                <w:kern w:val="0"/>
                <w:sz w:val="24"/>
                <w:szCs w:val="24"/>
              </w:rPr>
              <w:t>依法</w:t>
            </w:r>
            <w:r>
              <w:rPr>
                <w:rFonts w:ascii="Times New Roman" w:hAnsi="Times New Roman" w:eastAsia="宋体" w:cs="Times New Roman"/>
                <w:color w:val="FF0000"/>
                <w:kern w:val="0"/>
                <w:sz w:val="24"/>
                <w:szCs w:val="24"/>
              </w:rPr>
              <w:t>取得建设用地审批手续后，符合当地国土空间规划。</w:t>
            </w:r>
          </w:p>
          <w:p w14:paraId="595C0CB5">
            <w:pPr>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2、与《四川省“十四五”生态环境保护规划》符合性分析</w:t>
            </w:r>
          </w:p>
          <w:p w14:paraId="0A7DBEF6">
            <w:pPr>
              <w:spacing w:line="360" w:lineRule="auto"/>
              <w:ind w:firstLine="420" w:firstLineChars="175"/>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 xml:space="preserve"> 根据四川省人民政府《四川省“十四五”生态环境保护规划》：七、扎实推进净土减废行动，保持土壤环境总体稳定，强化土壤污染源头防控，深化土壤风险管控，突出重金属污染防治，强化固体废物分类处置，提升固废综合利用水平。</w:t>
            </w:r>
          </w:p>
          <w:p w14:paraId="2C1845E1">
            <w:pPr>
              <w:spacing w:line="360" w:lineRule="auto"/>
              <w:ind w:firstLine="465"/>
              <w:rPr>
                <w:rFonts w:ascii="Times New Roman" w:hAnsi="Times New Roman" w:eastAsia="宋体" w:cs="Times New Roman"/>
                <w:color w:val="000000" w:themeColor="text1"/>
                <w:sz w:val="24"/>
                <w:szCs w:val="24"/>
                <w:lang w:val="en-GB"/>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本项目为</w:t>
            </w:r>
            <w:r>
              <w:rPr>
                <w:rFonts w:ascii="Times New Roman" w:hAnsi="Times New Roman" w:eastAsia="宋体" w:cs="Times New Roman"/>
                <w:color w:val="000000" w:themeColor="text1"/>
                <w:sz w:val="24"/>
                <w:szCs w:val="24"/>
                <w:lang w:val="en-GB"/>
                <w14:textFill>
                  <w14:solidFill>
                    <w14:schemeClr w14:val="tx1"/>
                  </w14:solidFill>
                </w14:textFill>
              </w:rPr>
              <w:t>烧结页岩砖生产技改项目</w:t>
            </w:r>
            <w:r>
              <w:rPr>
                <w:rFonts w:ascii="Times New Roman" w:hAnsi="Times New Roman" w:eastAsia="宋体" w:cs="Times New Roman"/>
                <w:color w:val="000000" w:themeColor="text1"/>
                <w:sz w:val="24"/>
                <w:szCs w:val="24"/>
                <w14:textFill>
                  <w14:solidFill>
                    <w14:schemeClr w14:val="tx1"/>
                  </w14:solidFill>
                </w14:textFill>
              </w:rPr>
              <w:t>，</w:t>
            </w:r>
            <w:r>
              <w:rPr>
                <w:rFonts w:ascii="Times New Roman" w:hAnsi="Times New Roman" w:eastAsia="宋体" w:cs="Times New Roman"/>
                <w:color w:val="000000" w:themeColor="text1"/>
                <w:sz w:val="24"/>
                <w:szCs w:val="24"/>
                <w:lang w:val="en-GB"/>
                <w14:textFill>
                  <w14:solidFill>
                    <w14:schemeClr w14:val="tx1"/>
                  </w14:solidFill>
                </w14:textFill>
              </w:rPr>
              <w:t>利用水基钻井废弃物、无机工业污泥等一般工业固废替代部分原料制砖，属于固废综合利用项目。因此，本项目与《四川省“十四五”生态环境保护规划》相符。</w:t>
            </w:r>
          </w:p>
          <w:p w14:paraId="277D9D30">
            <w:pPr>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3、与《遂宁市“十四五”生态环境保护规划》符合性分析</w:t>
            </w:r>
          </w:p>
          <w:p w14:paraId="21339D2A">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遂宁市人民政府于2022年4月发布《遂宁市“十四五”生态环境保护规划》（遂府函〔2022〕38号），本项目与该规划符合性分析如下：</w:t>
            </w:r>
          </w:p>
          <w:p w14:paraId="63179C78">
            <w:pPr>
              <w:snapToGrid w:val="0"/>
              <w:jc w:val="center"/>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 xml:space="preserve">表1-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表1-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6</w:t>
            </w:r>
            <w:r>
              <w:rPr>
                <w:rFonts w:ascii="Times New Roman" w:hAnsi="Times New Roman" w:eastAsia="宋体" w:cs="Times New Roman"/>
                <w:b/>
                <w:bCs/>
                <w:color w:val="000000" w:themeColor="text1"/>
                <w:szCs w:val="21"/>
                <w14:textFill>
                  <w14:solidFill>
                    <w14:schemeClr w14:val="tx1"/>
                  </w14:solidFill>
                </w14:textFill>
              </w:rPr>
              <w:fldChar w:fldCharType="end"/>
            </w:r>
            <w:r>
              <w:rPr>
                <w:rFonts w:ascii="Times New Roman" w:hAnsi="Times New Roman" w:eastAsia="宋体" w:cs="Times New Roman"/>
                <w:b/>
                <w:bCs/>
                <w:color w:val="000000" w:themeColor="text1"/>
                <w:szCs w:val="21"/>
                <w14:textFill>
                  <w14:solidFill>
                    <w14:schemeClr w14:val="tx1"/>
                  </w14:solidFill>
                </w14:textFill>
              </w:rPr>
              <w:t xml:space="preserve">  </w:t>
            </w:r>
            <w:r>
              <w:rPr>
                <w:rFonts w:ascii="Times New Roman" w:hAnsi="Times New Roman" w:eastAsia="宋体" w:cs="Times New Roman"/>
                <w:b/>
                <w:bCs/>
                <w:color w:val="000000" w:themeColor="text1"/>
                <w:szCs w:val="24"/>
                <w14:textFill>
                  <w14:solidFill>
                    <w14:schemeClr w14:val="tx1"/>
                  </w14:solidFill>
                </w14:textFill>
              </w:rPr>
              <w:t>与《遂宁市“十四五”生态环境保护规划》符合性分析</w:t>
            </w:r>
          </w:p>
          <w:tbl>
            <w:tblPr>
              <w:tblStyle w:val="25"/>
              <w:tblW w:w="81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3996"/>
              <w:gridCol w:w="2478"/>
              <w:gridCol w:w="732"/>
            </w:tblGrid>
            <w:tr w14:paraId="310DF9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Align w:val="center"/>
                </w:tcPr>
                <w:p w14:paraId="0FFF4F5B">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类别</w:t>
                  </w:r>
                </w:p>
              </w:tc>
              <w:tc>
                <w:tcPr>
                  <w:tcW w:w="4111" w:type="dxa"/>
                  <w:vAlign w:val="center"/>
                </w:tcPr>
                <w:p w14:paraId="1FB989F1">
                  <w:pPr>
                    <w:ind w:left="-42" w:leftChars="-20" w:right="-42" w:rightChars="-2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规划要求</w:t>
                  </w:r>
                </w:p>
              </w:tc>
              <w:tc>
                <w:tcPr>
                  <w:tcW w:w="2551" w:type="dxa"/>
                  <w:vAlign w:val="center"/>
                </w:tcPr>
                <w:p w14:paraId="0C524FD5">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项目情况</w:t>
                  </w:r>
                </w:p>
              </w:tc>
              <w:tc>
                <w:tcPr>
                  <w:tcW w:w="750" w:type="dxa"/>
                  <w:vAlign w:val="center"/>
                </w:tcPr>
                <w:p w14:paraId="06EFF201">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 xml:space="preserve">符合性 </w:t>
                  </w:r>
                </w:p>
              </w:tc>
            </w:tr>
            <w:tr w14:paraId="285CF9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restart"/>
                  <w:vAlign w:val="center"/>
                </w:tcPr>
                <w:p w14:paraId="409DF92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《遂宁市“十四五”生态环境保护规划》（遂府函〔2022〕38号）</w:t>
                  </w:r>
                </w:p>
              </w:tc>
              <w:tc>
                <w:tcPr>
                  <w:tcW w:w="4111" w:type="dxa"/>
                  <w:vAlign w:val="center"/>
                </w:tcPr>
                <w:p w14:paraId="618F71AA">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（二）加快产业结构优化调整</w:t>
                  </w:r>
                </w:p>
                <w:p w14:paraId="35BA2347">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坚决淘汰落后动能。严格控制新（改、扩）建高耗能、高排放项目，新建高耗能、高排放项目应按相关要求落实区域削减。精准聚焦重点行业，加快淘汰低效落后动能。进一步健全并严格落实环保、安全、技术、能耗、效益标准，各县（市、区）制定具体措施，重点围绕废旧塑料再生、砖瓦等行业，分类组织实施转移、压减、整合、关停任务，依法淘汰落后产能。</w:t>
                  </w:r>
                </w:p>
              </w:tc>
              <w:tc>
                <w:tcPr>
                  <w:tcW w:w="2551" w:type="dxa"/>
                  <w:vAlign w:val="center"/>
                </w:tcPr>
                <w:p w14:paraId="6510267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本项目属于技改项目，不新增产能，本项目符合产业政策，不属于淘汰、落后类产能项目。</w:t>
                  </w:r>
                </w:p>
              </w:tc>
              <w:tc>
                <w:tcPr>
                  <w:tcW w:w="750" w:type="dxa"/>
                  <w:vAlign w:val="center"/>
                </w:tcPr>
                <w:p w14:paraId="2700125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3F120D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continue"/>
                  <w:vAlign w:val="center"/>
                </w:tcPr>
                <w:p w14:paraId="2D86A26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111" w:type="dxa"/>
                  <w:vAlign w:val="center"/>
                </w:tcPr>
                <w:p w14:paraId="464ED92E">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严把准入关口。坚持环境质量“只能更好，不能变坏”底线，严格落实污染物排放总量和产能总量控制刚性要求。实施“四上四压”，坚持“上新压旧”“上大压小”“上高压低”“上整压散”。“两高”项目确有必要建设的，须严格落实产能、煤耗、能耗、碳排放和污染物排放“五个减量替代”要求，新（改、扩）建项目要减量替代，已建项目要减量运行。</w:t>
                  </w:r>
                </w:p>
              </w:tc>
              <w:tc>
                <w:tcPr>
                  <w:tcW w:w="2551" w:type="dxa"/>
                  <w:vAlign w:val="center"/>
                </w:tcPr>
                <w:p w14:paraId="1E68D54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本项目不属于“两高”项目。本项目属于技改项目，不新增污染物排放总量。</w:t>
                  </w:r>
                </w:p>
              </w:tc>
              <w:tc>
                <w:tcPr>
                  <w:tcW w:w="750" w:type="dxa"/>
                  <w:vAlign w:val="center"/>
                </w:tcPr>
                <w:p w14:paraId="2F8BABB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r w14:paraId="46A597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760" w:type="dxa"/>
                  <w:vMerge w:val="continue"/>
                  <w:vAlign w:val="center"/>
                </w:tcPr>
                <w:p w14:paraId="4F55FC9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111" w:type="dxa"/>
                  <w:vAlign w:val="center"/>
                </w:tcPr>
                <w:p w14:paraId="2C33EDF9">
                  <w:pPr>
                    <w:ind w:left="-42" w:leftChars="-20" w:right="-42" w:rightChars="-2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加强固废危废污染联防联治。统筹规划建设固废资源回收基地和固废循环经济产业园，推动固废区域转移合作。以工业固体废弃物和建筑废弃物综合利用为重点，共同支持粉煤灰、一般化工废渣等大宗固体废弃物以及制药、食品饮料原材料废渣等废弃物的综合利用，推动秸秆综合利用。</w:t>
                  </w:r>
                </w:p>
              </w:tc>
              <w:tc>
                <w:tcPr>
                  <w:tcW w:w="2551" w:type="dxa"/>
                  <w:vAlign w:val="center"/>
                </w:tcPr>
                <w:p w14:paraId="0DA60AF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本项目属于砖瓦建材行业综合利用处置一般工业固废项目，利用水基钻井废弃物、无机工业污泥等一般工业固废替代部分页岩烧结制砖，符合规划要求的以工业固体废弃物和建筑废弃物综合利用为重点的要求。</w:t>
                  </w:r>
                </w:p>
              </w:tc>
              <w:tc>
                <w:tcPr>
                  <w:tcW w:w="750" w:type="dxa"/>
                  <w:vAlign w:val="center"/>
                </w:tcPr>
                <w:p w14:paraId="3A76453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符合</w:t>
                  </w:r>
                </w:p>
              </w:tc>
            </w:tr>
          </w:tbl>
          <w:p w14:paraId="6AB3F07B">
            <w:pPr>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4、《建材工业发展规划（2016-2020 年）》的符合性分析</w:t>
            </w:r>
          </w:p>
          <w:p w14:paraId="095B9D31">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《建材工业发展规划（2016-2020 年）》（工信部规[2016]315 号）中指出，“研究利用新型墙材隧道窑协同处置建筑废弃物、淤泥和污泥等”、“建设资源循环利用示范基地，推动建筑垃圾等城市废弃物分类集中资源化利用和无害化处置，选择城市周边具备条件的新型干法水泥熟料和墙体材料隧道窑生产线进行适应性改造，积极稳妥推进生活垃圾、城市污泥、有毒有害产业废弃物、禁烧的农林剩余物、建筑垃圾等协同处置项目”。</w:t>
            </w:r>
          </w:p>
          <w:p w14:paraId="4EF036CA">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项目为利用水基钻井废弃物、无机工业污泥等一般工业固废替代部分页岩烧结制砖项目，在处置固体废物的同时实现了资源化利用，符合规划要求。</w:t>
            </w:r>
          </w:p>
          <w:p w14:paraId="70B9708A">
            <w:pPr>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五、项目选址合理性</w:t>
            </w:r>
          </w:p>
          <w:p w14:paraId="0E6EC137">
            <w:pPr>
              <w:autoSpaceDE w:val="0"/>
              <w:autoSpaceDN w:val="0"/>
              <w:adjustRightInd w:val="0"/>
              <w:snapToGrid w:val="0"/>
              <w:spacing w:line="360" w:lineRule="auto"/>
              <w:ind w:firstLine="480" w:firstLineChars="200"/>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项目位于遂宁市安居区横山镇滑泥桥三社，所在地为农村环境，项目所在区域水、电、气等配套设施齐全，紧靠遂乐路，交通便利。根据现场调查，项目南侧临近遂乐路，隔遂乐路以南为耕地，周边零散分布有滑泥桥村农户。西侧最近约26m-250m有8户农户（约32人）；西北侧300m-500m有6户农户（约24人）；东北侧84m-180m范围有10户农户（约40人），320m-480m有10户农户（约40人）；东侧90m有1户农户（约4人），400-500m有25户农户（约100人）；东南侧21-100m有5户农户（约20人），240m有1户农户（约4人）；南侧160-250m有5户农户（约20人）；西南侧300m-360m有4户农户（约16人）；西侧421m有40户农户（约160人）。本项目最近水体为东北侧420m处的红旗水库，与涪江的最近距离约10.2km。本项目周边500m范围外环境概况见下表：</w:t>
            </w:r>
          </w:p>
          <w:p w14:paraId="60457BD3">
            <w:pPr>
              <w:autoSpaceDE w:val="0"/>
              <w:autoSpaceDN w:val="0"/>
              <w:adjustRightInd w:val="0"/>
              <w:snapToGrid w:val="0"/>
              <w:jc w:val="center"/>
              <w:rPr>
                <w:rFonts w:ascii="Times New Roman" w:hAnsi="Times New Roman" w:eastAsia="宋体" w:cs="Times New Roman"/>
                <w:color w:val="000000" w:themeColor="text1"/>
                <w:kern w:val="0"/>
                <w:sz w:val="24"/>
                <w:szCs w:val="24"/>
                <w14:textFill>
                  <w14:solidFill>
                    <w14:schemeClr w14:val="tx1"/>
                  </w14:solidFill>
                </w14:textFill>
              </w:rPr>
            </w:pPr>
            <w:bookmarkStart w:id="5" w:name="_Ref8636"/>
            <w:bookmarkStart w:id="6" w:name="_Ref150784502"/>
            <w:r>
              <w:rPr>
                <w:rFonts w:ascii="Times New Roman" w:hAnsi="Times New Roman" w:eastAsia="宋体" w:cs="Times New Roman"/>
                <w:b/>
                <w:bCs/>
                <w:color w:val="000000" w:themeColor="text1"/>
                <w:szCs w:val="21"/>
                <w14:textFill>
                  <w14:solidFill>
                    <w14:schemeClr w14:val="tx1"/>
                  </w14:solidFill>
                </w14:textFill>
              </w:rPr>
              <w:t xml:space="preserve">表1-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表1-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7</w:t>
            </w:r>
            <w:r>
              <w:rPr>
                <w:rFonts w:ascii="Times New Roman" w:hAnsi="Times New Roman" w:eastAsia="宋体" w:cs="Times New Roman"/>
                <w:b/>
                <w:bCs/>
                <w:color w:val="000000" w:themeColor="text1"/>
                <w:szCs w:val="21"/>
                <w14:textFill>
                  <w14:solidFill>
                    <w14:schemeClr w14:val="tx1"/>
                  </w14:solidFill>
                </w14:textFill>
              </w:rPr>
              <w:fldChar w:fldCharType="end"/>
            </w:r>
            <w:bookmarkEnd w:id="5"/>
            <w:r>
              <w:rPr>
                <w:rFonts w:ascii="Times New Roman" w:hAnsi="Times New Roman" w:eastAsia="宋体" w:cs="Times New Roman"/>
                <w:b/>
                <w:bCs/>
                <w:color w:val="000000" w:themeColor="text1"/>
                <w:szCs w:val="21"/>
                <w14:textFill>
                  <w14:solidFill>
                    <w14:schemeClr w14:val="tx1"/>
                  </w14:solidFill>
                </w14:textFill>
              </w:rPr>
              <w:t xml:space="preserve">  </w:t>
            </w:r>
            <w:r>
              <w:rPr>
                <w:rFonts w:ascii="Times New Roman" w:hAnsi="Times New Roman" w:eastAsia="宋体" w:cs="Times New Roman"/>
                <w:b/>
                <w:bCs/>
                <w:color w:val="000000" w:themeColor="text1"/>
                <w:szCs w:val="24"/>
                <w14:textFill>
                  <w14:solidFill>
                    <w14:schemeClr w14:val="tx1"/>
                  </w14:solidFill>
                </w14:textFill>
              </w:rPr>
              <w:t>本项目周边500m范围外环境概况一览表</w:t>
            </w:r>
            <w:bookmarkEnd w:id="6"/>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518"/>
              <w:gridCol w:w="1529"/>
              <w:gridCol w:w="770"/>
              <w:gridCol w:w="2233"/>
              <w:gridCol w:w="777"/>
              <w:gridCol w:w="2351"/>
            </w:tblGrid>
            <w:tr w14:paraId="340753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317" w:type="pct"/>
                  <w:shd w:val="clear" w:color="auto" w:fill="auto"/>
                  <w:vAlign w:val="center"/>
                </w:tcPr>
                <w:p w14:paraId="70B90026">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序号</w:t>
                  </w:r>
                </w:p>
              </w:tc>
              <w:tc>
                <w:tcPr>
                  <w:tcW w:w="935" w:type="pct"/>
                  <w:shd w:val="clear" w:color="auto" w:fill="auto"/>
                  <w:vAlign w:val="center"/>
                </w:tcPr>
                <w:p w14:paraId="6ED9DEBF">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名称</w:t>
                  </w:r>
                </w:p>
              </w:tc>
              <w:tc>
                <w:tcPr>
                  <w:tcW w:w="471" w:type="pct"/>
                  <w:shd w:val="clear" w:color="auto" w:fill="auto"/>
                  <w:vAlign w:val="center"/>
                </w:tcPr>
                <w:p w14:paraId="430FC3BF">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方位</w:t>
                  </w:r>
                </w:p>
              </w:tc>
              <w:tc>
                <w:tcPr>
                  <w:tcW w:w="1365" w:type="pct"/>
                  <w:shd w:val="clear" w:color="auto" w:fill="auto"/>
                  <w:vAlign w:val="center"/>
                </w:tcPr>
                <w:p w14:paraId="6C0F40F7">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厂界相对距离（m）</w:t>
                  </w:r>
                </w:p>
              </w:tc>
              <w:tc>
                <w:tcPr>
                  <w:tcW w:w="475" w:type="pct"/>
                  <w:vAlign w:val="center"/>
                </w:tcPr>
                <w:p w14:paraId="75E441F0">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高差m</w:t>
                  </w:r>
                </w:p>
              </w:tc>
              <w:tc>
                <w:tcPr>
                  <w:tcW w:w="1438" w:type="pct"/>
                  <w:shd w:val="clear" w:color="auto" w:fill="auto"/>
                  <w:vAlign w:val="center"/>
                </w:tcPr>
                <w:p w14:paraId="2F6C34F8">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规模或功能</w:t>
                  </w:r>
                </w:p>
              </w:tc>
            </w:tr>
            <w:tr w14:paraId="018025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317" w:type="pct"/>
                  <w:shd w:val="clear" w:color="auto" w:fill="auto"/>
                  <w:vAlign w:val="center"/>
                </w:tcPr>
                <w:p w14:paraId="38438404">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w:t>
                  </w:r>
                </w:p>
              </w:tc>
              <w:tc>
                <w:tcPr>
                  <w:tcW w:w="935" w:type="pct"/>
                  <w:shd w:val="clear" w:color="auto" w:fill="auto"/>
                  <w:vAlign w:val="center"/>
                </w:tcPr>
                <w:p w14:paraId="56CD0C31">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滑泥桥村农户</w:t>
                  </w:r>
                </w:p>
              </w:tc>
              <w:tc>
                <w:tcPr>
                  <w:tcW w:w="471" w:type="pct"/>
                  <w:shd w:val="clear" w:color="auto" w:fill="auto"/>
                  <w:vAlign w:val="center"/>
                </w:tcPr>
                <w:p w14:paraId="7DEB5EAE">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西侧</w:t>
                  </w:r>
                </w:p>
              </w:tc>
              <w:tc>
                <w:tcPr>
                  <w:tcW w:w="1365" w:type="pct"/>
                  <w:shd w:val="clear" w:color="auto" w:fill="auto"/>
                  <w:vAlign w:val="center"/>
                </w:tcPr>
                <w:p w14:paraId="3318148E">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26m-250m</w:t>
                  </w:r>
                </w:p>
              </w:tc>
              <w:tc>
                <w:tcPr>
                  <w:tcW w:w="475" w:type="pct"/>
                  <w:vAlign w:val="center"/>
                </w:tcPr>
                <w:p w14:paraId="3E20C7CD">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-3</w:t>
                  </w:r>
                </w:p>
              </w:tc>
              <w:tc>
                <w:tcPr>
                  <w:tcW w:w="1438" w:type="pct"/>
                  <w:shd w:val="clear" w:color="auto" w:fill="auto"/>
                  <w:vAlign w:val="center"/>
                </w:tcPr>
                <w:p w14:paraId="544D7027">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8户农户，约32人</w:t>
                  </w:r>
                </w:p>
              </w:tc>
            </w:tr>
            <w:tr w14:paraId="665544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12" w:hRule="atLeast"/>
                <w:jc w:val="center"/>
              </w:trPr>
              <w:tc>
                <w:tcPr>
                  <w:tcW w:w="317" w:type="pct"/>
                  <w:shd w:val="clear" w:color="auto" w:fill="auto"/>
                  <w:vAlign w:val="center"/>
                </w:tcPr>
                <w:p w14:paraId="50EA0D8B">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w:t>
                  </w:r>
                </w:p>
              </w:tc>
              <w:tc>
                <w:tcPr>
                  <w:tcW w:w="935" w:type="pct"/>
                  <w:shd w:val="clear" w:color="auto" w:fill="auto"/>
                  <w:vAlign w:val="center"/>
                </w:tcPr>
                <w:p w14:paraId="3AA76B0E">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滑泥桥村农户</w:t>
                  </w:r>
                </w:p>
              </w:tc>
              <w:tc>
                <w:tcPr>
                  <w:tcW w:w="471" w:type="pct"/>
                  <w:shd w:val="clear" w:color="auto" w:fill="auto"/>
                  <w:vAlign w:val="center"/>
                </w:tcPr>
                <w:p w14:paraId="7053B538">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西北侧</w:t>
                  </w:r>
                </w:p>
              </w:tc>
              <w:tc>
                <w:tcPr>
                  <w:tcW w:w="1365" w:type="pct"/>
                  <w:shd w:val="clear" w:color="auto" w:fill="auto"/>
                  <w:vAlign w:val="center"/>
                </w:tcPr>
                <w:p w14:paraId="5FBB311C">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300m-500m</w:t>
                  </w:r>
                </w:p>
              </w:tc>
              <w:tc>
                <w:tcPr>
                  <w:tcW w:w="475" w:type="pct"/>
                  <w:vAlign w:val="center"/>
                </w:tcPr>
                <w:p w14:paraId="3B66B5BF">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11</w:t>
                  </w:r>
                </w:p>
              </w:tc>
              <w:tc>
                <w:tcPr>
                  <w:tcW w:w="1438" w:type="pct"/>
                  <w:shd w:val="clear" w:color="auto" w:fill="auto"/>
                  <w:vAlign w:val="center"/>
                </w:tcPr>
                <w:p w14:paraId="44110637">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6户农户，约24人</w:t>
                  </w:r>
                </w:p>
              </w:tc>
            </w:tr>
            <w:tr w14:paraId="5DC8D6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317" w:type="pct"/>
                  <w:shd w:val="clear" w:color="auto" w:fill="auto"/>
                  <w:vAlign w:val="center"/>
                </w:tcPr>
                <w:p w14:paraId="2B849B2C">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w:t>
                  </w:r>
                </w:p>
              </w:tc>
              <w:tc>
                <w:tcPr>
                  <w:tcW w:w="935" w:type="pct"/>
                  <w:shd w:val="clear" w:color="auto" w:fill="auto"/>
                  <w:vAlign w:val="center"/>
                </w:tcPr>
                <w:p w14:paraId="4AA45169">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滑泥桥村农户</w:t>
                  </w:r>
                </w:p>
              </w:tc>
              <w:tc>
                <w:tcPr>
                  <w:tcW w:w="471" w:type="pct"/>
                  <w:shd w:val="clear" w:color="auto" w:fill="auto"/>
                  <w:vAlign w:val="center"/>
                </w:tcPr>
                <w:p w14:paraId="689B01A2">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东北侧</w:t>
                  </w:r>
                </w:p>
              </w:tc>
              <w:tc>
                <w:tcPr>
                  <w:tcW w:w="1365" w:type="pct"/>
                  <w:shd w:val="clear" w:color="auto" w:fill="auto"/>
                  <w:vAlign w:val="center"/>
                </w:tcPr>
                <w:p w14:paraId="1A9DD12C">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84m-180m</w:t>
                  </w:r>
                </w:p>
              </w:tc>
              <w:tc>
                <w:tcPr>
                  <w:tcW w:w="475" w:type="pct"/>
                  <w:vAlign w:val="center"/>
                </w:tcPr>
                <w:p w14:paraId="0F08FCC7">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-5</w:t>
                  </w:r>
                </w:p>
              </w:tc>
              <w:tc>
                <w:tcPr>
                  <w:tcW w:w="1438" w:type="pct"/>
                  <w:shd w:val="clear" w:color="auto" w:fill="auto"/>
                  <w:vAlign w:val="center"/>
                </w:tcPr>
                <w:p w14:paraId="428FF223">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10户农户，约40人</w:t>
                  </w:r>
                </w:p>
              </w:tc>
            </w:tr>
            <w:tr w14:paraId="2E265C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317" w:type="pct"/>
                  <w:shd w:val="clear" w:color="auto" w:fill="auto"/>
                  <w:vAlign w:val="center"/>
                </w:tcPr>
                <w:p w14:paraId="7672D75F">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w:t>
                  </w:r>
                </w:p>
              </w:tc>
              <w:tc>
                <w:tcPr>
                  <w:tcW w:w="935" w:type="pct"/>
                  <w:shd w:val="clear" w:color="auto" w:fill="auto"/>
                  <w:vAlign w:val="center"/>
                </w:tcPr>
                <w:p w14:paraId="4192C0D6">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滑泥桥村农户</w:t>
                  </w:r>
                </w:p>
              </w:tc>
              <w:tc>
                <w:tcPr>
                  <w:tcW w:w="471" w:type="pct"/>
                  <w:shd w:val="clear" w:color="auto" w:fill="auto"/>
                  <w:vAlign w:val="center"/>
                </w:tcPr>
                <w:p w14:paraId="2FF661B3">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东北侧</w:t>
                  </w:r>
                </w:p>
              </w:tc>
              <w:tc>
                <w:tcPr>
                  <w:tcW w:w="1365" w:type="pct"/>
                  <w:shd w:val="clear" w:color="auto" w:fill="auto"/>
                  <w:vAlign w:val="center"/>
                </w:tcPr>
                <w:p w14:paraId="0942097C">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320m-480m</w:t>
                  </w:r>
                </w:p>
              </w:tc>
              <w:tc>
                <w:tcPr>
                  <w:tcW w:w="475" w:type="pct"/>
                  <w:vAlign w:val="center"/>
                </w:tcPr>
                <w:p w14:paraId="333AC8F2">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2</w:t>
                  </w:r>
                </w:p>
              </w:tc>
              <w:tc>
                <w:tcPr>
                  <w:tcW w:w="1438" w:type="pct"/>
                  <w:shd w:val="clear" w:color="auto" w:fill="auto"/>
                  <w:vAlign w:val="center"/>
                </w:tcPr>
                <w:p w14:paraId="2F15E789">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10户农户，约40人</w:t>
                  </w:r>
                </w:p>
              </w:tc>
            </w:tr>
            <w:tr w14:paraId="40421B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317" w:type="pct"/>
                  <w:shd w:val="clear" w:color="auto" w:fill="auto"/>
                  <w:vAlign w:val="center"/>
                </w:tcPr>
                <w:p w14:paraId="32C39EF3">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w:t>
                  </w:r>
                </w:p>
              </w:tc>
              <w:tc>
                <w:tcPr>
                  <w:tcW w:w="935" w:type="pct"/>
                  <w:shd w:val="clear" w:color="auto" w:fill="auto"/>
                  <w:vAlign w:val="center"/>
                </w:tcPr>
                <w:p w14:paraId="7A524FFE">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滑泥桥村农户</w:t>
                  </w:r>
                </w:p>
              </w:tc>
              <w:tc>
                <w:tcPr>
                  <w:tcW w:w="471" w:type="pct"/>
                  <w:shd w:val="clear" w:color="auto" w:fill="auto"/>
                  <w:vAlign w:val="center"/>
                </w:tcPr>
                <w:p w14:paraId="713A63E7">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东侧</w:t>
                  </w:r>
                </w:p>
              </w:tc>
              <w:tc>
                <w:tcPr>
                  <w:tcW w:w="1365" w:type="pct"/>
                  <w:shd w:val="clear" w:color="auto" w:fill="auto"/>
                  <w:vAlign w:val="center"/>
                </w:tcPr>
                <w:p w14:paraId="118F5F3A">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90m</w:t>
                  </w:r>
                </w:p>
              </w:tc>
              <w:tc>
                <w:tcPr>
                  <w:tcW w:w="475" w:type="pct"/>
                  <w:vAlign w:val="center"/>
                </w:tcPr>
                <w:p w14:paraId="0E342ED1">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-3</w:t>
                  </w:r>
                </w:p>
              </w:tc>
              <w:tc>
                <w:tcPr>
                  <w:tcW w:w="1438" w:type="pct"/>
                  <w:shd w:val="clear" w:color="auto" w:fill="auto"/>
                  <w:vAlign w:val="center"/>
                </w:tcPr>
                <w:p w14:paraId="5381992A">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1户农户，约4人</w:t>
                  </w:r>
                </w:p>
              </w:tc>
            </w:tr>
            <w:tr w14:paraId="291783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317" w:type="pct"/>
                  <w:shd w:val="clear" w:color="auto" w:fill="auto"/>
                  <w:vAlign w:val="center"/>
                </w:tcPr>
                <w:p w14:paraId="436E7000">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w:t>
                  </w:r>
                </w:p>
              </w:tc>
              <w:tc>
                <w:tcPr>
                  <w:tcW w:w="935" w:type="pct"/>
                  <w:shd w:val="clear" w:color="auto" w:fill="auto"/>
                  <w:vAlign w:val="center"/>
                </w:tcPr>
                <w:p w14:paraId="71DF5994">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滑泥桥村农户</w:t>
                  </w:r>
                </w:p>
              </w:tc>
              <w:tc>
                <w:tcPr>
                  <w:tcW w:w="471" w:type="pct"/>
                  <w:shd w:val="clear" w:color="auto" w:fill="auto"/>
                  <w:vAlign w:val="center"/>
                </w:tcPr>
                <w:p w14:paraId="7D952985">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东南侧</w:t>
                  </w:r>
                </w:p>
              </w:tc>
              <w:tc>
                <w:tcPr>
                  <w:tcW w:w="1365" w:type="pct"/>
                  <w:shd w:val="clear" w:color="auto" w:fill="auto"/>
                  <w:vAlign w:val="center"/>
                </w:tcPr>
                <w:p w14:paraId="08DE2DE8">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21-100m</w:t>
                  </w:r>
                </w:p>
              </w:tc>
              <w:tc>
                <w:tcPr>
                  <w:tcW w:w="475" w:type="pct"/>
                  <w:vAlign w:val="center"/>
                </w:tcPr>
                <w:p w14:paraId="5BBB0ED0">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-3</w:t>
                  </w:r>
                </w:p>
              </w:tc>
              <w:tc>
                <w:tcPr>
                  <w:tcW w:w="1438" w:type="pct"/>
                  <w:shd w:val="clear" w:color="auto" w:fill="auto"/>
                  <w:vAlign w:val="center"/>
                </w:tcPr>
                <w:p w14:paraId="18514B98">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5户农户，约20人</w:t>
                  </w:r>
                </w:p>
              </w:tc>
            </w:tr>
            <w:tr w14:paraId="2C4837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317" w:type="pct"/>
                  <w:shd w:val="clear" w:color="auto" w:fill="auto"/>
                  <w:vAlign w:val="center"/>
                </w:tcPr>
                <w:p w14:paraId="0A7A18D8">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w:t>
                  </w:r>
                </w:p>
              </w:tc>
              <w:tc>
                <w:tcPr>
                  <w:tcW w:w="935" w:type="pct"/>
                  <w:shd w:val="clear" w:color="auto" w:fill="auto"/>
                  <w:vAlign w:val="center"/>
                </w:tcPr>
                <w:p w14:paraId="705ECA08">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滑泥桥村农户</w:t>
                  </w:r>
                </w:p>
              </w:tc>
              <w:tc>
                <w:tcPr>
                  <w:tcW w:w="471" w:type="pct"/>
                  <w:shd w:val="clear" w:color="auto" w:fill="auto"/>
                  <w:vAlign w:val="center"/>
                </w:tcPr>
                <w:p w14:paraId="1855D056">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东南侧</w:t>
                  </w:r>
                </w:p>
              </w:tc>
              <w:tc>
                <w:tcPr>
                  <w:tcW w:w="1365" w:type="pct"/>
                  <w:shd w:val="clear" w:color="auto" w:fill="auto"/>
                  <w:vAlign w:val="center"/>
                </w:tcPr>
                <w:p w14:paraId="2CD9A232">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240m</w:t>
                  </w:r>
                </w:p>
              </w:tc>
              <w:tc>
                <w:tcPr>
                  <w:tcW w:w="475" w:type="pct"/>
                  <w:vAlign w:val="center"/>
                </w:tcPr>
                <w:p w14:paraId="449A5E70">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-12</w:t>
                  </w:r>
                </w:p>
              </w:tc>
              <w:tc>
                <w:tcPr>
                  <w:tcW w:w="1438" w:type="pct"/>
                  <w:shd w:val="clear" w:color="auto" w:fill="auto"/>
                  <w:vAlign w:val="center"/>
                </w:tcPr>
                <w:p w14:paraId="60495BFC">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1户农户，约4人</w:t>
                  </w:r>
                </w:p>
              </w:tc>
            </w:tr>
            <w:tr w14:paraId="65DC9F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317" w:type="pct"/>
                  <w:shd w:val="clear" w:color="auto" w:fill="auto"/>
                  <w:vAlign w:val="center"/>
                </w:tcPr>
                <w:p w14:paraId="7BC059D8">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w:t>
                  </w:r>
                </w:p>
              </w:tc>
              <w:tc>
                <w:tcPr>
                  <w:tcW w:w="935" w:type="pct"/>
                  <w:shd w:val="clear" w:color="auto" w:fill="auto"/>
                  <w:vAlign w:val="center"/>
                </w:tcPr>
                <w:p w14:paraId="3555092B">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滑泥桥村农户</w:t>
                  </w:r>
                </w:p>
              </w:tc>
              <w:tc>
                <w:tcPr>
                  <w:tcW w:w="471" w:type="pct"/>
                  <w:shd w:val="clear" w:color="auto" w:fill="auto"/>
                  <w:vAlign w:val="center"/>
                </w:tcPr>
                <w:p w14:paraId="4394833D">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东侧</w:t>
                  </w:r>
                </w:p>
              </w:tc>
              <w:tc>
                <w:tcPr>
                  <w:tcW w:w="1365" w:type="pct"/>
                  <w:shd w:val="clear" w:color="auto" w:fill="auto"/>
                  <w:vAlign w:val="center"/>
                </w:tcPr>
                <w:p w14:paraId="6BCD10BC">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400-500m</w:t>
                  </w:r>
                </w:p>
              </w:tc>
              <w:tc>
                <w:tcPr>
                  <w:tcW w:w="475" w:type="pct"/>
                  <w:vAlign w:val="center"/>
                </w:tcPr>
                <w:p w14:paraId="4465F63E">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+9</w:t>
                  </w:r>
                </w:p>
              </w:tc>
              <w:tc>
                <w:tcPr>
                  <w:tcW w:w="1438" w:type="pct"/>
                  <w:shd w:val="clear" w:color="auto" w:fill="auto"/>
                  <w:vAlign w:val="center"/>
                </w:tcPr>
                <w:p w14:paraId="7E3E0CF0">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25户农户，约100人</w:t>
                  </w:r>
                </w:p>
              </w:tc>
            </w:tr>
            <w:tr w14:paraId="649ADE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317" w:type="pct"/>
                  <w:shd w:val="clear" w:color="auto" w:fill="auto"/>
                  <w:vAlign w:val="center"/>
                </w:tcPr>
                <w:p w14:paraId="7445C27F">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w:t>
                  </w:r>
                </w:p>
              </w:tc>
              <w:tc>
                <w:tcPr>
                  <w:tcW w:w="935" w:type="pct"/>
                  <w:shd w:val="clear" w:color="auto" w:fill="auto"/>
                  <w:vAlign w:val="center"/>
                </w:tcPr>
                <w:p w14:paraId="19795E41">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滑泥桥村农户</w:t>
                  </w:r>
                </w:p>
              </w:tc>
              <w:tc>
                <w:tcPr>
                  <w:tcW w:w="471" w:type="pct"/>
                  <w:shd w:val="clear" w:color="auto" w:fill="auto"/>
                  <w:vAlign w:val="center"/>
                </w:tcPr>
                <w:p w14:paraId="717FAB11">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南侧</w:t>
                  </w:r>
                </w:p>
              </w:tc>
              <w:tc>
                <w:tcPr>
                  <w:tcW w:w="1365" w:type="pct"/>
                  <w:shd w:val="clear" w:color="auto" w:fill="auto"/>
                  <w:vAlign w:val="center"/>
                </w:tcPr>
                <w:p w14:paraId="5786E3E8">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160-250m</w:t>
                  </w:r>
                </w:p>
              </w:tc>
              <w:tc>
                <w:tcPr>
                  <w:tcW w:w="475" w:type="pct"/>
                  <w:vAlign w:val="center"/>
                </w:tcPr>
                <w:p w14:paraId="7F42656F">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-7</w:t>
                  </w:r>
                </w:p>
              </w:tc>
              <w:tc>
                <w:tcPr>
                  <w:tcW w:w="1438" w:type="pct"/>
                  <w:shd w:val="clear" w:color="auto" w:fill="auto"/>
                  <w:vAlign w:val="center"/>
                </w:tcPr>
                <w:p w14:paraId="46D3BCC6">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5户农户，约20人</w:t>
                  </w:r>
                </w:p>
              </w:tc>
            </w:tr>
            <w:tr w14:paraId="1BDC64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317" w:type="pct"/>
                  <w:shd w:val="clear" w:color="auto" w:fill="auto"/>
                  <w:vAlign w:val="center"/>
                </w:tcPr>
                <w:p w14:paraId="1C1372D1">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10</w:t>
                  </w:r>
                </w:p>
              </w:tc>
              <w:tc>
                <w:tcPr>
                  <w:tcW w:w="935" w:type="pct"/>
                  <w:shd w:val="clear" w:color="auto" w:fill="auto"/>
                  <w:vAlign w:val="center"/>
                </w:tcPr>
                <w:p w14:paraId="4E24F091">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滑泥桥村农户</w:t>
                  </w:r>
                </w:p>
              </w:tc>
              <w:tc>
                <w:tcPr>
                  <w:tcW w:w="471" w:type="pct"/>
                  <w:shd w:val="clear" w:color="auto" w:fill="auto"/>
                  <w:vAlign w:val="center"/>
                </w:tcPr>
                <w:p w14:paraId="1B500FC3">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西南侧</w:t>
                  </w:r>
                </w:p>
              </w:tc>
              <w:tc>
                <w:tcPr>
                  <w:tcW w:w="1365" w:type="pct"/>
                  <w:shd w:val="clear" w:color="auto" w:fill="auto"/>
                  <w:vAlign w:val="center"/>
                </w:tcPr>
                <w:p w14:paraId="050E30FB">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300m-360m</w:t>
                  </w:r>
                </w:p>
              </w:tc>
              <w:tc>
                <w:tcPr>
                  <w:tcW w:w="475" w:type="pct"/>
                  <w:vAlign w:val="center"/>
                </w:tcPr>
                <w:p w14:paraId="73A21EA7">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+2</w:t>
                  </w:r>
                </w:p>
              </w:tc>
              <w:tc>
                <w:tcPr>
                  <w:tcW w:w="1438" w:type="pct"/>
                  <w:shd w:val="clear" w:color="auto" w:fill="auto"/>
                  <w:vAlign w:val="center"/>
                </w:tcPr>
                <w:p w14:paraId="438F3106">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4户农户，约16人</w:t>
                  </w:r>
                </w:p>
              </w:tc>
            </w:tr>
            <w:tr w14:paraId="4AEF09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317" w:type="pct"/>
                  <w:shd w:val="clear" w:color="auto" w:fill="auto"/>
                  <w:vAlign w:val="center"/>
                </w:tcPr>
                <w:p w14:paraId="3C14AC3F">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w:t>
                  </w:r>
                </w:p>
              </w:tc>
              <w:tc>
                <w:tcPr>
                  <w:tcW w:w="935" w:type="pct"/>
                  <w:shd w:val="clear" w:color="auto" w:fill="auto"/>
                  <w:vAlign w:val="center"/>
                </w:tcPr>
                <w:p w14:paraId="69D5FEA9">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滑泥桥村农户</w:t>
                  </w:r>
                </w:p>
              </w:tc>
              <w:tc>
                <w:tcPr>
                  <w:tcW w:w="471" w:type="pct"/>
                  <w:shd w:val="clear" w:color="auto" w:fill="auto"/>
                  <w:vAlign w:val="center"/>
                </w:tcPr>
                <w:p w14:paraId="7E7FB47A">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西侧</w:t>
                  </w:r>
                </w:p>
              </w:tc>
              <w:tc>
                <w:tcPr>
                  <w:tcW w:w="1365" w:type="pct"/>
                  <w:shd w:val="clear" w:color="auto" w:fill="auto"/>
                  <w:vAlign w:val="center"/>
                </w:tcPr>
                <w:p w14:paraId="613C34AF">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421m</w:t>
                  </w:r>
                </w:p>
              </w:tc>
              <w:tc>
                <w:tcPr>
                  <w:tcW w:w="475" w:type="pct"/>
                  <w:vAlign w:val="center"/>
                </w:tcPr>
                <w:p w14:paraId="4A826BCA">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4</w:t>
                  </w:r>
                </w:p>
              </w:tc>
              <w:tc>
                <w:tcPr>
                  <w:tcW w:w="1438" w:type="pct"/>
                  <w:shd w:val="clear" w:color="auto" w:fill="auto"/>
                  <w:vAlign w:val="center"/>
                </w:tcPr>
                <w:p w14:paraId="1A1C5F08">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40户农户，约160人</w:t>
                  </w:r>
                </w:p>
              </w:tc>
            </w:tr>
            <w:tr w14:paraId="5EAEE5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317" w:type="pct"/>
                  <w:shd w:val="clear" w:color="auto" w:fill="auto"/>
                  <w:vAlign w:val="center"/>
                </w:tcPr>
                <w:p w14:paraId="758A2DC7">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w:t>
                  </w:r>
                </w:p>
              </w:tc>
              <w:tc>
                <w:tcPr>
                  <w:tcW w:w="935" w:type="pct"/>
                  <w:shd w:val="clear" w:color="auto" w:fill="auto"/>
                  <w:vAlign w:val="center"/>
                </w:tcPr>
                <w:p w14:paraId="5891682A">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红旗水库</w:t>
                  </w:r>
                </w:p>
              </w:tc>
              <w:tc>
                <w:tcPr>
                  <w:tcW w:w="471" w:type="pct"/>
                  <w:shd w:val="clear" w:color="auto" w:fill="auto"/>
                  <w:vAlign w:val="center"/>
                </w:tcPr>
                <w:p w14:paraId="6985D332">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东北侧</w:t>
                  </w:r>
                </w:p>
              </w:tc>
              <w:tc>
                <w:tcPr>
                  <w:tcW w:w="1365" w:type="pct"/>
                  <w:shd w:val="clear" w:color="auto" w:fill="auto"/>
                  <w:vAlign w:val="center"/>
                </w:tcPr>
                <w:p w14:paraId="291BE20E">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420m</w:t>
                  </w:r>
                </w:p>
              </w:tc>
              <w:tc>
                <w:tcPr>
                  <w:tcW w:w="475" w:type="pct"/>
                  <w:vAlign w:val="center"/>
                </w:tcPr>
                <w:p w14:paraId="08083E0A">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+3</w:t>
                  </w:r>
                </w:p>
              </w:tc>
              <w:tc>
                <w:tcPr>
                  <w:tcW w:w="1438" w:type="pct"/>
                  <w:shd w:val="clear" w:color="auto" w:fill="auto"/>
                  <w:vAlign w:val="center"/>
                </w:tcPr>
                <w:p w14:paraId="490B151C">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灌溉</w:t>
                  </w:r>
                </w:p>
              </w:tc>
            </w:tr>
          </w:tbl>
          <w:p w14:paraId="41949E4F">
            <w:pPr>
              <w:autoSpaceDE w:val="0"/>
              <w:autoSpaceDN w:val="0"/>
              <w:adjustRightInd w:val="0"/>
              <w:snapToGrid w:val="0"/>
              <w:spacing w:line="360" w:lineRule="auto"/>
              <w:ind w:firstLine="480" w:firstLineChars="200"/>
              <w:jc w:val="left"/>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项目在现有厂区内进行技改，不涉及新增用地。项目水基钻井废弃物、无机工业污泥为第</w:t>
            </w:r>
            <w:r>
              <w:rPr>
                <w:rFonts w:hint="eastAsia" w:ascii="宋体" w:hAnsi="宋体" w:eastAsia="宋体" w:cs="宋体"/>
                <w:color w:val="000000" w:themeColor="text1"/>
                <w:kern w:val="0"/>
                <w:sz w:val="24"/>
                <w:szCs w:val="24"/>
                <w14:textFill>
                  <w14:solidFill>
                    <w14:schemeClr w14:val="tx1"/>
                  </w14:solidFill>
                </w14:textFill>
              </w:rPr>
              <w:t>Ⅰ</w:t>
            </w:r>
            <w:r>
              <w:rPr>
                <w:rFonts w:ascii="Times New Roman" w:hAnsi="Times New Roman" w:eastAsia="宋体" w:cs="Times New Roman"/>
                <w:color w:val="000000" w:themeColor="text1"/>
                <w:kern w:val="0"/>
                <w:sz w:val="24"/>
                <w:szCs w:val="24"/>
                <w14:textFill>
                  <w14:solidFill>
                    <w14:schemeClr w14:val="tx1"/>
                  </w14:solidFill>
                </w14:textFill>
              </w:rPr>
              <w:t>类一般工业固体废物，</w:t>
            </w:r>
            <w:r>
              <w:rPr>
                <w:rFonts w:ascii="Times New Roman" w:hAnsi="Times New Roman" w:eastAsia="宋体" w:cs="Times New Roman"/>
                <w:color w:val="000000" w:themeColor="text1"/>
                <w:sz w:val="24"/>
                <w:szCs w:val="24"/>
                <w14:textFill>
                  <w14:solidFill>
                    <w14:schemeClr w14:val="tx1"/>
                  </w14:solidFill>
                </w14:textFill>
              </w:rPr>
              <w:t>一般工业固废贮存间</w:t>
            </w:r>
            <w:r>
              <w:rPr>
                <w:rFonts w:ascii="Times New Roman" w:hAnsi="Times New Roman" w:eastAsia="宋体" w:cs="Times New Roman"/>
                <w:color w:val="000000" w:themeColor="text1"/>
                <w:kern w:val="0"/>
                <w:sz w:val="24"/>
                <w:szCs w:val="24"/>
                <w14:textFill>
                  <w14:solidFill>
                    <w14:schemeClr w14:val="tx1"/>
                  </w14:solidFill>
                </w14:textFill>
              </w:rPr>
              <w:t>位于厂区内，未处于断层、断层破碎带、溶洞区以及天然滑坡或泥石流影响区，未选在江河、湖泊、水库最高水位线以下的滩地和洪泛区，未选在自然保护区、风景名胜区和其它需要特别保护的区域，采取了防止粉尘污染的措施、防渗及渗滤液收集措施；满足《一般工业固体废物贮存、处置场污染控制标准》（GB 18599-2001）的相关要求。</w:t>
            </w:r>
          </w:p>
          <w:p w14:paraId="12E0F44E">
            <w:pPr>
              <w:autoSpaceDE w:val="0"/>
              <w:autoSpaceDN w:val="0"/>
              <w:adjustRightInd w:val="0"/>
              <w:snapToGrid w:val="0"/>
              <w:spacing w:line="360" w:lineRule="auto"/>
              <w:ind w:firstLine="480" w:firstLineChars="200"/>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本项目技改未改变生产工艺，未新增产污环节，不会增加无组织废气排放，卫生防护距离沿用现有工程已划定结果，根据《遂宁市安居区横山机砖厂环境影响报告表》（报批本）（2017年9月），厂区现有项目卫生防护距离是以本项目无组织排放源原料堆场以及原料制备车间作为边界向外扩50m，根据卫生防护距离包络线图，项目周边的居民住户未在卫生防护距离范围内。</w:t>
            </w:r>
          </w:p>
          <w:p w14:paraId="11B2D377">
            <w:pPr>
              <w:autoSpaceDE w:val="0"/>
              <w:autoSpaceDN w:val="0"/>
              <w:adjustRightInd w:val="0"/>
              <w:snapToGrid w:val="0"/>
              <w:spacing w:line="360" w:lineRule="auto"/>
              <w:ind w:firstLine="482" w:firstLineChars="200"/>
              <w:rPr>
                <w:rFonts w:ascii="Times New Roman" w:hAnsi="Times New Roman" w:eastAsia="宋体" w:cs="Times New Roman"/>
                <w:b/>
                <w:bCs/>
                <w:color w:val="000000" w:themeColor="text1"/>
                <w:kern w:val="0"/>
                <w:sz w:val="24"/>
                <w:szCs w:val="24"/>
                <w14:textFill>
                  <w14:solidFill>
                    <w14:schemeClr w14:val="tx1"/>
                  </w14:solidFill>
                </w14:textFill>
              </w:rPr>
            </w:pPr>
            <w:r>
              <w:rPr>
                <w:rFonts w:ascii="Times New Roman" w:hAnsi="Times New Roman" w:eastAsia="宋体" w:cs="Times New Roman"/>
                <w:b/>
                <w:bCs/>
                <w:color w:val="000000" w:themeColor="text1"/>
                <w:kern w:val="0"/>
                <w:sz w:val="24"/>
                <w:szCs w:val="24"/>
                <w14:textFill>
                  <w14:solidFill>
                    <w14:schemeClr w14:val="tx1"/>
                  </w14:solidFill>
                </w14:textFill>
              </w:rPr>
              <w:t>评价区域内不涉及当地集中式饮用水源保护区。项目区域不在自然保护区、风景名胜区、饮用水源保护区、文物古迹等敏感区域。项目周边不存在重大环境制约因素。</w:t>
            </w:r>
          </w:p>
          <w:p w14:paraId="35E1A46B">
            <w:pPr>
              <w:autoSpaceDE w:val="0"/>
              <w:autoSpaceDN w:val="0"/>
              <w:adjustRightInd w:val="0"/>
              <w:snapToGrid w:val="0"/>
              <w:spacing w:line="360" w:lineRule="auto"/>
              <w:ind w:firstLine="482" w:firstLineChars="200"/>
              <w:rPr>
                <w:rFonts w:ascii="Times New Roman" w:hAnsi="Times New Roman" w:eastAsia="宋体" w:cs="Times New Roman"/>
                <w:b/>
                <w:bCs/>
                <w:color w:val="000000" w:themeColor="text1"/>
                <w:kern w:val="0"/>
                <w:sz w:val="24"/>
                <w:szCs w:val="24"/>
                <w14:textFill>
                  <w14:solidFill>
                    <w14:schemeClr w14:val="tx1"/>
                  </w14:solidFill>
                </w14:textFill>
              </w:rPr>
            </w:pPr>
            <w:r>
              <w:rPr>
                <w:rFonts w:ascii="Times New Roman" w:hAnsi="Times New Roman" w:eastAsia="宋体" w:cs="Times New Roman"/>
                <w:b/>
                <w:bCs/>
                <w:color w:val="000000" w:themeColor="text1"/>
                <w:kern w:val="0"/>
                <w:sz w:val="24"/>
                <w:szCs w:val="24"/>
                <w14:textFill>
                  <w14:solidFill>
                    <w14:schemeClr w14:val="tx1"/>
                  </w14:solidFill>
                </w14:textFill>
              </w:rPr>
              <w:t>综上所述，评价认为项目所在地无显著的环境制约因素，项目选址与外环境相容。</w:t>
            </w:r>
          </w:p>
          <w:p w14:paraId="05AC1A44">
            <w:pPr>
              <w:adjustRightInd w:val="0"/>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六、与“三线一单”的符合性分析</w:t>
            </w:r>
          </w:p>
          <w:p w14:paraId="06D1C67E">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根据四川省生态环境厅办公室发布的《项目环评“三线一单”符合性分析技术要点（试行）》（川环办函[2021]469号），本项目位于工业园区外，应分析“三线一单”的符合性。</w:t>
            </w:r>
          </w:p>
          <w:p w14:paraId="17212B41">
            <w:pPr>
              <w:spacing w:line="360" w:lineRule="auto"/>
              <w:ind w:firstLine="480" w:firstLineChars="200"/>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四川政务服务网“三线一单”符合性分析系统查询，本项目“三线一单”符合性分析如下：</w:t>
            </w:r>
          </w:p>
          <w:p w14:paraId="60B190BE">
            <w:pPr>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（1）本项目所在</w:t>
            </w:r>
            <w:r>
              <w:rPr>
                <w:rFonts w:hint="eastAsia" w:ascii="Times New Roman" w:hAnsi="Times New Roman" w:eastAsia="宋体" w:cs="Times New Roman"/>
                <w:b/>
                <w:bCs/>
                <w:color w:val="000000" w:themeColor="text1"/>
                <w:sz w:val="24"/>
                <w:szCs w:val="24"/>
                <w:lang w:eastAsia="zh-CN"/>
                <w14:textFill>
                  <w14:solidFill>
                    <w14:schemeClr w14:val="tx1"/>
                  </w14:solidFill>
                </w14:textFill>
              </w:rPr>
              <w:t>的</w:t>
            </w:r>
            <w:r>
              <w:rPr>
                <w:rFonts w:ascii="Times New Roman" w:hAnsi="Times New Roman" w:eastAsia="宋体" w:cs="Times New Roman"/>
                <w:b/>
                <w:bCs/>
                <w:color w:val="000000" w:themeColor="text1"/>
                <w:sz w:val="24"/>
                <w:szCs w:val="24"/>
                <w14:textFill>
                  <w14:solidFill>
                    <w14:schemeClr w14:val="tx1"/>
                  </w14:solidFill>
                </w14:textFill>
              </w:rPr>
              <w:t>环境管控单元</w:t>
            </w:r>
          </w:p>
          <w:p w14:paraId="3903E5CD">
            <w:pPr>
              <w:autoSpaceDE w:val="0"/>
              <w:autoSpaceDN w:val="0"/>
              <w:adjustRightInd w:val="0"/>
              <w:spacing w:before="156" w:beforeLines="50"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根据查询，</w:t>
            </w:r>
            <w:r>
              <w:rPr>
                <w:rFonts w:ascii="Times New Roman" w:hAnsi="Times New Roman" w:eastAsia="宋体" w:cs="Times New Roman"/>
                <w:color w:val="000000" w:themeColor="text1"/>
                <w:kern w:val="0"/>
                <w:sz w:val="24"/>
                <w:szCs w:val="24"/>
                <w14:textFill>
                  <w14:solidFill>
                    <w14:schemeClr w14:val="tx1"/>
                  </w14:solidFill>
                </w14:textFill>
              </w:rPr>
              <w:t>本项目位于安居区要素重点管控单元（管控单元编号：ZH51090420004）。</w:t>
            </w:r>
            <w:r>
              <w:rPr>
                <w:rFonts w:ascii="Times New Roman" w:hAnsi="Times New Roman" w:eastAsia="宋体" w:cs="Times New Roman"/>
                <w:color w:val="000000" w:themeColor="text1"/>
                <w:sz w:val="24"/>
                <w:szCs w:val="24"/>
                <w14:textFill>
                  <w14:solidFill>
                    <w14:schemeClr w14:val="tx1"/>
                  </w14:solidFill>
                </w14:textFill>
              </w:rPr>
              <w:t>项目所在的环境管控单元和要素管控分区如下：</w:t>
            </w:r>
          </w:p>
          <w:p w14:paraId="39DB1CAD">
            <w:pPr>
              <w:spacing w:line="360" w:lineRule="auto"/>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drawing>
                <wp:inline distT="0" distB="0" distL="0" distR="0">
                  <wp:extent cx="5143500" cy="1258570"/>
                  <wp:effectExtent l="0" t="0" r="0" b="0"/>
                  <wp:docPr id="481" name="图片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1" name="图片 481"/>
                          <pic:cNvPicPr>
                            <a:picLocks noChangeAspect="1" noChangeArrowheads="1"/>
                          </pic:cNvPicPr>
                        </pic:nvPicPr>
                        <pic:blipFill>
                          <a:blip r:embed="rId8">
                            <a:extLst>
                              <a:ext uri="{28A0092B-C50C-407E-A947-70E740481C1C}">
                                <a14:useLocalDpi xmlns:a14="http://schemas.microsoft.com/office/drawing/2010/main" val="0"/>
                              </a:ext>
                            </a:extLst>
                          </a:blip>
                          <a:srcRect l="521" t="8586" r="927"/>
                          <a:stretch>
                            <a:fillRect/>
                          </a:stretch>
                        </pic:blipFill>
                        <pic:spPr>
                          <a:xfrm>
                            <a:off x="0" y="0"/>
                            <a:ext cx="5234562" cy="1281407"/>
                          </a:xfrm>
                          <a:prstGeom prst="rect">
                            <a:avLst/>
                          </a:prstGeom>
                          <a:noFill/>
                          <a:ln>
                            <a:noFill/>
                          </a:ln>
                        </pic:spPr>
                      </pic:pic>
                    </a:graphicData>
                  </a:graphic>
                </wp:inline>
              </w:drawing>
            </w:r>
          </w:p>
          <w:p w14:paraId="78401BBB">
            <w:pPr>
              <w:spacing w:line="360" w:lineRule="auto"/>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Cs w:val="24"/>
                <w14:textFill>
                  <w14:solidFill>
                    <w14:schemeClr w14:val="tx1"/>
                  </w14:solidFill>
                </w14:textFill>
              </w:rPr>
              <w:t>图1-2 “三线一单”符合性分析系统查询截图</w:t>
            </w:r>
          </w:p>
          <w:p w14:paraId="70EC9210">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项目及周边与管控单元相对位置如下图所示：（图中▼表示项目位置）</w:t>
            </w:r>
          </w:p>
          <w:p w14:paraId="48CBB0EE">
            <w:pPr>
              <w:spacing w:line="360" w:lineRule="auto"/>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drawing>
                <wp:inline distT="0" distB="0" distL="0" distR="0">
                  <wp:extent cx="5162550" cy="3093720"/>
                  <wp:effectExtent l="0" t="0" r="0" b="0"/>
                  <wp:docPr id="480" name="图片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图片 48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5169886" cy="3098164"/>
                          </a:xfrm>
                          <a:prstGeom prst="rect">
                            <a:avLst/>
                          </a:prstGeom>
                          <a:noFill/>
                          <a:ln>
                            <a:noFill/>
                          </a:ln>
                        </pic:spPr>
                      </pic:pic>
                    </a:graphicData>
                  </a:graphic>
                </wp:inline>
              </w:drawing>
            </w:r>
          </w:p>
          <w:p w14:paraId="24872468">
            <w:pPr>
              <w:spacing w:line="360" w:lineRule="auto"/>
              <w:jc w:val="center"/>
              <w:rPr>
                <w:rFonts w:ascii="Times New Roman" w:hAnsi="Times New Roman" w:eastAsia="宋体" w:cs="Times New Roman"/>
                <w:b/>
                <w:bCs/>
                <w:color w:val="000000" w:themeColor="text1"/>
                <w:szCs w:val="24"/>
                <w14:textFill>
                  <w14:solidFill>
                    <w14:schemeClr w14:val="tx1"/>
                  </w14:solidFill>
                </w14:textFill>
              </w:rPr>
            </w:pPr>
            <w:r>
              <w:rPr>
                <w:rFonts w:ascii="Times New Roman" w:hAnsi="Times New Roman" w:eastAsia="宋体" w:cs="Times New Roman"/>
                <w:b/>
                <w:bCs/>
                <w:color w:val="000000" w:themeColor="text1"/>
                <w:szCs w:val="24"/>
                <w14:textFill>
                  <w14:solidFill>
                    <w14:schemeClr w14:val="tx1"/>
                  </w14:solidFill>
                </w14:textFill>
              </w:rPr>
              <w:t>图1-3 本项目与管控单元相对位置如下图所示</w:t>
            </w:r>
          </w:p>
          <w:p w14:paraId="7F2AF74E">
            <w:pPr>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（2）项目与所在环境管控单元管控要求的符合性分析</w:t>
            </w:r>
          </w:p>
          <w:p w14:paraId="706957E1">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项目所在管控单元的普适性清单要求为遂宁市普适性清单要求，所在单元级管控要求为安居区要素重点管控单元（环境管控单元编码ZH51090420004）管控要求。根据查询，本项目与以上两方面管控要求的符合性分析见</w:t>
            </w:r>
            <w:r>
              <w:rPr>
                <w:rFonts w:ascii="Times New Roman" w:hAnsi="Times New Roman" w:eastAsia="宋体" w:cs="Times New Roman"/>
                <w:color w:val="000000" w:themeColor="text1"/>
                <w:sz w:val="24"/>
                <w:szCs w:val="24"/>
                <w14:textFill>
                  <w14:solidFill>
                    <w14:schemeClr w14:val="tx1"/>
                  </w14:solidFill>
                </w14:textFill>
              </w:rPr>
              <w:fldChar w:fldCharType="begin"/>
            </w:r>
            <w:r>
              <w:rPr>
                <w:rFonts w:ascii="Times New Roman" w:hAnsi="Times New Roman" w:eastAsia="宋体" w:cs="Times New Roman"/>
                <w:color w:val="000000" w:themeColor="text1"/>
                <w:sz w:val="24"/>
                <w:szCs w:val="24"/>
                <w14:textFill>
                  <w14:solidFill>
                    <w14:schemeClr w14:val="tx1"/>
                  </w14:solidFill>
                </w14:textFill>
              </w:rPr>
              <w:instrText xml:space="preserve"> REF _Ref8760 \h  \* MERGEFORMAT </w:instrText>
            </w:r>
            <w:r>
              <w:rPr>
                <w:rFonts w:ascii="Times New Roman" w:hAnsi="Times New Roman" w:eastAsia="宋体" w:cs="Times New Roman"/>
                <w:color w:val="000000" w:themeColor="text1"/>
                <w:sz w:val="24"/>
                <w:szCs w:val="24"/>
                <w14:textFill>
                  <w14:solidFill>
                    <w14:schemeClr w14:val="tx1"/>
                  </w14:solidFill>
                </w14:textFill>
              </w:rPr>
              <w:fldChar w:fldCharType="separate"/>
            </w:r>
            <w:r>
              <w:rPr>
                <w:rFonts w:ascii="Times New Roman" w:hAnsi="Times New Roman" w:eastAsia="宋体" w:cs="Times New Roman"/>
                <w:color w:val="000000" w:themeColor="text1"/>
                <w:sz w:val="24"/>
                <w:szCs w:val="24"/>
                <w14:textFill>
                  <w14:solidFill>
                    <w14:schemeClr w14:val="tx1"/>
                  </w14:solidFill>
                </w14:textFill>
              </w:rPr>
              <w:t>表1- 8</w:t>
            </w:r>
            <w:r>
              <w:rPr>
                <w:rFonts w:ascii="Times New Roman" w:hAnsi="Times New Roman" w:eastAsia="宋体" w:cs="Times New Roman"/>
                <w:color w:val="000000" w:themeColor="text1"/>
                <w:sz w:val="24"/>
                <w:szCs w:val="24"/>
                <w14:textFill>
                  <w14:solidFill>
                    <w14:schemeClr w14:val="tx1"/>
                  </w14:solidFill>
                </w14:textFill>
              </w:rPr>
              <w:fldChar w:fldCharType="end"/>
            </w:r>
            <w:r>
              <w:rPr>
                <w:rFonts w:ascii="Times New Roman" w:hAnsi="Times New Roman" w:eastAsia="宋体" w:cs="Times New Roman"/>
                <w:color w:val="000000" w:themeColor="text1"/>
                <w:sz w:val="24"/>
                <w:szCs w:val="24"/>
                <w14:textFill>
                  <w14:solidFill>
                    <w14:schemeClr w14:val="tx1"/>
                  </w14:solidFill>
                </w14:textFill>
              </w:rPr>
              <w:t>。</w:t>
            </w:r>
          </w:p>
          <w:p w14:paraId="2843F90C">
            <w:pPr>
              <w:spacing w:line="360" w:lineRule="auto"/>
              <w:jc w:val="center"/>
              <w:rPr>
                <w:rFonts w:ascii="Times New Roman" w:hAnsi="Times New Roman" w:eastAsia="宋体" w:cs="Times New Roman"/>
                <w:b/>
                <w:color w:val="000000" w:themeColor="text1"/>
                <w:sz w:val="24"/>
                <w:szCs w:val="24"/>
                <w14:textFill>
                  <w14:solidFill>
                    <w14:schemeClr w14:val="tx1"/>
                  </w14:solidFill>
                </w14:textFill>
              </w:rPr>
            </w:pPr>
            <w:bookmarkStart w:id="7" w:name="_Ref8760"/>
            <w:r>
              <w:rPr>
                <w:rFonts w:ascii="Times New Roman" w:hAnsi="Times New Roman" w:eastAsia="宋体" w:cs="Times New Roman"/>
                <w:b/>
                <w:bCs/>
                <w:color w:val="000000" w:themeColor="text1"/>
                <w:szCs w:val="21"/>
                <w14:textFill>
                  <w14:solidFill>
                    <w14:schemeClr w14:val="tx1"/>
                  </w14:solidFill>
                </w14:textFill>
              </w:rPr>
              <w:t xml:space="preserve">表1-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表1-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8</w:t>
            </w:r>
            <w:r>
              <w:rPr>
                <w:rFonts w:ascii="Times New Roman" w:hAnsi="Times New Roman" w:eastAsia="宋体" w:cs="Times New Roman"/>
                <w:b/>
                <w:bCs/>
                <w:color w:val="000000" w:themeColor="text1"/>
                <w:szCs w:val="21"/>
                <w14:textFill>
                  <w14:solidFill>
                    <w14:schemeClr w14:val="tx1"/>
                  </w14:solidFill>
                </w14:textFill>
              </w:rPr>
              <w:fldChar w:fldCharType="end"/>
            </w:r>
            <w:bookmarkEnd w:id="7"/>
            <w:r>
              <w:rPr>
                <w:rFonts w:ascii="Times New Roman" w:hAnsi="Times New Roman" w:eastAsia="宋体" w:cs="Times New Roman"/>
                <w:b/>
                <w:bCs/>
                <w:color w:val="000000" w:themeColor="text1"/>
                <w:szCs w:val="21"/>
                <w14:textFill>
                  <w14:solidFill>
                    <w14:schemeClr w14:val="tx1"/>
                  </w14:solidFill>
                </w14:textFill>
              </w:rPr>
              <w:t xml:space="preserve">  </w:t>
            </w:r>
            <w:r>
              <w:rPr>
                <w:rFonts w:ascii="Times New Roman" w:hAnsi="Times New Roman" w:eastAsia="宋体" w:cs="Times New Roman"/>
                <w:b/>
                <w:color w:val="000000" w:themeColor="text1"/>
                <w:szCs w:val="24"/>
                <w14:textFill>
                  <w14:solidFill>
                    <w14:schemeClr w14:val="tx1"/>
                  </w14:solidFill>
                </w14:textFill>
              </w:rPr>
              <w:t>本项目与普适性与单元级管控要求的符合性分析</w:t>
            </w:r>
          </w:p>
          <w:tbl>
            <w:tblPr>
              <w:tblStyle w:val="25"/>
              <w:tblW w:w="817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58"/>
              <w:gridCol w:w="396"/>
              <w:gridCol w:w="659"/>
              <w:gridCol w:w="4419"/>
              <w:gridCol w:w="1746"/>
            </w:tblGrid>
            <w:tr w14:paraId="6296CC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13" w:type="dxa"/>
                  <w:gridSpan w:val="3"/>
                  <w:vAlign w:val="center"/>
                </w:tcPr>
                <w:p w14:paraId="3AE069D5">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类别</w:t>
                  </w:r>
                </w:p>
              </w:tc>
              <w:tc>
                <w:tcPr>
                  <w:tcW w:w="4419" w:type="dxa"/>
                  <w:vAlign w:val="center"/>
                </w:tcPr>
                <w:p w14:paraId="0A2ECDD9">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对应管控要求</w:t>
                  </w:r>
                </w:p>
              </w:tc>
              <w:tc>
                <w:tcPr>
                  <w:tcW w:w="1746" w:type="dxa"/>
                  <w:vAlign w:val="center"/>
                </w:tcPr>
                <w:p w14:paraId="6E306D7A">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符合性分析</w:t>
                  </w:r>
                </w:p>
              </w:tc>
            </w:tr>
            <w:tr w14:paraId="2B00A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restart"/>
                  <w:vAlign w:val="center"/>
                </w:tcPr>
                <w:p w14:paraId="33B3C23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遂宁市普适性</w:t>
                  </w:r>
                </w:p>
              </w:tc>
              <w:tc>
                <w:tcPr>
                  <w:tcW w:w="396" w:type="dxa"/>
                  <w:vMerge w:val="restart"/>
                  <w:vAlign w:val="center"/>
                </w:tcPr>
                <w:p w14:paraId="39BD382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空间布局约束</w:t>
                  </w:r>
                </w:p>
              </w:tc>
              <w:tc>
                <w:tcPr>
                  <w:tcW w:w="659" w:type="dxa"/>
                  <w:vAlign w:val="center"/>
                </w:tcPr>
                <w:p w14:paraId="1581503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禁止开发建设活动的要求</w:t>
                  </w:r>
                </w:p>
              </w:tc>
              <w:tc>
                <w:tcPr>
                  <w:tcW w:w="4419" w:type="dxa"/>
                  <w:vAlign w:val="center"/>
                </w:tcPr>
                <w:p w14:paraId="07359F4C">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1.禁止在法律法规规定的禁采区内新建矿山；禁止土法采、选、冶严重污染环境的矿产资源。</w:t>
                  </w:r>
                </w:p>
                <w:p w14:paraId="4DBB87D9">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2.涉及永久基本农田的区域，除法律规定的重点建设项目选址确实无法避让外，其他任何建设不得占用。</w:t>
                  </w:r>
                </w:p>
                <w:p w14:paraId="2DB2A3B5">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3.禁止在长江干支流岸线一公里范围内新建、扩建化工园区和化工项目。禁止在长江干流岸线三公里范围内和重要支流岸线一公里范围内新建、改建、扩建尾矿库；但是以提升安全、生态环境保护水平为目</w:t>
                  </w:r>
                  <w:r>
                    <w:rPr>
                      <w:rFonts w:hint="eastAsia" w:ascii="Times New Roman" w:hAnsi="Times New Roman" w:eastAsia="宋体" w:cs="Times New Roman"/>
                      <w:color w:val="000000" w:themeColor="text1"/>
                      <w:szCs w:val="21"/>
                      <w:lang w:eastAsia="zh-CN"/>
                      <w14:textFill>
                        <w14:solidFill>
                          <w14:schemeClr w14:val="tx1"/>
                        </w14:solidFill>
                      </w14:textFill>
                    </w:rPr>
                    <w:t>的</w:t>
                  </w:r>
                  <w:r>
                    <w:rPr>
                      <w:rFonts w:ascii="Times New Roman" w:hAnsi="Times New Roman" w:eastAsia="宋体" w:cs="Times New Roman"/>
                      <w:color w:val="000000" w:themeColor="text1"/>
                      <w:szCs w:val="21"/>
                      <w14:textFill>
                        <w14:solidFill>
                          <w14:schemeClr w14:val="tx1"/>
                        </w14:solidFill>
                      </w14:textFill>
                    </w:rPr>
                    <w:t>改建除外。</w:t>
                  </w:r>
                </w:p>
              </w:tc>
              <w:tc>
                <w:tcPr>
                  <w:tcW w:w="1746" w:type="dxa"/>
                  <w:vAlign w:val="center"/>
                </w:tcPr>
                <w:p w14:paraId="2C02403C">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p w14:paraId="1A29771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本项目不涉及新建矿山，本项目不涉及基本农田。本项目为页岩砖生产项目，不属于化工项目、尾矿库，项目距离培江10公里以上，不在长江干支流岸线一公里范围内。</w:t>
                  </w:r>
                </w:p>
              </w:tc>
            </w:tr>
            <w:tr w14:paraId="2F470F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10AF1A9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continue"/>
                  <w:vAlign w:val="center"/>
                </w:tcPr>
                <w:p w14:paraId="649D016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9" w:type="dxa"/>
                  <w:vAlign w:val="center"/>
                </w:tcPr>
                <w:p w14:paraId="3CFE4A5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限制开发建设活动的要求</w:t>
                  </w:r>
                </w:p>
              </w:tc>
              <w:tc>
                <w:tcPr>
                  <w:tcW w:w="4419" w:type="dxa"/>
                  <w:vAlign w:val="center"/>
                </w:tcPr>
                <w:p w14:paraId="1DDC8387">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1.单元内如新布局工业园区，应充分论证选址的环境合理性。</w:t>
                  </w:r>
                </w:p>
                <w:p w14:paraId="3A1C711A">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大气环境布局敏感区应严格限制布设以钢铁、建材、石化、化工、有色等高污染行业为主导产业的园区，大气环境弱扩散区谨慎布局垃圾发电、危废焚烧等以大气污染为主的企业；水环境城镇生活污染、农业污染重点管控区应严格限制布设以电力、钢铁、造纸、石化、化工、印染、化纤等高耗水行业为主导产业的园区。</w:t>
                  </w:r>
                </w:p>
                <w:p w14:paraId="4C58473F">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3.严控在长江及主要支流岸线1公里范围内新建石油化工、煤化工、涉磷、造纸、印染、制革等项目。</w:t>
                  </w:r>
                </w:p>
              </w:tc>
              <w:tc>
                <w:tcPr>
                  <w:tcW w:w="1746" w:type="dxa"/>
                  <w:vAlign w:val="center"/>
                </w:tcPr>
                <w:p w14:paraId="30A3C878">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p w14:paraId="1EBD6F2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本项目为页岩砖制造项目，不属于园区建设项目，厂区距离培江10公里以上，不在长江干支流岸线一公里范围内。</w:t>
                  </w:r>
                </w:p>
              </w:tc>
            </w:tr>
            <w:tr w14:paraId="6B24F6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491E39A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continue"/>
                  <w:vAlign w:val="center"/>
                </w:tcPr>
                <w:p w14:paraId="6E30BD6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9" w:type="dxa"/>
                  <w:vAlign w:val="center"/>
                </w:tcPr>
                <w:p w14:paraId="68E798E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不符合空间布局要求活动的退出要求</w:t>
                  </w:r>
                </w:p>
              </w:tc>
              <w:tc>
                <w:tcPr>
                  <w:tcW w:w="4419" w:type="dxa"/>
                  <w:vAlign w:val="center"/>
                </w:tcPr>
                <w:p w14:paraId="12FDEE74">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1.全面取缔禁养区内规模化畜禽养殖场。</w:t>
                  </w:r>
                </w:p>
                <w:p w14:paraId="4F435014">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2.完成全域内“散乱污”企业整治工作。</w:t>
                  </w:r>
                </w:p>
              </w:tc>
              <w:tc>
                <w:tcPr>
                  <w:tcW w:w="1746" w:type="dxa"/>
                  <w:vAlign w:val="center"/>
                </w:tcPr>
                <w:p w14:paraId="7A60BBA2">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p w14:paraId="1567E4F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本项目窑炉废气采取湿式脱硫塔除尘脱硫后，破碎、筛分粉尘采取布袋除尘器处理后排放，项目废气排放满足</w:t>
                  </w:r>
                  <w:r>
                    <w:rPr>
                      <w:rFonts w:ascii="Times New Roman" w:hAnsi="Times New Roman" w:eastAsia="宋体" w:cs="Times New Roman"/>
                      <w:color w:val="000000" w:themeColor="text1"/>
                      <w:szCs w:val="21"/>
                      <w:lang w:val="en-GB"/>
                      <w14:textFill>
                        <w14:solidFill>
                          <w14:schemeClr w14:val="tx1"/>
                        </w14:solidFill>
                      </w14:textFill>
                    </w:rPr>
                    <w:t>《砖瓦工业大气污染物排放标准》（GB29620-2013）相关限值要求，生产废水循环利用不外排。项目不属于“散乱污”企业。</w:t>
                  </w:r>
                </w:p>
              </w:tc>
            </w:tr>
            <w:tr w14:paraId="55FF43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766DFA4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restart"/>
                  <w:vAlign w:val="center"/>
                </w:tcPr>
                <w:p w14:paraId="175F69B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污染物排放管控</w:t>
                  </w:r>
                </w:p>
              </w:tc>
              <w:tc>
                <w:tcPr>
                  <w:tcW w:w="659" w:type="dxa"/>
                  <w:vAlign w:val="center"/>
                </w:tcPr>
                <w:p w14:paraId="1E39735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现有源提标升级改造</w:t>
                  </w:r>
                </w:p>
              </w:tc>
              <w:tc>
                <w:tcPr>
                  <w:tcW w:w="4419" w:type="dxa"/>
                  <w:vAlign w:val="center"/>
                </w:tcPr>
                <w:p w14:paraId="49BF9949">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1.水环境：</w:t>
                  </w:r>
                </w:p>
                <w:p w14:paraId="049AA6C3">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加快现有乡镇污水处理设施升级改造，按要求达《城镇污水处理厂污染物排放标准》一级A标后排放。</w:t>
                  </w:r>
                </w:p>
                <w:p w14:paraId="2B82E6C2">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2.大气环境：</w:t>
                  </w:r>
                </w:p>
                <w:p w14:paraId="25D03B34">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火电、水泥等行业按相关要求推进大气污染物超低排放和深度治理。（2）砖瓦行业实施脱硫、除尘升级改造，污染物排放达到《砖瓦工业大气污染物排放标准》。（3）对污染防治设施不完备、但有升级改造价值的，一律停产整顿、限期治理，逾期仍不能达标排放的坚决关停。（4）对达标治理无望、偷排直排的工业摊点和小作坊、按照“两断三清”标准，一律关停取缔，由相关部门依法予以查处。</w:t>
                  </w:r>
                </w:p>
              </w:tc>
              <w:tc>
                <w:tcPr>
                  <w:tcW w:w="1746" w:type="dxa"/>
                  <w:vAlign w:val="center"/>
                </w:tcPr>
                <w:p w14:paraId="66E7993C">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p w14:paraId="46C3A08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本项目不涉及废水排放，窑炉废气采取湿式脱硫塔除尘脱硫后，破碎、筛分粉尘采取布袋除尘器处理后排放，项目废气排放满足</w:t>
                  </w:r>
                  <w:r>
                    <w:rPr>
                      <w:rFonts w:ascii="Times New Roman" w:hAnsi="Times New Roman" w:eastAsia="宋体" w:cs="Times New Roman"/>
                      <w:color w:val="000000" w:themeColor="text1"/>
                      <w:szCs w:val="21"/>
                      <w:lang w:val="en-GB"/>
                      <w14:textFill>
                        <w14:solidFill>
                          <w14:schemeClr w14:val="tx1"/>
                        </w14:solidFill>
                      </w14:textFill>
                    </w:rPr>
                    <w:t>《砖瓦工业大气污染物排放标准》（GB29620-2013）相关限值要求。</w:t>
                  </w:r>
                </w:p>
              </w:tc>
            </w:tr>
            <w:tr w14:paraId="6CD750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6D248A0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continue"/>
                  <w:vAlign w:val="center"/>
                </w:tcPr>
                <w:p w14:paraId="29F613E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9" w:type="dxa"/>
                  <w:vAlign w:val="center"/>
                </w:tcPr>
                <w:p w14:paraId="1ACDDA2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其他污染物排放管控要求</w:t>
                  </w:r>
                </w:p>
              </w:tc>
              <w:tc>
                <w:tcPr>
                  <w:tcW w:w="4419" w:type="dxa"/>
                  <w:vAlign w:val="center"/>
                </w:tcPr>
                <w:p w14:paraId="62F51EC3">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新增源等量或倍量替代：上一年度水环境质量未完成目标的，新建排放水污染的建设项目按照总量管控要求进行倍量削减替代。上一年度空气质量年平均浓度不达标的城市，建设项目新增相关污染物按照总量管控要求进行倍量削减替代。</w:t>
                  </w:r>
                </w:p>
                <w:p w14:paraId="18EA5E81">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污染物排放绩效水平准入要求：（1）秋冬季节，水泥（含特种水泥，不含粉磨站、粉磨工序和协同处置城市垃圾或危险废物生产线）严格实施停产50天；砖瓦窑（不含以粉煤灰为主要原料的砖瓦企业）全面停产。对2018年10月底前稳定达到特别排放限值的水泥企业和燃烧锅炉，原则上可不再实施错峰生产，但要按当地重污染天气应急预案要求参加污染管控。（2）实现乡镇污水处理设施全覆盖，配套建设污水收集管网，乡镇污水处理率达到50%。（3）大中型矿山达到绿色矿山标准，引导小型矿山按照绿色矿山标准规范发展；加强矿山采选废水的处理和综合利用工作，选矿废水全部综合利用，不外排，采矿废水应尽量回用。（4）新、改扩建规模化畜禽养殖场（小区）要实施雨污分流、粪便污水资源化利用；大型规模养殖场粪污处理设施装备配套率达到100%，畜禽粪污基本实现资源化利用；散养密集区要实行畜禽粪便污水分户收集、集中处理利用。（5）到2025年，畜禽粪污综合利用率达到80%。（6）屠宰项目必须配套污水处理设施或进入城市污水管网。（7）主要农作物化肥、农药使用量实现零增长，利用率提高到40%以上，测土配方施肥技术推广覆盖率提高到90%以上，控制农村面源污染，采取灌排分离等措施控制农田氮磷流失。（8）到2022年，遂宁市中心城区基本建成生活垃圾分类处理系统。到2025年，地级及以上城市基本建成生活垃圾分类处理系统。县级城市、乡镇和农村生活垃圾分类工作取得成效，生活垃圾减量化、资源化、无害化水平显著提高。加快厨余垃圾处置设施建设，鼓励区域统筹规划建设厨余垃圾处置中心，力争2022年实现地级及以上城市厨余垃圾处置设施全覆盖。（9）到2025年，废旧农膜回收利用率达到85%以上。</w:t>
                  </w:r>
                </w:p>
              </w:tc>
              <w:tc>
                <w:tcPr>
                  <w:tcW w:w="1746" w:type="dxa"/>
                  <w:vAlign w:val="center"/>
                </w:tcPr>
                <w:p w14:paraId="788DAB1E">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p w14:paraId="436CD933">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本项目所在区域上一年度属于达标区。</w:t>
                  </w:r>
                </w:p>
              </w:tc>
            </w:tr>
            <w:tr w14:paraId="4E386A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4FFA2EA3">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restart"/>
                  <w:vAlign w:val="center"/>
                </w:tcPr>
                <w:p w14:paraId="4413F3F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环境风险防控</w:t>
                  </w:r>
                </w:p>
              </w:tc>
              <w:tc>
                <w:tcPr>
                  <w:tcW w:w="659" w:type="dxa"/>
                  <w:vAlign w:val="center"/>
                </w:tcPr>
                <w:p w14:paraId="4383505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联防联控要求</w:t>
                  </w:r>
                </w:p>
              </w:tc>
              <w:tc>
                <w:tcPr>
                  <w:tcW w:w="4419" w:type="dxa"/>
                  <w:vAlign w:val="center"/>
                </w:tcPr>
                <w:p w14:paraId="2C9E08D5">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加强成都平原经济区信息共享和联动合作，协力推进产业和能源结构优化调整，加强大气污染源头防控，加强潼遂合作。</w:t>
                  </w:r>
                </w:p>
              </w:tc>
              <w:tc>
                <w:tcPr>
                  <w:tcW w:w="1746" w:type="dxa"/>
                  <w:vAlign w:val="center"/>
                </w:tcPr>
                <w:p w14:paraId="3D15E1B7">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tc>
            </w:tr>
            <w:tr w14:paraId="670519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6467F4A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continue"/>
                  <w:vAlign w:val="center"/>
                </w:tcPr>
                <w:p w14:paraId="297BC62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9" w:type="dxa"/>
                  <w:vAlign w:val="center"/>
                </w:tcPr>
                <w:p w14:paraId="163064D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其他环境风险防控要求</w:t>
                  </w:r>
                </w:p>
              </w:tc>
              <w:tc>
                <w:tcPr>
                  <w:tcW w:w="4419" w:type="dxa"/>
                  <w:vAlign w:val="center"/>
                </w:tcPr>
                <w:p w14:paraId="1756D779">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企业环境风险防控要求：（1）工业企业退出用地，应按相关要求进行评估、修复，满足相应用地功能后，方可改变用途。（2）加强“散乱污”企业环境风险防控。（3）列入建设用地土壤污染风险管控和修复名录的地块，不得作为住宅、公共管理与公共服务用地。</w:t>
                  </w:r>
                </w:p>
                <w:p w14:paraId="0B656292">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用地环境风险防控要求：（1）严禁将城镇生活垃圾、污泥、工业废物直接用作肥料，禁止处理不达标的污泥进入耕地；禁止在农用地排放、倾倒、使用污泥、清淤底泥、尾矿（渣）等可能对土壤造成污染的固体废物。（2）严格控制林地、草地、园地的农药使用量，禁止使用高毒、高残留农药。</w:t>
                  </w:r>
                </w:p>
              </w:tc>
              <w:tc>
                <w:tcPr>
                  <w:tcW w:w="1746" w:type="dxa"/>
                  <w:vAlign w:val="center"/>
                </w:tcPr>
                <w:p w14:paraId="23B15933">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p w14:paraId="4704A76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 xml:space="preserve">本项目污染物治理后达标排放，不属于“散乱污”企业。 </w:t>
                  </w:r>
                </w:p>
              </w:tc>
            </w:tr>
            <w:tr w14:paraId="60190D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244FF23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restart"/>
                  <w:vAlign w:val="center"/>
                </w:tcPr>
                <w:p w14:paraId="782DAB6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资源开发利用效率要求</w:t>
                  </w:r>
                </w:p>
              </w:tc>
              <w:tc>
                <w:tcPr>
                  <w:tcW w:w="659" w:type="dxa"/>
                  <w:vAlign w:val="center"/>
                </w:tcPr>
                <w:p w14:paraId="5F5018F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水资源利用总量要求</w:t>
                  </w:r>
                </w:p>
              </w:tc>
              <w:tc>
                <w:tcPr>
                  <w:tcW w:w="4419" w:type="dxa"/>
                  <w:vAlign w:val="center"/>
                </w:tcPr>
                <w:p w14:paraId="0AA7D089">
                  <w:pPr>
                    <w:ind w:left="-105" w:leftChars="-50" w:right="-105" w:rightChars="-5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1.2025年，农田灌溉有效利用系数提高到0.554；</w:t>
                  </w:r>
                </w:p>
                <w:p w14:paraId="03C081CC">
                  <w:pPr>
                    <w:ind w:left="-105" w:leftChars="-50" w:right="-105" w:rightChars="-5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2.2030年，农田灌溉水有效利用系数提高到0.6。</w:t>
                  </w:r>
                </w:p>
              </w:tc>
              <w:tc>
                <w:tcPr>
                  <w:tcW w:w="1746" w:type="dxa"/>
                  <w:vAlign w:val="center"/>
                </w:tcPr>
                <w:p w14:paraId="7EB3328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07C3A2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006BC4F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continue"/>
                  <w:vAlign w:val="center"/>
                </w:tcPr>
                <w:p w14:paraId="7407BC7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9" w:type="dxa"/>
                  <w:vAlign w:val="center"/>
                </w:tcPr>
                <w:p w14:paraId="317EE0C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地下水开采要求</w:t>
                  </w:r>
                </w:p>
              </w:tc>
              <w:tc>
                <w:tcPr>
                  <w:tcW w:w="4419" w:type="dxa"/>
                  <w:vAlign w:val="center"/>
                </w:tcPr>
                <w:p w14:paraId="1F5306D2">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全面建设节水型社会，达到合理高效用水。</w:t>
                  </w:r>
                </w:p>
              </w:tc>
              <w:tc>
                <w:tcPr>
                  <w:tcW w:w="1746" w:type="dxa"/>
                  <w:vAlign w:val="center"/>
                </w:tcPr>
                <w:p w14:paraId="58649CF9">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p w14:paraId="4D507AC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项目生产用水循环使用或进入砖坯，不外排生产废水。</w:t>
                  </w:r>
                </w:p>
              </w:tc>
            </w:tr>
            <w:tr w14:paraId="5779F8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7975110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continue"/>
                  <w:vAlign w:val="center"/>
                </w:tcPr>
                <w:p w14:paraId="32DE57C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9" w:type="dxa"/>
                  <w:vAlign w:val="center"/>
                </w:tcPr>
                <w:p w14:paraId="4CBBB4E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能源利用总量及效率要求</w:t>
                  </w:r>
                </w:p>
              </w:tc>
              <w:tc>
                <w:tcPr>
                  <w:tcW w:w="4419" w:type="dxa"/>
                  <w:vAlign w:val="center"/>
                </w:tcPr>
                <w:p w14:paraId="6935BEA8">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1.推进清洁能源的推广使用，全面推进散煤清洁化整治；禁止新建每小时10蒸吨以下的燃煤锅炉及其他燃煤设施。</w:t>
                  </w:r>
                </w:p>
                <w:p w14:paraId="52FBAB74">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2.禁止焚烧秸秆和垃圾。全市秸秆综合利用率达到92%以上。</w:t>
                  </w:r>
                </w:p>
                <w:p w14:paraId="61FD8BCC">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3.现有储油库、油罐车、加油站应全部配置油气回收设施，对已安装的油气回收设施加强运行监管，回收率要达到80%以上。</w:t>
                  </w:r>
                </w:p>
              </w:tc>
              <w:tc>
                <w:tcPr>
                  <w:tcW w:w="1746" w:type="dxa"/>
                  <w:vAlign w:val="center"/>
                </w:tcPr>
                <w:p w14:paraId="4463244D">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p w14:paraId="49D44ED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本项目不涉及燃煤锅炉建设。</w:t>
                  </w:r>
                </w:p>
              </w:tc>
            </w:tr>
            <w:tr w14:paraId="091179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30C2F83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continue"/>
                  <w:vAlign w:val="center"/>
                </w:tcPr>
                <w:p w14:paraId="465402D3">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9" w:type="dxa"/>
                  <w:vAlign w:val="center"/>
                </w:tcPr>
                <w:p w14:paraId="2D0E0163">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禁燃区要求</w:t>
                  </w:r>
                </w:p>
              </w:tc>
              <w:tc>
                <w:tcPr>
                  <w:tcW w:w="4419" w:type="dxa"/>
                  <w:vAlign w:val="center"/>
                </w:tcPr>
                <w:p w14:paraId="546FD54A">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1.禁燃区内禁止燃烧以下高污染燃料：</w:t>
                  </w:r>
                </w:p>
                <w:p w14:paraId="44FBB080">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（1）煤炭及其制品（包括原煤、散煤、煤矸石、煤泥、煤粉、水浆煤、型煤、焦炭、兰炭、油类等常规燃料）。</w:t>
                  </w:r>
                </w:p>
                <w:p w14:paraId="7DF1DDB2">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（2）石油焦、油页岩、原油、重油、渣油、煤焦油。</w:t>
                  </w:r>
                </w:p>
                <w:p w14:paraId="08529489">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（3）非专用锅炉或未配置高效除尘设施的专用锅炉燃用的生物质成型燃料。</w:t>
                  </w:r>
                </w:p>
                <w:p w14:paraId="07E2881E">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2.禁燃区内禁止新建、扩建燃用高污染燃料的锅炉、炉窑、炉灶等燃烧设施（集中供热、电厂锅炉除外）。</w:t>
                  </w:r>
                </w:p>
                <w:p w14:paraId="7AA4C092">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3.自2020年1月1日起，禁燃区内禁止销售高污染燃料。</w:t>
                  </w:r>
                </w:p>
                <w:p w14:paraId="09A715F3">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4.加强对集中供热、电厂锅炉、10蒸吨时以上的在用燃煤锅炉以及改用清洁能源前的在用锅炉等燃烧设施的监管，确保达标排放。</w:t>
                  </w:r>
                </w:p>
              </w:tc>
              <w:tc>
                <w:tcPr>
                  <w:tcW w:w="1746" w:type="dxa"/>
                  <w:vAlign w:val="center"/>
                </w:tcPr>
                <w:p w14:paraId="5F6288A1">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p w14:paraId="74754F7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根据《遂宁市人民政府关于划定高污染燃料禁燃区的通告》（遂府通[2014]4号）及《遂宁市人民政府 关于调整扩大高污染燃料禁燃区的通告》，遂宁市安居区禁燃区为城市建成区及省级以上开发区，本项目不在禁燃区内。</w:t>
                  </w:r>
                </w:p>
              </w:tc>
            </w:tr>
            <w:tr w14:paraId="30E4AA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restart"/>
                  <w:vAlign w:val="center"/>
                </w:tcPr>
                <w:p w14:paraId="2433C3F9">
                  <w:pPr>
                    <w:wordWrap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安居区要素重点管控单元（ZH51090420004）单元级清单管控要求</w:t>
                  </w:r>
                </w:p>
              </w:tc>
              <w:tc>
                <w:tcPr>
                  <w:tcW w:w="396" w:type="dxa"/>
                  <w:vMerge w:val="restart"/>
                  <w:vAlign w:val="center"/>
                </w:tcPr>
                <w:p w14:paraId="3C17DE5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空间布局约束</w:t>
                  </w:r>
                </w:p>
              </w:tc>
              <w:tc>
                <w:tcPr>
                  <w:tcW w:w="659" w:type="dxa"/>
                  <w:vAlign w:val="center"/>
                </w:tcPr>
                <w:p w14:paraId="3990B08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禁止开发建设活动的要求</w:t>
                  </w:r>
                </w:p>
              </w:tc>
              <w:tc>
                <w:tcPr>
                  <w:tcW w:w="4419" w:type="dxa"/>
                  <w:vAlign w:val="center"/>
                </w:tcPr>
                <w:p w14:paraId="2C4C347E">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参照遂宁市总体准入要求-要素重点管控单元。</w:t>
                  </w:r>
                </w:p>
              </w:tc>
              <w:tc>
                <w:tcPr>
                  <w:tcW w:w="1746" w:type="dxa"/>
                  <w:vAlign w:val="center"/>
                </w:tcPr>
                <w:p w14:paraId="60F794E5">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tc>
            </w:tr>
            <w:tr w14:paraId="36A7DA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3A5C3AB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continue"/>
                  <w:vAlign w:val="center"/>
                </w:tcPr>
                <w:p w14:paraId="72807C0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9" w:type="dxa"/>
                  <w:vAlign w:val="center"/>
                </w:tcPr>
                <w:p w14:paraId="5FF6EF3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限制开发建设活动的要求</w:t>
                  </w:r>
                </w:p>
              </w:tc>
              <w:tc>
                <w:tcPr>
                  <w:tcW w:w="4419" w:type="dxa"/>
                  <w:vAlign w:val="center"/>
                </w:tcPr>
                <w:p w14:paraId="0416C210">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参照遂宁市总体准入要求-要素重点管控单元。</w:t>
                  </w:r>
                </w:p>
              </w:tc>
              <w:tc>
                <w:tcPr>
                  <w:tcW w:w="1746" w:type="dxa"/>
                  <w:vAlign w:val="center"/>
                </w:tcPr>
                <w:p w14:paraId="548915E5">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tc>
            </w:tr>
            <w:tr w14:paraId="59CF03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640F69D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continue"/>
                  <w:vAlign w:val="center"/>
                </w:tcPr>
                <w:p w14:paraId="355FDD9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9" w:type="dxa"/>
                  <w:vAlign w:val="center"/>
                </w:tcPr>
                <w:p w14:paraId="6122320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不符合空间布局要求活动的退出要求</w:t>
                  </w:r>
                </w:p>
              </w:tc>
              <w:tc>
                <w:tcPr>
                  <w:tcW w:w="4419" w:type="dxa"/>
                  <w:vAlign w:val="center"/>
                </w:tcPr>
                <w:p w14:paraId="36930E13">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位于城镇空间外的区外工业企业：具有合法手续的企业，且污染物排放及环境风险满足管理要求的企业，可继续保留，要求污染物排放只降不增，并进一步加强日常环保监管；严控新（扩）建水泥厂、危废焚烧、陶瓷厂等以大气污染为主的企业；不具备合法手续，或污染物排放超标、环境风险不可控的企业，限期进行整改提升，通过环保、安全、工艺装备升级等落实整改措施并达到相关标准实现合法生产，整改后仍不能达到要求的，属地政府应按相关要求责令关停并退出。</w:t>
                  </w:r>
                </w:p>
                <w:p w14:paraId="098C80AF">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2.其他参照遂宁市总体准入要求-要素重点管控单元。</w:t>
                  </w:r>
                </w:p>
              </w:tc>
              <w:tc>
                <w:tcPr>
                  <w:tcW w:w="1746" w:type="dxa"/>
                  <w:vAlign w:val="center"/>
                </w:tcPr>
                <w:p w14:paraId="3D4A7842">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p w14:paraId="799E895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本项目为技改项目，不新增产能，不新增污染物排放总量。原有工程具有合法手续。技改对原有工程提出以新带老措施，对企业环保、安全均有正效益。</w:t>
                  </w:r>
                </w:p>
              </w:tc>
            </w:tr>
            <w:tr w14:paraId="5D66B9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6E70328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restart"/>
                  <w:vAlign w:val="center"/>
                </w:tcPr>
                <w:p w14:paraId="1CFF78F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污染物排放管控</w:t>
                  </w:r>
                </w:p>
              </w:tc>
              <w:tc>
                <w:tcPr>
                  <w:tcW w:w="659" w:type="dxa"/>
                  <w:vAlign w:val="center"/>
                </w:tcPr>
                <w:p w14:paraId="7972621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现有源提标升级改造</w:t>
                  </w:r>
                </w:p>
              </w:tc>
              <w:tc>
                <w:tcPr>
                  <w:tcW w:w="4419" w:type="dxa"/>
                  <w:vAlign w:val="center"/>
                </w:tcPr>
                <w:p w14:paraId="2426737F">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参照遂宁市总体准入要求-要素重点管控单元</w:t>
                  </w:r>
                </w:p>
              </w:tc>
              <w:tc>
                <w:tcPr>
                  <w:tcW w:w="1746" w:type="dxa"/>
                  <w:vAlign w:val="center"/>
                </w:tcPr>
                <w:p w14:paraId="76C5B48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tc>
            </w:tr>
            <w:tr w14:paraId="4BA2A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1F2D2EB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continue"/>
                  <w:vAlign w:val="center"/>
                </w:tcPr>
                <w:p w14:paraId="1E25C36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9" w:type="dxa"/>
                  <w:vAlign w:val="center"/>
                </w:tcPr>
                <w:p w14:paraId="1F2BED6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新增源等量或倍量替代</w:t>
                  </w:r>
                </w:p>
              </w:tc>
              <w:tc>
                <w:tcPr>
                  <w:tcW w:w="4419" w:type="dxa"/>
                  <w:vAlign w:val="center"/>
                </w:tcPr>
                <w:p w14:paraId="7CABB181">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参照遂宁市总体准入要求-要素重点管控单元</w:t>
                  </w:r>
                </w:p>
              </w:tc>
              <w:tc>
                <w:tcPr>
                  <w:tcW w:w="1746" w:type="dxa"/>
                  <w:vAlign w:val="center"/>
                </w:tcPr>
                <w:p w14:paraId="1A3E7E0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tc>
            </w:tr>
            <w:tr w14:paraId="71B8C5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1083096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continue"/>
                  <w:vAlign w:val="center"/>
                </w:tcPr>
                <w:p w14:paraId="2C77BD0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9" w:type="dxa"/>
                  <w:vAlign w:val="center"/>
                </w:tcPr>
                <w:p w14:paraId="4291976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污染物排放绩效水平准入要求</w:t>
                  </w:r>
                </w:p>
              </w:tc>
              <w:tc>
                <w:tcPr>
                  <w:tcW w:w="4419" w:type="dxa"/>
                  <w:vAlign w:val="center"/>
                </w:tcPr>
                <w:p w14:paraId="48449EA4">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1.水环境城镇污染重点管控区内，新、改扩建白酒酿造企业需满足《四川省白酒产业环境准入指标体系分析》中提出的水环境超标区域约束性指标。</w:t>
                  </w:r>
                </w:p>
                <w:p w14:paraId="23928DCA">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大气布局敏感重点管控区、大气弱扩散重点管控区，应控制工业、生活污染源，减少移动源污染物排放。打好柴油货车污染治理攻坚战，实施“车、油、路、管”综合整治；加快老旧车辆的淘汰和不达标车辆的整治。加强渣土运输车辆规范化管理，严格实施密闭运输，强化城乡结合部环境监管。</w:t>
                  </w:r>
                </w:p>
                <w:p w14:paraId="008DEFD9">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3.其他参照遂宁市总体准入要求-要素重点管控单元</w:t>
                  </w:r>
                </w:p>
              </w:tc>
              <w:tc>
                <w:tcPr>
                  <w:tcW w:w="1746" w:type="dxa"/>
                  <w:vAlign w:val="center"/>
                </w:tcPr>
                <w:p w14:paraId="4D55AB3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tc>
            </w:tr>
            <w:tr w14:paraId="697E3C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590CDAD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restart"/>
                  <w:vAlign w:val="center"/>
                </w:tcPr>
                <w:p w14:paraId="334832F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环境风险防控</w:t>
                  </w:r>
                </w:p>
              </w:tc>
              <w:tc>
                <w:tcPr>
                  <w:tcW w:w="659" w:type="dxa"/>
                  <w:vAlign w:val="center"/>
                </w:tcPr>
                <w:p w14:paraId="0A8DECC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严格管控类农用地管控要求</w:t>
                  </w:r>
                </w:p>
              </w:tc>
              <w:tc>
                <w:tcPr>
                  <w:tcW w:w="4419" w:type="dxa"/>
                  <w:vAlign w:val="center"/>
                </w:tcPr>
                <w:p w14:paraId="65B04A6E">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参照遂宁市总体准入要求-要素重点管控单元</w:t>
                  </w:r>
                </w:p>
              </w:tc>
              <w:tc>
                <w:tcPr>
                  <w:tcW w:w="1746" w:type="dxa"/>
                  <w:vAlign w:val="center"/>
                </w:tcPr>
                <w:p w14:paraId="0ADF49A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tc>
            </w:tr>
            <w:tr w14:paraId="014BBD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65DA51B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continue"/>
                  <w:vAlign w:val="center"/>
                </w:tcPr>
                <w:p w14:paraId="4B8CC48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9" w:type="dxa"/>
                  <w:vAlign w:val="center"/>
                </w:tcPr>
                <w:p w14:paraId="0B74FA9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安全利用类农用地管控要求</w:t>
                  </w:r>
                </w:p>
              </w:tc>
              <w:tc>
                <w:tcPr>
                  <w:tcW w:w="4419" w:type="dxa"/>
                  <w:vAlign w:val="center"/>
                </w:tcPr>
                <w:p w14:paraId="2E852F1D">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参照遂宁市总体准入要求-要素重点管控单元</w:t>
                  </w:r>
                </w:p>
              </w:tc>
              <w:tc>
                <w:tcPr>
                  <w:tcW w:w="1746" w:type="dxa"/>
                  <w:vAlign w:val="center"/>
                </w:tcPr>
                <w:p w14:paraId="41D5EB4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tc>
            </w:tr>
            <w:tr w14:paraId="12EE6D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643C0F7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continue"/>
                  <w:vAlign w:val="center"/>
                </w:tcPr>
                <w:p w14:paraId="181C5A4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9" w:type="dxa"/>
                  <w:vAlign w:val="center"/>
                </w:tcPr>
                <w:p w14:paraId="389B7F8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污染地块管控要求</w:t>
                  </w:r>
                </w:p>
              </w:tc>
              <w:tc>
                <w:tcPr>
                  <w:tcW w:w="4419" w:type="dxa"/>
                  <w:vAlign w:val="center"/>
                </w:tcPr>
                <w:p w14:paraId="33D65328">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参照遂宁市总体准入要求-要素重点管控单元</w:t>
                  </w:r>
                </w:p>
              </w:tc>
              <w:tc>
                <w:tcPr>
                  <w:tcW w:w="1746" w:type="dxa"/>
                  <w:vAlign w:val="center"/>
                </w:tcPr>
                <w:p w14:paraId="3E6225E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tc>
            </w:tr>
            <w:tr w14:paraId="69624C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6EEC48B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continue"/>
                  <w:vAlign w:val="center"/>
                </w:tcPr>
                <w:p w14:paraId="5FF0401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9" w:type="dxa"/>
                  <w:vAlign w:val="center"/>
                </w:tcPr>
                <w:p w14:paraId="02C0D0C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企业环境风险防控要求</w:t>
                  </w:r>
                </w:p>
              </w:tc>
              <w:tc>
                <w:tcPr>
                  <w:tcW w:w="4419" w:type="dxa"/>
                  <w:vAlign w:val="center"/>
                </w:tcPr>
                <w:p w14:paraId="4B3B3B5C">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参照遂宁市总体准入要求-要素重点管控单元</w:t>
                  </w:r>
                </w:p>
              </w:tc>
              <w:tc>
                <w:tcPr>
                  <w:tcW w:w="1746" w:type="dxa"/>
                  <w:vAlign w:val="center"/>
                </w:tcPr>
                <w:p w14:paraId="5885819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tc>
            </w:tr>
            <w:tr w14:paraId="608426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065F1A1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restart"/>
                  <w:vAlign w:val="center"/>
                </w:tcPr>
                <w:p w14:paraId="30F5860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资源开发效率要求</w:t>
                  </w:r>
                </w:p>
              </w:tc>
              <w:tc>
                <w:tcPr>
                  <w:tcW w:w="659" w:type="dxa"/>
                  <w:vAlign w:val="center"/>
                </w:tcPr>
                <w:p w14:paraId="68D7152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水资源利用效率要求</w:t>
                  </w:r>
                </w:p>
              </w:tc>
              <w:tc>
                <w:tcPr>
                  <w:tcW w:w="4419" w:type="dxa"/>
                  <w:vAlign w:val="center"/>
                </w:tcPr>
                <w:p w14:paraId="71A2C316">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参照遂宁市总体准入要求-要素重点管控单元</w:t>
                  </w:r>
                </w:p>
              </w:tc>
              <w:tc>
                <w:tcPr>
                  <w:tcW w:w="1746" w:type="dxa"/>
                  <w:vAlign w:val="center"/>
                </w:tcPr>
                <w:p w14:paraId="6BF08CE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tc>
            </w:tr>
            <w:tr w14:paraId="35CC00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7FAE06E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continue"/>
                  <w:vAlign w:val="center"/>
                </w:tcPr>
                <w:p w14:paraId="3273F05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9" w:type="dxa"/>
                  <w:vAlign w:val="center"/>
                </w:tcPr>
                <w:p w14:paraId="37D6049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地下水开采要求</w:t>
                  </w:r>
                </w:p>
              </w:tc>
              <w:tc>
                <w:tcPr>
                  <w:tcW w:w="4419" w:type="dxa"/>
                  <w:vAlign w:val="center"/>
                </w:tcPr>
                <w:p w14:paraId="6798F255">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（1）安居区2030年地下水开采控制控制量保持在0.08亿m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以内。（2）全面建设节水型社会，达到合理高效用水。</w:t>
                  </w:r>
                </w:p>
              </w:tc>
              <w:tc>
                <w:tcPr>
                  <w:tcW w:w="1746" w:type="dxa"/>
                  <w:vAlign w:val="center"/>
                </w:tcPr>
                <w:p w14:paraId="3D926E69">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p w14:paraId="47D3769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本次技改后，原料含水可替代部分生产用水，投产后能减少地下水开采使用。</w:t>
                  </w:r>
                </w:p>
              </w:tc>
            </w:tr>
            <w:tr w14:paraId="4649FB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8" w:type="dxa"/>
                  <w:vMerge w:val="continue"/>
                  <w:vAlign w:val="center"/>
                </w:tcPr>
                <w:p w14:paraId="0E644E5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96" w:type="dxa"/>
                  <w:vMerge w:val="continue"/>
                  <w:vAlign w:val="center"/>
                </w:tcPr>
                <w:p w14:paraId="7FAF70F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9" w:type="dxa"/>
                  <w:vAlign w:val="center"/>
                </w:tcPr>
                <w:p w14:paraId="38E4FDF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能源利用效率要求</w:t>
                  </w:r>
                </w:p>
              </w:tc>
              <w:tc>
                <w:tcPr>
                  <w:tcW w:w="4419" w:type="dxa"/>
                  <w:vAlign w:val="center"/>
                </w:tcPr>
                <w:p w14:paraId="0F76CBF8">
                  <w:pPr>
                    <w:ind w:left="-105" w:leftChars="-50" w:right="-105" w:rightChars="-5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参照遂宁市总体准入要求-要素重点管控单元</w:t>
                  </w:r>
                </w:p>
              </w:tc>
              <w:tc>
                <w:tcPr>
                  <w:tcW w:w="1746" w:type="dxa"/>
                  <w:vAlign w:val="center"/>
                </w:tcPr>
                <w:p w14:paraId="256F68B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符合</w:t>
                  </w:r>
                </w:p>
              </w:tc>
            </w:tr>
          </w:tbl>
          <w:p w14:paraId="48DFC800">
            <w:pPr>
              <w:spacing w:line="360" w:lineRule="auto"/>
              <w:ind w:firstLine="482" w:firstLineChars="200"/>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（3）项目与“三线一单”的符合性分析结论</w:t>
            </w:r>
          </w:p>
          <w:p w14:paraId="7AB03194">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本项目位于</w:t>
            </w:r>
            <w:r>
              <w:rPr>
                <w:rFonts w:ascii="Times New Roman" w:hAnsi="Times New Roman" w:eastAsia="宋体" w:cs="Times New Roman"/>
                <w:color w:val="000000" w:themeColor="text1"/>
                <w:kern w:val="0"/>
                <w:sz w:val="24"/>
                <w:szCs w:val="24"/>
                <w14:textFill>
                  <w14:solidFill>
                    <w14:schemeClr w14:val="tx1"/>
                  </w14:solidFill>
                </w14:textFill>
              </w:rPr>
              <w:t>遂宁市安居区横山镇滑泥桥三社</w:t>
            </w:r>
            <w:r>
              <w:rPr>
                <w:rFonts w:ascii="Times New Roman" w:hAnsi="Times New Roman" w:eastAsia="宋体" w:cs="Times New Roman"/>
                <w:color w:val="000000" w:themeColor="text1"/>
                <w:sz w:val="24"/>
                <w:szCs w:val="24"/>
                <w14:textFill>
                  <w14:solidFill>
                    <w14:schemeClr w14:val="tx1"/>
                  </w14:solidFill>
                </w14:textFill>
              </w:rPr>
              <w:t>，属于</w:t>
            </w:r>
            <w:r>
              <w:rPr>
                <w:rFonts w:ascii="Times New Roman" w:hAnsi="Times New Roman" w:eastAsia="宋体" w:cs="Times New Roman"/>
                <w:color w:val="000000" w:themeColor="text1"/>
                <w:sz w:val="24"/>
                <w14:textFill>
                  <w14:solidFill>
                    <w14:schemeClr w14:val="tx1"/>
                  </w14:solidFill>
                </w14:textFill>
              </w:rPr>
              <w:t>砖瓦、石材等建筑材料制造项目</w:t>
            </w:r>
            <w:r>
              <w:rPr>
                <w:rFonts w:ascii="Times New Roman" w:hAnsi="Times New Roman" w:eastAsia="宋体" w:cs="Times New Roman"/>
                <w:color w:val="000000" w:themeColor="text1"/>
                <w:sz w:val="24"/>
                <w:szCs w:val="24"/>
                <w14:textFill>
                  <w14:solidFill>
                    <w14:schemeClr w14:val="tx1"/>
                  </w14:solidFill>
                </w14:textFill>
              </w:rPr>
              <w:t>。项目位于安居区要素重点管控单元（环境管控单元编码ZH51090420004），项目相关建设内容符合该管控单元的普适性清单和单元级清单要求。</w:t>
            </w:r>
          </w:p>
          <w:p w14:paraId="1E18CD55">
            <w:pPr>
              <w:spacing w:line="360" w:lineRule="auto"/>
              <w:ind w:firstLine="482" w:firstLineChars="200"/>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综上，本项目与“三线一单”相关要求相符。</w:t>
            </w:r>
          </w:p>
          <w:p w14:paraId="2A1EA5F8">
            <w:pPr>
              <w:spacing w:line="360" w:lineRule="auto"/>
              <w:ind w:firstLine="482" w:firstLineChars="200"/>
              <w:rPr>
                <w:rFonts w:ascii="Times New Roman" w:hAnsi="Times New Roman" w:eastAsia="宋体" w:cs="Times New Roman"/>
                <w:b/>
                <w:color w:val="000000" w:themeColor="text1"/>
                <w:sz w:val="24"/>
                <w:szCs w:val="24"/>
                <w14:textFill>
                  <w14:solidFill>
                    <w14:schemeClr w14:val="tx1"/>
                  </w14:solidFill>
                </w14:textFill>
              </w:rPr>
            </w:pPr>
          </w:p>
          <w:p w14:paraId="6D160495">
            <w:pPr>
              <w:spacing w:line="360" w:lineRule="auto"/>
              <w:rPr>
                <w:rFonts w:ascii="Times New Roman" w:hAnsi="Times New Roman" w:eastAsia="宋体" w:cs="Times New Roman"/>
                <w:b/>
                <w:color w:val="000000" w:themeColor="text1"/>
                <w:sz w:val="24"/>
                <w:szCs w:val="24"/>
                <w14:textFill>
                  <w14:solidFill>
                    <w14:schemeClr w14:val="tx1"/>
                  </w14:solidFill>
                </w14:textFill>
              </w:rPr>
            </w:pPr>
          </w:p>
          <w:p w14:paraId="5DCAD708">
            <w:pPr>
              <w:spacing w:line="360" w:lineRule="auto"/>
              <w:rPr>
                <w:rFonts w:ascii="Times New Roman" w:hAnsi="Times New Roman" w:eastAsia="宋体" w:cs="Times New Roman"/>
                <w:b/>
                <w:color w:val="000000" w:themeColor="text1"/>
                <w:sz w:val="24"/>
                <w:szCs w:val="24"/>
                <w14:textFill>
                  <w14:solidFill>
                    <w14:schemeClr w14:val="tx1"/>
                  </w14:solidFill>
                </w14:textFill>
              </w:rPr>
            </w:pPr>
          </w:p>
          <w:p w14:paraId="4DC3C586">
            <w:pPr>
              <w:pStyle w:val="2"/>
              <w:ind w:firstLine="492"/>
            </w:pPr>
          </w:p>
          <w:p w14:paraId="63FC6828">
            <w:pPr>
              <w:pStyle w:val="6"/>
            </w:pPr>
          </w:p>
          <w:p w14:paraId="1D0ACEAE"/>
          <w:p w14:paraId="13309CBD">
            <w:pPr>
              <w:pStyle w:val="2"/>
              <w:ind w:firstLine="492"/>
              <w:rPr>
                <w:rFonts w:ascii="Times New Roman" w:cs="Times New Roman"/>
              </w:rPr>
            </w:pPr>
          </w:p>
          <w:p w14:paraId="0F05518D">
            <w:pPr>
              <w:pStyle w:val="6"/>
            </w:pPr>
          </w:p>
          <w:p w14:paraId="0B050218">
            <w:pPr>
              <w:rPr>
                <w:rFonts w:ascii="Times New Roman" w:hAnsi="Times New Roman" w:cs="Times New Roman"/>
              </w:rPr>
            </w:pPr>
          </w:p>
        </w:tc>
      </w:tr>
    </w:tbl>
    <w:p w14:paraId="14D4E389">
      <w:pPr>
        <w:jc w:val="center"/>
        <w:rPr>
          <w:rFonts w:ascii="Times New Roman" w:hAnsi="Times New Roman" w:eastAsia="宋体" w:cs="Times New Roman"/>
          <w:b/>
          <w:color w:val="000000" w:themeColor="text1"/>
          <w:sz w:val="24"/>
          <w:szCs w:val="24"/>
          <w14:textFill>
            <w14:solidFill>
              <w14:schemeClr w14:val="tx1"/>
            </w14:solidFill>
          </w14:textFill>
        </w:rPr>
        <w:sectPr>
          <w:footerReference r:id="rId5" w:type="default"/>
          <w:type w:val="continuous"/>
          <w:pgSz w:w="11906" w:h="16838"/>
          <w:pgMar w:top="1440" w:right="1800" w:bottom="1440" w:left="1800" w:header="851" w:footer="992" w:gutter="0"/>
          <w:pgNumType w:start="1"/>
          <w:cols w:space="425" w:num="1"/>
          <w:docGrid w:type="lines" w:linePitch="312" w:charSpace="0"/>
        </w:sectPr>
      </w:pPr>
    </w:p>
    <w:p w14:paraId="5EA5231B">
      <w:pPr>
        <w:jc w:val="center"/>
        <w:outlineLvl w:val="0"/>
        <w:rPr>
          <w:rFonts w:ascii="Times New Roman" w:hAnsi="Times New Roman" w:cs="Times New Roman"/>
          <w:b/>
          <w:color w:val="000000" w:themeColor="text1"/>
          <w:sz w:val="32"/>
          <w14:textFill>
            <w14:solidFill>
              <w14:schemeClr w14:val="tx1"/>
            </w14:solidFill>
          </w14:textFill>
        </w:rPr>
      </w:pPr>
      <w:bookmarkStart w:id="8" w:name="_Toc8826"/>
      <w:r>
        <w:rPr>
          <w:rFonts w:ascii="Times New Roman" w:hAnsi="Times New Roman" w:cs="Times New Roman"/>
          <w:b/>
          <w:color w:val="000000" w:themeColor="text1"/>
          <w:sz w:val="32"/>
          <w14:textFill>
            <w14:solidFill>
              <w14:schemeClr w14:val="tx1"/>
            </w14:solidFill>
          </w14:textFill>
        </w:rPr>
        <w:t>二、建</w:t>
      </w:r>
      <w:r>
        <w:rPr>
          <w:rFonts w:ascii="Times New Roman" w:hAnsi="Times New Roman" w:cs="Times New Roman"/>
          <w:b/>
          <w:color w:val="000000" w:themeColor="text1"/>
          <w:sz w:val="28"/>
          <w14:textFill>
            <w14:solidFill>
              <w14:schemeClr w14:val="tx1"/>
            </w14:solidFill>
          </w14:textFill>
        </w:rPr>
        <w:t>设项目工程分析</w:t>
      </w:r>
      <w:bookmarkEnd w:id="8"/>
    </w:p>
    <w:tbl>
      <w:tblPr>
        <w:tblStyle w:val="2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83"/>
        <w:gridCol w:w="8039"/>
      </w:tblGrid>
      <w:tr w14:paraId="51D1F0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62" w:type="dxa"/>
            <w:shd w:val="clear" w:color="auto" w:fill="FEFEFE"/>
            <w:vAlign w:val="center"/>
          </w:tcPr>
          <w:p w14:paraId="6F37C7DE">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建设内容</w:t>
            </w:r>
          </w:p>
        </w:tc>
        <w:tc>
          <w:tcPr>
            <w:tcW w:w="8364" w:type="dxa"/>
            <w:shd w:val="clear" w:color="auto" w:fill="FEFEFE"/>
            <w:vAlign w:val="center"/>
          </w:tcPr>
          <w:p w14:paraId="5F1A7371">
            <w:pPr>
              <w:adjustRightInd w:val="0"/>
              <w:snapToGrid w:val="0"/>
              <w:spacing w:before="312" w:beforeLines="100"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一、项目由来</w:t>
            </w:r>
          </w:p>
          <w:p w14:paraId="29A5962E">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遂宁市安居区横山机砖厂成立于1995年8月，主要生产页岩砖，采用16门轮窑生产工艺，最大产量为1000万匹/年。由于厂区建厂较早，且属于《产业结构调整指导目录（2011年本）》（2013年修正本）》中限制类项目；因此，截止2015年，项目未履行环评手续。</w:t>
            </w:r>
          </w:p>
          <w:p w14:paraId="2B47C9CE">
            <w:pPr>
              <w:adjustRightInd w:val="0"/>
              <w:snapToGrid w:val="0"/>
              <w:spacing w:line="360" w:lineRule="auto"/>
              <w:ind w:firstLine="480" w:firstLineChars="200"/>
              <w:rPr>
                <w:rFonts w:ascii="Times New Roman" w:hAnsi="Times New Roman" w:eastAsia="宋体" w:cs="Times New Roman"/>
                <w:color w:val="000000" w:themeColor="text1"/>
                <w:sz w:val="24"/>
                <w:szCs w:val="24"/>
                <w:lang w:bidi="ar"/>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2015年，</w:t>
            </w:r>
            <w:r>
              <w:rPr>
                <w:rFonts w:ascii="Times New Roman" w:hAnsi="Times New Roman" w:eastAsia="宋体" w:cs="Times New Roman"/>
                <w:color w:val="000000" w:themeColor="text1"/>
                <w:sz w:val="24"/>
                <w:szCs w:val="24"/>
                <w:lang w:bidi="ar"/>
                <w14:textFill>
                  <w14:solidFill>
                    <w14:schemeClr w14:val="tx1"/>
                  </w14:solidFill>
                </w14:textFill>
              </w:rPr>
              <w:t>四川省人民政府办公厅发布了《关于印发四川省清理整顿环保违法违规建设项目工作方案的通知》（川办发〔2015〕90号），要求2015年1月1日以前已正式投产的环保违法违规建设项目为已有项目，依照《环境保护法》第六十一条和《环境影响评价法》第三十一条进行处理。</w:t>
            </w:r>
          </w:p>
          <w:p w14:paraId="29F45F19">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遂宁市安居区横山机砖厂为</w:t>
            </w:r>
            <w:r>
              <w:rPr>
                <w:rFonts w:ascii="Times New Roman" w:hAnsi="Times New Roman" w:eastAsia="宋体" w:cs="Times New Roman"/>
                <w:color w:val="000000" w:themeColor="text1"/>
                <w:sz w:val="24"/>
                <w:szCs w:val="24"/>
                <w:lang w:bidi="ar"/>
                <w14:textFill>
                  <w14:solidFill>
                    <w14:schemeClr w14:val="tx1"/>
                  </w14:solidFill>
                </w14:textFill>
              </w:rPr>
              <w:t>2015年1月1日以前已正式投产的项目，且窑炉类型、规模不符合产业政策</w:t>
            </w:r>
            <w:r>
              <w:rPr>
                <w:rFonts w:ascii="Times New Roman" w:hAnsi="Times New Roman" w:eastAsia="宋体" w:cs="Times New Roman"/>
                <w:color w:val="000000" w:themeColor="text1"/>
                <w:sz w:val="24"/>
                <w:szCs w:val="24"/>
                <w14:textFill>
                  <w14:solidFill>
                    <w14:schemeClr w14:val="tx1"/>
                  </w14:solidFill>
                </w14:textFill>
              </w:rPr>
              <w:t>要求，为此，2016年底遂宁市安居区横山机砖厂委托原四川浩瀚环保科技有限公司编制了环境影响备案报告，并于2017年2月24日取得了原遂宁市安居区环境保护局出具的建设项目备案通知（遂安环建备</w:t>
            </w:r>
            <w:r>
              <w:rPr>
                <w:rFonts w:ascii="Times New Roman" w:hAnsi="Times New Roman" w:eastAsia="宋体" w:cs="Times New Roman"/>
                <w:color w:val="000000" w:themeColor="text1"/>
                <w:sz w:val="24"/>
                <w:szCs w:val="24"/>
                <w:lang w:bidi="ar"/>
                <w14:textFill>
                  <w14:solidFill>
                    <w14:schemeClr w14:val="tx1"/>
                  </w14:solidFill>
                </w14:textFill>
              </w:rPr>
              <w:t>[2017]</w:t>
            </w:r>
            <w:r>
              <w:rPr>
                <w:rFonts w:ascii="Times New Roman" w:hAnsi="Times New Roman" w:eastAsia="宋体" w:cs="Times New Roman"/>
                <w:color w:val="000000" w:themeColor="text1"/>
                <w:sz w:val="24"/>
                <w:szCs w:val="24"/>
                <w14:textFill>
                  <w14:solidFill>
                    <w14:schemeClr w14:val="tx1"/>
                  </w14:solidFill>
                </w14:textFill>
              </w:rPr>
              <w:t>323号）。2017年8月，遂宁市安居区横山机砖厂决定在现有厂区内投资1500万元进行扩能改造，将原有轮窑、生产车间及配套设施全部拆除，新建隧道窑生产线及配套设施生产车间等，形成年产8000万匹/年页岩砖的生产规模。同年10月，遂宁市安居区环境保护局对横山机砖厂技改扩能建设项目环境影响报告表以“遂安环函</w:t>
            </w:r>
            <w:r>
              <w:rPr>
                <w:rFonts w:ascii="Times New Roman" w:hAnsi="Times New Roman" w:eastAsia="宋体" w:cs="Times New Roman"/>
                <w:color w:val="000000" w:themeColor="text1"/>
                <w:sz w:val="24"/>
                <w:szCs w:val="24"/>
                <w:lang w:bidi="ar"/>
                <w14:textFill>
                  <w14:solidFill>
                    <w14:schemeClr w14:val="tx1"/>
                  </w14:solidFill>
                </w14:textFill>
              </w:rPr>
              <w:t>[2017]230号</w:t>
            </w:r>
            <w:r>
              <w:rPr>
                <w:rFonts w:ascii="Times New Roman" w:hAnsi="Times New Roman" w:eastAsia="宋体" w:cs="Times New Roman"/>
                <w:color w:val="000000" w:themeColor="text1"/>
                <w:sz w:val="24"/>
                <w:szCs w:val="24"/>
                <w14:textFill>
                  <w14:solidFill>
                    <w14:schemeClr w14:val="tx1"/>
                  </w14:solidFill>
                </w14:textFill>
              </w:rPr>
              <w:t>”进行批复。该项目于2020年11月完成建设并投产使用。</w:t>
            </w:r>
          </w:p>
          <w:p w14:paraId="6EDF4903">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2019年12月，遂宁市安居区横山机砖厂企业名称变更为遂宁市安居区麒新机砖厂（有限合伙）（以下简称“麒新机砖厂”）。企业于2021年6月15日办理了排污许可证，编号[91510904206264319U001V]；于2021年1月着手对横山机砖厂技改扩能建设项目进行竣工环境保护自主验收，并于2021年8月14日取得验收意见通过验收组验收。</w:t>
            </w:r>
          </w:p>
          <w:p w14:paraId="448E02FB">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themeColor="text1"/>
                <w:sz w:val="24"/>
                <w:szCs w:val="24"/>
                <w14:textFill>
                  <w14:solidFill>
                    <w14:schemeClr w14:val="tx1"/>
                  </w14:solidFill>
                </w14:textFill>
              </w:rPr>
              <w:t>随着国家对环境保护的重视程度不断提高，近年来环保政策的不断出台，为积极响应国家及四川省资源综合利用和节能减排等有关政策，麒新机砖厂决定对现有项目进行技改，将</w:t>
            </w:r>
            <w:r>
              <w:rPr>
                <w:rFonts w:ascii="Times New Roman" w:hAnsi="Times New Roman" w:eastAsia="宋体" w:cs="Times New Roman"/>
                <w:color w:val="000000" w:themeColor="text1"/>
                <w:sz w:val="24"/>
                <w:szCs w:val="24"/>
                <w:lang w:val="en-GB"/>
                <w14:textFill>
                  <w14:solidFill>
                    <w14:schemeClr w14:val="tx1"/>
                  </w14:solidFill>
                </w14:textFill>
              </w:rPr>
              <w:t>水基钻井废弃物、无机工业污泥</w:t>
            </w:r>
            <w:r>
              <w:rPr>
                <w:rFonts w:ascii="Times New Roman" w:hAnsi="Times New Roman" w:eastAsia="宋体" w:cs="Times New Roman"/>
                <w:color w:val="000000"/>
                <w:sz w:val="24"/>
                <w:szCs w:val="24"/>
                <w:lang w:val="en-GB"/>
              </w:rPr>
              <w:t>等一般工业固废</w:t>
            </w:r>
            <w:r>
              <w:rPr>
                <w:rFonts w:ascii="Times New Roman" w:hAnsi="Times New Roman" w:eastAsia="宋体" w:cs="Times New Roman"/>
                <w:color w:val="000000"/>
                <w:sz w:val="24"/>
                <w:szCs w:val="24"/>
              </w:rPr>
              <w:t>等替代部分页岩原材进行制砖。</w:t>
            </w:r>
          </w:p>
          <w:p w14:paraId="15DFC72D">
            <w:pPr>
              <w:adjustRightInd w:val="0"/>
              <w:snapToGrid w:val="0"/>
              <w:spacing w:line="360" w:lineRule="auto"/>
              <w:ind w:firstLine="482" w:firstLineChars="200"/>
              <w:rPr>
                <w:rFonts w:ascii="Times New Roman" w:hAnsi="Times New Roman" w:eastAsia="宋体" w:cs="Times New Roman"/>
                <w:b/>
                <w:color w:val="000000"/>
                <w:sz w:val="24"/>
                <w:szCs w:val="24"/>
                <w:u w:val="single"/>
              </w:rPr>
            </w:pPr>
            <w:r>
              <w:rPr>
                <w:rFonts w:ascii="Times New Roman" w:hAnsi="Times New Roman" w:eastAsia="宋体" w:cs="Times New Roman"/>
                <w:b/>
                <w:color w:val="000000"/>
                <w:sz w:val="24"/>
                <w:szCs w:val="24"/>
                <w:u w:val="single"/>
              </w:rPr>
              <w:t>本项目利用水基钻井废弃物、无机工业污泥（均为一般工业固废），替代部分页岩原料制砖，</w:t>
            </w:r>
            <w:r>
              <w:rPr>
                <w:rFonts w:ascii="Times New Roman" w:hAnsi="Times New Roman" w:eastAsia="宋体" w:cs="Times New Roman"/>
                <w:b/>
                <w:color w:val="FF0000"/>
                <w:sz w:val="24"/>
                <w:szCs w:val="24"/>
                <w:u w:val="single"/>
              </w:rPr>
              <w:t>其中无</w:t>
            </w:r>
            <w:bookmarkStart w:id="9" w:name="原料种类"/>
            <w:r>
              <w:rPr>
                <w:rFonts w:ascii="Times New Roman" w:hAnsi="Times New Roman" w:eastAsia="宋体" w:cs="Times New Roman"/>
                <w:b/>
                <w:color w:val="FF0000"/>
                <w:sz w:val="24"/>
                <w:szCs w:val="24"/>
                <w:u w:val="single"/>
              </w:rPr>
              <w:t>机污泥来自四川裕宁新能源材料有限公司、信利（仁寿）高端显示科技有限公</w:t>
            </w:r>
            <w:bookmarkEnd w:id="9"/>
            <w:r>
              <w:rPr>
                <w:rFonts w:ascii="Times New Roman" w:hAnsi="Times New Roman" w:eastAsia="宋体" w:cs="Times New Roman"/>
                <w:b/>
                <w:color w:val="FF0000"/>
                <w:sz w:val="24"/>
                <w:szCs w:val="24"/>
                <w:u w:val="single"/>
              </w:rPr>
              <w:t>司、四川东捷污水处理有限公司</w:t>
            </w:r>
            <w:r>
              <w:rPr>
                <w:rFonts w:hint="eastAsia" w:ascii="Times New Roman" w:hAnsi="Times New Roman" w:eastAsia="宋体" w:cs="Times New Roman"/>
                <w:b/>
                <w:color w:val="FF0000"/>
                <w:sz w:val="24"/>
                <w:szCs w:val="24"/>
                <w:u w:val="single"/>
                <w:lang w:eastAsia="zh-CN"/>
              </w:rPr>
              <w:t>以及</w:t>
            </w:r>
            <w:r>
              <w:rPr>
                <w:rFonts w:ascii="Times New Roman" w:hAnsi="Times New Roman" w:eastAsia="宋体" w:cs="Times New Roman"/>
                <w:b/>
                <w:color w:val="FF0000"/>
                <w:sz w:val="24"/>
                <w:szCs w:val="24"/>
                <w:u w:val="single"/>
              </w:rPr>
              <w:t>遂宁市自来水生产和供应产生的污泥；</w:t>
            </w:r>
            <w:r>
              <w:rPr>
                <w:rFonts w:ascii="Times New Roman" w:hAnsi="Times New Roman" w:eastAsia="宋体" w:cs="Times New Roman"/>
                <w:b/>
                <w:color w:val="000000"/>
                <w:sz w:val="24"/>
                <w:szCs w:val="24"/>
                <w:u w:val="single"/>
              </w:rPr>
              <w:t>禁止接纳油基岩屑及经鉴别为危险废物的固废；本次技改不改变原有生产工艺和规模，不新增产能。</w:t>
            </w:r>
          </w:p>
          <w:p w14:paraId="09EA7751">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根据《中华人民共和国环境保护法》、《中华人民共和国环境影响评价法》和《建设项目环境保护管理条例》（国务院第682号令）的要求，该项目建设须进行环境影响评价。根据《建设项目环境影响评价分类管理名录》（2021版）及其常见问题解答，本项目属于“二十七、非金属矿物制品业”中“56、砖瓦、石材等建筑材料制造”，应编制环境影响报告表。为此，遂宁市安居区麒新机砖厂委托我单位承担该项目的环境影响评价工作。我单位接受委托后，立即组织评价人员进行了详细的现场踏勘、资料收集和整理工作，在掌握了充分的资料数据基础上，对有关环境现状和可能产生的环境影响进行分析后，编制了该项目环境影响报告表，现呈报审批。</w:t>
            </w:r>
          </w:p>
          <w:p w14:paraId="295EEAAC">
            <w:pPr>
              <w:adjustRightInd w:val="0"/>
              <w:snapToGrid w:val="0"/>
              <w:spacing w:line="360" w:lineRule="auto"/>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二、掺烧制砖可行性分析</w:t>
            </w:r>
          </w:p>
          <w:p w14:paraId="3F722B83">
            <w:pPr>
              <w:adjustRightInd w:val="0"/>
              <w:snapToGrid w:val="0"/>
              <w:spacing w:line="360" w:lineRule="auto"/>
              <w:ind w:firstLine="482" w:firstLineChars="200"/>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（1）水基钻井废弃物掺烧可行性分析</w:t>
            </w:r>
          </w:p>
          <w:p w14:paraId="4A1D8549">
            <w:pPr>
              <w:numPr>
                <w:ilvl w:val="0"/>
                <w:numId w:val="3"/>
              </w:numPr>
              <w:tabs>
                <w:tab w:val="left" w:pos="1260"/>
              </w:tabs>
              <w:spacing w:line="360" w:lineRule="auto"/>
              <w:rPr>
                <w:rFonts w:ascii="Times New Roman" w:hAnsi="Times New Roman" w:eastAsia="宋体" w:cs="Times New Roman"/>
                <w:color w:val="000000"/>
                <w:sz w:val="24"/>
                <w:szCs w:val="20"/>
              </w:rPr>
            </w:pPr>
            <w:r>
              <w:rPr>
                <w:rFonts w:ascii="Times New Roman" w:hAnsi="Times New Roman" w:eastAsia="宋体" w:cs="Times New Roman"/>
                <w:color w:val="000000"/>
                <w:sz w:val="24"/>
                <w:szCs w:val="20"/>
              </w:rPr>
              <w:t>水基钻井废弃物来源</w:t>
            </w:r>
          </w:p>
          <w:p w14:paraId="7F8761D3">
            <w:pPr>
              <w:tabs>
                <w:tab w:val="left" w:pos="1260"/>
              </w:tabs>
              <w:spacing w:line="360" w:lineRule="auto"/>
              <w:ind w:firstLine="480" w:firstLineChars="200"/>
              <w:rPr>
                <w:rFonts w:ascii="Times New Roman" w:hAnsi="Times New Roman" w:eastAsia="宋体" w:cs="Times New Roman"/>
                <w:color w:val="000000"/>
                <w:sz w:val="24"/>
                <w:szCs w:val="20"/>
              </w:rPr>
            </w:pPr>
            <w:r>
              <w:rPr>
                <w:rFonts w:ascii="Times New Roman" w:hAnsi="Times New Roman" w:eastAsia="宋体" w:cs="Times New Roman"/>
                <w:color w:val="000000"/>
                <w:sz w:val="24"/>
                <w:szCs w:val="24"/>
              </w:rPr>
              <w:t>水基钻井废弃物主要来源于川西探区天然气井钻井过程产生的水基钻井废弃物，开采单位在钻井现场会对水基钻井废弃物完成固液分离后，通常会在现场进行晾晒以进一步降低含水率，外运资源化利用的废弃物含水率在30%-50%之间。本项目不接纳油基钻井废弃物。</w:t>
            </w:r>
          </w:p>
          <w:p w14:paraId="35C0D868">
            <w:pPr>
              <w:numPr>
                <w:ilvl w:val="0"/>
                <w:numId w:val="3"/>
              </w:numPr>
              <w:tabs>
                <w:tab w:val="left" w:pos="1260"/>
              </w:tabs>
              <w:spacing w:line="360" w:lineRule="auto"/>
              <w:rPr>
                <w:rFonts w:ascii="Times New Roman" w:hAnsi="Times New Roman" w:eastAsia="宋体" w:cs="Times New Roman"/>
                <w:color w:val="000000"/>
                <w:sz w:val="24"/>
                <w:szCs w:val="20"/>
              </w:rPr>
            </w:pPr>
            <w:r>
              <w:rPr>
                <w:rFonts w:ascii="Times New Roman" w:hAnsi="Times New Roman" w:eastAsia="宋体" w:cs="Times New Roman"/>
                <w:color w:val="000000"/>
                <w:sz w:val="24"/>
                <w:szCs w:val="20"/>
              </w:rPr>
              <w:t>水基钻井废弃物掺烧可行性</w:t>
            </w:r>
          </w:p>
          <w:p w14:paraId="2D405D6A">
            <w:pPr>
              <w:tabs>
                <w:tab w:val="left" w:pos="1260"/>
              </w:tabs>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0"/>
              </w:rPr>
              <w:t>以往经固液分离后的</w:t>
            </w:r>
            <w:r>
              <w:rPr>
                <w:rFonts w:ascii="Times New Roman" w:hAnsi="Times New Roman" w:eastAsia="宋体" w:cs="Times New Roman"/>
                <w:color w:val="000000"/>
                <w:sz w:val="24"/>
                <w:szCs w:val="24"/>
              </w:rPr>
              <w:t>水基钻井废弃物</w:t>
            </w:r>
            <w:r>
              <w:rPr>
                <w:rFonts w:ascii="Times New Roman" w:hAnsi="Times New Roman" w:eastAsia="宋体" w:cs="Times New Roman"/>
                <w:color w:val="000000"/>
                <w:sz w:val="24"/>
                <w:szCs w:val="20"/>
              </w:rPr>
              <w:t>常规处置方式为修建岩屑池进行防渗固化填埋覆土，但该方式不仅占用国家大量土地，还随着长时间的存在，防渗效果随着时间的推移而逐渐变差，可能因此出现渗漏情况而污染土壤、地下水等环境，造成二次污染。将</w:t>
            </w:r>
            <w:r>
              <w:rPr>
                <w:rFonts w:ascii="Times New Roman" w:hAnsi="Times New Roman" w:eastAsia="宋体" w:cs="Times New Roman"/>
                <w:color w:val="000000"/>
                <w:sz w:val="24"/>
                <w:szCs w:val="24"/>
              </w:rPr>
              <w:t>水基钻井废弃物作为原料</w:t>
            </w:r>
            <w:r>
              <w:rPr>
                <w:rFonts w:ascii="Times New Roman" w:hAnsi="Times New Roman" w:eastAsia="宋体" w:cs="Times New Roman"/>
                <w:color w:val="000000"/>
                <w:sz w:val="24"/>
                <w:szCs w:val="20"/>
              </w:rPr>
              <w:t>制备烧结建筑用砖，通过引入热处理，实现最终无害化，在实现环保治理的同时，也实现了资源化利用。目前国内包括四川省内</w:t>
            </w:r>
            <w:r>
              <w:rPr>
                <w:rFonts w:ascii="Times New Roman" w:hAnsi="Times New Roman" w:eastAsia="宋体" w:cs="Times New Roman"/>
                <w:color w:val="000000"/>
                <w:sz w:val="24"/>
                <w:szCs w:val="24"/>
              </w:rPr>
              <w:t>水基钻井废弃物很大比例均作为烧结砖原料，</w:t>
            </w:r>
            <w:r>
              <w:rPr>
                <w:rFonts w:ascii="Times New Roman" w:hAnsi="Times New Roman" w:eastAsia="宋体" w:cs="Times New Roman"/>
                <w:color w:val="000000"/>
                <w:sz w:val="24"/>
                <w:szCs w:val="20"/>
              </w:rPr>
              <w:t>工艺成熟稳定</w:t>
            </w:r>
            <w:r>
              <w:rPr>
                <w:rFonts w:ascii="Times New Roman" w:hAnsi="Times New Roman" w:eastAsia="宋体" w:cs="Times New Roman"/>
                <w:color w:val="000000"/>
                <w:sz w:val="24"/>
                <w:szCs w:val="24"/>
              </w:rPr>
              <w:t>。</w:t>
            </w:r>
          </w:p>
          <w:p w14:paraId="17351EFE">
            <w:pPr>
              <w:pStyle w:val="11"/>
              <w:jc w:val="center"/>
              <w:rPr>
                <w:rFonts w:ascii="Times New Roman" w:hAnsi="Times New Roman" w:eastAsia="宋体" w:cs="Times New Roman"/>
                <w:b/>
                <w:bCs/>
                <w:color w:val="000000"/>
                <w:szCs w:val="24"/>
              </w:rPr>
            </w:pPr>
            <w:r>
              <w:rPr>
                <w:rFonts w:ascii="Times New Roman" w:hAnsi="Times New Roman" w:eastAsia="宋体" w:cs="Times New Roman"/>
                <w:b/>
                <w:color w:val="000000"/>
                <w:sz w:val="21"/>
                <w:szCs w:val="24"/>
              </w:rPr>
              <w:t xml:space="preserve">表2- </w:t>
            </w:r>
            <w:r>
              <w:rPr>
                <w:rFonts w:ascii="Times New Roman" w:hAnsi="Times New Roman" w:eastAsia="宋体" w:cs="Times New Roman"/>
                <w:b/>
                <w:color w:val="000000"/>
                <w:sz w:val="21"/>
                <w:szCs w:val="24"/>
              </w:rPr>
              <w:fldChar w:fldCharType="begin"/>
            </w:r>
            <w:r>
              <w:rPr>
                <w:rFonts w:ascii="Times New Roman" w:hAnsi="Times New Roman" w:eastAsia="宋体" w:cs="Times New Roman"/>
                <w:b/>
                <w:color w:val="000000"/>
                <w:sz w:val="21"/>
                <w:szCs w:val="24"/>
              </w:rPr>
              <w:instrText xml:space="preserve"> SEQ 表2- \* ARABIC </w:instrText>
            </w:r>
            <w:r>
              <w:rPr>
                <w:rFonts w:ascii="Times New Roman" w:hAnsi="Times New Roman" w:eastAsia="宋体" w:cs="Times New Roman"/>
                <w:b/>
                <w:color w:val="000000"/>
                <w:sz w:val="21"/>
                <w:szCs w:val="24"/>
              </w:rPr>
              <w:fldChar w:fldCharType="separate"/>
            </w:r>
            <w:r>
              <w:rPr>
                <w:rFonts w:ascii="Times New Roman" w:hAnsi="Times New Roman" w:eastAsia="宋体" w:cs="Times New Roman"/>
                <w:b/>
                <w:color w:val="000000"/>
                <w:sz w:val="21"/>
                <w:szCs w:val="24"/>
              </w:rPr>
              <w:t>1</w:t>
            </w:r>
            <w:r>
              <w:rPr>
                <w:rFonts w:ascii="Times New Roman" w:hAnsi="Times New Roman" w:eastAsia="宋体" w:cs="Times New Roman"/>
                <w:b/>
                <w:color w:val="000000"/>
                <w:sz w:val="21"/>
                <w:szCs w:val="24"/>
              </w:rPr>
              <w:fldChar w:fldCharType="end"/>
            </w:r>
            <w:r>
              <w:rPr>
                <w:rFonts w:ascii="Times New Roman" w:hAnsi="Times New Roman" w:eastAsia="宋体" w:cs="Times New Roman"/>
                <w:b/>
                <w:color w:val="000000"/>
                <w:sz w:val="21"/>
                <w:szCs w:val="24"/>
              </w:rPr>
              <w:t xml:space="preserve">  </w:t>
            </w:r>
            <w:r>
              <w:rPr>
                <w:rFonts w:ascii="Times New Roman" w:hAnsi="Times New Roman" w:eastAsia="宋体" w:cs="Times New Roman"/>
                <w:b/>
                <w:color w:val="000000"/>
                <w:szCs w:val="24"/>
              </w:rPr>
              <w:t>四川省水基钻井废弃物用于烧结制砖相关案例汇总</w:t>
            </w:r>
          </w:p>
          <w:tbl>
            <w:tblPr>
              <w:tblStyle w:val="2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48"/>
              <w:gridCol w:w="2544"/>
              <w:gridCol w:w="1905"/>
              <w:gridCol w:w="1224"/>
              <w:gridCol w:w="1392"/>
            </w:tblGrid>
            <w:tr w14:paraId="6D73CA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479" w:type="pct"/>
                  <w:vAlign w:val="center"/>
                </w:tcPr>
                <w:p w14:paraId="4C8828AE">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序号</w:t>
                  </w:r>
                </w:p>
              </w:tc>
              <w:tc>
                <w:tcPr>
                  <w:tcW w:w="1628" w:type="pct"/>
                  <w:vAlign w:val="center"/>
                </w:tcPr>
                <w:p w14:paraId="08EF88AE">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项目名称</w:t>
                  </w:r>
                </w:p>
              </w:tc>
              <w:tc>
                <w:tcPr>
                  <w:tcW w:w="1219" w:type="pct"/>
                  <w:vAlign w:val="center"/>
                </w:tcPr>
                <w:p w14:paraId="7FDCDDBD">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建设单位</w:t>
                  </w:r>
                </w:p>
              </w:tc>
              <w:tc>
                <w:tcPr>
                  <w:tcW w:w="783" w:type="pct"/>
                  <w:vAlign w:val="center"/>
                </w:tcPr>
                <w:p w14:paraId="01E6044A">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产量</w:t>
                  </w:r>
                </w:p>
              </w:tc>
              <w:tc>
                <w:tcPr>
                  <w:tcW w:w="892" w:type="pct"/>
                  <w:vAlign w:val="center"/>
                </w:tcPr>
                <w:p w14:paraId="43BA2AFE">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水基岩屑固化土掺烧比例</w:t>
                  </w:r>
                </w:p>
              </w:tc>
            </w:tr>
            <w:tr w14:paraId="22FD7A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2" w:hRule="atLeast"/>
              </w:trPr>
              <w:tc>
                <w:tcPr>
                  <w:tcW w:w="479" w:type="pct"/>
                  <w:vAlign w:val="center"/>
                </w:tcPr>
                <w:p w14:paraId="278EA2CF">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1</w:t>
                  </w:r>
                </w:p>
              </w:tc>
              <w:tc>
                <w:tcPr>
                  <w:tcW w:w="1628" w:type="pct"/>
                  <w:vAlign w:val="center"/>
                </w:tcPr>
                <w:p w14:paraId="48283CA3">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钻井固化土资源化综合利用制烧结砖项目</w:t>
                  </w:r>
                </w:p>
              </w:tc>
              <w:tc>
                <w:tcPr>
                  <w:tcW w:w="1219" w:type="pct"/>
                  <w:vAlign w:val="center"/>
                </w:tcPr>
                <w:p w14:paraId="4857C9AD">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罗江友兴建材有限公司</w:t>
                  </w:r>
                </w:p>
              </w:tc>
              <w:tc>
                <w:tcPr>
                  <w:tcW w:w="783" w:type="pct"/>
                  <w:vAlign w:val="center"/>
                </w:tcPr>
                <w:p w14:paraId="29D46C88">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3000万块/a</w:t>
                  </w:r>
                </w:p>
              </w:tc>
              <w:tc>
                <w:tcPr>
                  <w:tcW w:w="892" w:type="pct"/>
                  <w:vAlign w:val="center"/>
                </w:tcPr>
                <w:p w14:paraId="30B2525D">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30%</w:t>
                  </w:r>
                </w:p>
              </w:tc>
            </w:tr>
            <w:tr w14:paraId="074267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479" w:type="pct"/>
                  <w:vAlign w:val="center"/>
                </w:tcPr>
                <w:p w14:paraId="2C1AB233">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2</w:t>
                  </w:r>
                </w:p>
              </w:tc>
              <w:tc>
                <w:tcPr>
                  <w:tcW w:w="1628" w:type="pct"/>
                  <w:vAlign w:val="center"/>
                </w:tcPr>
                <w:p w14:paraId="2CCA165D">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水基钻井岩屑综合利用项目</w:t>
                  </w:r>
                </w:p>
              </w:tc>
              <w:tc>
                <w:tcPr>
                  <w:tcW w:w="1219" w:type="pct"/>
                  <w:vAlign w:val="center"/>
                </w:tcPr>
                <w:p w14:paraId="69A0E960">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苍溪永利建材有限责任公司</w:t>
                  </w:r>
                </w:p>
              </w:tc>
              <w:tc>
                <w:tcPr>
                  <w:tcW w:w="783" w:type="pct"/>
                  <w:vAlign w:val="center"/>
                </w:tcPr>
                <w:p w14:paraId="6A2F08D1">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5000万块/a</w:t>
                  </w:r>
                </w:p>
              </w:tc>
              <w:tc>
                <w:tcPr>
                  <w:tcW w:w="892" w:type="pct"/>
                  <w:vAlign w:val="center"/>
                </w:tcPr>
                <w:p w14:paraId="33C37BD4">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15.38%</w:t>
                  </w:r>
                </w:p>
              </w:tc>
            </w:tr>
            <w:tr w14:paraId="4790CB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479" w:type="pct"/>
                  <w:vAlign w:val="center"/>
                </w:tcPr>
                <w:p w14:paraId="08991EE1">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3</w:t>
                  </w:r>
                </w:p>
              </w:tc>
              <w:tc>
                <w:tcPr>
                  <w:tcW w:w="1628" w:type="pct"/>
                  <w:vAlign w:val="center"/>
                </w:tcPr>
                <w:p w14:paraId="70A7A027">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钻井固化土资源化利用制烧结砖项目</w:t>
                  </w:r>
                </w:p>
              </w:tc>
              <w:tc>
                <w:tcPr>
                  <w:tcW w:w="1219" w:type="pct"/>
                  <w:vAlign w:val="center"/>
                </w:tcPr>
                <w:p w14:paraId="467FAF16">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广汉市四友页岩砖厂</w:t>
                  </w:r>
                </w:p>
              </w:tc>
              <w:tc>
                <w:tcPr>
                  <w:tcW w:w="783" w:type="pct"/>
                  <w:vAlign w:val="center"/>
                </w:tcPr>
                <w:p w14:paraId="58D4A7A7">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8000万块/a</w:t>
                  </w:r>
                </w:p>
              </w:tc>
              <w:tc>
                <w:tcPr>
                  <w:tcW w:w="892" w:type="pct"/>
                  <w:vAlign w:val="center"/>
                </w:tcPr>
                <w:p w14:paraId="744227E0">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30%</w:t>
                  </w:r>
                </w:p>
              </w:tc>
            </w:tr>
            <w:tr w14:paraId="2B7062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479" w:type="pct"/>
                  <w:vAlign w:val="center"/>
                </w:tcPr>
                <w:p w14:paraId="79CDCB78">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4</w:t>
                  </w:r>
                </w:p>
              </w:tc>
              <w:tc>
                <w:tcPr>
                  <w:tcW w:w="1628" w:type="pct"/>
                  <w:vAlign w:val="center"/>
                </w:tcPr>
                <w:p w14:paraId="5F7C5855">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荣县鑫达建材制造厂水基岩屑综合利用项目</w:t>
                  </w:r>
                </w:p>
              </w:tc>
              <w:tc>
                <w:tcPr>
                  <w:tcW w:w="1219" w:type="pct"/>
                  <w:vAlign w:val="center"/>
                </w:tcPr>
                <w:p w14:paraId="716E96E6">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荣县鑫达建材制造厂</w:t>
                  </w:r>
                </w:p>
              </w:tc>
              <w:tc>
                <w:tcPr>
                  <w:tcW w:w="783" w:type="pct"/>
                  <w:vAlign w:val="center"/>
                </w:tcPr>
                <w:p w14:paraId="27BAF061">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4000万块/a</w:t>
                  </w:r>
                </w:p>
              </w:tc>
              <w:tc>
                <w:tcPr>
                  <w:tcW w:w="892" w:type="pct"/>
                  <w:vAlign w:val="center"/>
                </w:tcPr>
                <w:p w14:paraId="2B87AFD8">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26.3%</w:t>
                  </w:r>
                </w:p>
              </w:tc>
            </w:tr>
            <w:tr w14:paraId="3C3300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479" w:type="pct"/>
                  <w:vAlign w:val="center"/>
                </w:tcPr>
                <w:p w14:paraId="58C52477">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5</w:t>
                  </w:r>
                </w:p>
              </w:tc>
              <w:tc>
                <w:tcPr>
                  <w:tcW w:w="1628" w:type="pct"/>
                  <w:vAlign w:val="center"/>
                </w:tcPr>
                <w:p w14:paraId="30578DF2">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泸县锦鸿机砖厂水基岩屑综合利用技改项目</w:t>
                  </w:r>
                </w:p>
              </w:tc>
              <w:tc>
                <w:tcPr>
                  <w:tcW w:w="1219" w:type="pct"/>
                  <w:vAlign w:val="center"/>
                </w:tcPr>
                <w:p w14:paraId="5CFD9D12">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泸县锦鸿机砖厂</w:t>
                  </w:r>
                </w:p>
              </w:tc>
              <w:tc>
                <w:tcPr>
                  <w:tcW w:w="783" w:type="pct"/>
                  <w:vAlign w:val="center"/>
                </w:tcPr>
                <w:p w14:paraId="63BFBA4B">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9000万块/a</w:t>
                  </w:r>
                </w:p>
              </w:tc>
              <w:tc>
                <w:tcPr>
                  <w:tcW w:w="892" w:type="pct"/>
                  <w:vAlign w:val="center"/>
                </w:tcPr>
                <w:p w14:paraId="283E0079">
                  <w:pPr>
                    <w:ind w:left="-105" w:leftChars="-50" w:right="-105" w:rightChars="-50"/>
                    <w:jc w:val="center"/>
                    <w:rPr>
                      <w:rFonts w:ascii="Times New Roman" w:hAnsi="Times New Roman" w:eastAsia="宋体" w:cs="Times New Roman"/>
                      <w:color w:val="000000"/>
                    </w:rPr>
                  </w:pPr>
                  <w:r>
                    <w:rPr>
                      <w:rFonts w:ascii="Times New Roman" w:hAnsi="Times New Roman" w:eastAsia="宋体" w:cs="Times New Roman"/>
                      <w:color w:val="000000"/>
                    </w:rPr>
                    <w:t>20%</w:t>
                  </w:r>
                </w:p>
              </w:tc>
            </w:tr>
          </w:tbl>
          <w:p w14:paraId="4A8362E8">
            <w:pPr>
              <w:adjustRightInd w:val="0"/>
              <w:snapToGrid w:val="0"/>
              <w:spacing w:before="156" w:beforeLines="50" w:line="360" w:lineRule="auto"/>
              <w:ind w:firstLine="480" w:firstLineChars="200"/>
              <w:rPr>
                <w:rFonts w:ascii="Times New Roman" w:hAnsi="Times New Roman" w:eastAsia="宋体" w:cs="Times New Roman"/>
                <w:bCs/>
                <w:color w:val="000000"/>
                <w:sz w:val="24"/>
                <w:szCs w:val="24"/>
              </w:rPr>
            </w:pPr>
            <w:r>
              <w:rPr>
                <w:rFonts w:ascii="Times New Roman" w:hAnsi="Times New Roman" w:eastAsia="宋体" w:cs="Times New Roman"/>
                <w:color w:val="000000"/>
                <w:sz w:val="24"/>
                <w:szCs w:val="24"/>
              </w:rPr>
              <w:t>根据罗江友兴建材有限公司钻井固废资源利用烧结砖项目对水基岩屑固化土掺烧比例30%的烧结砖浸出毒性进行的浸出毒性检测结果，可达到</w:t>
            </w:r>
            <w:r>
              <w:rPr>
                <w:rFonts w:ascii="Times New Roman" w:hAnsi="Times New Roman" w:eastAsia="宋体" w:cs="Times New Roman"/>
                <w:bCs/>
                <w:color w:val="000000"/>
                <w:sz w:val="24"/>
                <w:szCs w:val="24"/>
              </w:rPr>
              <w:t>《水泥窑协同处置固体废物技术规范》（GB/T30760-2014）表3水泥熟料中可浸出重金属含量限值要求。</w:t>
            </w:r>
          </w:p>
          <w:p w14:paraId="520C240F">
            <w:pPr>
              <w:adjustRightInd w:val="0"/>
              <w:snapToGrid w:val="0"/>
              <w:spacing w:line="360" w:lineRule="auto"/>
              <w:ind w:firstLine="482" w:firstLineChars="200"/>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（2）无机工业污泥掺烧可行性分析</w:t>
            </w:r>
          </w:p>
          <w:p w14:paraId="27E43B4C">
            <w:pPr>
              <w:numPr>
                <w:ilvl w:val="0"/>
                <w:numId w:val="4"/>
              </w:numPr>
              <w:adjustRightInd w:val="0"/>
              <w:snapToGrid w:val="0"/>
              <w:spacing w:line="360" w:lineRule="auto"/>
              <w:ind w:firstLine="482" w:firstLineChars="200"/>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无机工业污泥来源及种类</w:t>
            </w:r>
          </w:p>
          <w:p w14:paraId="464F0877">
            <w:pPr>
              <w:numPr>
                <w:ilvl w:val="0"/>
                <w:numId w:val="5"/>
              </w:num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根据《固体废物分类目录（征求意见稿）》（环办便函[2022]221号），无机污泥主要出自以下行业。</w:t>
            </w:r>
          </w:p>
          <w:p w14:paraId="36A472EE">
            <w:pPr>
              <w:adjustRightInd w:val="0"/>
              <w:snapToGrid w:val="0"/>
              <w:jc w:val="center"/>
              <w:rPr>
                <w:rFonts w:ascii="Times New Roman" w:hAnsi="Times New Roman" w:eastAsia="宋体" w:cs="Times New Roman"/>
                <w:b/>
                <w:color w:val="000000"/>
                <w:szCs w:val="24"/>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2</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无机工业污泥来源表</w:t>
            </w:r>
          </w:p>
          <w:tbl>
            <w:tblPr>
              <w:tblStyle w:val="2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3" w:type="dxa"/>
                <w:bottom w:w="0" w:type="dxa"/>
                <w:right w:w="23" w:type="dxa"/>
              </w:tblCellMar>
            </w:tblPr>
            <w:tblGrid>
              <w:gridCol w:w="719"/>
              <w:gridCol w:w="940"/>
              <w:gridCol w:w="1026"/>
              <w:gridCol w:w="2808"/>
              <w:gridCol w:w="2320"/>
            </w:tblGrid>
            <w:tr w14:paraId="4BB8FC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113" w:hRule="atLeast"/>
                <w:tblHeader/>
                <w:jc w:val="center"/>
              </w:trPr>
              <w:tc>
                <w:tcPr>
                  <w:tcW w:w="0" w:type="auto"/>
                  <w:shd w:val="clear" w:color="auto" w:fill="auto"/>
                  <w:vAlign w:val="center"/>
                </w:tcPr>
                <w:p w14:paraId="5B4E4585">
                  <w:pPr>
                    <w:jc w:val="center"/>
                    <w:rPr>
                      <w:rFonts w:ascii="Times New Roman" w:hAnsi="Times New Roman" w:eastAsia="宋体" w:cs="Times New Roman"/>
                      <w:b/>
                      <w:color w:val="000000"/>
                    </w:rPr>
                  </w:pPr>
                  <w:r>
                    <w:rPr>
                      <w:rFonts w:ascii="Times New Roman" w:hAnsi="Times New Roman" w:eastAsia="宋体" w:cs="Times New Roman"/>
                      <w:b/>
                      <w:color w:val="000000"/>
                    </w:rPr>
                    <w:t>固废代码</w:t>
                  </w:r>
                </w:p>
              </w:tc>
              <w:tc>
                <w:tcPr>
                  <w:tcW w:w="0" w:type="auto"/>
                  <w:shd w:val="clear" w:color="auto" w:fill="auto"/>
                  <w:vAlign w:val="center"/>
                </w:tcPr>
                <w:p w14:paraId="396F9027">
                  <w:pPr>
                    <w:jc w:val="center"/>
                    <w:rPr>
                      <w:rFonts w:ascii="Times New Roman" w:hAnsi="Times New Roman" w:eastAsia="宋体" w:cs="Times New Roman"/>
                      <w:b/>
                      <w:color w:val="000000"/>
                    </w:rPr>
                  </w:pPr>
                  <w:r>
                    <w:rPr>
                      <w:rFonts w:ascii="Times New Roman" w:hAnsi="Times New Roman" w:eastAsia="宋体" w:cs="Times New Roman"/>
                      <w:b/>
                      <w:color w:val="000000"/>
                    </w:rPr>
                    <w:t>行业来源</w:t>
                  </w:r>
                </w:p>
              </w:tc>
              <w:tc>
                <w:tcPr>
                  <w:tcW w:w="0" w:type="auto"/>
                  <w:shd w:val="clear" w:color="auto" w:fill="auto"/>
                  <w:vAlign w:val="center"/>
                </w:tcPr>
                <w:p w14:paraId="2B1E871A">
                  <w:pPr>
                    <w:jc w:val="center"/>
                    <w:rPr>
                      <w:rFonts w:ascii="Times New Roman" w:hAnsi="Times New Roman" w:eastAsia="宋体" w:cs="Times New Roman"/>
                      <w:b/>
                      <w:color w:val="000000"/>
                    </w:rPr>
                  </w:pPr>
                  <w:r>
                    <w:rPr>
                      <w:rFonts w:ascii="Times New Roman" w:hAnsi="Times New Roman" w:eastAsia="宋体" w:cs="Times New Roman"/>
                      <w:b/>
                      <w:color w:val="000000"/>
                    </w:rPr>
                    <w:t>废物代码</w:t>
                  </w:r>
                </w:p>
              </w:tc>
              <w:tc>
                <w:tcPr>
                  <w:tcW w:w="0" w:type="auto"/>
                  <w:shd w:val="clear" w:color="auto" w:fill="auto"/>
                  <w:vAlign w:val="center"/>
                </w:tcPr>
                <w:p w14:paraId="2C9D2DC8">
                  <w:pPr>
                    <w:jc w:val="center"/>
                    <w:rPr>
                      <w:rFonts w:ascii="Times New Roman" w:hAnsi="Times New Roman" w:eastAsia="宋体" w:cs="Times New Roman"/>
                      <w:b/>
                      <w:color w:val="000000"/>
                    </w:rPr>
                  </w:pPr>
                  <w:r>
                    <w:rPr>
                      <w:rFonts w:ascii="Times New Roman" w:hAnsi="Times New Roman" w:eastAsia="宋体" w:cs="Times New Roman"/>
                      <w:b/>
                      <w:color w:val="000000"/>
                    </w:rPr>
                    <w:t>固体废物名称</w:t>
                  </w:r>
                </w:p>
              </w:tc>
              <w:tc>
                <w:tcPr>
                  <w:tcW w:w="0" w:type="auto"/>
                  <w:shd w:val="clear" w:color="auto" w:fill="auto"/>
                  <w:vAlign w:val="center"/>
                </w:tcPr>
                <w:p w14:paraId="3439E077">
                  <w:pPr>
                    <w:jc w:val="center"/>
                    <w:rPr>
                      <w:rFonts w:ascii="Times New Roman" w:hAnsi="Times New Roman" w:eastAsia="宋体" w:cs="Times New Roman"/>
                      <w:b/>
                      <w:color w:val="000000"/>
                    </w:rPr>
                  </w:pPr>
                  <w:r>
                    <w:rPr>
                      <w:rFonts w:ascii="Times New Roman" w:hAnsi="Times New Roman" w:eastAsia="宋体" w:cs="Times New Roman"/>
                      <w:b/>
                      <w:color w:val="000000"/>
                    </w:rPr>
                    <w:t>备注</w:t>
                  </w:r>
                </w:p>
              </w:tc>
            </w:tr>
            <w:tr w14:paraId="31B14D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113" w:hRule="atLeast"/>
                <w:jc w:val="center"/>
              </w:trPr>
              <w:tc>
                <w:tcPr>
                  <w:tcW w:w="0" w:type="auto"/>
                  <w:vMerge w:val="restart"/>
                  <w:vAlign w:val="center"/>
                </w:tcPr>
                <w:p w14:paraId="2D66D88C">
                  <w:pPr>
                    <w:snapToGrid w:val="0"/>
                    <w:rPr>
                      <w:rFonts w:ascii="Times New Roman" w:hAnsi="Times New Roman" w:eastAsia="宋体" w:cs="Times New Roman"/>
                      <w:color w:val="000000"/>
                    </w:rPr>
                  </w:pPr>
                  <w:r>
                    <w:rPr>
                      <w:rFonts w:ascii="Times New Roman" w:hAnsi="Times New Roman" w:eastAsia="宋体" w:cs="Times New Roman"/>
                      <w:color w:val="000000"/>
                    </w:rPr>
                    <w:t>SW07</w:t>
                  </w:r>
                </w:p>
              </w:tc>
              <w:tc>
                <w:tcPr>
                  <w:tcW w:w="0" w:type="auto"/>
                  <w:vAlign w:val="center"/>
                </w:tcPr>
                <w:p w14:paraId="31C9B5FF">
                  <w:pPr>
                    <w:snapToGrid w:val="0"/>
                    <w:rPr>
                      <w:rFonts w:ascii="Times New Roman" w:hAnsi="Times New Roman" w:eastAsia="宋体" w:cs="Times New Roman"/>
                      <w:color w:val="000000"/>
                    </w:rPr>
                  </w:pPr>
                  <w:r>
                    <w:rPr>
                      <w:rFonts w:ascii="Times New Roman" w:hAnsi="Times New Roman" w:eastAsia="宋体" w:cs="Times New Roman"/>
                      <w:color w:val="000000"/>
                    </w:rPr>
                    <w:t>自来水生产和供应</w:t>
                  </w:r>
                </w:p>
              </w:tc>
              <w:tc>
                <w:tcPr>
                  <w:tcW w:w="0" w:type="auto"/>
                  <w:vAlign w:val="center"/>
                </w:tcPr>
                <w:p w14:paraId="609F3C05">
                  <w:pPr>
                    <w:snapToGrid w:val="0"/>
                    <w:rPr>
                      <w:rFonts w:ascii="Times New Roman" w:hAnsi="Times New Roman" w:eastAsia="宋体" w:cs="Times New Roman"/>
                      <w:color w:val="000000"/>
                    </w:rPr>
                  </w:pPr>
                  <w:r>
                    <w:rPr>
                      <w:rFonts w:ascii="Times New Roman" w:hAnsi="Times New Roman" w:eastAsia="宋体" w:cs="Times New Roman"/>
                      <w:color w:val="000000"/>
                    </w:rPr>
                    <w:t>461-001-07</w:t>
                  </w:r>
                </w:p>
              </w:tc>
              <w:tc>
                <w:tcPr>
                  <w:tcW w:w="0" w:type="auto"/>
                  <w:vAlign w:val="center"/>
                </w:tcPr>
                <w:p w14:paraId="3332FFC4">
                  <w:pPr>
                    <w:snapToGrid w:val="0"/>
                    <w:rPr>
                      <w:rFonts w:ascii="Times New Roman" w:hAnsi="Times New Roman" w:eastAsia="宋体" w:cs="Times New Roman"/>
                      <w:color w:val="000000"/>
                    </w:rPr>
                  </w:pPr>
                  <w:r>
                    <w:rPr>
                      <w:rFonts w:ascii="Times New Roman" w:hAnsi="Times New Roman" w:eastAsia="宋体" w:cs="Times New Roman"/>
                      <w:color w:val="000000"/>
                    </w:rPr>
                    <w:t>给水沉淀池和滤池反冲洗排泥水经沉淀后形成的污泥</w:t>
                  </w:r>
                </w:p>
              </w:tc>
              <w:tc>
                <w:tcPr>
                  <w:tcW w:w="0" w:type="auto"/>
                  <w:vAlign w:val="center"/>
                </w:tcPr>
                <w:p w14:paraId="66926457">
                  <w:pPr>
                    <w:snapToGrid w:val="0"/>
                    <w:rPr>
                      <w:rFonts w:ascii="Times New Roman" w:hAnsi="Times New Roman" w:eastAsia="宋体" w:cs="Times New Roman"/>
                      <w:color w:val="000000"/>
                    </w:rPr>
                  </w:pPr>
                  <w:r>
                    <w:rPr>
                      <w:rFonts w:ascii="Times New Roman" w:hAnsi="Times New Roman" w:eastAsia="宋体" w:cs="Times New Roman"/>
                      <w:color w:val="000000"/>
                    </w:rPr>
                    <w:t>本</w:t>
                  </w:r>
                  <w:r>
                    <w:rPr>
                      <w:rFonts w:ascii="Times New Roman" w:hAnsi="Times New Roman" w:eastAsia="宋体" w:cs="Times New Roman"/>
                      <w:color w:val="FF0000"/>
                    </w:rPr>
                    <w:t>项目接纳该类污泥</w:t>
                  </w:r>
                  <w:r>
                    <w:rPr>
                      <w:rFonts w:ascii="Times New Roman" w:hAnsi="Times New Roman" w:eastAsia="宋体" w:cs="Times New Roman"/>
                      <w:color w:val="000000"/>
                    </w:rPr>
                    <w:t>（</w:t>
                  </w:r>
                  <w:r>
                    <w:rPr>
                      <w:rFonts w:ascii="Times New Roman" w:hAnsi="Times New Roman" w:eastAsia="宋体" w:cs="Times New Roman"/>
                      <w:color w:val="FF0000"/>
                    </w:rPr>
                    <w:t>遂宁市</w:t>
                  </w:r>
                  <w:r>
                    <w:rPr>
                      <w:rFonts w:hint="eastAsia" w:ascii="Times New Roman" w:hAnsi="Times New Roman" w:eastAsia="宋体" w:cs="Times New Roman"/>
                      <w:color w:val="FF0000"/>
                    </w:rPr>
                    <w:t>自来水</w:t>
                  </w:r>
                  <w:r>
                    <w:rPr>
                      <w:rFonts w:ascii="Times New Roman" w:hAnsi="Times New Roman" w:eastAsia="宋体" w:cs="Times New Roman"/>
                      <w:color w:val="FF0000"/>
                    </w:rPr>
                    <w:t>生产污泥）</w:t>
                  </w:r>
                </w:p>
              </w:tc>
            </w:tr>
            <w:tr w14:paraId="40FA12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113" w:hRule="atLeast"/>
                <w:jc w:val="center"/>
              </w:trPr>
              <w:tc>
                <w:tcPr>
                  <w:tcW w:w="0" w:type="auto"/>
                  <w:vMerge w:val="continue"/>
                  <w:vAlign w:val="center"/>
                </w:tcPr>
                <w:p w14:paraId="0BE8C699">
                  <w:pPr>
                    <w:snapToGrid w:val="0"/>
                    <w:rPr>
                      <w:rFonts w:ascii="Times New Roman" w:hAnsi="Times New Roman" w:eastAsia="宋体" w:cs="Times New Roman"/>
                      <w:color w:val="000000"/>
                    </w:rPr>
                  </w:pPr>
                </w:p>
              </w:tc>
              <w:tc>
                <w:tcPr>
                  <w:tcW w:w="0" w:type="auto"/>
                  <w:vMerge w:val="restart"/>
                  <w:vAlign w:val="center"/>
                </w:tcPr>
                <w:p w14:paraId="7AE2EB67">
                  <w:pPr>
                    <w:snapToGrid w:val="0"/>
                    <w:rPr>
                      <w:rFonts w:ascii="Times New Roman" w:hAnsi="Times New Roman" w:eastAsia="宋体" w:cs="Times New Roman"/>
                      <w:color w:val="000000"/>
                    </w:rPr>
                  </w:pPr>
                  <w:r>
                    <w:rPr>
                      <w:rFonts w:ascii="Times New Roman" w:hAnsi="Times New Roman" w:eastAsia="宋体" w:cs="Times New Roman"/>
                      <w:color w:val="000000"/>
                    </w:rPr>
                    <w:t>非特定行业</w:t>
                  </w:r>
                </w:p>
              </w:tc>
              <w:tc>
                <w:tcPr>
                  <w:tcW w:w="0" w:type="auto"/>
                  <w:vAlign w:val="center"/>
                </w:tcPr>
                <w:p w14:paraId="5D3B64F2">
                  <w:pPr>
                    <w:snapToGrid w:val="0"/>
                    <w:rPr>
                      <w:rFonts w:ascii="Times New Roman" w:hAnsi="Times New Roman" w:eastAsia="宋体" w:cs="Times New Roman"/>
                      <w:color w:val="000000"/>
                    </w:rPr>
                  </w:pPr>
                  <w:r>
                    <w:rPr>
                      <w:rFonts w:ascii="Times New Roman" w:hAnsi="Times New Roman" w:eastAsia="宋体" w:cs="Times New Roman"/>
                      <w:color w:val="000000"/>
                    </w:rPr>
                    <w:t>900-002-07</w:t>
                  </w:r>
                </w:p>
              </w:tc>
              <w:tc>
                <w:tcPr>
                  <w:tcW w:w="0" w:type="auto"/>
                  <w:vAlign w:val="center"/>
                </w:tcPr>
                <w:p w14:paraId="5179DCC1">
                  <w:pPr>
                    <w:snapToGrid w:val="0"/>
                    <w:rPr>
                      <w:rFonts w:ascii="Times New Roman" w:hAnsi="Times New Roman" w:eastAsia="宋体" w:cs="Times New Roman"/>
                      <w:color w:val="000000"/>
                    </w:rPr>
                  </w:pPr>
                  <w:r>
                    <w:rPr>
                      <w:rFonts w:ascii="Times New Roman" w:hAnsi="Times New Roman" w:eastAsia="宋体" w:cs="Times New Roman"/>
                      <w:color w:val="000000"/>
                    </w:rPr>
                    <w:t>无机非金属工业生产行业废水处理产生的物化和生化污泥。</w:t>
                  </w:r>
                </w:p>
              </w:tc>
              <w:tc>
                <w:tcPr>
                  <w:tcW w:w="0" w:type="auto"/>
                  <w:vMerge w:val="restart"/>
                  <w:vAlign w:val="center"/>
                </w:tcPr>
                <w:p w14:paraId="2A06613D">
                  <w:pPr>
                    <w:snapToGrid w:val="0"/>
                    <w:rPr>
                      <w:rFonts w:ascii="Times New Roman" w:hAnsi="Times New Roman" w:eastAsia="宋体" w:cs="Times New Roman"/>
                      <w:color w:val="000000"/>
                    </w:rPr>
                  </w:pPr>
                  <w:r>
                    <w:rPr>
                      <w:rFonts w:ascii="Times New Roman" w:hAnsi="Times New Roman" w:eastAsia="宋体" w:cs="Times New Roman"/>
                      <w:color w:val="000000"/>
                    </w:rPr>
                    <w:t>本项目不接纳生化污泥</w:t>
                  </w:r>
                </w:p>
              </w:tc>
            </w:tr>
            <w:tr w14:paraId="3B47C5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113" w:hRule="atLeast"/>
                <w:jc w:val="center"/>
              </w:trPr>
              <w:tc>
                <w:tcPr>
                  <w:tcW w:w="0" w:type="auto"/>
                  <w:vMerge w:val="continue"/>
                  <w:vAlign w:val="center"/>
                </w:tcPr>
                <w:p w14:paraId="5F0007E7">
                  <w:pPr>
                    <w:snapToGrid w:val="0"/>
                    <w:rPr>
                      <w:rFonts w:ascii="Times New Roman" w:hAnsi="Times New Roman" w:eastAsia="宋体" w:cs="Times New Roman"/>
                      <w:color w:val="000000"/>
                    </w:rPr>
                  </w:pPr>
                </w:p>
              </w:tc>
              <w:tc>
                <w:tcPr>
                  <w:tcW w:w="0" w:type="auto"/>
                  <w:vMerge w:val="continue"/>
                  <w:vAlign w:val="center"/>
                </w:tcPr>
                <w:p w14:paraId="48231B45">
                  <w:pPr>
                    <w:snapToGrid w:val="0"/>
                    <w:rPr>
                      <w:rFonts w:ascii="Times New Roman" w:hAnsi="Times New Roman" w:eastAsia="宋体" w:cs="Times New Roman"/>
                      <w:color w:val="000000"/>
                    </w:rPr>
                  </w:pPr>
                </w:p>
              </w:tc>
              <w:tc>
                <w:tcPr>
                  <w:tcW w:w="0" w:type="auto"/>
                  <w:vAlign w:val="center"/>
                </w:tcPr>
                <w:p w14:paraId="2A12B7E9">
                  <w:pPr>
                    <w:snapToGrid w:val="0"/>
                    <w:rPr>
                      <w:rFonts w:ascii="Times New Roman" w:hAnsi="Times New Roman" w:eastAsia="宋体" w:cs="Times New Roman"/>
                      <w:color w:val="000000"/>
                    </w:rPr>
                  </w:pPr>
                  <w:r>
                    <w:rPr>
                      <w:rFonts w:ascii="Times New Roman" w:hAnsi="Times New Roman" w:eastAsia="宋体" w:cs="Times New Roman"/>
                      <w:color w:val="000000"/>
                    </w:rPr>
                    <w:t>900-099-07</w:t>
                  </w:r>
                </w:p>
              </w:tc>
              <w:tc>
                <w:tcPr>
                  <w:tcW w:w="0" w:type="auto"/>
                  <w:vAlign w:val="center"/>
                </w:tcPr>
                <w:p w14:paraId="01456942">
                  <w:pPr>
                    <w:snapToGrid w:val="0"/>
                    <w:rPr>
                      <w:rFonts w:ascii="Times New Roman" w:hAnsi="Times New Roman" w:eastAsia="宋体" w:cs="Times New Roman"/>
                      <w:color w:val="000000"/>
                    </w:rPr>
                  </w:pPr>
                  <w:r>
                    <w:rPr>
                      <w:rFonts w:ascii="Times New Roman" w:hAnsi="Times New Roman" w:eastAsia="宋体" w:cs="Times New Roman"/>
                      <w:color w:val="000000"/>
                    </w:rPr>
                    <w:t>其他行业产生的废水处理污泥。</w:t>
                  </w:r>
                </w:p>
              </w:tc>
              <w:tc>
                <w:tcPr>
                  <w:tcW w:w="0" w:type="auto"/>
                  <w:vMerge w:val="continue"/>
                  <w:vAlign w:val="center"/>
                </w:tcPr>
                <w:p w14:paraId="22946B22">
                  <w:pPr>
                    <w:snapToGrid w:val="0"/>
                    <w:rPr>
                      <w:rFonts w:ascii="Times New Roman" w:hAnsi="Times New Roman" w:eastAsia="宋体" w:cs="Times New Roman"/>
                      <w:color w:val="000000"/>
                    </w:rPr>
                  </w:pPr>
                </w:p>
              </w:tc>
            </w:tr>
          </w:tbl>
          <w:p w14:paraId="06AC3E2E">
            <w:pPr>
              <w:numPr>
                <w:ilvl w:val="255"/>
                <w:numId w:val="0"/>
              </w:numPr>
              <w:wordWrap w:val="0"/>
              <w:adjustRightInd w:val="0"/>
              <w:snapToGrid w:val="0"/>
              <w:spacing w:before="156" w:beforeLines="50" w:line="360" w:lineRule="auto"/>
              <w:ind w:firstLine="480" w:firstLineChars="200"/>
              <w:jc w:val="left"/>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根据遂宁市生态环境局固废中心调查，遂宁市无机污泥废物主要产生的单位有四川</w:t>
            </w:r>
            <w:r>
              <w:rPr>
                <w:rFonts w:ascii="Times New Roman" w:hAnsi="Times New Roman" w:eastAsia="宋体" w:cs="Times New Roman"/>
                <w:bCs/>
                <w:color w:val="000000" w:themeColor="text1"/>
                <w:sz w:val="24"/>
                <w:szCs w:val="24"/>
                <w14:textFill>
                  <w14:solidFill>
                    <w14:schemeClr w14:val="tx1"/>
                  </w14:solidFill>
                </w14:textFill>
              </w:rPr>
              <w:t>裕宁新能源材料有限公司（属磷酸铁制造行业）产生的污水处理无机污泥、四川东捷污水处理有限公司处理水基钻井废水过程产生的水基钻井污泥。同时本报告亦调查电子行业废水处理产生污泥（信利（仁寿）高端显示科技有限公司）。</w:t>
            </w:r>
          </w:p>
          <w:p w14:paraId="1759AFA9">
            <w:pPr>
              <w:numPr>
                <w:ilvl w:val="255"/>
                <w:numId w:val="0"/>
              </w:numPr>
              <w:wordWrap w:val="0"/>
              <w:adjustRightInd w:val="0"/>
              <w:snapToGrid w:val="0"/>
              <w:spacing w:before="156" w:beforeLines="50" w:line="360" w:lineRule="auto"/>
              <w:ind w:firstLine="480" w:firstLineChars="200"/>
              <w:jc w:val="left"/>
              <w:rPr>
                <w:rFonts w:ascii="Times New Roman" w:hAnsi="Times New Roman" w:eastAsia="宋体" w:cs="Times New Roman"/>
                <w:color w:val="000000"/>
                <w:sz w:val="24"/>
                <w:szCs w:val="24"/>
              </w:rPr>
            </w:pPr>
            <w:r>
              <w:rPr>
                <w:rFonts w:ascii="Times New Roman" w:hAnsi="Times New Roman" w:eastAsia="宋体" w:cs="Times New Roman"/>
                <w:bCs/>
                <w:color w:val="FF0000"/>
                <w:sz w:val="24"/>
                <w:szCs w:val="24"/>
              </w:rPr>
              <w:t>针对</w:t>
            </w:r>
            <w:r>
              <w:rPr>
                <w:rFonts w:hint="eastAsia" w:ascii="Times New Roman" w:hAnsi="Times New Roman" w:eastAsia="宋体" w:cs="Times New Roman"/>
                <w:bCs/>
                <w:color w:val="FF0000"/>
                <w:sz w:val="24"/>
                <w:szCs w:val="24"/>
              </w:rPr>
              <w:t>以上</w:t>
            </w:r>
            <w:r>
              <w:rPr>
                <w:rFonts w:ascii="Times New Roman" w:hAnsi="Times New Roman" w:eastAsia="宋体" w:cs="Times New Roman"/>
                <w:color w:val="FF0000"/>
                <w:sz w:val="24"/>
                <w:szCs w:val="24"/>
              </w:rPr>
              <w:t>无机污泥来源企业（裕宁、信利、东捷）</w:t>
            </w:r>
            <w:r>
              <w:rPr>
                <w:rFonts w:ascii="Times New Roman" w:hAnsi="Times New Roman" w:eastAsia="宋体" w:cs="Times New Roman"/>
                <w:color w:val="000000"/>
                <w:sz w:val="24"/>
                <w:szCs w:val="24"/>
              </w:rPr>
              <w:t>，根据对应企业项目环评报告公示本及遂宁市固体废物污染防治信息公告（2022年度），以上企业情况调查如下表。</w:t>
            </w:r>
          </w:p>
          <w:p w14:paraId="25949F08">
            <w:pPr>
              <w:adjustRightInd w:val="0"/>
              <w:snapToGrid w:val="0"/>
              <w:jc w:val="center"/>
              <w:rPr>
                <w:rFonts w:ascii="Times New Roman" w:hAnsi="Times New Roman" w:eastAsia="宋体" w:cs="Times New Roman"/>
                <w:b/>
                <w:color w:val="000000"/>
                <w:szCs w:val="24"/>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3</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无机工业污泥调查表</w:t>
            </w:r>
          </w:p>
          <w:tbl>
            <w:tblPr>
              <w:tblStyle w:val="2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3" w:type="dxa"/>
                <w:bottom w:w="0" w:type="dxa"/>
                <w:right w:w="23" w:type="dxa"/>
              </w:tblCellMar>
            </w:tblPr>
            <w:tblGrid>
              <w:gridCol w:w="2151"/>
              <w:gridCol w:w="1340"/>
              <w:gridCol w:w="2152"/>
              <w:gridCol w:w="709"/>
              <w:gridCol w:w="1461"/>
            </w:tblGrid>
            <w:tr w14:paraId="3D644F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113" w:hRule="atLeast"/>
                <w:tblHeader/>
                <w:jc w:val="center"/>
              </w:trPr>
              <w:tc>
                <w:tcPr>
                  <w:tcW w:w="0" w:type="auto"/>
                  <w:shd w:val="clear" w:color="auto" w:fill="auto"/>
                  <w:vAlign w:val="center"/>
                </w:tcPr>
                <w:p w14:paraId="5D9BD363">
                  <w:pPr>
                    <w:jc w:val="center"/>
                    <w:rPr>
                      <w:rFonts w:ascii="Times New Roman" w:hAnsi="Times New Roman" w:eastAsia="宋体" w:cs="Times New Roman"/>
                      <w:b/>
                      <w:color w:val="000000"/>
                      <w:szCs w:val="21"/>
                    </w:rPr>
                  </w:pPr>
                  <w:r>
                    <w:rPr>
                      <w:rFonts w:ascii="Times New Roman" w:hAnsi="Times New Roman" w:eastAsia="宋体" w:cs="Times New Roman"/>
                      <w:b/>
                      <w:color w:val="000000"/>
                      <w:szCs w:val="21"/>
                    </w:rPr>
                    <w:t>企业名称</w:t>
                  </w:r>
                </w:p>
              </w:tc>
              <w:tc>
                <w:tcPr>
                  <w:tcW w:w="0" w:type="auto"/>
                  <w:shd w:val="clear" w:color="auto" w:fill="auto"/>
                  <w:vAlign w:val="center"/>
                </w:tcPr>
                <w:p w14:paraId="40A13DA3">
                  <w:pPr>
                    <w:jc w:val="center"/>
                    <w:rPr>
                      <w:rFonts w:ascii="Times New Roman" w:hAnsi="Times New Roman" w:eastAsia="宋体" w:cs="Times New Roman"/>
                      <w:b/>
                      <w:color w:val="000000"/>
                      <w:szCs w:val="21"/>
                    </w:rPr>
                  </w:pPr>
                  <w:r>
                    <w:rPr>
                      <w:rFonts w:ascii="Times New Roman" w:hAnsi="Times New Roman" w:eastAsia="宋体" w:cs="Times New Roman"/>
                      <w:b/>
                      <w:color w:val="000000"/>
                      <w:szCs w:val="21"/>
                    </w:rPr>
                    <w:t>项目基本情况</w:t>
                  </w:r>
                </w:p>
              </w:tc>
              <w:tc>
                <w:tcPr>
                  <w:tcW w:w="0" w:type="auto"/>
                  <w:shd w:val="clear" w:color="auto" w:fill="auto"/>
                  <w:vAlign w:val="center"/>
                </w:tcPr>
                <w:p w14:paraId="7FEC015F">
                  <w:pPr>
                    <w:jc w:val="center"/>
                    <w:rPr>
                      <w:rFonts w:ascii="Times New Roman" w:hAnsi="Times New Roman" w:eastAsia="宋体" w:cs="Times New Roman"/>
                      <w:b/>
                      <w:color w:val="000000"/>
                      <w:szCs w:val="21"/>
                    </w:rPr>
                  </w:pPr>
                  <w:r>
                    <w:rPr>
                      <w:rFonts w:ascii="Times New Roman" w:hAnsi="Times New Roman" w:eastAsia="宋体" w:cs="Times New Roman"/>
                      <w:b/>
                      <w:color w:val="000000"/>
                      <w:szCs w:val="21"/>
                    </w:rPr>
                    <w:t>污泥来源</w:t>
                  </w:r>
                </w:p>
              </w:tc>
              <w:tc>
                <w:tcPr>
                  <w:tcW w:w="0" w:type="auto"/>
                  <w:shd w:val="clear" w:color="auto" w:fill="auto"/>
                  <w:vAlign w:val="center"/>
                </w:tcPr>
                <w:p w14:paraId="158A0F4F">
                  <w:pPr>
                    <w:jc w:val="center"/>
                    <w:rPr>
                      <w:rFonts w:ascii="Times New Roman" w:hAnsi="Times New Roman" w:eastAsia="宋体" w:cs="Times New Roman"/>
                      <w:b/>
                      <w:color w:val="000000"/>
                      <w:szCs w:val="21"/>
                    </w:rPr>
                  </w:pPr>
                  <w:r>
                    <w:rPr>
                      <w:rFonts w:ascii="Times New Roman" w:hAnsi="Times New Roman" w:eastAsia="宋体" w:cs="Times New Roman"/>
                      <w:b/>
                      <w:color w:val="000000"/>
                      <w:szCs w:val="21"/>
                    </w:rPr>
                    <w:t>主要成分</w:t>
                  </w:r>
                </w:p>
              </w:tc>
              <w:tc>
                <w:tcPr>
                  <w:tcW w:w="0" w:type="auto"/>
                  <w:shd w:val="clear" w:color="auto" w:fill="auto"/>
                  <w:vAlign w:val="center"/>
                </w:tcPr>
                <w:p w14:paraId="06460694">
                  <w:pPr>
                    <w:jc w:val="center"/>
                    <w:rPr>
                      <w:rFonts w:ascii="Times New Roman" w:hAnsi="Times New Roman" w:eastAsia="宋体" w:cs="Times New Roman"/>
                      <w:b/>
                      <w:color w:val="000000"/>
                      <w:szCs w:val="21"/>
                    </w:rPr>
                  </w:pPr>
                  <w:r>
                    <w:rPr>
                      <w:rFonts w:ascii="Times New Roman" w:hAnsi="Times New Roman" w:eastAsia="宋体" w:cs="Times New Roman"/>
                      <w:b/>
                      <w:color w:val="000000"/>
                      <w:szCs w:val="21"/>
                    </w:rPr>
                    <w:t>现有污泥去向</w:t>
                  </w:r>
                </w:p>
              </w:tc>
            </w:tr>
            <w:tr w14:paraId="25D048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113" w:hRule="atLeast"/>
                <w:jc w:val="center"/>
              </w:trPr>
              <w:tc>
                <w:tcPr>
                  <w:tcW w:w="0" w:type="auto"/>
                  <w:vAlign w:val="center"/>
                </w:tcPr>
                <w:p w14:paraId="756FD40F">
                  <w:pPr>
                    <w:snapToGrid w:val="0"/>
                    <w:rPr>
                      <w:rFonts w:ascii="Times New Roman" w:hAnsi="Times New Roman" w:eastAsia="宋体" w:cs="Times New Roman"/>
                      <w:color w:val="000000"/>
                      <w:szCs w:val="21"/>
                    </w:rPr>
                  </w:pPr>
                  <w:r>
                    <w:rPr>
                      <w:rFonts w:ascii="Times New Roman" w:hAnsi="Times New Roman" w:eastAsia="宋体" w:cs="Times New Roman"/>
                      <w:color w:val="000000"/>
                      <w:szCs w:val="21"/>
                    </w:rPr>
                    <w:t>四川</w:t>
                  </w:r>
                  <w:r>
                    <w:rPr>
                      <w:rFonts w:ascii="Times New Roman" w:hAnsi="Times New Roman" w:eastAsia="宋体" w:cs="Times New Roman"/>
                      <w:bCs/>
                      <w:color w:val="000000" w:themeColor="text1"/>
                      <w:szCs w:val="21"/>
                      <w14:textFill>
                        <w14:solidFill>
                          <w14:schemeClr w14:val="tx1"/>
                        </w14:solidFill>
                      </w14:textFill>
                    </w:rPr>
                    <w:t>裕宁新能源材料有限公司</w:t>
                  </w:r>
                </w:p>
              </w:tc>
              <w:tc>
                <w:tcPr>
                  <w:tcW w:w="0" w:type="auto"/>
                  <w:vAlign w:val="center"/>
                </w:tcPr>
                <w:p w14:paraId="0CF6B5C6">
                  <w:pPr>
                    <w:snapToGrid w:val="0"/>
                    <w:rPr>
                      <w:rFonts w:ascii="Times New Roman" w:hAnsi="Times New Roman" w:eastAsia="宋体" w:cs="Times New Roman"/>
                      <w:color w:val="000000"/>
                      <w:szCs w:val="21"/>
                    </w:rPr>
                  </w:pPr>
                  <w:r>
                    <w:rPr>
                      <w:rFonts w:ascii="Times New Roman" w:hAnsi="Times New Roman" w:eastAsia="宋体" w:cs="Times New Roman"/>
                      <w:color w:val="000000"/>
                      <w:szCs w:val="21"/>
                    </w:rPr>
                    <w:t>从事电池级磷酸铁生产</w:t>
                  </w:r>
                </w:p>
              </w:tc>
              <w:tc>
                <w:tcPr>
                  <w:tcW w:w="0" w:type="auto"/>
                  <w:vAlign w:val="center"/>
                </w:tcPr>
                <w:p w14:paraId="2F98F867">
                  <w:pPr>
                    <w:snapToGrid w:val="0"/>
                    <w:rPr>
                      <w:rFonts w:ascii="Times New Roman" w:hAnsi="Times New Roman" w:eastAsia="宋体" w:cs="Times New Roman"/>
                      <w:color w:val="000000"/>
                      <w:szCs w:val="21"/>
                    </w:rPr>
                  </w:pPr>
                  <w:r>
                    <w:rPr>
                      <w:rFonts w:ascii="Times New Roman" w:hAnsi="Times New Roman" w:eastAsia="宋体" w:cs="Times New Roman"/>
                      <w:color w:val="000000"/>
                      <w:szCs w:val="21"/>
                    </w:rPr>
                    <w:t>厂区废水站物化处理产生的压滤污泥</w:t>
                  </w:r>
                </w:p>
              </w:tc>
              <w:tc>
                <w:tcPr>
                  <w:tcW w:w="0" w:type="auto"/>
                  <w:vAlign w:val="center"/>
                </w:tcPr>
                <w:p w14:paraId="26562755">
                  <w:pPr>
                    <w:snapToGrid w:val="0"/>
                    <w:rPr>
                      <w:rFonts w:ascii="Times New Roman" w:hAnsi="Times New Roman" w:eastAsia="宋体" w:cs="Times New Roman"/>
                      <w:color w:val="000000"/>
                      <w:szCs w:val="21"/>
                    </w:rPr>
                  </w:pPr>
                  <w:r>
                    <w:rPr>
                      <w:rFonts w:ascii="Times New Roman" w:hAnsi="Times New Roman" w:eastAsia="宋体" w:cs="Times New Roman"/>
                      <w:color w:val="000000"/>
                      <w:szCs w:val="21"/>
                    </w:rPr>
                    <w:t>硫酸钙</w:t>
                  </w:r>
                </w:p>
              </w:tc>
              <w:tc>
                <w:tcPr>
                  <w:tcW w:w="0" w:type="auto"/>
                  <w:vAlign w:val="center"/>
                </w:tcPr>
                <w:p w14:paraId="7C741091">
                  <w:pPr>
                    <w:snapToGrid w:val="0"/>
                    <w:rPr>
                      <w:rFonts w:ascii="Times New Roman" w:hAnsi="Times New Roman" w:eastAsia="宋体" w:cs="Times New Roman"/>
                      <w:szCs w:val="21"/>
                    </w:rPr>
                  </w:pPr>
                  <w:r>
                    <w:rPr>
                      <w:rFonts w:ascii="Times New Roman" w:hAnsi="Times New Roman" w:eastAsia="宋体" w:cs="Times New Roman"/>
                      <w:szCs w:val="21"/>
                    </w:rPr>
                    <w:t>水泥厂或砖厂</w:t>
                  </w:r>
                </w:p>
              </w:tc>
            </w:tr>
            <w:tr w14:paraId="0894E5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113" w:hRule="atLeast"/>
                <w:jc w:val="center"/>
              </w:trPr>
              <w:tc>
                <w:tcPr>
                  <w:tcW w:w="0" w:type="auto"/>
                  <w:vAlign w:val="center"/>
                </w:tcPr>
                <w:p w14:paraId="04A36C8A">
                  <w:pPr>
                    <w:snapToGrid w:val="0"/>
                    <w:rPr>
                      <w:rFonts w:ascii="Times New Roman" w:hAnsi="Times New Roman" w:eastAsia="宋体" w:cs="Times New Roman"/>
                      <w:color w:val="000000"/>
                      <w:szCs w:val="21"/>
                    </w:rPr>
                  </w:pPr>
                  <w:r>
                    <w:rPr>
                      <w:rFonts w:ascii="Times New Roman" w:hAnsi="Times New Roman" w:eastAsia="宋体" w:cs="Times New Roman"/>
                      <w:bCs/>
                      <w:color w:val="000000" w:themeColor="text1"/>
                      <w:szCs w:val="21"/>
                      <w14:textFill>
                        <w14:solidFill>
                          <w14:schemeClr w14:val="tx1"/>
                        </w14:solidFill>
                      </w14:textFill>
                    </w:rPr>
                    <w:t>信利（仁寿）高端显示科技有限公司</w:t>
                  </w:r>
                </w:p>
              </w:tc>
              <w:tc>
                <w:tcPr>
                  <w:tcW w:w="0" w:type="auto"/>
                  <w:vAlign w:val="center"/>
                </w:tcPr>
                <w:p w14:paraId="58EE3D9D">
                  <w:pPr>
                    <w:snapToGrid w:val="0"/>
                    <w:rPr>
                      <w:rFonts w:ascii="Times New Roman" w:hAnsi="Times New Roman" w:eastAsia="宋体" w:cs="Times New Roman"/>
                      <w:color w:val="000000"/>
                      <w:szCs w:val="21"/>
                    </w:rPr>
                  </w:pPr>
                  <w:r>
                    <w:rPr>
                      <w:rFonts w:ascii="Times New Roman" w:hAnsi="Times New Roman" w:eastAsia="宋体" w:cs="Times New Roman"/>
                      <w:color w:val="000000"/>
                      <w:szCs w:val="21"/>
                    </w:rPr>
                    <w:t>从事显示器生产</w:t>
                  </w:r>
                </w:p>
              </w:tc>
              <w:tc>
                <w:tcPr>
                  <w:tcW w:w="0" w:type="auto"/>
                  <w:vAlign w:val="center"/>
                </w:tcPr>
                <w:p w14:paraId="2C1D154B">
                  <w:pPr>
                    <w:snapToGrid w:val="0"/>
                    <w:rPr>
                      <w:rFonts w:ascii="Times New Roman" w:hAnsi="Times New Roman" w:eastAsia="宋体" w:cs="Times New Roman"/>
                      <w:color w:val="000000"/>
                      <w:szCs w:val="21"/>
                    </w:rPr>
                  </w:pPr>
                  <w:r>
                    <w:rPr>
                      <w:rFonts w:ascii="Times New Roman" w:hAnsi="Times New Roman" w:eastAsia="宋体" w:cs="Times New Roman"/>
                      <w:color w:val="000000"/>
                      <w:szCs w:val="21"/>
                    </w:rPr>
                    <w:t>含氟废水处理污泥。</w:t>
                  </w:r>
                </w:p>
              </w:tc>
              <w:tc>
                <w:tcPr>
                  <w:tcW w:w="0" w:type="auto"/>
                  <w:vAlign w:val="center"/>
                </w:tcPr>
                <w:p w14:paraId="5778BFFC">
                  <w:pPr>
                    <w:snapToGrid w:val="0"/>
                    <w:rPr>
                      <w:rFonts w:ascii="Times New Roman" w:hAnsi="Times New Roman" w:eastAsia="宋体" w:cs="Times New Roman"/>
                      <w:color w:val="000000"/>
                      <w:szCs w:val="21"/>
                    </w:rPr>
                  </w:pPr>
                  <w:r>
                    <w:rPr>
                      <w:rFonts w:ascii="Times New Roman" w:hAnsi="Times New Roman" w:eastAsia="宋体" w:cs="Times New Roman"/>
                      <w:color w:val="000000"/>
                      <w:szCs w:val="21"/>
                    </w:rPr>
                    <w:t>CaF</w:t>
                  </w:r>
                  <w:r>
                    <w:rPr>
                      <w:rFonts w:ascii="Times New Roman" w:hAnsi="Times New Roman" w:eastAsia="宋体" w:cs="Times New Roman"/>
                      <w:color w:val="000000"/>
                      <w:szCs w:val="21"/>
                      <w:vertAlign w:val="subscript"/>
                    </w:rPr>
                    <w:t>2</w:t>
                  </w:r>
                </w:p>
              </w:tc>
              <w:tc>
                <w:tcPr>
                  <w:tcW w:w="0" w:type="auto"/>
                  <w:vAlign w:val="center"/>
                </w:tcPr>
                <w:p w14:paraId="6D203324">
                  <w:pPr>
                    <w:snapToGrid w:val="0"/>
                    <w:rPr>
                      <w:rFonts w:ascii="Times New Roman" w:hAnsi="Times New Roman" w:eastAsia="宋体" w:cs="Times New Roman"/>
                      <w:color w:val="000000"/>
                      <w:szCs w:val="21"/>
                    </w:rPr>
                  </w:pPr>
                  <w:r>
                    <w:rPr>
                      <w:rFonts w:ascii="Times New Roman" w:hAnsi="Times New Roman" w:eastAsia="宋体" w:cs="Times New Roman"/>
                      <w:color w:val="000000"/>
                      <w:szCs w:val="21"/>
                    </w:rPr>
                    <w:t>交一般固废协同处置单位</w:t>
                  </w:r>
                </w:p>
              </w:tc>
            </w:tr>
            <w:tr w14:paraId="5FC5DF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113" w:hRule="atLeast"/>
                <w:jc w:val="center"/>
              </w:trPr>
              <w:tc>
                <w:tcPr>
                  <w:tcW w:w="0" w:type="auto"/>
                  <w:vAlign w:val="center"/>
                </w:tcPr>
                <w:p w14:paraId="43915246">
                  <w:pPr>
                    <w:snapToGrid w:val="0"/>
                    <w:rPr>
                      <w:rFonts w:ascii="Times New Roman" w:hAnsi="Times New Roman" w:eastAsia="宋体" w:cs="Times New Roman"/>
                      <w:color w:val="000000"/>
                      <w:szCs w:val="21"/>
                    </w:rPr>
                  </w:pPr>
                  <w:r>
                    <w:rPr>
                      <w:rFonts w:ascii="Times New Roman" w:hAnsi="Times New Roman" w:eastAsia="宋体" w:cs="Times New Roman"/>
                      <w:bCs/>
                      <w:color w:val="000000" w:themeColor="text1"/>
                      <w:szCs w:val="21"/>
                      <w14:textFill>
                        <w14:solidFill>
                          <w14:schemeClr w14:val="tx1"/>
                        </w14:solidFill>
                      </w14:textFill>
                    </w:rPr>
                    <w:t>四川东捷污水处理有限公司</w:t>
                  </w:r>
                </w:p>
              </w:tc>
              <w:tc>
                <w:tcPr>
                  <w:tcW w:w="0" w:type="auto"/>
                  <w:vAlign w:val="center"/>
                </w:tcPr>
                <w:p w14:paraId="1BF8BCC9">
                  <w:pPr>
                    <w:snapToGrid w:val="0"/>
                    <w:rPr>
                      <w:rFonts w:ascii="Times New Roman" w:hAnsi="Times New Roman" w:eastAsia="宋体" w:cs="Times New Roman"/>
                      <w:color w:val="000000"/>
                      <w:szCs w:val="21"/>
                    </w:rPr>
                  </w:pPr>
                  <w:r>
                    <w:rPr>
                      <w:rFonts w:ascii="Times New Roman" w:hAnsi="Times New Roman" w:eastAsia="宋体" w:cs="Times New Roman"/>
                      <w:color w:val="000000"/>
                      <w:szCs w:val="21"/>
                    </w:rPr>
                    <w:t>从事水基钻井废水处理</w:t>
                  </w:r>
                </w:p>
              </w:tc>
              <w:tc>
                <w:tcPr>
                  <w:tcW w:w="0" w:type="auto"/>
                  <w:vAlign w:val="center"/>
                </w:tcPr>
                <w:p w14:paraId="5262AA0E">
                  <w:pPr>
                    <w:snapToGrid w:val="0"/>
                    <w:rPr>
                      <w:rFonts w:ascii="Times New Roman" w:hAnsi="Times New Roman" w:eastAsia="宋体" w:cs="Times New Roman"/>
                      <w:color w:val="000000"/>
                      <w:szCs w:val="21"/>
                    </w:rPr>
                  </w:pPr>
                  <w:r>
                    <w:rPr>
                      <w:rFonts w:ascii="Times New Roman" w:hAnsi="Times New Roman" w:eastAsia="宋体" w:cs="Times New Roman"/>
                      <w:color w:val="000000"/>
                      <w:szCs w:val="21"/>
                    </w:rPr>
                    <w:t>污水处理产生的污泥。</w:t>
                  </w:r>
                </w:p>
              </w:tc>
              <w:tc>
                <w:tcPr>
                  <w:tcW w:w="0" w:type="auto"/>
                  <w:vAlign w:val="center"/>
                </w:tcPr>
                <w:p w14:paraId="3E398996">
                  <w:pPr>
                    <w:snapToGrid w:val="0"/>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c>
                <w:tcPr>
                  <w:tcW w:w="0" w:type="auto"/>
                  <w:vAlign w:val="center"/>
                </w:tcPr>
                <w:p w14:paraId="0EB7CFFA">
                  <w:pPr>
                    <w:snapToGrid w:val="0"/>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r>
          </w:tbl>
          <w:p w14:paraId="3653675B">
            <w:pPr>
              <w:numPr>
                <w:ilvl w:val="255"/>
                <w:numId w:val="0"/>
              </w:numPr>
              <w:adjustRightInd w:val="0"/>
              <w:snapToGrid w:val="0"/>
              <w:spacing w:before="156" w:beforeLines="50" w:line="360" w:lineRule="auto"/>
              <w:ind w:firstLine="480" w:firstLineChars="200"/>
              <w:rPr>
                <w:rFonts w:ascii="Times New Roman" w:hAnsi="Times New Roman" w:eastAsia="宋体" w:cs="Times New Roman"/>
                <w:b/>
                <w:color w:val="000000"/>
                <w:szCs w:val="24"/>
              </w:rPr>
            </w:pPr>
            <w:r>
              <w:rPr>
                <w:rFonts w:ascii="Times New Roman" w:hAnsi="Times New Roman" w:eastAsia="宋体" w:cs="Times New Roman"/>
                <w:color w:val="000000"/>
                <w:sz w:val="24"/>
                <w:szCs w:val="24"/>
              </w:rPr>
              <w:t>综上，根据《固体废物分类目录（征求意见稿）》（环办便函[2022]221号）及遂宁市无机污泥主要产废单位调查，</w:t>
            </w:r>
            <w:r>
              <w:rPr>
                <w:rFonts w:ascii="Times New Roman" w:hAnsi="Times New Roman" w:eastAsia="宋体" w:cs="Times New Roman"/>
                <w:b/>
                <w:color w:val="FF0000"/>
                <w:sz w:val="24"/>
                <w:szCs w:val="24"/>
              </w:rPr>
              <w:t>项目无机污泥污泥来自遂宁市自来水生产沉淀池和滤池反冲洗排泥水经沉淀后形成的污泥（本项目接纳自来水生产的污泥）、四川裕宁新能源材料有限公司、信利（仁寿）高端显示科技有限公司、四川东捷污水处理有限公司（以下分别简称“自来水生产”、“裕宁”、“信利”、“东捷”）</w:t>
            </w:r>
            <w:r>
              <w:rPr>
                <w:rFonts w:ascii="Times New Roman" w:hAnsi="Times New Roman" w:eastAsia="宋体" w:cs="Times New Roman"/>
                <w:color w:val="000000"/>
                <w:sz w:val="24"/>
                <w:szCs w:val="24"/>
              </w:rPr>
              <w:t>。</w:t>
            </w:r>
          </w:p>
          <w:p w14:paraId="0C3D41EC">
            <w:pPr>
              <w:numPr>
                <w:ilvl w:val="0"/>
                <w:numId w:val="4"/>
              </w:numPr>
              <w:adjustRightInd w:val="0"/>
              <w:snapToGrid w:val="0"/>
              <w:spacing w:line="360" w:lineRule="auto"/>
              <w:ind w:firstLine="482" w:firstLineChars="200"/>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无机工业污泥掺烧</w:t>
            </w:r>
          </w:p>
          <w:p w14:paraId="04A6D777">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经调研，目前国内大量无机工业废水无机污泥均采用外运作为烧结砖原料的方式实现资源化利用，该类砖的质量已得到市场认可，案例如下：</w:t>
            </w:r>
          </w:p>
          <w:p w14:paraId="4E894F30">
            <w:pPr>
              <w:adjustRightInd w:val="0"/>
              <w:snapToGrid w:val="0"/>
              <w:jc w:val="center"/>
              <w:rPr>
                <w:rFonts w:ascii="Times New Roman" w:hAnsi="Times New Roman" w:eastAsia="宋体" w:cs="Times New Roman"/>
                <w:color w:val="000000"/>
                <w:sz w:val="24"/>
                <w:szCs w:val="24"/>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4</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无机工业污泥制砖案例</w:t>
            </w:r>
          </w:p>
          <w:tbl>
            <w:tblPr>
              <w:tblStyle w:val="24"/>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3" w:type="dxa"/>
                <w:bottom w:w="0" w:type="dxa"/>
                <w:right w:w="23" w:type="dxa"/>
              </w:tblCellMar>
            </w:tblPr>
            <w:tblGrid>
              <w:gridCol w:w="1949"/>
              <w:gridCol w:w="3907"/>
              <w:gridCol w:w="1954"/>
            </w:tblGrid>
            <w:tr w14:paraId="0D8F95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113" w:hRule="atLeast"/>
                <w:tblHeader/>
                <w:jc w:val="center"/>
              </w:trPr>
              <w:tc>
                <w:tcPr>
                  <w:tcW w:w="1248" w:type="pct"/>
                  <w:shd w:val="clear" w:color="auto" w:fill="auto"/>
                  <w:vAlign w:val="center"/>
                </w:tcPr>
                <w:p w14:paraId="346C9643">
                  <w:pPr>
                    <w:jc w:val="center"/>
                    <w:rPr>
                      <w:rFonts w:ascii="Times New Roman" w:hAnsi="Times New Roman" w:eastAsia="宋体" w:cs="Times New Roman"/>
                      <w:b/>
                      <w:color w:val="000000"/>
                    </w:rPr>
                  </w:pPr>
                  <w:r>
                    <w:rPr>
                      <w:rFonts w:ascii="Times New Roman" w:hAnsi="Times New Roman" w:eastAsia="宋体" w:cs="Times New Roman"/>
                      <w:b/>
                      <w:color w:val="000000"/>
                    </w:rPr>
                    <w:t>项目名称</w:t>
                  </w:r>
                </w:p>
              </w:tc>
              <w:tc>
                <w:tcPr>
                  <w:tcW w:w="2501" w:type="pct"/>
                  <w:shd w:val="clear" w:color="auto" w:fill="auto"/>
                  <w:vAlign w:val="center"/>
                </w:tcPr>
                <w:p w14:paraId="68BB3B55">
                  <w:pPr>
                    <w:jc w:val="center"/>
                    <w:rPr>
                      <w:rFonts w:ascii="Times New Roman" w:hAnsi="Times New Roman" w:eastAsia="宋体" w:cs="Times New Roman"/>
                      <w:b/>
                      <w:color w:val="000000"/>
                    </w:rPr>
                  </w:pPr>
                  <w:r>
                    <w:rPr>
                      <w:rFonts w:ascii="Times New Roman" w:hAnsi="Times New Roman" w:eastAsia="宋体" w:cs="Times New Roman"/>
                      <w:b/>
                      <w:color w:val="000000"/>
                    </w:rPr>
                    <w:t>概况</w:t>
                  </w:r>
                </w:p>
              </w:tc>
              <w:tc>
                <w:tcPr>
                  <w:tcW w:w="1251" w:type="pct"/>
                  <w:shd w:val="clear" w:color="auto" w:fill="auto"/>
                  <w:vAlign w:val="center"/>
                </w:tcPr>
                <w:p w14:paraId="501A9348">
                  <w:pPr>
                    <w:jc w:val="center"/>
                    <w:rPr>
                      <w:rFonts w:ascii="Times New Roman" w:hAnsi="Times New Roman" w:eastAsia="宋体" w:cs="Times New Roman"/>
                      <w:b/>
                      <w:color w:val="000000"/>
                    </w:rPr>
                  </w:pPr>
                  <w:r>
                    <w:rPr>
                      <w:rFonts w:ascii="Times New Roman" w:hAnsi="Times New Roman" w:eastAsia="宋体" w:cs="Times New Roman"/>
                      <w:b/>
                      <w:color w:val="000000"/>
                    </w:rPr>
                    <w:t>处理能力</w:t>
                  </w:r>
                </w:p>
              </w:tc>
            </w:tr>
            <w:tr w14:paraId="11946D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113" w:hRule="atLeast"/>
                <w:jc w:val="center"/>
              </w:trPr>
              <w:tc>
                <w:tcPr>
                  <w:tcW w:w="1248" w:type="pct"/>
                  <w:vAlign w:val="center"/>
                </w:tcPr>
                <w:p w14:paraId="31EE2994">
                  <w:pPr>
                    <w:snapToGrid w:val="0"/>
                    <w:rPr>
                      <w:rFonts w:ascii="Times New Roman" w:hAnsi="Times New Roman" w:eastAsia="宋体" w:cs="Times New Roman"/>
                      <w:color w:val="000000"/>
                    </w:rPr>
                  </w:pPr>
                  <w:r>
                    <w:rPr>
                      <w:rFonts w:ascii="Times New Roman" w:hAnsi="Times New Roman" w:eastAsia="宋体" w:cs="Times New Roman"/>
                      <w:color w:val="000000"/>
                    </w:rPr>
                    <w:t>青神县瑞峰镇报恩寺机砖厂</w:t>
                  </w:r>
                </w:p>
              </w:tc>
              <w:tc>
                <w:tcPr>
                  <w:tcW w:w="2501" w:type="pct"/>
                  <w:vAlign w:val="center"/>
                </w:tcPr>
                <w:p w14:paraId="458F3103">
                  <w:pPr>
                    <w:snapToGrid w:val="0"/>
                    <w:rPr>
                      <w:rFonts w:ascii="Times New Roman" w:hAnsi="Times New Roman" w:eastAsia="宋体" w:cs="Times New Roman"/>
                      <w:color w:val="000000"/>
                    </w:rPr>
                  </w:pPr>
                  <w:r>
                    <w:rPr>
                      <w:rFonts w:ascii="Times New Roman" w:hAnsi="Times New Roman" w:eastAsia="宋体" w:cs="Times New Roman"/>
                      <w:color w:val="000000"/>
                    </w:rPr>
                    <w:t>占地面积25亩，日产页岩砖40万匹/日，氟化钙污泥为制砖辅料加入，主要是替代煤矸石。使用通威生化污泥8400t/a（按含水率80%计算重量），干化后为5964 t/a，调配方占比为1.296%。制砖工序分为破碎、筛分、搅拌、制坯、烘干、焙烧和成品等生产工序。氟化钙污泥加入砖中已加入砖厂技改环评中。对氟化物治理措施：通过湿砖坯吸附、过滤及双碱法脱硫除尘系统处理后，其处理效率按80%计，则排放氟化物0.147t/a，浓度为0.16mg/m³，其排放浓度达到《砖瓦工业大气污染物排放标准》（GB29620-2013）中的要求（氟化物≤3mg/m³）</w:t>
                  </w:r>
                </w:p>
              </w:tc>
              <w:tc>
                <w:tcPr>
                  <w:tcW w:w="1251" w:type="pct"/>
                  <w:vAlign w:val="center"/>
                </w:tcPr>
                <w:p w14:paraId="0D330BFB">
                  <w:pPr>
                    <w:snapToGrid w:val="0"/>
                    <w:rPr>
                      <w:rFonts w:ascii="Times New Roman" w:hAnsi="Times New Roman" w:eastAsia="宋体" w:cs="Times New Roman"/>
                      <w:color w:val="000000"/>
                    </w:rPr>
                  </w:pPr>
                  <w:r>
                    <w:rPr>
                      <w:rFonts w:ascii="Times New Roman" w:hAnsi="Times New Roman" w:eastAsia="宋体" w:cs="Times New Roman"/>
                      <w:color w:val="000000"/>
                    </w:rPr>
                    <w:t>批复处理通威公司氟化钙污泥能力约36200吨/年，约3000吨/月。目前已接受通威公司氟化钙污泥约6000吨/年，尚有余量约30200吨/年、2516吨/月。</w:t>
                  </w:r>
                </w:p>
              </w:tc>
            </w:tr>
            <w:tr w14:paraId="6FF2F4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113" w:hRule="atLeast"/>
                <w:jc w:val="center"/>
              </w:trPr>
              <w:tc>
                <w:tcPr>
                  <w:tcW w:w="1248" w:type="pct"/>
                  <w:vAlign w:val="center"/>
                </w:tcPr>
                <w:p w14:paraId="17BE3106">
                  <w:pPr>
                    <w:snapToGrid w:val="0"/>
                    <w:rPr>
                      <w:rFonts w:ascii="Times New Roman" w:hAnsi="Times New Roman" w:eastAsia="宋体" w:cs="Times New Roman"/>
                      <w:color w:val="000000"/>
                    </w:rPr>
                  </w:pPr>
                  <w:r>
                    <w:rPr>
                      <w:rFonts w:ascii="Times New Roman" w:hAnsi="Times New Roman" w:eastAsia="宋体" w:cs="Times New Roman"/>
                      <w:color w:val="000000"/>
                    </w:rPr>
                    <w:t>年产6000万块烧结空心砖生产线原料技改项目</w:t>
                  </w:r>
                </w:p>
              </w:tc>
              <w:tc>
                <w:tcPr>
                  <w:tcW w:w="2501" w:type="pct"/>
                  <w:vAlign w:val="center"/>
                </w:tcPr>
                <w:p w14:paraId="36D97133">
                  <w:pPr>
                    <w:snapToGrid w:val="0"/>
                    <w:rPr>
                      <w:rFonts w:ascii="Times New Roman" w:hAnsi="Times New Roman" w:eastAsia="宋体" w:cs="Times New Roman"/>
                      <w:color w:val="000000"/>
                      <w:vertAlign w:val="subscript"/>
                    </w:rPr>
                  </w:pPr>
                  <w:r>
                    <w:rPr>
                      <w:rFonts w:ascii="Times New Roman" w:hAnsi="Times New Roman" w:eastAsia="宋体" w:cs="Times New Roman"/>
                      <w:color w:val="000000"/>
                    </w:rPr>
                    <w:t>项目掺烧主要成分为SiO</w:t>
                  </w:r>
                  <w:r>
                    <w:rPr>
                      <w:rFonts w:ascii="Times New Roman" w:hAnsi="Times New Roman" w:eastAsia="宋体" w:cs="Times New Roman"/>
                      <w:color w:val="000000"/>
                      <w:vertAlign w:val="subscript"/>
                    </w:rPr>
                    <w:t>2</w:t>
                  </w:r>
                  <w:r>
                    <w:rPr>
                      <w:rFonts w:ascii="Times New Roman" w:hAnsi="Times New Roman" w:eastAsia="宋体" w:cs="Times New Roman"/>
                      <w:color w:val="000000"/>
                    </w:rPr>
                    <w:t>、Al</w:t>
                  </w:r>
                  <w:r>
                    <w:rPr>
                      <w:rFonts w:ascii="Times New Roman" w:hAnsi="Times New Roman" w:eastAsia="宋体" w:cs="Times New Roman"/>
                      <w:color w:val="000000"/>
                      <w:vertAlign w:val="subscript"/>
                    </w:rPr>
                    <w:t>2</w:t>
                  </w:r>
                  <w:r>
                    <w:rPr>
                      <w:rFonts w:ascii="Times New Roman" w:hAnsi="Times New Roman" w:eastAsia="宋体" w:cs="Times New Roman"/>
                      <w:color w:val="000000"/>
                    </w:rPr>
                    <w:t>O</w:t>
                  </w:r>
                  <w:r>
                    <w:rPr>
                      <w:rFonts w:ascii="Times New Roman" w:hAnsi="Times New Roman" w:eastAsia="宋体" w:cs="Times New Roman"/>
                      <w:color w:val="000000"/>
                      <w:vertAlign w:val="subscript"/>
                    </w:rPr>
                    <w:t>3</w:t>
                  </w:r>
                  <w:r>
                    <w:rPr>
                      <w:rFonts w:ascii="Times New Roman" w:hAnsi="Times New Roman" w:eastAsia="宋体" w:cs="Times New Roman"/>
                      <w:color w:val="000000"/>
                    </w:rPr>
                    <w:t>、Na</w:t>
                  </w:r>
                  <w:r>
                    <w:rPr>
                      <w:rFonts w:ascii="Times New Roman" w:hAnsi="Times New Roman" w:eastAsia="宋体" w:cs="Times New Roman"/>
                      <w:color w:val="000000"/>
                      <w:vertAlign w:val="subscript"/>
                    </w:rPr>
                    <w:t>2</w:t>
                  </w:r>
                  <w:r>
                    <w:rPr>
                      <w:rFonts w:ascii="Times New Roman" w:hAnsi="Times New Roman" w:eastAsia="宋体" w:cs="Times New Roman"/>
                      <w:color w:val="000000"/>
                    </w:rPr>
                    <w:t>O的过滤污泥（一般固废，来自中石化催化剂有限公司长岭分公司），并掺烧污水处理厂污泥。生产烧结空心砖。</w:t>
                  </w:r>
                </w:p>
              </w:tc>
              <w:tc>
                <w:tcPr>
                  <w:tcW w:w="1251" w:type="pct"/>
                  <w:vAlign w:val="center"/>
                </w:tcPr>
                <w:p w14:paraId="1CFE25A8">
                  <w:pPr>
                    <w:snapToGrid w:val="0"/>
                    <w:rPr>
                      <w:rFonts w:ascii="Times New Roman" w:hAnsi="Times New Roman" w:eastAsia="宋体" w:cs="Times New Roman"/>
                      <w:color w:val="000000"/>
                    </w:rPr>
                  </w:pPr>
                  <w:r>
                    <w:rPr>
                      <w:rFonts w:ascii="Times New Roman" w:hAnsi="Times New Roman" w:eastAsia="宋体" w:cs="Times New Roman"/>
                      <w:color w:val="000000"/>
                    </w:rPr>
                    <w:t>年处理过滤污泥2000t。</w:t>
                  </w:r>
                </w:p>
              </w:tc>
            </w:tr>
            <w:tr w14:paraId="5DFB67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113" w:hRule="atLeast"/>
                <w:jc w:val="center"/>
              </w:trPr>
              <w:tc>
                <w:tcPr>
                  <w:tcW w:w="1248" w:type="pct"/>
                  <w:vAlign w:val="center"/>
                </w:tcPr>
                <w:p w14:paraId="19FD8F39">
                  <w:pPr>
                    <w:snapToGrid w:val="0"/>
                    <w:rPr>
                      <w:rFonts w:ascii="Times New Roman" w:hAnsi="Times New Roman" w:eastAsia="宋体" w:cs="Times New Roman"/>
                      <w:color w:val="000000"/>
                    </w:rPr>
                  </w:pPr>
                  <w:r>
                    <w:rPr>
                      <w:rFonts w:ascii="Times New Roman" w:hAnsi="Times New Roman" w:eastAsia="宋体" w:cs="Times New Roman"/>
                      <w:color w:val="000000"/>
                    </w:rPr>
                    <w:t>普宁市楚君环保科技有限公司年产6500万块新型烧结砖建设项目</w:t>
                  </w:r>
                </w:p>
              </w:tc>
              <w:tc>
                <w:tcPr>
                  <w:tcW w:w="2501" w:type="pct"/>
                  <w:vAlign w:val="center"/>
                </w:tcPr>
                <w:p w14:paraId="7419E95F">
                  <w:pPr>
                    <w:snapToGrid w:val="0"/>
                    <w:rPr>
                      <w:rFonts w:ascii="Times New Roman" w:hAnsi="Times New Roman" w:eastAsia="宋体" w:cs="Times New Roman"/>
                      <w:color w:val="000000"/>
                    </w:rPr>
                  </w:pPr>
                  <w:r>
                    <w:rPr>
                      <w:rFonts w:ascii="Times New Roman" w:hAnsi="Times New Roman" w:eastAsia="宋体" w:cs="Times New Roman"/>
                      <w:color w:val="000000"/>
                    </w:rPr>
                    <w:t>项目以石板泥、洗沙泥、粉煤灰、锯末为原料制作烧结砖。</w:t>
                  </w:r>
                </w:p>
              </w:tc>
              <w:tc>
                <w:tcPr>
                  <w:tcW w:w="1251" w:type="pct"/>
                  <w:vAlign w:val="center"/>
                </w:tcPr>
                <w:p w14:paraId="3FE23C60">
                  <w:pPr>
                    <w:snapToGrid w:val="0"/>
                    <w:rPr>
                      <w:rFonts w:ascii="Times New Roman" w:hAnsi="Times New Roman" w:eastAsia="宋体" w:cs="Times New Roman"/>
                      <w:color w:val="000000"/>
                    </w:rPr>
                  </w:pPr>
                  <w:r>
                    <w:rPr>
                      <w:rFonts w:ascii="Times New Roman" w:hAnsi="Times New Roman" w:eastAsia="宋体" w:cs="Times New Roman"/>
                      <w:color w:val="000000"/>
                    </w:rPr>
                    <w:t>年处理石板泥60000t，洗沙泥66750t。</w:t>
                  </w:r>
                </w:p>
              </w:tc>
            </w:tr>
            <w:tr w14:paraId="618CD4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113" w:hRule="atLeast"/>
                <w:jc w:val="center"/>
              </w:trPr>
              <w:tc>
                <w:tcPr>
                  <w:tcW w:w="1248" w:type="pct"/>
                  <w:vAlign w:val="center"/>
                </w:tcPr>
                <w:p w14:paraId="36468896">
                  <w:pPr>
                    <w:snapToGrid w:val="0"/>
                    <w:rPr>
                      <w:rFonts w:ascii="Times New Roman" w:hAnsi="Times New Roman" w:eastAsia="宋体" w:cs="Times New Roman"/>
                      <w:color w:val="000000"/>
                    </w:rPr>
                  </w:pPr>
                  <w:r>
                    <w:rPr>
                      <w:rFonts w:ascii="Times New Roman" w:hAnsi="Times New Roman" w:eastAsia="宋体" w:cs="Times New Roman"/>
                      <w:color w:val="000000"/>
                    </w:rPr>
                    <w:t>益阳市城晖源墙体材料有限公司年产6000万块页岩烧结砖协同处置一般固废技改项目</w:t>
                  </w:r>
                </w:p>
              </w:tc>
              <w:tc>
                <w:tcPr>
                  <w:tcW w:w="2501" w:type="pct"/>
                  <w:vAlign w:val="center"/>
                </w:tcPr>
                <w:p w14:paraId="176406E2">
                  <w:pPr>
                    <w:snapToGrid w:val="0"/>
                    <w:rPr>
                      <w:rFonts w:ascii="Times New Roman" w:hAnsi="Times New Roman" w:eastAsia="宋体" w:cs="Times New Roman"/>
                      <w:color w:val="000000"/>
                    </w:rPr>
                  </w:pPr>
                  <w:r>
                    <w:rPr>
                      <w:rFonts w:ascii="Times New Roman" w:hAnsi="Times New Roman" w:eastAsia="宋体" w:cs="Times New Roman"/>
                      <w:color w:val="000000"/>
                    </w:rPr>
                    <w:t>项目为页岩砖生产项目，掺烧市政污泥、河道淤泥，并掺烧其他一般固废。</w:t>
                  </w:r>
                </w:p>
              </w:tc>
              <w:tc>
                <w:tcPr>
                  <w:tcW w:w="1251" w:type="pct"/>
                  <w:vAlign w:val="center"/>
                </w:tcPr>
                <w:p w14:paraId="74FF8AE4">
                  <w:pPr>
                    <w:snapToGrid w:val="0"/>
                    <w:rPr>
                      <w:rFonts w:ascii="Times New Roman" w:hAnsi="Times New Roman" w:eastAsia="宋体" w:cs="Times New Roman"/>
                      <w:color w:val="000000"/>
                    </w:rPr>
                  </w:pPr>
                  <w:r>
                    <w:rPr>
                      <w:rFonts w:ascii="Times New Roman" w:hAnsi="Times New Roman" w:eastAsia="宋体" w:cs="Times New Roman"/>
                      <w:color w:val="000000"/>
                    </w:rPr>
                    <w:t>年处理一般固废12448t/a。</w:t>
                  </w:r>
                </w:p>
              </w:tc>
            </w:tr>
          </w:tbl>
          <w:p w14:paraId="7E1F046E">
            <w:pPr>
              <w:numPr>
                <w:ilvl w:val="0"/>
                <w:numId w:val="4"/>
              </w:numPr>
              <w:adjustRightInd w:val="0"/>
              <w:snapToGrid w:val="0"/>
              <w:spacing w:line="360" w:lineRule="auto"/>
              <w:ind w:firstLine="482" w:firstLineChars="200"/>
              <w:rPr>
                <w:rFonts w:ascii="Times New Roman" w:hAnsi="Times New Roman" w:eastAsia="宋体" w:cs="Times New Roman"/>
                <w:b/>
                <w:bCs/>
                <w:color w:val="000000"/>
                <w:sz w:val="24"/>
                <w:szCs w:val="24"/>
              </w:rPr>
            </w:pPr>
            <w:r>
              <w:rPr>
                <w:rFonts w:ascii="Times New Roman" w:hAnsi="Times New Roman" w:eastAsia="宋体" w:cs="Times New Roman"/>
                <w:b/>
                <w:bCs/>
                <w:color w:val="000000"/>
                <w:sz w:val="24"/>
                <w:szCs w:val="24"/>
              </w:rPr>
              <w:t>无机工业污泥小试制砖可行性分析</w:t>
            </w:r>
          </w:p>
          <w:p w14:paraId="09A743DD">
            <w:pPr>
              <w:adjustRightInd w:val="0"/>
              <w:snapToGrid w:val="0"/>
              <w:spacing w:line="360" w:lineRule="auto"/>
              <w:ind w:firstLine="480" w:firstLineChars="200"/>
              <w:rPr>
                <w:rFonts w:ascii="Times New Roman" w:hAnsi="Times New Roman" w:eastAsia="宋体" w:cs="Times New Roman"/>
                <w:bCs/>
                <w:color w:val="000000"/>
                <w:sz w:val="24"/>
                <w:szCs w:val="24"/>
              </w:rPr>
            </w:pPr>
            <w:r>
              <w:rPr>
                <w:rFonts w:ascii="Times New Roman" w:hAnsi="Times New Roman" w:eastAsia="宋体" w:cs="Times New Roman"/>
                <w:bCs/>
                <w:color w:val="000000"/>
                <w:sz w:val="24"/>
                <w:szCs w:val="24"/>
              </w:rPr>
              <w:t>为充分了解无机污泥制砖可行性，本次评价对四川裕宁新能源材料有限公司、信利（仁寿）高端显示科技有限公司、四川东捷污水处理有限公司）产生的无机污泥进行进出掺烧浸出检测，结果如下。</w:t>
            </w:r>
          </w:p>
          <w:p w14:paraId="4D3E0E4A">
            <w:pPr>
              <w:adjustRightInd w:val="0"/>
              <w:snapToGrid w:val="0"/>
              <w:spacing w:line="360" w:lineRule="auto"/>
              <w:ind w:firstLine="480" w:firstLineChars="200"/>
              <w:rPr>
                <w:rFonts w:ascii="Times New Roman" w:hAnsi="Times New Roman" w:eastAsia="宋体" w:cs="Times New Roman"/>
                <w:bCs/>
                <w:color w:val="000000"/>
                <w:sz w:val="24"/>
                <w:szCs w:val="24"/>
              </w:rPr>
            </w:pPr>
            <w:r>
              <w:rPr>
                <w:rFonts w:hint="eastAsia" w:ascii="宋体" w:hAnsi="宋体" w:eastAsia="宋体" w:cs="宋体"/>
                <w:bCs/>
                <w:color w:val="000000"/>
                <w:sz w:val="24"/>
                <w:szCs w:val="24"/>
              </w:rPr>
              <w:t>①</w:t>
            </w:r>
            <w:r>
              <w:rPr>
                <w:rFonts w:ascii="Times New Roman" w:hAnsi="Times New Roman" w:eastAsia="宋体" w:cs="Times New Roman"/>
                <w:bCs/>
                <w:color w:val="000000"/>
                <w:sz w:val="24"/>
                <w:szCs w:val="24"/>
              </w:rPr>
              <w:t>裕宁污泥小试制砖浸出检测结果</w:t>
            </w:r>
          </w:p>
          <w:p w14:paraId="43084DD9">
            <w:pPr>
              <w:adjustRightInd w:val="0"/>
              <w:snapToGrid w:val="0"/>
              <w:spacing w:line="360" w:lineRule="auto"/>
              <w:ind w:firstLine="480" w:firstLineChars="200"/>
              <w:rPr>
                <w:rFonts w:ascii="Times New Roman" w:hAnsi="Times New Roman" w:eastAsia="宋体" w:cs="Times New Roman"/>
                <w:bCs/>
                <w:color w:val="000000"/>
                <w:sz w:val="24"/>
                <w:szCs w:val="24"/>
              </w:rPr>
            </w:pPr>
            <w:r>
              <w:rPr>
                <w:rFonts w:ascii="Times New Roman" w:hAnsi="Times New Roman" w:eastAsia="宋体" w:cs="Times New Roman"/>
                <w:bCs/>
                <w:color w:val="000000"/>
                <w:sz w:val="24"/>
                <w:szCs w:val="24"/>
              </w:rPr>
              <w:t>本项目小试实验取四川裕宁新能源材料有限公司三批次污泥，分别按照10%、15%的干泥掺烧比例进行制砖，并对制砖成品进行了浸出检测，检测结果如下：</w:t>
            </w:r>
          </w:p>
          <w:p w14:paraId="4E0EA9BE">
            <w:pPr>
              <w:adjustRightInd w:val="0"/>
              <w:snapToGrid w:val="0"/>
              <w:jc w:val="right"/>
              <w:rPr>
                <w:rFonts w:ascii="Times New Roman" w:hAnsi="Times New Roman" w:eastAsia="宋体" w:cs="Times New Roman"/>
                <w:color w:val="000000"/>
                <w:sz w:val="24"/>
                <w:szCs w:val="24"/>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5</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无机工业污泥（裕宁）小试制砖产品浸出试验结果     单位mg/L</w:t>
            </w:r>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03"/>
              <w:gridCol w:w="948"/>
              <w:gridCol w:w="947"/>
              <w:gridCol w:w="947"/>
              <w:gridCol w:w="947"/>
              <w:gridCol w:w="948"/>
              <w:gridCol w:w="947"/>
              <w:gridCol w:w="1126"/>
            </w:tblGrid>
            <w:tr w14:paraId="3D3606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1" w:hRule="atLeast"/>
                <w:jc w:val="center"/>
              </w:trPr>
              <w:tc>
                <w:tcPr>
                  <w:tcW w:w="642" w:type="pct"/>
                  <w:vMerge w:val="restart"/>
                  <w:shd w:val="clear" w:color="auto" w:fill="auto"/>
                  <w:noWrap/>
                  <w:vAlign w:val="center"/>
                </w:tcPr>
                <w:p w14:paraId="5ECF348D">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项目</w:t>
                  </w:r>
                </w:p>
              </w:tc>
              <w:tc>
                <w:tcPr>
                  <w:tcW w:w="1213" w:type="pct"/>
                  <w:gridSpan w:val="2"/>
                  <w:shd w:val="clear" w:color="auto" w:fill="auto"/>
                  <w:vAlign w:val="center"/>
                </w:tcPr>
                <w:p w14:paraId="1AEC87DC">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第一批</w:t>
                  </w:r>
                </w:p>
              </w:tc>
              <w:tc>
                <w:tcPr>
                  <w:tcW w:w="1212" w:type="pct"/>
                  <w:gridSpan w:val="2"/>
                  <w:shd w:val="clear" w:color="auto" w:fill="auto"/>
                  <w:vAlign w:val="center"/>
                </w:tcPr>
                <w:p w14:paraId="07FC67B3">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第二批</w:t>
                  </w:r>
                </w:p>
              </w:tc>
              <w:tc>
                <w:tcPr>
                  <w:tcW w:w="1213" w:type="pct"/>
                  <w:gridSpan w:val="2"/>
                  <w:vAlign w:val="center"/>
                </w:tcPr>
                <w:p w14:paraId="762CC15F">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第三批</w:t>
                  </w:r>
                </w:p>
              </w:tc>
              <w:tc>
                <w:tcPr>
                  <w:tcW w:w="720" w:type="pct"/>
                  <w:vMerge w:val="restart"/>
                  <w:vAlign w:val="center"/>
                </w:tcPr>
                <w:p w14:paraId="3986D1D1">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标准限值</w:t>
                  </w:r>
                </w:p>
              </w:tc>
            </w:tr>
            <w:tr w14:paraId="0D2616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1" w:hRule="atLeast"/>
                <w:jc w:val="center"/>
              </w:trPr>
              <w:tc>
                <w:tcPr>
                  <w:tcW w:w="642" w:type="pct"/>
                  <w:vMerge w:val="continue"/>
                  <w:shd w:val="clear" w:color="auto" w:fill="auto"/>
                  <w:noWrap/>
                  <w:vAlign w:val="center"/>
                </w:tcPr>
                <w:p w14:paraId="21A9F717">
                  <w:pPr>
                    <w:widowControl/>
                    <w:ind w:left="-105" w:leftChars="-50" w:right="-105" w:rightChars="-50"/>
                    <w:jc w:val="center"/>
                    <w:rPr>
                      <w:rFonts w:ascii="Times New Roman" w:hAnsi="Times New Roman" w:eastAsia="宋体" w:cs="Times New Roman"/>
                      <w:color w:val="000000"/>
                      <w:kern w:val="0"/>
                      <w:szCs w:val="21"/>
                    </w:rPr>
                  </w:pPr>
                </w:p>
              </w:tc>
              <w:tc>
                <w:tcPr>
                  <w:tcW w:w="607" w:type="pct"/>
                  <w:shd w:val="clear" w:color="auto" w:fill="auto"/>
                  <w:vAlign w:val="center"/>
                </w:tcPr>
                <w:p w14:paraId="4D88B3A5">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10%</w:t>
                  </w:r>
                </w:p>
                <w:p w14:paraId="47B72EFC">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掺炼比</w:t>
                  </w:r>
                </w:p>
              </w:tc>
              <w:tc>
                <w:tcPr>
                  <w:tcW w:w="606" w:type="pct"/>
                  <w:shd w:val="clear" w:color="auto" w:fill="auto"/>
                  <w:vAlign w:val="center"/>
                </w:tcPr>
                <w:p w14:paraId="73406504">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15%</w:t>
                  </w:r>
                </w:p>
                <w:p w14:paraId="209EEA7B">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掺炼比</w:t>
                  </w:r>
                </w:p>
              </w:tc>
              <w:tc>
                <w:tcPr>
                  <w:tcW w:w="606" w:type="pct"/>
                  <w:shd w:val="clear" w:color="auto" w:fill="auto"/>
                  <w:vAlign w:val="center"/>
                </w:tcPr>
                <w:p w14:paraId="66F559AD">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10%</w:t>
                  </w:r>
                </w:p>
                <w:p w14:paraId="21CAE6ED">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掺炼比</w:t>
                  </w:r>
                </w:p>
              </w:tc>
              <w:tc>
                <w:tcPr>
                  <w:tcW w:w="606" w:type="pct"/>
                  <w:shd w:val="clear" w:color="auto" w:fill="auto"/>
                  <w:vAlign w:val="center"/>
                </w:tcPr>
                <w:p w14:paraId="49993A1B">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15%</w:t>
                  </w:r>
                </w:p>
                <w:p w14:paraId="4F0DA067">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掺炼比</w:t>
                  </w:r>
                </w:p>
              </w:tc>
              <w:tc>
                <w:tcPr>
                  <w:tcW w:w="607" w:type="pct"/>
                  <w:vAlign w:val="center"/>
                </w:tcPr>
                <w:p w14:paraId="74D6628C">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10%</w:t>
                  </w:r>
                </w:p>
                <w:p w14:paraId="09481C2A">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掺炼比</w:t>
                  </w:r>
                </w:p>
              </w:tc>
              <w:tc>
                <w:tcPr>
                  <w:tcW w:w="606" w:type="pct"/>
                  <w:vAlign w:val="center"/>
                </w:tcPr>
                <w:p w14:paraId="04D332B8">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15%</w:t>
                  </w:r>
                </w:p>
                <w:p w14:paraId="2844BBE4">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掺炼比</w:t>
                  </w:r>
                </w:p>
              </w:tc>
              <w:tc>
                <w:tcPr>
                  <w:tcW w:w="720" w:type="pct"/>
                  <w:vMerge w:val="continue"/>
                  <w:vAlign w:val="center"/>
                </w:tcPr>
                <w:p w14:paraId="3EA44927">
                  <w:pPr>
                    <w:widowControl/>
                    <w:ind w:left="-105" w:leftChars="-50" w:right="-105" w:rightChars="-50"/>
                    <w:jc w:val="center"/>
                    <w:rPr>
                      <w:rFonts w:ascii="Times New Roman" w:hAnsi="Times New Roman" w:eastAsia="宋体" w:cs="Times New Roman"/>
                      <w:color w:val="000000"/>
                      <w:kern w:val="0"/>
                      <w:szCs w:val="21"/>
                    </w:rPr>
                  </w:pPr>
                </w:p>
              </w:tc>
            </w:tr>
            <w:tr w14:paraId="21AE79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jc w:val="center"/>
              </w:trPr>
              <w:tc>
                <w:tcPr>
                  <w:tcW w:w="642" w:type="pct"/>
                  <w:shd w:val="clear" w:color="auto" w:fill="auto"/>
                  <w:noWrap/>
                  <w:vAlign w:val="center"/>
                </w:tcPr>
                <w:p w14:paraId="2704D7A1">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汞</w:t>
                  </w:r>
                </w:p>
              </w:tc>
              <w:tc>
                <w:tcPr>
                  <w:tcW w:w="607" w:type="pct"/>
                  <w:shd w:val="clear" w:color="auto" w:fill="auto"/>
                  <w:noWrap/>
                  <w:vAlign w:val="center"/>
                </w:tcPr>
                <w:p w14:paraId="181B5FB3">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6.4×10</w:t>
                  </w:r>
                  <w:r>
                    <w:rPr>
                      <w:rFonts w:ascii="Times New Roman" w:hAnsi="Times New Roman" w:eastAsia="宋体" w:cs="Times New Roman"/>
                      <w:color w:val="000000"/>
                      <w:vertAlign w:val="superscript"/>
                      <w:lang w:bidi="ar"/>
                    </w:rPr>
                    <w:t>-4</w:t>
                  </w:r>
                </w:p>
              </w:tc>
              <w:tc>
                <w:tcPr>
                  <w:tcW w:w="606" w:type="pct"/>
                  <w:shd w:val="clear" w:color="auto" w:fill="auto"/>
                  <w:noWrap/>
                  <w:vAlign w:val="center"/>
                </w:tcPr>
                <w:p w14:paraId="7083D4D4">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6.9×10</w:t>
                  </w:r>
                  <w:r>
                    <w:rPr>
                      <w:rFonts w:ascii="Times New Roman" w:hAnsi="Times New Roman" w:eastAsia="宋体" w:cs="Times New Roman"/>
                      <w:color w:val="000000"/>
                      <w:vertAlign w:val="superscript"/>
                      <w:lang w:bidi="ar"/>
                    </w:rPr>
                    <w:t>-4</w:t>
                  </w:r>
                </w:p>
              </w:tc>
              <w:tc>
                <w:tcPr>
                  <w:tcW w:w="606" w:type="pct"/>
                  <w:shd w:val="clear" w:color="auto" w:fill="auto"/>
                  <w:noWrap/>
                  <w:vAlign w:val="center"/>
                </w:tcPr>
                <w:p w14:paraId="51B7BB48">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6.2×10</w:t>
                  </w:r>
                  <w:r>
                    <w:rPr>
                      <w:rFonts w:ascii="Times New Roman" w:hAnsi="Times New Roman" w:eastAsia="宋体" w:cs="Times New Roman"/>
                      <w:color w:val="000000"/>
                      <w:vertAlign w:val="superscript"/>
                      <w:lang w:bidi="ar"/>
                    </w:rPr>
                    <w:t>-4</w:t>
                  </w:r>
                </w:p>
              </w:tc>
              <w:tc>
                <w:tcPr>
                  <w:tcW w:w="606" w:type="pct"/>
                  <w:shd w:val="clear" w:color="auto" w:fill="auto"/>
                  <w:noWrap/>
                  <w:vAlign w:val="center"/>
                </w:tcPr>
                <w:p w14:paraId="5C5E77DC">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6.7×10</w:t>
                  </w:r>
                  <w:r>
                    <w:rPr>
                      <w:rFonts w:ascii="Times New Roman" w:hAnsi="Times New Roman" w:eastAsia="宋体" w:cs="Times New Roman"/>
                      <w:color w:val="000000"/>
                      <w:vertAlign w:val="superscript"/>
                      <w:lang w:bidi="ar"/>
                    </w:rPr>
                    <w:t>-4</w:t>
                  </w:r>
                </w:p>
              </w:tc>
              <w:tc>
                <w:tcPr>
                  <w:tcW w:w="607" w:type="pct"/>
                  <w:vAlign w:val="center"/>
                </w:tcPr>
                <w:p w14:paraId="56ADC378">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7.4×10</w:t>
                  </w:r>
                  <w:r>
                    <w:rPr>
                      <w:rFonts w:ascii="Times New Roman" w:hAnsi="Times New Roman" w:eastAsia="宋体" w:cs="Times New Roman"/>
                      <w:color w:val="000000"/>
                      <w:vertAlign w:val="superscript"/>
                      <w:lang w:bidi="ar"/>
                    </w:rPr>
                    <w:t>-4</w:t>
                  </w:r>
                </w:p>
              </w:tc>
              <w:tc>
                <w:tcPr>
                  <w:tcW w:w="606" w:type="pct"/>
                  <w:vAlign w:val="center"/>
                </w:tcPr>
                <w:p w14:paraId="1C5DDCE7">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7.7×10</w:t>
                  </w:r>
                  <w:r>
                    <w:rPr>
                      <w:rFonts w:ascii="Times New Roman" w:hAnsi="Times New Roman" w:eastAsia="宋体" w:cs="Times New Roman"/>
                      <w:color w:val="000000"/>
                      <w:vertAlign w:val="superscript"/>
                      <w:lang w:bidi="ar"/>
                    </w:rPr>
                    <w:t>-4</w:t>
                  </w:r>
                </w:p>
              </w:tc>
              <w:tc>
                <w:tcPr>
                  <w:tcW w:w="720" w:type="pct"/>
                  <w:vAlign w:val="center"/>
                </w:tcPr>
                <w:p w14:paraId="77EFCC38">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w:t>
                  </w:r>
                </w:p>
              </w:tc>
            </w:tr>
            <w:tr w14:paraId="08E916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jc w:val="center"/>
              </w:trPr>
              <w:tc>
                <w:tcPr>
                  <w:tcW w:w="642" w:type="pct"/>
                  <w:shd w:val="clear" w:color="auto" w:fill="auto"/>
                  <w:noWrap/>
                  <w:vAlign w:val="center"/>
                </w:tcPr>
                <w:p w14:paraId="50A943D4">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砷</w:t>
                  </w:r>
                </w:p>
              </w:tc>
              <w:tc>
                <w:tcPr>
                  <w:tcW w:w="607" w:type="pct"/>
                  <w:shd w:val="clear" w:color="auto" w:fill="auto"/>
                  <w:noWrap/>
                  <w:vAlign w:val="center"/>
                </w:tcPr>
                <w:p w14:paraId="10B300D5">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9.24×10</w:t>
                  </w:r>
                  <w:r>
                    <w:rPr>
                      <w:rFonts w:ascii="Times New Roman" w:hAnsi="Times New Roman" w:eastAsia="宋体" w:cs="Times New Roman"/>
                      <w:color w:val="000000"/>
                      <w:vertAlign w:val="superscript"/>
                      <w:lang w:bidi="ar"/>
                    </w:rPr>
                    <w:t>-4</w:t>
                  </w:r>
                </w:p>
              </w:tc>
              <w:tc>
                <w:tcPr>
                  <w:tcW w:w="606" w:type="pct"/>
                  <w:shd w:val="clear" w:color="auto" w:fill="auto"/>
                  <w:noWrap/>
                  <w:vAlign w:val="center"/>
                </w:tcPr>
                <w:p w14:paraId="36C27A2F">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7.31×10</w:t>
                  </w:r>
                  <w:r>
                    <w:rPr>
                      <w:rFonts w:ascii="Times New Roman" w:hAnsi="Times New Roman" w:eastAsia="宋体" w:cs="Times New Roman"/>
                      <w:color w:val="000000"/>
                      <w:vertAlign w:val="superscript"/>
                      <w:lang w:bidi="ar"/>
                    </w:rPr>
                    <w:t>-4</w:t>
                  </w:r>
                </w:p>
              </w:tc>
              <w:tc>
                <w:tcPr>
                  <w:tcW w:w="606" w:type="pct"/>
                  <w:shd w:val="clear" w:color="auto" w:fill="auto"/>
                  <w:noWrap/>
                  <w:vAlign w:val="center"/>
                </w:tcPr>
                <w:p w14:paraId="4D98D925">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6.86×10</w:t>
                  </w:r>
                  <w:r>
                    <w:rPr>
                      <w:rFonts w:ascii="Times New Roman" w:hAnsi="Times New Roman" w:eastAsia="宋体" w:cs="Times New Roman"/>
                      <w:color w:val="000000"/>
                      <w:vertAlign w:val="superscript"/>
                      <w:lang w:bidi="ar"/>
                    </w:rPr>
                    <w:t>-4</w:t>
                  </w:r>
                </w:p>
              </w:tc>
              <w:tc>
                <w:tcPr>
                  <w:tcW w:w="606" w:type="pct"/>
                  <w:shd w:val="clear" w:color="auto" w:fill="auto"/>
                  <w:noWrap/>
                  <w:vAlign w:val="center"/>
                </w:tcPr>
                <w:p w14:paraId="447B84D3">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8.03×10</w:t>
                  </w:r>
                  <w:r>
                    <w:rPr>
                      <w:rFonts w:ascii="Times New Roman" w:hAnsi="Times New Roman" w:eastAsia="宋体" w:cs="Times New Roman"/>
                      <w:color w:val="000000"/>
                      <w:vertAlign w:val="superscript"/>
                      <w:lang w:bidi="ar"/>
                    </w:rPr>
                    <w:t>-4</w:t>
                  </w:r>
                </w:p>
              </w:tc>
              <w:tc>
                <w:tcPr>
                  <w:tcW w:w="607" w:type="pct"/>
                  <w:vAlign w:val="center"/>
                </w:tcPr>
                <w:p w14:paraId="0DCE2C8C">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8.05×10</w:t>
                  </w:r>
                  <w:r>
                    <w:rPr>
                      <w:rFonts w:ascii="Times New Roman" w:hAnsi="Times New Roman" w:eastAsia="宋体" w:cs="Times New Roman"/>
                      <w:color w:val="000000"/>
                      <w:vertAlign w:val="superscript"/>
                      <w:lang w:bidi="ar"/>
                    </w:rPr>
                    <w:t>-4</w:t>
                  </w:r>
                </w:p>
              </w:tc>
              <w:tc>
                <w:tcPr>
                  <w:tcW w:w="606" w:type="pct"/>
                  <w:vAlign w:val="center"/>
                </w:tcPr>
                <w:p w14:paraId="73C3199C">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5.61×10</w:t>
                  </w:r>
                  <w:r>
                    <w:rPr>
                      <w:rFonts w:ascii="Times New Roman" w:hAnsi="Times New Roman" w:eastAsia="宋体" w:cs="Times New Roman"/>
                      <w:color w:val="000000"/>
                      <w:vertAlign w:val="superscript"/>
                      <w:lang w:bidi="ar"/>
                    </w:rPr>
                    <w:t>-4</w:t>
                  </w:r>
                </w:p>
              </w:tc>
              <w:tc>
                <w:tcPr>
                  <w:tcW w:w="720" w:type="pct"/>
                  <w:vAlign w:val="center"/>
                </w:tcPr>
                <w:p w14:paraId="0D1F7BA7">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0.1</w:t>
                  </w:r>
                </w:p>
              </w:tc>
            </w:tr>
            <w:tr w14:paraId="62582C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jc w:val="center"/>
              </w:trPr>
              <w:tc>
                <w:tcPr>
                  <w:tcW w:w="642" w:type="pct"/>
                  <w:shd w:val="clear" w:color="auto" w:fill="auto"/>
                  <w:noWrap/>
                  <w:vAlign w:val="center"/>
                </w:tcPr>
                <w:p w14:paraId="227C60D9">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锌</w:t>
                  </w:r>
                </w:p>
              </w:tc>
              <w:tc>
                <w:tcPr>
                  <w:tcW w:w="607" w:type="pct"/>
                  <w:shd w:val="clear" w:color="auto" w:fill="auto"/>
                  <w:noWrap/>
                  <w:vAlign w:val="center"/>
                </w:tcPr>
                <w:p w14:paraId="1E76BCB7">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 xml:space="preserve">0.10 </w:t>
                  </w:r>
                </w:p>
              </w:tc>
              <w:tc>
                <w:tcPr>
                  <w:tcW w:w="606" w:type="pct"/>
                  <w:shd w:val="clear" w:color="auto" w:fill="auto"/>
                  <w:noWrap/>
                  <w:vAlign w:val="center"/>
                </w:tcPr>
                <w:p w14:paraId="21B97D83">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0.09</w:t>
                  </w:r>
                </w:p>
              </w:tc>
              <w:tc>
                <w:tcPr>
                  <w:tcW w:w="606" w:type="pct"/>
                  <w:shd w:val="clear" w:color="auto" w:fill="auto"/>
                  <w:noWrap/>
                  <w:vAlign w:val="center"/>
                </w:tcPr>
                <w:p w14:paraId="77F4B5CA">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0.05</w:t>
                  </w:r>
                </w:p>
              </w:tc>
              <w:tc>
                <w:tcPr>
                  <w:tcW w:w="606" w:type="pct"/>
                  <w:shd w:val="clear" w:color="auto" w:fill="auto"/>
                  <w:noWrap/>
                  <w:vAlign w:val="center"/>
                </w:tcPr>
                <w:p w14:paraId="11F72A0B">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0.11</w:t>
                  </w:r>
                </w:p>
              </w:tc>
              <w:tc>
                <w:tcPr>
                  <w:tcW w:w="607" w:type="pct"/>
                  <w:vAlign w:val="center"/>
                </w:tcPr>
                <w:p w14:paraId="04E77EFF">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0.06</w:t>
                  </w:r>
                </w:p>
              </w:tc>
              <w:tc>
                <w:tcPr>
                  <w:tcW w:w="606" w:type="pct"/>
                  <w:vAlign w:val="center"/>
                </w:tcPr>
                <w:p w14:paraId="16771B9D">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0.11</w:t>
                  </w:r>
                </w:p>
              </w:tc>
              <w:tc>
                <w:tcPr>
                  <w:tcW w:w="720" w:type="pct"/>
                  <w:vAlign w:val="center"/>
                </w:tcPr>
                <w:p w14:paraId="2B09C6CF">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1.0</w:t>
                  </w:r>
                </w:p>
              </w:tc>
            </w:tr>
            <w:tr w14:paraId="11725A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jc w:val="center"/>
              </w:trPr>
              <w:tc>
                <w:tcPr>
                  <w:tcW w:w="642" w:type="pct"/>
                  <w:shd w:val="clear" w:color="auto" w:fill="auto"/>
                  <w:noWrap/>
                  <w:vAlign w:val="center"/>
                </w:tcPr>
                <w:p w14:paraId="118B9270">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铅</w:t>
                  </w:r>
                </w:p>
              </w:tc>
              <w:tc>
                <w:tcPr>
                  <w:tcW w:w="607" w:type="pct"/>
                  <w:shd w:val="clear" w:color="auto" w:fill="auto"/>
                  <w:noWrap/>
                  <w:vAlign w:val="center"/>
                </w:tcPr>
                <w:p w14:paraId="5D870709">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未检出</w:t>
                  </w:r>
                </w:p>
              </w:tc>
              <w:tc>
                <w:tcPr>
                  <w:tcW w:w="606" w:type="pct"/>
                  <w:shd w:val="clear" w:color="auto" w:fill="auto"/>
                  <w:noWrap/>
                  <w:vAlign w:val="center"/>
                </w:tcPr>
                <w:p w14:paraId="619BFF37">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未检出</w:t>
                  </w:r>
                </w:p>
              </w:tc>
              <w:tc>
                <w:tcPr>
                  <w:tcW w:w="606" w:type="pct"/>
                  <w:shd w:val="clear" w:color="auto" w:fill="auto"/>
                  <w:noWrap/>
                  <w:vAlign w:val="center"/>
                </w:tcPr>
                <w:p w14:paraId="6A5D729D">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未检出</w:t>
                  </w:r>
                </w:p>
              </w:tc>
              <w:tc>
                <w:tcPr>
                  <w:tcW w:w="606" w:type="pct"/>
                  <w:shd w:val="clear" w:color="auto" w:fill="auto"/>
                  <w:noWrap/>
                  <w:vAlign w:val="center"/>
                </w:tcPr>
                <w:p w14:paraId="432A7A62">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未检出</w:t>
                  </w:r>
                </w:p>
              </w:tc>
              <w:tc>
                <w:tcPr>
                  <w:tcW w:w="607" w:type="pct"/>
                  <w:vAlign w:val="center"/>
                </w:tcPr>
                <w:p w14:paraId="386479DB">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未检出</w:t>
                  </w:r>
                </w:p>
              </w:tc>
              <w:tc>
                <w:tcPr>
                  <w:tcW w:w="606" w:type="pct"/>
                  <w:vAlign w:val="center"/>
                </w:tcPr>
                <w:p w14:paraId="2DD69375">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未检出</w:t>
                  </w:r>
                </w:p>
              </w:tc>
              <w:tc>
                <w:tcPr>
                  <w:tcW w:w="720" w:type="pct"/>
                  <w:vAlign w:val="center"/>
                </w:tcPr>
                <w:p w14:paraId="3BA9F594">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0.3</w:t>
                  </w:r>
                </w:p>
              </w:tc>
            </w:tr>
            <w:tr w14:paraId="3C10F0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jc w:val="center"/>
              </w:trPr>
              <w:tc>
                <w:tcPr>
                  <w:tcW w:w="642" w:type="pct"/>
                  <w:shd w:val="clear" w:color="auto" w:fill="auto"/>
                  <w:noWrap/>
                  <w:vAlign w:val="center"/>
                </w:tcPr>
                <w:p w14:paraId="2E8F59F7">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镍</w:t>
                  </w:r>
                </w:p>
              </w:tc>
              <w:tc>
                <w:tcPr>
                  <w:tcW w:w="607" w:type="pct"/>
                  <w:shd w:val="clear" w:color="auto" w:fill="auto"/>
                  <w:noWrap/>
                  <w:vAlign w:val="center"/>
                </w:tcPr>
                <w:p w14:paraId="563CD759">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0.09</w:t>
                  </w:r>
                </w:p>
              </w:tc>
              <w:tc>
                <w:tcPr>
                  <w:tcW w:w="606" w:type="pct"/>
                  <w:shd w:val="clear" w:color="auto" w:fill="auto"/>
                  <w:noWrap/>
                  <w:vAlign w:val="center"/>
                </w:tcPr>
                <w:p w14:paraId="146876E4">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0.07</w:t>
                  </w:r>
                </w:p>
              </w:tc>
              <w:tc>
                <w:tcPr>
                  <w:tcW w:w="606" w:type="pct"/>
                  <w:shd w:val="clear" w:color="auto" w:fill="auto"/>
                  <w:noWrap/>
                  <w:vAlign w:val="center"/>
                </w:tcPr>
                <w:p w14:paraId="3886BAEA">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0.05</w:t>
                  </w:r>
                </w:p>
              </w:tc>
              <w:tc>
                <w:tcPr>
                  <w:tcW w:w="606" w:type="pct"/>
                  <w:shd w:val="clear" w:color="auto" w:fill="auto"/>
                  <w:noWrap/>
                  <w:vAlign w:val="center"/>
                </w:tcPr>
                <w:p w14:paraId="06AD29EE">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0.11</w:t>
                  </w:r>
                </w:p>
              </w:tc>
              <w:tc>
                <w:tcPr>
                  <w:tcW w:w="607" w:type="pct"/>
                  <w:vAlign w:val="center"/>
                </w:tcPr>
                <w:p w14:paraId="7CE2B917">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未检出</w:t>
                  </w:r>
                </w:p>
              </w:tc>
              <w:tc>
                <w:tcPr>
                  <w:tcW w:w="606" w:type="pct"/>
                  <w:vAlign w:val="center"/>
                </w:tcPr>
                <w:p w14:paraId="4E6DF386">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0.05</w:t>
                  </w:r>
                </w:p>
              </w:tc>
              <w:tc>
                <w:tcPr>
                  <w:tcW w:w="720" w:type="pct"/>
                  <w:vAlign w:val="center"/>
                </w:tcPr>
                <w:p w14:paraId="42E0152C">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0.2</w:t>
                  </w:r>
                </w:p>
              </w:tc>
            </w:tr>
            <w:tr w14:paraId="1086C2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jc w:val="center"/>
              </w:trPr>
              <w:tc>
                <w:tcPr>
                  <w:tcW w:w="642" w:type="pct"/>
                  <w:shd w:val="clear" w:color="auto" w:fill="auto"/>
                  <w:noWrap/>
                  <w:vAlign w:val="center"/>
                </w:tcPr>
                <w:p w14:paraId="01189351">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铜</w:t>
                  </w:r>
                </w:p>
              </w:tc>
              <w:tc>
                <w:tcPr>
                  <w:tcW w:w="607" w:type="pct"/>
                  <w:shd w:val="clear" w:color="auto" w:fill="auto"/>
                  <w:noWrap/>
                  <w:vAlign w:val="center"/>
                </w:tcPr>
                <w:p w14:paraId="6B7F39A5">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0.04</w:t>
                  </w:r>
                </w:p>
              </w:tc>
              <w:tc>
                <w:tcPr>
                  <w:tcW w:w="606" w:type="pct"/>
                  <w:shd w:val="clear" w:color="auto" w:fill="auto"/>
                  <w:noWrap/>
                  <w:vAlign w:val="center"/>
                </w:tcPr>
                <w:p w14:paraId="1D70C40F">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0.02</w:t>
                  </w:r>
                </w:p>
              </w:tc>
              <w:tc>
                <w:tcPr>
                  <w:tcW w:w="606" w:type="pct"/>
                  <w:shd w:val="clear" w:color="auto" w:fill="auto"/>
                  <w:noWrap/>
                  <w:vAlign w:val="center"/>
                </w:tcPr>
                <w:p w14:paraId="1FD27726">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未检出</w:t>
                  </w:r>
                </w:p>
              </w:tc>
              <w:tc>
                <w:tcPr>
                  <w:tcW w:w="606" w:type="pct"/>
                  <w:shd w:val="clear" w:color="auto" w:fill="auto"/>
                  <w:noWrap/>
                  <w:vAlign w:val="center"/>
                </w:tcPr>
                <w:p w14:paraId="48A60AB8">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 xml:space="preserve">0.10 </w:t>
                  </w:r>
                </w:p>
              </w:tc>
              <w:tc>
                <w:tcPr>
                  <w:tcW w:w="607" w:type="pct"/>
                  <w:vAlign w:val="center"/>
                </w:tcPr>
                <w:p w14:paraId="49C37674">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未检出</w:t>
                  </w:r>
                </w:p>
              </w:tc>
              <w:tc>
                <w:tcPr>
                  <w:tcW w:w="606" w:type="pct"/>
                  <w:vAlign w:val="center"/>
                </w:tcPr>
                <w:p w14:paraId="7FC22D40">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0.01</w:t>
                  </w:r>
                </w:p>
              </w:tc>
              <w:tc>
                <w:tcPr>
                  <w:tcW w:w="720" w:type="pct"/>
                  <w:vAlign w:val="center"/>
                </w:tcPr>
                <w:p w14:paraId="5DB3C52F">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1.0</w:t>
                  </w:r>
                </w:p>
              </w:tc>
            </w:tr>
            <w:tr w14:paraId="5EE397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jc w:val="center"/>
              </w:trPr>
              <w:tc>
                <w:tcPr>
                  <w:tcW w:w="642" w:type="pct"/>
                  <w:shd w:val="clear" w:color="auto" w:fill="auto"/>
                  <w:noWrap/>
                  <w:vAlign w:val="center"/>
                </w:tcPr>
                <w:p w14:paraId="376CFA9C">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铬</w:t>
                  </w:r>
                </w:p>
              </w:tc>
              <w:tc>
                <w:tcPr>
                  <w:tcW w:w="607" w:type="pct"/>
                  <w:shd w:val="clear" w:color="auto" w:fill="auto"/>
                  <w:noWrap/>
                  <w:vAlign w:val="center"/>
                </w:tcPr>
                <w:p w14:paraId="42B39E87">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0.04</w:t>
                  </w:r>
                </w:p>
              </w:tc>
              <w:tc>
                <w:tcPr>
                  <w:tcW w:w="606" w:type="pct"/>
                  <w:shd w:val="clear" w:color="auto" w:fill="auto"/>
                  <w:noWrap/>
                  <w:vAlign w:val="center"/>
                </w:tcPr>
                <w:p w14:paraId="0BCD6985">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0.02</w:t>
                  </w:r>
                </w:p>
              </w:tc>
              <w:tc>
                <w:tcPr>
                  <w:tcW w:w="606" w:type="pct"/>
                  <w:shd w:val="clear" w:color="auto" w:fill="auto"/>
                  <w:noWrap/>
                  <w:vAlign w:val="center"/>
                </w:tcPr>
                <w:p w14:paraId="268A75A0">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0.04</w:t>
                  </w:r>
                </w:p>
              </w:tc>
              <w:tc>
                <w:tcPr>
                  <w:tcW w:w="606" w:type="pct"/>
                  <w:shd w:val="clear" w:color="auto" w:fill="auto"/>
                  <w:noWrap/>
                  <w:vAlign w:val="center"/>
                </w:tcPr>
                <w:p w14:paraId="6BD40E62">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0.05</w:t>
                  </w:r>
                </w:p>
              </w:tc>
              <w:tc>
                <w:tcPr>
                  <w:tcW w:w="607" w:type="pct"/>
                  <w:vAlign w:val="center"/>
                </w:tcPr>
                <w:p w14:paraId="56F69CE6">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未检出</w:t>
                  </w:r>
                </w:p>
              </w:tc>
              <w:tc>
                <w:tcPr>
                  <w:tcW w:w="606" w:type="pct"/>
                  <w:vAlign w:val="center"/>
                </w:tcPr>
                <w:p w14:paraId="46FB0C1D">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0.03</w:t>
                  </w:r>
                </w:p>
              </w:tc>
              <w:tc>
                <w:tcPr>
                  <w:tcW w:w="720" w:type="pct"/>
                  <w:vAlign w:val="center"/>
                </w:tcPr>
                <w:p w14:paraId="3A9EB586">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0.2</w:t>
                  </w:r>
                </w:p>
              </w:tc>
            </w:tr>
            <w:tr w14:paraId="6E7B69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jc w:val="center"/>
              </w:trPr>
              <w:tc>
                <w:tcPr>
                  <w:tcW w:w="642" w:type="pct"/>
                  <w:shd w:val="clear" w:color="auto" w:fill="auto"/>
                  <w:noWrap/>
                  <w:vAlign w:val="center"/>
                </w:tcPr>
                <w:p w14:paraId="0F566C67">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镉</w:t>
                  </w:r>
                </w:p>
              </w:tc>
              <w:tc>
                <w:tcPr>
                  <w:tcW w:w="607" w:type="pct"/>
                  <w:shd w:val="clear" w:color="auto" w:fill="auto"/>
                  <w:noWrap/>
                  <w:vAlign w:val="center"/>
                </w:tcPr>
                <w:p w14:paraId="683C6BA3">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未检出</w:t>
                  </w:r>
                </w:p>
              </w:tc>
              <w:tc>
                <w:tcPr>
                  <w:tcW w:w="606" w:type="pct"/>
                  <w:shd w:val="clear" w:color="auto" w:fill="auto"/>
                  <w:noWrap/>
                  <w:vAlign w:val="center"/>
                </w:tcPr>
                <w:p w14:paraId="62415D28">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未检出</w:t>
                  </w:r>
                </w:p>
              </w:tc>
              <w:tc>
                <w:tcPr>
                  <w:tcW w:w="606" w:type="pct"/>
                  <w:shd w:val="clear" w:color="auto" w:fill="auto"/>
                  <w:noWrap/>
                  <w:vAlign w:val="center"/>
                </w:tcPr>
                <w:p w14:paraId="34918C51">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未检出</w:t>
                  </w:r>
                </w:p>
              </w:tc>
              <w:tc>
                <w:tcPr>
                  <w:tcW w:w="606" w:type="pct"/>
                  <w:shd w:val="clear" w:color="auto" w:fill="auto"/>
                  <w:noWrap/>
                  <w:vAlign w:val="center"/>
                </w:tcPr>
                <w:p w14:paraId="3952EFB8">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未检出</w:t>
                  </w:r>
                </w:p>
              </w:tc>
              <w:tc>
                <w:tcPr>
                  <w:tcW w:w="607" w:type="pct"/>
                  <w:vAlign w:val="center"/>
                </w:tcPr>
                <w:p w14:paraId="4BCD7AC2">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未检出</w:t>
                  </w:r>
                </w:p>
              </w:tc>
              <w:tc>
                <w:tcPr>
                  <w:tcW w:w="606" w:type="pct"/>
                  <w:vAlign w:val="center"/>
                </w:tcPr>
                <w:p w14:paraId="3C53292A">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lang w:bidi="ar"/>
                    </w:rPr>
                    <w:t>未检出</w:t>
                  </w:r>
                </w:p>
              </w:tc>
              <w:tc>
                <w:tcPr>
                  <w:tcW w:w="720" w:type="pct"/>
                  <w:vAlign w:val="center"/>
                </w:tcPr>
                <w:p w14:paraId="0934FE85">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0.03</w:t>
                  </w:r>
                </w:p>
              </w:tc>
            </w:tr>
          </w:tbl>
          <w:p w14:paraId="4C1C520C">
            <w:pPr>
              <w:adjustRightInd w:val="0"/>
              <w:snapToGrid w:val="0"/>
              <w:spacing w:before="156" w:beforeLines="50" w:line="360" w:lineRule="auto"/>
              <w:ind w:firstLine="480" w:firstLineChars="200"/>
              <w:rPr>
                <w:rFonts w:ascii="Times New Roman" w:hAnsi="Times New Roman" w:eastAsia="宋体" w:cs="Times New Roman"/>
                <w:bCs/>
                <w:color w:val="000000"/>
                <w:sz w:val="24"/>
                <w:szCs w:val="24"/>
              </w:rPr>
            </w:pPr>
            <w:r>
              <w:rPr>
                <w:rFonts w:ascii="Times New Roman" w:hAnsi="Times New Roman" w:eastAsia="宋体" w:cs="Times New Roman"/>
                <w:bCs/>
                <w:color w:val="000000"/>
                <w:sz w:val="24"/>
                <w:szCs w:val="24"/>
              </w:rPr>
              <w:t>根据掺烧制成砖坯浸出液检测结果显示，裕宁污泥用于烧结制砖其浸出检测指标均低于《水泥窑协同处置固体废物技术规范》（GB/T30760-2014）表3水泥熟料中可浸出重金属含量限值要求。</w:t>
            </w:r>
          </w:p>
          <w:p w14:paraId="441623BA">
            <w:pPr>
              <w:adjustRightInd w:val="0"/>
              <w:snapToGrid w:val="0"/>
              <w:spacing w:line="360" w:lineRule="auto"/>
              <w:ind w:firstLine="480" w:firstLineChars="200"/>
              <w:rPr>
                <w:rFonts w:ascii="Times New Roman" w:hAnsi="Times New Roman" w:eastAsia="宋体" w:cs="Times New Roman"/>
                <w:bCs/>
                <w:color w:val="000000"/>
                <w:sz w:val="24"/>
                <w:szCs w:val="24"/>
              </w:rPr>
            </w:pPr>
            <w:r>
              <w:rPr>
                <w:rFonts w:hint="eastAsia" w:ascii="宋体" w:hAnsi="宋体" w:eastAsia="宋体" w:cs="宋体"/>
                <w:bCs/>
                <w:color w:val="000000"/>
                <w:sz w:val="24"/>
                <w:szCs w:val="24"/>
              </w:rPr>
              <w:t>②</w:t>
            </w:r>
            <w:r>
              <w:rPr>
                <w:rFonts w:ascii="Times New Roman" w:hAnsi="Times New Roman" w:eastAsia="宋体" w:cs="Times New Roman"/>
                <w:bCs/>
                <w:color w:val="000000"/>
                <w:sz w:val="24"/>
                <w:szCs w:val="24"/>
              </w:rPr>
              <w:t>信利污泥小试制砖浸出检测结果</w:t>
            </w:r>
          </w:p>
          <w:p w14:paraId="432A741A">
            <w:pPr>
              <w:adjustRightInd w:val="0"/>
              <w:snapToGrid w:val="0"/>
              <w:spacing w:line="360" w:lineRule="auto"/>
              <w:ind w:firstLine="480" w:firstLineChars="200"/>
              <w:rPr>
                <w:rFonts w:ascii="Times New Roman" w:hAnsi="Times New Roman" w:eastAsia="宋体" w:cs="Times New Roman"/>
                <w:bCs/>
                <w:color w:val="000000"/>
                <w:sz w:val="24"/>
                <w:szCs w:val="24"/>
              </w:rPr>
            </w:pPr>
            <w:r>
              <w:rPr>
                <w:rFonts w:ascii="Times New Roman" w:hAnsi="Times New Roman" w:eastAsia="宋体" w:cs="Times New Roman"/>
                <w:bCs/>
                <w:color w:val="000000"/>
                <w:sz w:val="24"/>
                <w:szCs w:val="24"/>
              </w:rPr>
              <w:t>本项目小试实验取信利（仁寿）高端显示科技有限公司三批次污泥，分别按照5%、8%、10%的干泥掺烧比例进行制砖，并对制砖成品进行了浸出检测，检测结果如下：</w:t>
            </w:r>
          </w:p>
          <w:p w14:paraId="218E6325">
            <w:pPr>
              <w:wordWrap w:val="0"/>
              <w:adjustRightInd w:val="0"/>
              <w:snapToGrid w:val="0"/>
              <w:spacing w:line="360" w:lineRule="auto"/>
              <w:jc w:val="right"/>
              <w:rPr>
                <w:rFonts w:ascii="Times New Roman" w:hAnsi="Times New Roman" w:eastAsia="宋体" w:cs="Times New Roman"/>
                <w:color w:val="000000"/>
                <w:sz w:val="24"/>
                <w:szCs w:val="24"/>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6</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无机工业污泥（信利）小试制砖产品浸出试验结果     单位mg/L</w:t>
            </w:r>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96"/>
              <w:gridCol w:w="736"/>
              <w:gridCol w:w="736"/>
              <w:gridCol w:w="736"/>
              <w:gridCol w:w="736"/>
              <w:gridCol w:w="736"/>
              <w:gridCol w:w="736"/>
              <w:gridCol w:w="736"/>
              <w:gridCol w:w="736"/>
              <w:gridCol w:w="738"/>
              <w:gridCol w:w="591"/>
            </w:tblGrid>
            <w:tr w14:paraId="0EE4D2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382" w:type="pct"/>
                  <w:vMerge w:val="restart"/>
                  <w:shd w:val="clear" w:color="auto" w:fill="auto"/>
                  <w:noWrap/>
                  <w:vAlign w:val="center"/>
                </w:tcPr>
                <w:p w14:paraId="0F789BAA">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项目</w:t>
                  </w:r>
                </w:p>
              </w:tc>
              <w:tc>
                <w:tcPr>
                  <w:tcW w:w="1413" w:type="pct"/>
                  <w:gridSpan w:val="3"/>
                  <w:shd w:val="clear" w:color="auto" w:fill="auto"/>
                  <w:vAlign w:val="center"/>
                </w:tcPr>
                <w:p w14:paraId="3FB3A886">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第一批</w:t>
                  </w:r>
                </w:p>
              </w:tc>
              <w:tc>
                <w:tcPr>
                  <w:tcW w:w="1413" w:type="pct"/>
                  <w:gridSpan w:val="3"/>
                  <w:shd w:val="clear" w:color="auto" w:fill="auto"/>
                  <w:vAlign w:val="center"/>
                </w:tcPr>
                <w:p w14:paraId="35C708E8">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第二批</w:t>
                  </w:r>
                </w:p>
              </w:tc>
              <w:tc>
                <w:tcPr>
                  <w:tcW w:w="1414" w:type="pct"/>
                  <w:gridSpan w:val="3"/>
                  <w:vAlign w:val="center"/>
                </w:tcPr>
                <w:p w14:paraId="6A7896F0">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第三批</w:t>
                  </w:r>
                </w:p>
              </w:tc>
              <w:tc>
                <w:tcPr>
                  <w:tcW w:w="378" w:type="pct"/>
                  <w:vMerge w:val="restart"/>
                  <w:vAlign w:val="center"/>
                </w:tcPr>
                <w:p w14:paraId="2752EAD9">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标准限值</w:t>
                  </w:r>
                </w:p>
              </w:tc>
            </w:tr>
            <w:tr w14:paraId="03B5BF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5" w:hRule="atLeast"/>
                <w:jc w:val="center"/>
              </w:trPr>
              <w:tc>
                <w:tcPr>
                  <w:tcW w:w="382" w:type="pct"/>
                  <w:vMerge w:val="continue"/>
                  <w:shd w:val="clear" w:color="auto" w:fill="auto"/>
                  <w:noWrap/>
                  <w:vAlign w:val="center"/>
                </w:tcPr>
                <w:p w14:paraId="0DBAF89D">
                  <w:pPr>
                    <w:widowControl/>
                    <w:ind w:left="-105" w:leftChars="-50" w:right="-105" w:rightChars="-50"/>
                    <w:jc w:val="center"/>
                    <w:rPr>
                      <w:rFonts w:ascii="Times New Roman" w:hAnsi="Times New Roman" w:eastAsia="宋体" w:cs="Times New Roman"/>
                      <w:color w:val="000000"/>
                      <w:kern w:val="0"/>
                      <w:sz w:val="16"/>
                      <w:szCs w:val="16"/>
                    </w:rPr>
                  </w:pPr>
                </w:p>
              </w:tc>
              <w:tc>
                <w:tcPr>
                  <w:tcW w:w="471" w:type="pct"/>
                  <w:shd w:val="clear" w:color="auto" w:fill="auto"/>
                  <w:vAlign w:val="center"/>
                </w:tcPr>
                <w:p w14:paraId="155F5EB4">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5%</w:t>
                  </w:r>
                </w:p>
                <w:p w14:paraId="3627CF50">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掺炼比</w:t>
                  </w:r>
                </w:p>
              </w:tc>
              <w:tc>
                <w:tcPr>
                  <w:tcW w:w="471" w:type="pct"/>
                  <w:shd w:val="clear" w:color="auto" w:fill="auto"/>
                  <w:vAlign w:val="center"/>
                </w:tcPr>
                <w:p w14:paraId="705A9BF0">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8%</w:t>
                  </w:r>
                </w:p>
                <w:p w14:paraId="46C8AEC0">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掺炼比</w:t>
                  </w:r>
                </w:p>
              </w:tc>
              <w:tc>
                <w:tcPr>
                  <w:tcW w:w="471" w:type="pct"/>
                  <w:vAlign w:val="center"/>
                </w:tcPr>
                <w:p w14:paraId="718A69EB">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10%</w:t>
                  </w:r>
                </w:p>
                <w:p w14:paraId="51595F84">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掺炼比</w:t>
                  </w:r>
                </w:p>
              </w:tc>
              <w:tc>
                <w:tcPr>
                  <w:tcW w:w="471" w:type="pct"/>
                  <w:shd w:val="clear" w:color="auto" w:fill="auto"/>
                  <w:vAlign w:val="center"/>
                </w:tcPr>
                <w:p w14:paraId="21210EB5">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5%</w:t>
                  </w:r>
                </w:p>
                <w:p w14:paraId="06173CD4">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掺炼比</w:t>
                  </w:r>
                </w:p>
              </w:tc>
              <w:tc>
                <w:tcPr>
                  <w:tcW w:w="471" w:type="pct"/>
                  <w:shd w:val="clear" w:color="auto" w:fill="auto"/>
                  <w:vAlign w:val="center"/>
                </w:tcPr>
                <w:p w14:paraId="551B7CA8">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8%</w:t>
                  </w:r>
                </w:p>
                <w:p w14:paraId="1B088823">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掺炼比</w:t>
                  </w:r>
                </w:p>
              </w:tc>
              <w:tc>
                <w:tcPr>
                  <w:tcW w:w="471" w:type="pct"/>
                  <w:vAlign w:val="center"/>
                </w:tcPr>
                <w:p w14:paraId="23ACDDFC">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10%</w:t>
                  </w:r>
                </w:p>
                <w:p w14:paraId="44B27171">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掺炼比</w:t>
                  </w:r>
                </w:p>
              </w:tc>
              <w:tc>
                <w:tcPr>
                  <w:tcW w:w="471" w:type="pct"/>
                  <w:vAlign w:val="center"/>
                </w:tcPr>
                <w:p w14:paraId="58B1050B">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5%</w:t>
                  </w:r>
                </w:p>
                <w:p w14:paraId="657F78B8">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掺炼比</w:t>
                  </w:r>
                </w:p>
              </w:tc>
              <w:tc>
                <w:tcPr>
                  <w:tcW w:w="471" w:type="pct"/>
                  <w:vAlign w:val="center"/>
                </w:tcPr>
                <w:p w14:paraId="2EA2238B">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8%</w:t>
                  </w:r>
                </w:p>
                <w:p w14:paraId="613E3243">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掺炼比</w:t>
                  </w:r>
                </w:p>
              </w:tc>
              <w:tc>
                <w:tcPr>
                  <w:tcW w:w="471" w:type="pct"/>
                  <w:vAlign w:val="center"/>
                </w:tcPr>
                <w:p w14:paraId="1600ED1C">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10%</w:t>
                  </w:r>
                </w:p>
                <w:p w14:paraId="3587F4FD">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掺炼比</w:t>
                  </w:r>
                </w:p>
              </w:tc>
              <w:tc>
                <w:tcPr>
                  <w:tcW w:w="378" w:type="pct"/>
                  <w:vMerge w:val="continue"/>
                  <w:vAlign w:val="center"/>
                </w:tcPr>
                <w:p w14:paraId="214146CD">
                  <w:pPr>
                    <w:widowControl/>
                    <w:ind w:left="-105" w:leftChars="-50" w:right="-105" w:rightChars="-50"/>
                    <w:jc w:val="center"/>
                    <w:rPr>
                      <w:rFonts w:ascii="Times New Roman" w:hAnsi="Times New Roman" w:eastAsia="宋体" w:cs="Times New Roman"/>
                      <w:color w:val="000000"/>
                      <w:kern w:val="0"/>
                      <w:sz w:val="16"/>
                      <w:szCs w:val="16"/>
                    </w:rPr>
                  </w:pPr>
                </w:p>
              </w:tc>
            </w:tr>
            <w:tr w14:paraId="528522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4" w:hRule="atLeast"/>
                <w:jc w:val="center"/>
              </w:trPr>
              <w:tc>
                <w:tcPr>
                  <w:tcW w:w="382" w:type="pct"/>
                  <w:shd w:val="clear" w:color="auto" w:fill="auto"/>
                  <w:noWrap/>
                  <w:vAlign w:val="center"/>
                </w:tcPr>
                <w:p w14:paraId="37B05158">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汞</w:t>
                  </w:r>
                </w:p>
              </w:tc>
              <w:tc>
                <w:tcPr>
                  <w:tcW w:w="471" w:type="pct"/>
                  <w:shd w:val="clear" w:color="auto" w:fill="auto"/>
                  <w:noWrap/>
                  <w:vAlign w:val="center"/>
                </w:tcPr>
                <w:p w14:paraId="0290E9EA">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5.9×10</w:t>
                  </w:r>
                  <w:r>
                    <w:rPr>
                      <w:rFonts w:ascii="Times New Roman" w:hAnsi="Times New Roman" w:eastAsia="宋体" w:cs="Times New Roman"/>
                      <w:color w:val="000000"/>
                      <w:sz w:val="16"/>
                      <w:szCs w:val="16"/>
                      <w:vertAlign w:val="superscript"/>
                      <w:lang w:bidi="ar"/>
                    </w:rPr>
                    <w:t>-4</w:t>
                  </w:r>
                </w:p>
              </w:tc>
              <w:tc>
                <w:tcPr>
                  <w:tcW w:w="471" w:type="pct"/>
                  <w:shd w:val="clear" w:color="auto" w:fill="auto"/>
                  <w:noWrap/>
                  <w:vAlign w:val="center"/>
                </w:tcPr>
                <w:p w14:paraId="09C9F103">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6.4×10</w:t>
                  </w:r>
                  <w:r>
                    <w:rPr>
                      <w:rFonts w:ascii="Times New Roman" w:hAnsi="Times New Roman" w:eastAsia="宋体" w:cs="Times New Roman"/>
                      <w:color w:val="000000"/>
                      <w:sz w:val="16"/>
                      <w:szCs w:val="16"/>
                      <w:vertAlign w:val="superscript"/>
                      <w:lang w:bidi="ar"/>
                    </w:rPr>
                    <w:t>-4</w:t>
                  </w:r>
                </w:p>
              </w:tc>
              <w:tc>
                <w:tcPr>
                  <w:tcW w:w="471" w:type="pct"/>
                  <w:vAlign w:val="center"/>
                </w:tcPr>
                <w:p w14:paraId="76DFFCC9">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6.3×10</w:t>
                  </w:r>
                  <w:r>
                    <w:rPr>
                      <w:rFonts w:ascii="Times New Roman" w:hAnsi="Times New Roman" w:eastAsia="宋体" w:cs="Times New Roman"/>
                      <w:color w:val="000000"/>
                      <w:sz w:val="16"/>
                      <w:szCs w:val="16"/>
                      <w:vertAlign w:val="superscript"/>
                      <w:lang w:bidi="ar"/>
                    </w:rPr>
                    <w:t>-4</w:t>
                  </w:r>
                </w:p>
              </w:tc>
              <w:tc>
                <w:tcPr>
                  <w:tcW w:w="471" w:type="pct"/>
                  <w:shd w:val="clear" w:color="auto" w:fill="auto"/>
                  <w:noWrap/>
                  <w:vAlign w:val="center"/>
                </w:tcPr>
                <w:p w14:paraId="6B77028C">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6.1×10</w:t>
                  </w:r>
                  <w:r>
                    <w:rPr>
                      <w:rFonts w:ascii="Times New Roman" w:hAnsi="Times New Roman" w:eastAsia="宋体" w:cs="Times New Roman"/>
                      <w:color w:val="000000"/>
                      <w:sz w:val="16"/>
                      <w:szCs w:val="16"/>
                      <w:vertAlign w:val="superscript"/>
                      <w:lang w:bidi="ar"/>
                    </w:rPr>
                    <w:t>-4</w:t>
                  </w:r>
                </w:p>
              </w:tc>
              <w:tc>
                <w:tcPr>
                  <w:tcW w:w="471" w:type="pct"/>
                  <w:shd w:val="clear" w:color="auto" w:fill="auto"/>
                  <w:noWrap/>
                  <w:vAlign w:val="center"/>
                </w:tcPr>
                <w:p w14:paraId="07439337">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5.3×10</w:t>
                  </w:r>
                  <w:r>
                    <w:rPr>
                      <w:rFonts w:ascii="Times New Roman" w:hAnsi="Times New Roman" w:eastAsia="宋体" w:cs="Times New Roman"/>
                      <w:color w:val="000000"/>
                      <w:sz w:val="16"/>
                      <w:szCs w:val="16"/>
                      <w:vertAlign w:val="superscript"/>
                      <w:lang w:bidi="ar"/>
                    </w:rPr>
                    <w:t>-4</w:t>
                  </w:r>
                </w:p>
              </w:tc>
              <w:tc>
                <w:tcPr>
                  <w:tcW w:w="471" w:type="pct"/>
                  <w:vAlign w:val="center"/>
                </w:tcPr>
                <w:p w14:paraId="3E1E6C4B">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4.5×10</w:t>
                  </w:r>
                  <w:r>
                    <w:rPr>
                      <w:rFonts w:ascii="Times New Roman" w:hAnsi="Times New Roman" w:eastAsia="宋体" w:cs="Times New Roman"/>
                      <w:color w:val="000000"/>
                      <w:sz w:val="16"/>
                      <w:szCs w:val="16"/>
                      <w:vertAlign w:val="superscript"/>
                      <w:lang w:bidi="ar"/>
                    </w:rPr>
                    <w:t>-4</w:t>
                  </w:r>
                </w:p>
              </w:tc>
              <w:tc>
                <w:tcPr>
                  <w:tcW w:w="471" w:type="pct"/>
                  <w:vAlign w:val="center"/>
                </w:tcPr>
                <w:p w14:paraId="69C111BC">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4.7×10</w:t>
                  </w:r>
                  <w:r>
                    <w:rPr>
                      <w:rFonts w:ascii="Times New Roman" w:hAnsi="Times New Roman" w:eastAsia="宋体" w:cs="Times New Roman"/>
                      <w:color w:val="000000"/>
                      <w:sz w:val="16"/>
                      <w:szCs w:val="16"/>
                      <w:vertAlign w:val="superscript"/>
                      <w:lang w:bidi="ar"/>
                    </w:rPr>
                    <w:t>-4</w:t>
                  </w:r>
                </w:p>
              </w:tc>
              <w:tc>
                <w:tcPr>
                  <w:tcW w:w="471" w:type="pct"/>
                  <w:vAlign w:val="center"/>
                </w:tcPr>
                <w:p w14:paraId="35A064B4">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4.9×10</w:t>
                  </w:r>
                  <w:r>
                    <w:rPr>
                      <w:rFonts w:ascii="Times New Roman" w:hAnsi="Times New Roman" w:eastAsia="宋体" w:cs="Times New Roman"/>
                      <w:color w:val="000000"/>
                      <w:sz w:val="16"/>
                      <w:szCs w:val="16"/>
                      <w:vertAlign w:val="superscript"/>
                      <w:lang w:bidi="ar"/>
                    </w:rPr>
                    <w:t>-4</w:t>
                  </w:r>
                </w:p>
              </w:tc>
              <w:tc>
                <w:tcPr>
                  <w:tcW w:w="471" w:type="pct"/>
                  <w:vAlign w:val="center"/>
                </w:tcPr>
                <w:p w14:paraId="1B25B50D">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4.8×10</w:t>
                  </w:r>
                  <w:r>
                    <w:rPr>
                      <w:rFonts w:ascii="Times New Roman" w:hAnsi="Times New Roman" w:eastAsia="宋体" w:cs="Times New Roman"/>
                      <w:color w:val="000000"/>
                      <w:sz w:val="16"/>
                      <w:szCs w:val="16"/>
                      <w:vertAlign w:val="superscript"/>
                      <w:lang w:bidi="ar"/>
                    </w:rPr>
                    <w:t>-4</w:t>
                  </w:r>
                </w:p>
              </w:tc>
              <w:tc>
                <w:tcPr>
                  <w:tcW w:w="378" w:type="pct"/>
                  <w:vAlign w:val="center"/>
                </w:tcPr>
                <w:p w14:paraId="5767D79A">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w:t>
                  </w:r>
                </w:p>
              </w:tc>
            </w:tr>
            <w:tr w14:paraId="7B7871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4" w:hRule="atLeast"/>
                <w:jc w:val="center"/>
              </w:trPr>
              <w:tc>
                <w:tcPr>
                  <w:tcW w:w="382" w:type="pct"/>
                  <w:shd w:val="clear" w:color="auto" w:fill="auto"/>
                  <w:noWrap/>
                  <w:vAlign w:val="center"/>
                </w:tcPr>
                <w:p w14:paraId="62CB7BE9">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砷</w:t>
                  </w:r>
                </w:p>
              </w:tc>
              <w:tc>
                <w:tcPr>
                  <w:tcW w:w="471" w:type="pct"/>
                  <w:shd w:val="clear" w:color="auto" w:fill="auto"/>
                  <w:noWrap/>
                  <w:vAlign w:val="center"/>
                </w:tcPr>
                <w:p w14:paraId="46175B5E">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1.74×10</w:t>
                  </w:r>
                  <w:r>
                    <w:rPr>
                      <w:rFonts w:ascii="Times New Roman" w:hAnsi="Times New Roman" w:eastAsia="宋体" w:cs="Times New Roman"/>
                      <w:color w:val="000000"/>
                      <w:sz w:val="16"/>
                      <w:szCs w:val="16"/>
                      <w:vertAlign w:val="superscript"/>
                      <w:lang w:bidi="ar"/>
                    </w:rPr>
                    <w:t>-2</w:t>
                  </w:r>
                </w:p>
              </w:tc>
              <w:tc>
                <w:tcPr>
                  <w:tcW w:w="471" w:type="pct"/>
                  <w:shd w:val="clear" w:color="auto" w:fill="auto"/>
                  <w:noWrap/>
                  <w:vAlign w:val="center"/>
                </w:tcPr>
                <w:p w14:paraId="010565FF">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1.42×10</w:t>
                  </w:r>
                  <w:r>
                    <w:rPr>
                      <w:rFonts w:ascii="Times New Roman" w:hAnsi="Times New Roman" w:eastAsia="宋体" w:cs="Times New Roman"/>
                      <w:color w:val="000000"/>
                      <w:sz w:val="16"/>
                      <w:szCs w:val="16"/>
                      <w:vertAlign w:val="superscript"/>
                      <w:lang w:bidi="ar"/>
                    </w:rPr>
                    <w:t>-2</w:t>
                  </w:r>
                </w:p>
              </w:tc>
              <w:tc>
                <w:tcPr>
                  <w:tcW w:w="471" w:type="pct"/>
                  <w:vAlign w:val="center"/>
                </w:tcPr>
                <w:p w14:paraId="11913BDD">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1.35×10</w:t>
                  </w:r>
                  <w:r>
                    <w:rPr>
                      <w:rFonts w:ascii="Times New Roman" w:hAnsi="Times New Roman" w:eastAsia="宋体" w:cs="Times New Roman"/>
                      <w:color w:val="000000"/>
                      <w:sz w:val="16"/>
                      <w:szCs w:val="16"/>
                      <w:vertAlign w:val="superscript"/>
                      <w:lang w:bidi="ar"/>
                    </w:rPr>
                    <w:t>-2</w:t>
                  </w:r>
                </w:p>
              </w:tc>
              <w:tc>
                <w:tcPr>
                  <w:tcW w:w="471" w:type="pct"/>
                  <w:shd w:val="clear" w:color="auto" w:fill="auto"/>
                  <w:noWrap/>
                  <w:vAlign w:val="center"/>
                </w:tcPr>
                <w:p w14:paraId="7095C015">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2.01×10</w:t>
                  </w:r>
                  <w:r>
                    <w:rPr>
                      <w:rFonts w:ascii="Times New Roman" w:hAnsi="Times New Roman" w:eastAsia="宋体" w:cs="Times New Roman"/>
                      <w:color w:val="000000"/>
                      <w:sz w:val="16"/>
                      <w:szCs w:val="16"/>
                      <w:vertAlign w:val="superscript"/>
                      <w:lang w:bidi="ar"/>
                    </w:rPr>
                    <w:t>-2</w:t>
                  </w:r>
                </w:p>
              </w:tc>
              <w:tc>
                <w:tcPr>
                  <w:tcW w:w="471" w:type="pct"/>
                  <w:shd w:val="clear" w:color="auto" w:fill="auto"/>
                  <w:noWrap/>
                  <w:vAlign w:val="center"/>
                </w:tcPr>
                <w:p w14:paraId="22D712B2">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2.16×10</w:t>
                  </w:r>
                  <w:r>
                    <w:rPr>
                      <w:rFonts w:ascii="Times New Roman" w:hAnsi="Times New Roman" w:eastAsia="宋体" w:cs="Times New Roman"/>
                      <w:color w:val="000000"/>
                      <w:sz w:val="16"/>
                      <w:szCs w:val="16"/>
                      <w:vertAlign w:val="superscript"/>
                      <w:lang w:bidi="ar"/>
                    </w:rPr>
                    <w:t>-2</w:t>
                  </w:r>
                </w:p>
              </w:tc>
              <w:tc>
                <w:tcPr>
                  <w:tcW w:w="471" w:type="pct"/>
                  <w:vAlign w:val="center"/>
                </w:tcPr>
                <w:p w14:paraId="29BC3D8C">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6.88×10</w:t>
                  </w:r>
                  <w:r>
                    <w:rPr>
                      <w:rFonts w:ascii="Times New Roman" w:hAnsi="Times New Roman" w:eastAsia="宋体" w:cs="Times New Roman"/>
                      <w:color w:val="000000"/>
                      <w:sz w:val="16"/>
                      <w:szCs w:val="16"/>
                      <w:vertAlign w:val="superscript"/>
                      <w:lang w:bidi="ar"/>
                    </w:rPr>
                    <w:t>-3</w:t>
                  </w:r>
                </w:p>
              </w:tc>
              <w:tc>
                <w:tcPr>
                  <w:tcW w:w="471" w:type="pct"/>
                  <w:vAlign w:val="center"/>
                </w:tcPr>
                <w:p w14:paraId="1F1989CE">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9.69×10</w:t>
                  </w:r>
                  <w:r>
                    <w:rPr>
                      <w:rFonts w:ascii="Times New Roman" w:hAnsi="Times New Roman" w:eastAsia="宋体" w:cs="Times New Roman"/>
                      <w:color w:val="000000"/>
                      <w:sz w:val="16"/>
                      <w:szCs w:val="16"/>
                      <w:vertAlign w:val="superscript"/>
                      <w:lang w:bidi="ar"/>
                    </w:rPr>
                    <w:t>-3</w:t>
                  </w:r>
                </w:p>
              </w:tc>
              <w:tc>
                <w:tcPr>
                  <w:tcW w:w="471" w:type="pct"/>
                  <w:vAlign w:val="center"/>
                </w:tcPr>
                <w:p w14:paraId="2F7429ED">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1.55×10</w:t>
                  </w:r>
                  <w:r>
                    <w:rPr>
                      <w:rFonts w:ascii="Times New Roman" w:hAnsi="Times New Roman" w:eastAsia="宋体" w:cs="Times New Roman"/>
                      <w:color w:val="000000"/>
                      <w:sz w:val="16"/>
                      <w:szCs w:val="16"/>
                      <w:vertAlign w:val="superscript"/>
                      <w:lang w:bidi="ar"/>
                    </w:rPr>
                    <w:t>-2</w:t>
                  </w:r>
                </w:p>
              </w:tc>
              <w:tc>
                <w:tcPr>
                  <w:tcW w:w="471" w:type="pct"/>
                  <w:vAlign w:val="center"/>
                </w:tcPr>
                <w:p w14:paraId="34A28B48">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1.01×10</w:t>
                  </w:r>
                  <w:r>
                    <w:rPr>
                      <w:rFonts w:ascii="Times New Roman" w:hAnsi="Times New Roman" w:eastAsia="宋体" w:cs="Times New Roman"/>
                      <w:color w:val="000000"/>
                      <w:sz w:val="16"/>
                      <w:szCs w:val="16"/>
                      <w:vertAlign w:val="superscript"/>
                      <w:lang w:bidi="ar"/>
                    </w:rPr>
                    <w:t>-2</w:t>
                  </w:r>
                </w:p>
              </w:tc>
              <w:tc>
                <w:tcPr>
                  <w:tcW w:w="378" w:type="pct"/>
                  <w:vAlign w:val="center"/>
                </w:tcPr>
                <w:p w14:paraId="3FDEF6F6">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0.1</w:t>
                  </w:r>
                </w:p>
              </w:tc>
            </w:tr>
            <w:tr w14:paraId="3F2FEC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4" w:hRule="atLeast"/>
                <w:jc w:val="center"/>
              </w:trPr>
              <w:tc>
                <w:tcPr>
                  <w:tcW w:w="382" w:type="pct"/>
                  <w:shd w:val="clear" w:color="auto" w:fill="auto"/>
                  <w:noWrap/>
                  <w:vAlign w:val="center"/>
                </w:tcPr>
                <w:p w14:paraId="0721EB51">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锌</w:t>
                  </w:r>
                </w:p>
              </w:tc>
              <w:tc>
                <w:tcPr>
                  <w:tcW w:w="471" w:type="pct"/>
                  <w:shd w:val="clear" w:color="auto" w:fill="auto"/>
                  <w:noWrap/>
                  <w:vAlign w:val="center"/>
                </w:tcPr>
                <w:p w14:paraId="444167EF">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0.01</w:t>
                  </w:r>
                </w:p>
              </w:tc>
              <w:tc>
                <w:tcPr>
                  <w:tcW w:w="471" w:type="pct"/>
                  <w:shd w:val="clear" w:color="auto" w:fill="auto"/>
                  <w:noWrap/>
                  <w:vAlign w:val="center"/>
                </w:tcPr>
                <w:p w14:paraId="302BDF2A">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0.01</w:t>
                  </w:r>
                </w:p>
              </w:tc>
              <w:tc>
                <w:tcPr>
                  <w:tcW w:w="471" w:type="pct"/>
                  <w:vAlign w:val="center"/>
                </w:tcPr>
                <w:p w14:paraId="5B4E039F">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shd w:val="clear" w:color="auto" w:fill="auto"/>
                  <w:noWrap/>
                  <w:vAlign w:val="center"/>
                </w:tcPr>
                <w:p w14:paraId="6B0A60FF">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shd w:val="clear" w:color="auto" w:fill="auto"/>
                  <w:noWrap/>
                  <w:vAlign w:val="center"/>
                </w:tcPr>
                <w:p w14:paraId="099AAC9A">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0.01</w:t>
                  </w:r>
                </w:p>
              </w:tc>
              <w:tc>
                <w:tcPr>
                  <w:tcW w:w="471" w:type="pct"/>
                  <w:vAlign w:val="center"/>
                </w:tcPr>
                <w:p w14:paraId="3A7103DE">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0.01</w:t>
                  </w:r>
                </w:p>
              </w:tc>
              <w:tc>
                <w:tcPr>
                  <w:tcW w:w="471" w:type="pct"/>
                  <w:vAlign w:val="center"/>
                </w:tcPr>
                <w:p w14:paraId="5F9614E1">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0.02</w:t>
                  </w:r>
                </w:p>
              </w:tc>
              <w:tc>
                <w:tcPr>
                  <w:tcW w:w="471" w:type="pct"/>
                  <w:vAlign w:val="center"/>
                </w:tcPr>
                <w:p w14:paraId="7A1CE461">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442E4A7F">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378" w:type="pct"/>
                  <w:vAlign w:val="center"/>
                </w:tcPr>
                <w:p w14:paraId="4C184A68">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1.0</w:t>
                  </w:r>
                </w:p>
              </w:tc>
            </w:tr>
            <w:tr w14:paraId="573AC1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4" w:hRule="atLeast"/>
                <w:jc w:val="center"/>
              </w:trPr>
              <w:tc>
                <w:tcPr>
                  <w:tcW w:w="382" w:type="pct"/>
                  <w:shd w:val="clear" w:color="auto" w:fill="auto"/>
                  <w:noWrap/>
                  <w:vAlign w:val="center"/>
                </w:tcPr>
                <w:p w14:paraId="53347EE6">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铅</w:t>
                  </w:r>
                </w:p>
              </w:tc>
              <w:tc>
                <w:tcPr>
                  <w:tcW w:w="471" w:type="pct"/>
                  <w:shd w:val="clear" w:color="auto" w:fill="auto"/>
                  <w:noWrap/>
                  <w:vAlign w:val="center"/>
                </w:tcPr>
                <w:p w14:paraId="47164B42">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shd w:val="clear" w:color="auto" w:fill="auto"/>
                  <w:noWrap/>
                  <w:vAlign w:val="center"/>
                </w:tcPr>
                <w:p w14:paraId="64F8CDE9">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296DDBA2">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shd w:val="clear" w:color="auto" w:fill="auto"/>
                  <w:noWrap/>
                  <w:vAlign w:val="center"/>
                </w:tcPr>
                <w:p w14:paraId="64D53A9D">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shd w:val="clear" w:color="auto" w:fill="auto"/>
                  <w:noWrap/>
                  <w:vAlign w:val="center"/>
                </w:tcPr>
                <w:p w14:paraId="5B710DDC">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3B8BDCAB">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25C04724">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2F8CB402">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794483EE">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378" w:type="pct"/>
                  <w:vAlign w:val="center"/>
                </w:tcPr>
                <w:p w14:paraId="26DA8DAE">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0.3</w:t>
                  </w:r>
                </w:p>
              </w:tc>
            </w:tr>
            <w:tr w14:paraId="159678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4" w:hRule="atLeast"/>
                <w:jc w:val="center"/>
              </w:trPr>
              <w:tc>
                <w:tcPr>
                  <w:tcW w:w="382" w:type="pct"/>
                  <w:shd w:val="clear" w:color="auto" w:fill="auto"/>
                  <w:noWrap/>
                  <w:vAlign w:val="center"/>
                </w:tcPr>
                <w:p w14:paraId="26949E6A">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镍</w:t>
                  </w:r>
                </w:p>
              </w:tc>
              <w:tc>
                <w:tcPr>
                  <w:tcW w:w="471" w:type="pct"/>
                  <w:shd w:val="clear" w:color="auto" w:fill="auto"/>
                  <w:noWrap/>
                  <w:vAlign w:val="center"/>
                </w:tcPr>
                <w:p w14:paraId="57A3F9FE">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shd w:val="clear" w:color="auto" w:fill="auto"/>
                  <w:noWrap/>
                  <w:vAlign w:val="center"/>
                </w:tcPr>
                <w:p w14:paraId="6ADD447F">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71C25400">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shd w:val="clear" w:color="auto" w:fill="auto"/>
                  <w:noWrap/>
                  <w:vAlign w:val="center"/>
                </w:tcPr>
                <w:p w14:paraId="231D2A22">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shd w:val="clear" w:color="auto" w:fill="auto"/>
                  <w:noWrap/>
                  <w:vAlign w:val="center"/>
                </w:tcPr>
                <w:p w14:paraId="4356EF41">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1FFEBE21">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7AAA151A">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14804360">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066CC161">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378" w:type="pct"/>
                  <w:vAlign w:val="center"/>
                </w:tcPr>
                <w:p w14:paraId="017FCE68">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0.2</w:t>
                  </w:r>
                </w:p>
              </w:tc>
            </w:tr>
            <w:tr w14:paraId="0F963E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4" w:hRule="atLeast"/>
                <w:jc w:val="center"/>
              </w:trPr>
              <w:tc>
                <w:tcPr>
                  <w:tcW w:w="382" w:type="pct"/>
                  <w:shd w:val="clear" w:color="auto" w:fill="auto"/>
                  <w:noWrap/>
                  <w:vAlign w:val="center"/>
                </w:tcPr>
                <w:p w14:paraId="785BD56F">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铜</w:t>
                  </w:r>
                </w:p>
              </w:tc>
              <w:tc>
                <w:tcPr>
                  <w:tcW w:w="471" w:type="pct"/>
                  <w:shd w:val="clear" w:color="auto" w:fill="auto"/>
                  <w:noWrap/>
                  <w:vAlign w:val="center"/>
                </w:tcPr>
                <w:p w14:paraId="2F00B959">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shd w:val="clear" w:color="auto" w:fill="auto"/>
                  <w:noWrap/>
                  <w:vAlign w:val="center"/>
                </w:tcPr>
                <w:p w14:paraId="08F0683B">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3F899715">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shd w:val="clear" w:color="auto" w:fill="auto"/>
                  <w:noWrap/>
                  <w:vAlign w:val="center"/>
                </w:tcPr>
                <w:p w14:paraId="152CF1AE">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shd w:val="clear" w:color="auto" w:fill="auto"/>
                  <w:noWrap/>
                  <w:vAlign w:val="center"/>
                </w:tcPr>
                <w:p w14:paraId="486EBA49">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7088F213">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0C92F1F2">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34B75ECB">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34984654">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378" w:type="pct"/>
                  <w:vAlign w:val="center"/>
                </w:tcPr>
                <w:p w14:paraId="3D3A54E9">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1.0</w:t>
                  </w:r>
                </w:p>
              </w:tc>
            </w:tr>
            <w:tr w14:paraId="4C0B17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4" w:hRule="atLeast"/>
                <w:jc w:val="center"/>
              </w:trPr>
              <w:tc>
                <w:tcPr>
                  <w:tcW w:w="382" w:type="pct"/>
                  <w:shd w:val="clear" w:color="auto" w:fill="auto"/>
                  <w:noWrap/>
                  <w:vAlign w:val="center"/>
                </w:tcPr>
                <w:p w14:paraId="14B62B97">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铬</w:t>
                  </w:r>
                </w:p>
              </w:tc>
              <w:tc>
                <w:tcPr>
                  <w:tcW w:w="471" w:type="pct"/>
                  <w:shd w:val="clear" w:color="auto" w:fill="auto"/>
                  <w:noWrap/>
                  <w:vAlign w:val="center"/>
                </w:tcPr>
                <w:p w14:paraId="5CF29C4A">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shd w:val="clear" w:color="auto" w:fill="auto"/>
                  <w:noWrap/>
                  <w:vAlign w:val="center"/>
                </w:tcPr>
                <w:p w14:paraId="5D060E4C">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0CE8E717">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shd w:val="clear" w:color="auto" w:fill="auto"/>
                  <w:noWrap/>
                  <w:vAlign w:val="center"/>
                </w:tcPr>
                <w:p w14:paraId="1C4BDB8F">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shd w:val="clear" w:color="auto" w:fill="auto"/>
                  <w:noWrap/>
                  <w:vAlign w:val="center"/>
                </w:tcPr>
                <w:p w14:paraId="187CD6DC">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59B4EBCF">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6484E085">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41876DED">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0A238D9E">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378" w:type="pct"/>
                  <w:vAlign w:val="center"/>
                </w:tcPr>
                <w:p w14:paraId="0CE7693A">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0.2</w:t>
                  </w:r>
                </w:p>
              </w:tc>
            </w:tr>
            <w:tr w14:paraId="07152E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4" w:hRule="atLeast"/>
                <w:jc w:val="center"/>
              </w:trPr>
              <w:tc>
                <w:tcPr>
                  <w:tcW w:w="382" w:type="pct"/>
                  <w:shd w:val="clear" w:color="auto" w:fill="auto"/>
                  <w:noWrap/>
                  <w:vAlign w:val="center"/>
                </w:tcPr>
                <w:p w14:paraId="408EF54A">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镉</w:t>
                  </w:r>
                </w:p>
              </w:tc>
              <w:tc>
                <w:tcPr>
                  <w:tcW w:w="471" w:type="pct"/>
                  <w:shd w:val="clear" w:color="auto" w:fill="auto"/>
                  <w:noWrap/>
                  <w:vAlign w:val="center"/>
                </w:tcPr>
                <w:p w14:paraId="4B60FF23">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shd w:val="clear" w:color="auto" w:fill="auto"/>
                  <w:noWrap/>
                  <w:vAlign w:val="center"/>
                </w:tcPr>
                <w:p w14:paraId="63321476">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6722B356">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shd w:val="clear" w:color="auto" w:fill="auto"/>
                  <w:noWrap/>
                  <w:vAlign w:val="center"/>
                </w:tcPr>
                <w:p w14:paraId="1FC88F6C">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shd w:val="clear" w:color="auto" w:fill="auto"/>
                  <w:noWrap/>
                  <w:vAlign w:val="center"/>
                </w:tcPr>
                <w:p w14:paraId="1C25D9D9">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54EF3950">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455A70D4">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320967AB">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471" w:type="pct"/>
                  <w:vAlign w:val="center"/>
                </w:tcPr>
                <w:p w14:paraId="7B842F91">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sz w:val="16"/>
                      <w:szCs w:val="16"/>
                      <w:lang w:bidi="ar"/>
                    </w:rPr>
                    <w:t>未检出</w:t>
                  </w:r>
                </w:p>
              </w:tc>
              <w:tc>
                <w:tcPr>
                  <w:tcW w:w="378" w:type="pct"/>
                  <w:vAlign w:val="center"/>
                </w:tcPr>
                <w:p w14:paraId="472836BB">
                  <w:pPr>
                    <w:widowControl/>
                    <w:ind w:left="-105" w:leftChars="-50" w:right="-105" w:rightChars="-50"/>
                    <w:jc w:val="center"/>
                    <w:rPr>
                      <w:rFonts w:ascii="Times New Roman" w:hAnsi="Times New Roman" w:eastAsia="宋体" w:cs="Times New Roman"/>
                      <w:color w:val="000000"/>
                      <w:kern w:val="0"/>
                      <w:sz w:val="16"/>
                      <w:szCs w:val="16"/>
                    </w:rPr>
                  </w:pPr>
                  <w:r>
                    <w:rPr>
                      <w:rFonts w:ascii="Times New Roman" w:hAnsi="Times New Roman" w:eastAsia="宋体" w:cs="Times New Roman"/>
                      <w:color w:val="000000"/>
                      <w:kern w:val="0"/>
                      <w:sz w:val="16"/>
                      <w:szCs w:val="16"/>
                    </w:rPr>
                    <w:t>0.03</w:t>
                  </w:r>
                </w:p>
              </w:tc>
            </w:tr>
          </w:tbl>
          <w:p w14:paraId="26227526">
            <w:pPr>
              <w:adjustRightInd w:val="0"/>
              <w:snapToGrid w:val="0"/>
              <w:spacing w:before="156" w:beforeLines="50" w:line="360" w:lineRule="auto"/>
              <w:ind w:firstLine="480" w:firstLineChars="200"/>
              <w:rPr>
                <w:rFonts w:ascii="Times New Roman" w:hAnsi="Times New Roman" w:eastAsia="宋体" w:cs="Times New Roman"/>
                <w:bCs/>
                <w:color w:val="000000"/>
                <w:sz w:val="24"/>
                <w:szCs w:val="24"/>
              </w:rPr>
            </w:pPr>
            <w:r>
              <w:rPr>
                <w:rFonts w:ascii="Times New Roman" w:hAnsi="Times New Roman" w:eastAsia="宋体" w:cs="Times New Roman"/>
                <w:bCs/>
                <w:color w:val="000000"/>
                <w:sz w:val="24"/>
                <w:szCs w:val="24"/>
              </w:rPr>
              <w:t>根据掺烧制成砖坯浸出液检测结果显示，信利污泥用于烧结制砖其浸出检测指标均低于《水泥窑协同处置固体废物技术规范》（GB/T30760-2014）表3水泥熟料中可浸出重金属含量限值要求。</w:t>
            </w:r>
          </w:p>
          <w:p w14:paraId="267960B2">
            <w:pPr>
              <w:adjustRightInd w:val="0"/>
              <w:snapToGrid w:val="0"/>
              <w:spacing w:line="360" w:lineRule="auto"/>
              <w:ind w:firstLine="480" w:firstLineChars="200"/>
              <w:rPr>
                <w:rFonts w:ascii="Times New Roman" w:hAnsi="Times New Roman" w:eastAsia="宋体" w:cs="Times New Roman"/>
                <w:bCs/>
                <w:color w:val="000000"/>
                <w:sz w:val="24"/>
                <w:szCs w:val="24"/>
              </w:rPr>
            </w:pPr>
            <w:r>
              <w:rPr>
                <w:rFonts w:hint="eastAsia" w:ascii="宋体" w:hAnsi="宋体" w:eastAsia="宋体" w:cs="宋体"/>
                <w:bCs/>
                <w:color w:val="000000"/>
                <w:sz w:val="24"/>
                <w:szCs w:val="24"/>
              </w:rPr>
              <w:t>③</w:t>
            </w:r>
            <w:r>
              <w:rPr>
                <w:rFonts w:ascii="Times New Roman" w:hAnsi="Times New Roman" w:eastAsia="宋体" w:cs="Times New Roman"/>
                <w:bCs/>
                <w:color w:val="000000"/>
                <w:sz w:val="24"/>
                <w:szCs w:val="24"/>
              </w:rPr>
              <w:t>东捷污泥小试制砖浸出检测结果</w:t>
            </w:r>
          </w:p>
          <w:p w14:paraId="6D6A59DF">
            <w:pPr>
              <w:adjustRightInd w:val="0"/>
              <w:snapToGrid w:val="0"/>
              <w:spacing w:line="360" w:lineRule="auto"/>
              <w:ind w:firstLine="480" w:firstLineChars="200"/>
              <w:rPr>
                <w:rFonts w:ascii="Times New Roman" w:hAnsi="Times New Roman" w:eastAsia="宋体" w:cs="Times New Roman"/>
                <w:bCs/>
                <w:color w:val="000000"/>
                <w:sz w:val="24"/>
                <w:szCs w:val="24"/>
              </w:rPr>
            </w:pPr>
            <w:r>
              <w:rPr>
                <w:rFonts w:ascii="Times New Roman" w:hAnsi="Times New Roman" w:eastAsia="宋体" w:cs="Times New Roman"/>
                <w:bCs/>
                <w:color w:val="000000"/>
                <w:sz w:val="24"/>
                <w:szCs w:val="24"/>
              </w:rPr>
              <w:t>本项目小试实验取四川东捷污水处理有限公司两批次污泥，分别按照5%、8%、10%的干泥掺烧比例进行制砖，并对制砖成品进行了浸出检测，检测结果如下：</w:t>
            </w:r>
          </w:p>
          <w:p w14:paraId="793CB126">
            <w:pPr>
              <w:wordWrap w:val="0"/>
              <w:adjustRightInd w:val="0"/>
              <w:snapToGrid w:val="0"/>
              <w:spacing w:line="360" w:lineRule="auto"/>
              <w:jc w:val="right"/>
              <w:rPr>
                <w:rFonts w:ascii="Times New Roman" w:hAnsi="Times New Roman" w:eastAsia="宋体" w:cs="Times New Roman"/>
                <w:color w:val="000000"/>
                <w:sz w:val="24"/>
                <w:szCs w:val="24"/>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7</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无机工业污泥（东捷）小试制砖产品浸出试验结果     单位mg/L</w:t>
            </w:r>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33"/>
              <w:gridCol w:w="1024"/>
              <w:gridCol w:w="1027"/>
              <w:gridCol w:w="1028"/>
              <w:gridCol w:w="1027"/>
              <w:gridCol w:w="1024"/>
              <w:gridCol w:w="1028"/>
              <w:gridCol w:w="822"/>
            </w:tblGrid>
            <w:tr w14:paraId="0D2599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1" w:hRule="atLeast"/>
                <w:jc w:val="center"/>
              </w:trPr>
              <w:tc>
                <w:tcPr>
                  <w:tcW w:w="533" w:type="pct"/>
                  <w:vMerge w:val="restart"/>
                  <w:shd w:val="clear" w:color="auto" w:fill="auto"/>
                  <w:noWrap/>
                  <w:vAlign w:val="center"/>
                </w:tcPr>
                <w:p w14:paraId="1E24BCE8">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项目</w:t>
                  </w:r>
                </w:p>
              </w:tc>
              <w:tc>
                <w:tcPr>
                  <w:tcW w:w="1970" w:type="pct"/>
                  <w:gridSpan w:val="3"/>
                  <w:shd w:val="clear" w:color="auto" w:fill="auto"/>
                  <w:vAlign w:val="center"/>
                </w:tcPr>
                <w:p w14:paraId="4DE4031E">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第一批</w:t>
                  </w:r>
                </w:p>
              </w:tc>
              <w:tc>
                <w:tcPr>
                  <w:tcW w:w="1970" w:type="pct"/>
                  <w:gridSpan w:val="3"/>
                  <w:shd w:val="clear" w:color="auto" w:fill="auto"/>
                  <w:vAlign w:val="center"/>
                </w:tcPr>
                <w:p w14:paraId="37F40F2E">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第二批</w:t>
                  </w:r>
                </w:p>
              </w:tc>
              <w:tc>
                <w:tcPr>
                  <w:tcW w:w="526" w:type="pct"/>
                  <w:vMerge w:val="restart"/>
                  <w:vAlign w:val="center"/>
                </w:tcPr>
                <w:p w14:paraId="721CC4E2">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标准限值</w:t>
                  </w:r>
                </w:p>
              </w:tc>
            </w:tr>
            <w:tr w14:paraId="54417C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1" w:hRule="atLeast"/>
                <w:jc w:val="center"/>
              </w:trPr>
              <w:tc>
                <w:tcPr>
                  <w:tcW w:w="533" w:type="pct"/>
                  <w:vMerge w:val="continue"/>
                  <w:shd w:val="clear" w:color="auto" w:fill="auto"/>
                  <w:noWrap/>
                  <w:vAlign w:val="center"/>
                </w:tcPr>
                <w:p w14:paraId="241FC1C2">
                  <w:pPr>
                    <w:widowControl/>
                    <w:ind w:left="-105" w:leftChars="-50" w:right="-105" w:rightChars="-50"/>
                    <w:jc w:val="center"/>
                    <w:rPr>
                      <w:rFonts w:ascii="Times New Roman" w:hAnsi="Times New Roman" w:eastAsia="宋体" w:cs="Times New Roman"/>
                      <w:color w:val="000000"/>
                      <w:kern w:val="0"/>
                      <w:szCs w:val="21"/>
                    </w:rPr>
                  </w:pPr>
                </w:p>
              </w:tc>
              <w:tc>
                <w:tcPr>
                  <w:tcW w:w="655" w:type="pct"/>
                  <w:shd w:val="clear" w:color="auto" w:fill="auto"/>
                  <w:vAlign w:val="center"/>
                </w:tcPr>
                <w:p w14:paraId="6ED6E718">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5%</w:t>
                  </w:r>
                </w:p>
                <w:p w14:paraId="5427F797">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掺炼比</w:t>
                  </w:r>
                </w:p>
              </w:tc>
              <w:tc>
                <w:tcPr>
                  <w:tcW w:w="657" w:type="pct"/>
                  <w:shd w:val="clear" w:color="auto" w:fill="auto"/>
                  <w:vAlign w:val="center"/>
                </w:tcPr>
                <w:p w14:paraId="0B398E16">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8%</w:t>
                  </w:r>
                </w:p>
                <w:p w14:paraId="586B065A">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掺炼比</w:t>
                  </w:r>
                </w:p>
              </w:tc>
              <w:tc>
                <w:tcPr>
                  <w:tcW w:w="658" w:type="pct"/>
                  <w:vAlign w:val="center"/>
                </w:tcPr>
                <w:p w14:paraId="3E4A0FE8">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10%</w:t>
                  </w:r>
                </w:p>
                <w:p w14:paraId="77FDC660">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掺炼比</w:t>
                  </w:r>
                </w:p>
              </w:tc>
              <w:tc>
                <w:tcPr>
                  <w:tcW w:w="657" w:type="pct"/>
                  <w:shd w:val="clear" w:color="auto" w:fill="auto"/>
                  <w:vAlign w:val="center"/>
                </w:tcPr>
                <w:p w14:paraId="097F7793">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5%</w:t>
                  </w:r>
                </w:p>
                <w:p w14:paraId="5D9FA39F">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掺炼比</w:t>
                  </w:r>
                </w:p>
              </w:tc>
              <w:tc>
                <w:tcPr>
                  <w:tcW w:w="655" w:type="pct"/>
                  <w:shd w:val="clear" w:color="auto" w:fill="auto"/>
                  <w:vAlign w:val="center"/>
                </w:tcPr>
                <w:p w14:paraId="1810F50B">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8%</w:t>
                  </w:r>
                </w:p>
                <w:p w14:paraId="2EF98A02">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掺炼比</w:t>
                  </w:r>
                </w:p>
              </w:tc>
              <w:tc>
                <w:tcPr>
                  <w:tcW w:w="658" w:type="pct"/>
                  <w:vAlign w:val="center"/>
                </w:tcPr>
                <w:p w14:paraId="4DDF0C4D">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10%</w:t>
                  </w:r>
                </w:p>
                <w:p w14:paraId="30336E55">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掺炼比</w:t>
                  </w:r>
                </w:p>
              </w:tc>
              <w:tc>
                <w:tcPr>
                  <w:tcW w:w="526" w:type="pct"/>
                  <w:vMerge w:val="continue"/>
                  <w:vAlign w:val="center"/>
                </w:tcPr>
                <w:p w14:paraId="65F42D1C">
                  <w:pPr>
                    <w:widowControl/>
                    <w:ind w:left="-105" w:leftChars="-50" w:right="-105" w:rightChars="-50"/>
                    <w:jc w:val="center"/>
                    <w:rPr>
                      <w:rFonts w:ascii="Times New Roman" w:hAnsi="Times New Roman" w:eastAsia="宋体" w:cs="Times New Roman"/>
                      <w:color w:val="000000"/>
                      <w:kern w:val="0"/>
                      <w:szCs w:val="21"/>
                    </w:rPr>
                  </w:pPr>
                </w:p>
              </w:tc>
            </w:tr>
            <w:tr w14:paraId="526C5B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jc w:val="center"/>
              </w:trPr>
              <w:tc>
                <w:tcPr>
                  <w:tcW w:w="533" w:type="pct"/>
                  <w:shd w:val="clear" w:color="auto" w:fill="auto"/>
                  <w:noWrap/>
                  <w:vAlign w:val="center"/>
                </w:tcPr>
                <w:p w14:paraId="4595308A">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汞</w:t>
                  </w:r>
                </w:p>
              </w:tc>
              <w:tc>
                <w:tcPr>
                  <w:tcW w:w="655" w:type="pct"/>
                  <w:shd w:val="clear" w:color="auto" w:fill="auto"/>
                  <w:noWrap/>
                  <w:vAlign w:val="center"/>
                </w:tcPr>
                <w:p w14:paraId="0C0B0602">
                  <w:pPr>
                    <w:widowControl/>
                    <w:ind w:left="-105" w:leftChars="-50" w:right="-105" w:rightChars="-50"/>
                    <w:jc w:val="center"/>
                    <w:rPr>
                      <w:rFonts w:ascii="Times New Roman" w:hAnsi="Times New Roman" w:eastAsia="宋体" w:cs="Times New Roman"/>
                      <w:color w:val="000000"/>
                      <w:kern w:val="0"/>
                      <w:sz w:val="18"/>
                      <w:szCs w:val="18"/>
                    </w:rPr>
                  </w:pPr>
                  <w:r>
                    <w:rPr>
                      <w:rFonts w:ascii="Times New Roman" w:hAnsi="Times New Roman" w:eastAsia="宋体" w:cs="Times New Roman"/>
                      <w:color w:val="000000"/>
                      <w:kern w:val="0"/>
                      <w:szCs w:val="21"/>
                      <w:lang w:bidi="ar"/>
                    </w:rPr>
                    <w:t>4.6×10</w:t>
                  </w:r>
                  <w:r>
                    <w:rPr>
                      <w:rFonts w:ascii="Times New Roman" w:hAnsi="Times New Roman" w:eastAsia="宋体" w:cs="Times New Roman"/>
                      <w:color w:val="000000"/>
                      <w:kern w:val="0"/>
                      <w:szCs w:val="21"/>
                      <w:vertAlign w:val="superscript"/>
                      <w:lang w:bidi="ar"/>
                    </w:rPr>
                    <w:t>-4</w:t>
                  </w:r>
                </w:p>
              </w:tc>
              <w:tc>
                <w:tcPr>
                  <w:tcW w:w="657" w:type="pct"/>
                  <w:shd w:val="clear" w:color="auto" w:fill="auto"/>
                  <w:noWrap/>
                  <w:vAlign w:val="center"/>
                </w:tcPr>
                <w:p w14:paraId="191F02DD">
                  <w:pPr>
                    <w:widowControl/>
                    <w:ind w:left="-105" w:leftChars="-50" w:right="-105" w:rightChars="-50"/>
                    <w:jc w:val="center"/>
                    <w:rPr>
                      <w:rFonts w:ascii="Times New Roman" w:hAnsi="Times New Roman" w:eastAsia="宋体" w:cs="Times New Roman"/>
                      <w:color w:val="000000"/>
                      <w:kern w:val="0"/>
                      <w:sz w:val="18"/>
                      <w:szCs w:val="18"/>
                    </w:rPr>
                  </w:pPr>
                  <w:r>
                    <w:rPr>
                      <w:rFonts w:ascii="Times New Roman" w:hAnsi="Times New Roman" w:eastAsia="宋体" w:cs="Times New Roman"/>
                      <w:color w:val="000000"/>
                      <w:kern w:val="0"/>
                      <w:szCs w:val="21"/>
                      <w:lang w:bidi="ar"/>
                    </w:rPr>
                    <w:t>5.5×10</w:t>
                  </w:r>
                  <w:r>
                    <w:rPr>
                      <w:rFonts w:ascii="Times New Roman" w:hAnsi="Times New Roman" w:eastAsia="宋体" w:cs="Times New Roman"/>
                      <w:color w:val="000000"/>
                      <w:kern w:val="0"/>
                      <w:szCs w:val="21"/>
                      <w:vertAlign w:val="superscript"/>
                      <w:lang w:bidi="ar"/>
                    </w:rPr>
                    <w:t>-4</w:t>
                  </w:r>
                </w:p>
              </w:tc>
              <w:tc>
                <w:tcPr>
                  <w:tcW w:w="658" w:type="pct"/>
                  <w:vAlign w:val="center"/>
                </w:tcPr>
                <w:p w14:paraId="5C2036FA">
                  <w:pPr>
                    <w:widowControl/>
                    <w:ind w:left="-105" w:leftChars="-50" w:right="-105" w:rightChars="-50"/>
                    <w:jc w:val="center"/>
                    <w:rPr>
                      <w:rFonts w:ascii="Times New Roman" w:hAnsi="Times New Roman" w:eastAsia="宋体" w:cs="Times New Roman"/>
                      <w:color w:val="000000"/>
                      <w:kern w:val="0"/>
                      <w:sz w:val="18"/>
                      <w:szCs w:val="18"/>
                    </w:rPr>
                  </w:pPr>
                  <w:r>
                    <w:rPr>
                      <w:rFonts w:ascii="Times New Roman" w:hAnsi="Times New Roman" w:eastAsia="宋体" w:cs="Times New Roman"/>
                      <w:color w:val="000000"/>
                      <w:kern w:val="0"/>
                      <w:szCs w:val="21"/>
                      <w:lang w:bidi="ar"/>
                    </w:rPr>
                    <w:t>6.5×10</w:t>
                  </w:r>
                  <w:r>
                    <w:rPr>
                      <w:rFonts w:ascii="Times New Roman" w:hAnsi="Times New Roman" w:eastAsia="宋体" w:cs="Times New Roman"/>
                      <w:color w:val="000000"/>
                      <w:kern w:val="0"/>
                      <w:szCs w:val="21"/>
                      <w:vertAlign w:val="superscript"/>
                      <w:lang w:bidi="ar"/>
                    </w:rPr>
                    <w:t>-4</w:t>
                  </w:r>
                </w:p>
              </w:tc>
              <w:tc>
                <w:tcPr>
                  <w:tcW w:w="657" w:type="pct"/>
                  <w:shd w:val="clear" w:color="auto" w:fill="auto"/>
                  <w:noWrap/>
                  <w:vAlign w:val="center"/>
                </w:tcPr>
                <w:p w14:paraId="5722F8DB">
                  <w:pPr>
                    <w:widowControl/>
                    <w:ind w:left="-105" w:leftChars="-50" w:right="-105" w:rightChars="-50"/>
                    <w:jc w:val="center"/>
                    <w:rPr>
                      <w:rFonts w:ascii="Times New Roman" w:hAnsi="Times New Roman" w:eastAsia="宋体" w:cs="Times New Roman"/>
                      <w:color w:val="000000"/>
                      <w:kern w:val="0"/>
                      <w:sz w:val="18"/>
                      <w:szCs w:val="18"/>
                    </w:rPr>
                  </w:pPr>
                  <w:r>
                    <w:rPr>
                      <w:rFonts w:ascii="Times New Roman" w:hAnsi="Times New Roman" w:eastAsia="宋体" w:cs="Times New Roman"/>
                      <w:color w:val="000000"/>
                      <w:kern w:val="0"/>
                      <w:szCs w:val="21"/>
                      <w:lang w:bidi="ar"/>
                    </w:rPr>
                    <w:t>5.2×10</w:t>
                  </w:r>
                  <w:r>
                    <w:rPr>
                      <w:rFonts w:ascii="Times New Roman" w:hAnsi="Times New Roman" w:eastAsia="宋体" w:cs="Times New Roman"/>
                      <w:color w:val="000000"/>
                      <w:kern w:val="0"/>
                      <w:szCs w:val="21"/>
                      <w:vertAlign w:val="superscript"/>
                      <w:lang w:bidi="ar"/>
                    </w:rPr>
                    <w:t>-4</w:t>
                  </w:r>
                </w:p>
              </w:tc>
              <w:tc>
                <w:tcPr>
                  <w:tcW w:w="655" w:type="pct"/>
                  <w:shd w:val="clear" w:color="auto" w:fill="auto"/>
                  <w:noWrap/>
                  <w:vAlign w:val="center"/>
                </w:tcPr>
                <w:p w14:paraId="1866A1EC">
                  <w:pPr>
                    <w:widowControl/>
                    <w:ind w:left="-105" w:leftChars="-50" w:right="-105" w:rightChars="-50"/>
                    <w:jc w:val="center"/>
                    <w:rPr>
                      <w:rFonts w:ascii="Times New Roman" w:hAnsi="Times New Roman" w:eastAsia="宋体" w:cs="Times New Roman"/>
                      <w:color w:val="000000"/>
                      <w:kern w:val="0"/>
                      <w:sz w:val="18"/>
                      <w:szCs w:val="18"/>
                    </w:rPr>
                  </w:pPr>
                  <w:r>
                    <w:rPr>
                      <w:rFonts w:ascii="Times New Roman" w:hAnsi="Times New Roman" w:eastAsia="宋体" w:cs="Times New Roman"/>
                      <w:color w:val="000000"/>
                      <w:kern w:val="0"/>
                      <w:szCs w:val="21"/>
                      <w:lang w:bidi="ar"/>
                    </w:rPr>
                    <w:t>6.0×10</w:t>
                  </w:r>
                  <w:r>
                    <w:rPr>
                      <w:rFonts w:ascii="Times New Roman" w:hAnsi="Times New Roman" w:eastAsia="宋体" w:cs="Times New Roman"/>
                      <w:color w:val="000000"/>
                      <w:kern w:val="0"/>
                      <w:szCs w:val="21"/>
                      <w:vertAlign w:val="superscript"/>
                      <w:lang w:bidi="ar"/>
                    </w:rPr>
                    <w:t>-4</w:t>
                  </w:r>
                </w:p>
              </w:tc>
              <w:tc>
                <w:tcPr>
                  <w:tcW w:w="658" w:type="pct"/>
                  <w:vAlign w:val="center"/>
                </w:tcPr>
                <w:p w14:paraId="393585D7">
                  <w:pPr>
                    <w:widowControl/>
                    <w:ind w:left="-105" w:leftChars="-50" w:right="-105" w:rightChars="-50"/>
                    <w:jc w:val="center"/>
                    <w:rPr>
                      <w:rFonts w:ascii="Times New Roman" w:hAnsi="Times New Roman" w:eastAsia="宋体" w:cs="Times New Roman"/>
                      <w:color w:val="000000"/>
                      <w:kern w:val="0"/>
                      <w:sz w:val="18"/>
                      <w:szCs w:val="18"/>
                    </w:rPr>
                  </w:pPr>
                  <w:r>
                    <w:rPr>
                      <w:rFonts w:ascii="Times New Roman" w:hAnsi="Times New Roman" w:eastAsia="宋体" w:cs="Times New Roman"/>
                      <w:color w:val="000000"/>
                      <w:kern w:val="0"/>
                      <w:szCs w:val="21"/>
                      <w:lang w:bidi="ar"/>
                    </w:rPr>
                    <w:t>6.3×10</w:t>
                  </w:r>
                  <w:r>
                    <w:rPr>
                      <w:rFonts w:ascii="Times New Roman" w:hAnsi="Times New Roman" w:eastAsia="宋体" w:cs="Times New Roman"/>
                      <w:color w:val="000000"/>
                      <w:kern w:val="0"/>
                      <w:szCs w:val="21"/>
                      <w:vertAlign w:val="superscript"/>
                      <w:lang w:bidi="ar"/>
                    </w:rPr>
                    <w:t>-4</w:t>
                  </w:r>
                </w:p>
              </w:tc>
              <w:tc>
                <w:tcPr>
                  <w:tcW w:w="526" w:type="pct"/>
                  <w:vAlign w:val="center"/>
                </w:tcPr>
                <w:p w14:paraId="248430B8">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w:t>
                  </w:r>
                </w:p>
              </w:tc>
            </w:tr>
            <w:tr w14:paraId="072BD6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jc w:val="center"/>
              </w:trPr>
              <w:tc>
                <w:tcPr>
                  <w:tcW w:w="533" w:type="pct"/>
                  <w:shd w:val="clear" w:color="auto" w:fill="auto"/>
                  <w:noWrap/>
                  <w:vAlign w:val="center"/>
                </w:tcPr>
                <w:p w14:paraId="134EB258">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砷</w:t>
                  </w:r>
                </w:p>
              </w:tc>
              <w:tc>
                <w:tcPr>
                  <w:tcW w:w="655" w:type="pct"/>
                  <w:shd w:val="clear" w:color="auto" w:fill="auto"/>
                  <w:noWrap/>
                  <w:vAlign w:val="center"/>
                </w:tcPr>
                <w:p w14:paraId="2FDBBC61">
                  <w:pPr>
                    <w:widowControl/>
                    <w:ind w:left="-105" w:leftChars="-50" w:right="-105" w:rightChars="-50"/>
                    <w:jc w:val="center"/>
                    <w:rPr>
                      <w:rFonts w:ascii="Times New Roman" w:hAnsi="Times New Roman" w:eastAsia="宋体" w:cs="Times New Roman"/>
                      <w:color w:val="000000"/>
                      <w:kern w:val="0"/>
                      <w:sz w:val="18"/>
                      <w:szCs w:val="18"/>
                    </w:rPr>
                  </w:pPr>
                  <w:r>
                    <w:rPr>
                      <w:rFonts w:ascii="Times New Roman" w:hAnsi="Times New Roman" w:eastAsia="宋体" w:cs="Times New Roman"/>
                      <w:color w:val="000000"/>
                      <w:kern w:val="0"/>
                      <w:szCs w:val="21"/>
                      <w:lang w:bidi="ar"/>
                    </w:rPr>
                    <w:t>2.14×10</w:t>
                  </w:r>
                  <w:r>
                    <w:rPr>
                      <w:rFonts w:ascii="Times New Roman" w:hAnsi="Times New Roman" w:eastAsia="宋体" w:cs="Times New Roman"/>
                      <w:color w:val="000000"/>
                      <w:kern w:val="0"/>
                      <w:szCs w:val="21"/>
                      <w:vertAlign w:val="superscript"/>
                      <w:lang w:bidi="ar"/>
                    </w:rPr>
                    <w:t>-2</w:t>
                  </w:r>
                </w:p>
              </w:tc>
              <w:tc>
                <w:tcPr>
                  <w:tcW w:w="657" w:type="pct"/>
                  <w:shd w:val="clear" w:color="auto" w:fill="auto"/>
                  <w:noWrap/>
                  <w:vAlign w:val="center"/>
                </w:tcPr>
                <w:p w14:paraId="140AE9AE">
                  <w:pPr>
                    <w:widowControl/>
                    <w:ind w:left="-105" w:leftChars="-50" w:right="-105" w:rightChars="-50"/>
                    <w:jc w:val="center"/>
                    <w:rPr>
                      <w:rFonts w:ascii="Times New Roman" w:hAnsi="Times New Roman" w:eastAsia="宋体" w:cs="Times New Roman"/>
                      <w:color w:val="000000"/>
                      <w:kern w:val="0"/>
                      <w:sz w:val="18"/>
                      <w:szCs w:val="18"/>
                    </w:rPr>
                  </w:pPr>
                  <w:r>
                    <w:rPr>
                      <w:rFonts w:ascii="Times New Roman" w:hAnsi="Times New Roman" w:eastAsia="宋体" w:cs="Times New Roman"/>
                      <w:color w:val="000000"/>
                      <w:kern w:val="0"/>
                      <w:szCs w:val="21"/>
                      <w:lang w:bidi="ar"/>
                    </w:rPr>
                    <w:t>23.9×10</w:t>
                  </w:r>
                  <w:r>
                    <w:rPr>
                      <w:rFonts w:ascii="Times New Roman" w:hAnsi="Times New Roman" w:eastAsia="宋体" w:cs="Times New Roman"/>
                      <w:color w:val="000000"/>
                      <w:kern w:val="0"/>
                      <w:szCs w:val="21"/>
                      <w:vertAlign w:val="superscript"/>
                      <w:lang w:bidi="ar"/>
                    </w:rPr>
                    <w:t>-2</w:t>
                  </w:r>
                </w:p>
              </w:tc>
              <w:tc>
                <w:tcPr>
                  <w:tcW w:w="658" w:type="pct"/>
                  <w:vAlign w:val="center"/>
                </w:tcPr>
                <w:p w14:paraId="66B30BDC">
                  <w:pPr>
                    <w:widowControl/>
                    <w:ind w:left="-105" w:leftChars="-50" w:right="-105" w:rightChars="-50"/>
                    <w:jc w:val="center"/>
                    <w:rPr>
                      <w:rFonts w:ascii="Times New Roman" w:hAnsi="Times New Roman" w:eastAsia="宋体" w:cs="Times New Roman"/>
                      <w:color w:val="000000"/>
                      <w:kern w:val="0"/>
                      <w:sz w:val="18"/>
                      <w:szCs w:val="18"/>
                    </w:rPr>
                  </w:pPr>
                  <w:r>
                    <w:rPr>
                      <w:rFonts w:ascii="Times New Roman" w:hAnsi="Times New Roman" w:eastAsia="宋体" w:cs="Times New Roman"/>
                      <w:color w:val="000000"/>
                      <w:kern w:val="0"/>
                      <w:szCs w:val="21"/>
                      <w:lang w:bidi="ar"/>
                    </w:rPr>
                    <w:t>26.0×10</w:t>
                  </w:r>
                  <w:r>
                    <w:rPr>
                      <w:rFonts w:ascii="Times New Roman" w:hAnsi="Times New Roman" w:eastAsia="宋体" w:cs="Times New Roman"/>
                      <w:color w:val="000000"/>
                      <w:kern w:val="0"/>
                      <w:szCs w:val="21"/>
                      <w:vertAlign w:val="superscript"/>
                      <w:lang w:bidi="ar"/>
                    </w:rPr>
                    <w:t>-2</w:t>
                  </w:r>
                  <w:r>
                    <w:rPr>
                      <w:rFonts w:ascii="Times New Roman" w:hAnsi="Times New Roman" w:eastAsia="宋体" w:cs="Times New Roman"/>
                      <w:color w:val="000000"/>
                      <w:kern w:val="0"/>
                      <w:szCs w:val="21"/>
                      <w:lang w:bidi="ar"/>
                    </w:rPr>
                    <w:t xml:space="preserve"> </w:t>
                  </w:r>
                </w:p>
              </w:tc>
              <w:tc>
                <w:tcPr>
                  <w:tcW w:w="657" w:type="pct"/>
                  <w:shd w:val="clear" w:color="auto" w:fill="auto"/>
                  <w:noWrap/>
                  <w:vAlign w:val="center"/>
                </w:tcPr>
                <w:p w14:paraId="622EA263">
                  <w:pPr>
                    <w:widowControl/>
                    <w:ind w:left="-105" w:leftChars="-50" w:right="-105" w:rightChars="-50"/>
                    <w:jc w:val="center"/>
                    <w:rPr>
                      <w:rFonts w:ascii="Times New Roman" w:hAnsi="Times New Roman" w:eastAsia="宋体" w:cs="Times New Roman"/>
                      <w:color w:val="000000"/>
                      <w:kern w:val="0"/>
                      <w:sz w:val="18"/>
                      <w:szCs w:val="18"/>
                    </w:rPr>
                  </w:pPr>
                  <w:r>
                    <w:rPr>
                      <w:rFonts w:ascii="Times New Roman" w:hAnsi="Times New Roman" w:eastAsia="宋体" w:cs="Times New Roman"/>
                      <w:color w:val="000000"/>
                      <w:kern w:val="0"/>
                      <w:szCs w:val="21"/>
                      <w:lang w:bidi="ar"/>
                    </w:rPr>
                    <w:t>18.7×10</w:t>
                  </w:r>
                  <w:r>
                    <w:rPr>
                      <w:rFonts w:ascii="Times New Roman" w:hAnsi="Times New Roman" w:eastAsia="宋体" w:cs="Times New Roman"/>
                      <w:color w:val="000000"/>
                      <w:kern w:val="0"/>
                      <w:szCs w:val="21"/>
                      <w:vertAlign w:val="superscript"/>
                      <w:lang w:bidi="ar"/>
                    </w:rPr>
                    <w:t>-2</w:t>
                  </w:r>
                </w:p>
              </w:tc>
              <w:tc>
                <w:tcPr>
                  <w:tcW w:w="655" w:type="pct"/>
                  <w:shd w:val="clear" w:color="auto" w:fill="auto"/>
                  <w:noWrap/>
                  <w:vAlign w:val="center"/>
                </w:tcPr>
                <w:p w14:paraId="1475FD4A">
                  <w:pPr>
                    <w:widowControl/>
                    <w:ind w:left="-105" w:leftChars="-50" w:right="-105" w:rightChars="-50"/>
                    <w:jc w:val="center"/>
                    <w:rPr>
                      <w:rFonts w:ascii="Times New Roman" w:hAnsi="Times New Roman" w:eastAsia="宋体" w:cs="Times New Roman"/>
                      <w:color w:val="000000"/>
                      <w:kern w:val="0"/>
                      <w:sz w:val="18"/>
                      <w:szCs w:val="18"/>
                    </w:rPr>
                  </w:pPr>
                  <w:r>
                    <w:rPr>
                      <w:rFonts w:ascii="Times New Roman" w:hAnsi="Times New Roman" w:eastAsia="宋体" w:cs="Times New Roman"/>
                      <w:color w:val="000000"/>
                      <w:kern w:val="0"/>
                      <w:szCs w:val="21"/>
                      <w:lang w:bidi="ar"/>
                    </w:rPr>
                    <w:t>26.7×10</w:t>
                  </w:r>
                  <w:r>
                    <w:rPr>
                      <w:rFonts w:ascii="Times New Roman" w:hAnsi="Times New Roman" w:eastAsia="宋体" w:cs="Times New Roman"/>
                      <w:color w:val="000000"/>
                      <w:kern w:val="0"/>
                      <w:szCs w:val="21"/>
                      <w:vertAlign w:val="superscript"/>
                      <w:lang w:bidi="ar"/>
                    </w:rPr>
                    <w:t>-2</w:t>
                  </w:r>
                </w:p>
              </w:tc>
              <w:tc>
                <w:tcPr>
                  <w:tcW w:w="658" w:type="pct"/>
                  <w:vAlign w:val="center"/>
                </w:tcPr>
                <w:p w14:paraId="4D8A5885">
                  <w:pPr>
                    <w:widowControl/>
                    <w:ind w:left="-105" w:leftChars="-50" w:right="-105" w:rightChars="-50"/>
                    <w:jc w:val="center"/>
                    <w:rPr>
                      <w:rFonts w:ascii="Times New Roman" w:hAnsi="Times New Roman" w:eastAsia="宋体" w:cs="Times New Roman"/>
                      <w:color w:val="000000"/>
                      <w:kern w:val="0"/>
                      <w:sz w:val="18"/>
                      <w:szCs w:val="18"/>
                    </w:rPr>
                  </w:pPr>
                  <w:r>
                    <w:rPr>
                      <w:rFonts w:ascii="Times New Roman" w:hAnsi="Times New Roman" w:eastAsia="宋体" w:cs="Times New Roman"/>
                      <w:color w:val="000000"/>
                      <w:kern w:val="0"/>
                      <w:szCs w:val="21"/>
                      <w:lang w:bidi="ar"/>
                    </w:rPr>
                    <w:t>21.7×10</w:t>
                  </w:r>
                  <w:r>
                    <w:rPr>
                      <w:rFonts w:ascii="Times New Roman" w:hAnsi="Times New Roman" w:eastAsia="宋体" w:cs="Times New Roman"/>
                      <w:color w:val="000000"/>
                      <w:kern w:val="0"/>
                      <w:szCs w:val="21"/>
                      <w:vertAlign w:val="superscript"/>
                      <w:lang w:bidi="ar"/>
                    </w:rPr>
                    <w:t>-2</w:t>
                  </w:r>
                </w:p>
              </w:tc>
              <w:tc>
                <w:tcPr>
                  <w:tcW w:w="526" w:type="pct"/>
                  <w:vAlign w:val="center"/>
                </w:tcPr>
                <w:p w14:paraId="6E1AE6F4">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0.1</w:t>
                  </w:r>
                </w:p>
              </w:tc>
            </w:tr>
            <w:tr w14:paraId="29F13C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jc w:val="center"/>
              </w:trPr>
              <w:tc>
                <w:tcPr>
                  <w:tcW w:w="533" w:type="pct"/>
                  <w:shd w:val="clear" w:color="auto" w:fill="auto"/>
                  <w:noWrap/>
                  <w:vAlign w:val="center"/>
                </w:tcPr>
                <w:p w14:paraId="2B87CDE8">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锌</w:t>
                  </w:r>
                </w:p>
              </w:tc>
              <w:tc>
                <w:tcPr>
                  <w:tcW w:w="655" w:type="pct"/>
                  <w:shd w:val="clear" w:color="auto" w:fill="auto"/>
                  <w:noWrap/>
                  <w:vAlign w:val="center"/>
                </w:tcPr>
                <w:p w14:paraId="65DF88B4">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7" w:type="pct"/>
                  <w:shd w:val="clear" w:color="auto" w:fill="auto"/>
                  <w:noWrap/>
                  <w:vAlign w:val="center"/>
                </w:tcPr>
                <w:p w14:paraId="44BA8962">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0.01</w:t>
                  </w:r>
                </w:p>
              </w:tc>
              <w:tc>
                <w:tcPr>
                  <w:tcW w:w="658" w:type="pct"/>
                  <w:vAlign w:val="center"/>
                </w:tcPr>
                <w:p w14:paraId="6C0A0B41">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0.01</w:t>
                  </w:r>
                </w:p>
              </w:tc>
              <w:tc>
                <w:tcPr>
                  <w:tcW w:w="657" w:type="pct"/>
                  <w:shd w:val="clear" w:color="auto" w:fill="auto"/>
                  <w:noWrap/>
                  <w:vAlign w:val="center"/>
                </w:tcPr>
                <w:p w14:paraId="7EF55BE1">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0.01</w:t>
                  </w:r>
                </w:p>
              </w:tc>
              <w:tc>
                <w:tcPr>
                  <w:tcW w:w="655" w:type="pct"/>
                  <w:shd w:val="clear" w:color="auto" w:fill="auto"/>
                  <w:noWrap/>
                  <w:vAlign w:val="center"/>
                </w:tcPr>
                <w:p w14:paraId="0DCA106C">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8" w:type="pct"/>
                  <w:vAlign w:val="center"/>
                </w:tcPr>
                <w:p w14:paraId="5ADC03F5">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526" w:type="pct"/>
                  <w:vAlign w:val="center"/>
                </w:tcPr>
                <w:p w14:paraId="0596D60F">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1.0</w:t>
                  </w:r>
                </w:p>
              </w:tc>
            </w:tr>
            <w:tr w14:paraId="7D37D5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jc w:val="center"/>
              </w:trPr>
              <w:tc>
                <w:tcPr>
                  <w:tcW w:w="533" w:type="pct"/>
                  <w:shd w:val="clear" w:color="auto" w:fill="auto"/>
                  <w:noWrap/>
                  <w:vAlign w:val="center"/>
                </w:tcPr>
                <w:p w14:paraId="02EE2393">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铅</w:t>
                  </w:r>
                </w:p>
              </w:tc>
              <w:tc>
                <w:tcPr>
                  <w:tcW w:w="655" w:type="pct"/>
                  <w:shd w:val="clear" w:color="auto" w:fill="auto"/>
                  <w:noWrap/>
                  <w:vAlign w:val="center"/>
                </w:tcPr>
                <w:p w14:paraId="55B3FB49">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7" w:type="pct"/>
                  <w:shd w:val="clear" w:color="auto" w:fill="auto"/>
                  <w:noWrap/>
                  <w:vAlign w:val="center"/>
                </w:tcPr>
                <w:p w14:paraId="5D228C8B">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8" w:type="pct"/>
                  <w:vAlign w:val="center"/>
                </w:tcPr>
                <w:p w14:paraId="18369E5A">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7" w:type="pct"/>
                  <w:shd w:val="clear" w:color="auto" w:fill="auto"/>
                  <w:noWrap/>
                  <w:vAlign w:val="center"/>
                </w:tcPr>
                <w:p w14:paraId="70C43FB4">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5" w:type="pct"/>
                  <w:shd w:val="clear" w:color="auto" w:fill="auto"/>
                  <w:noWrap/>
                  <w:vAlign w:val="center"/>
                </w:tcPr>
                <w:p w14:paraId="380EE995">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8" w:type="pct"/>
                  <w:vAlign w:val="center"/>
                </w:tcPr>
                <w:p w14:paraId="52DB8CDC">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526" w:type="pct"/>
                  <w:vAlign w:val="center"/>
                </w:tcPr>
                <w:p w14:paraId="629D7BF4">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0.3</w:t>
                  </w:r>
                </w:p>
              </w:tc>
            </w:tr>
            <w:tr w14:paraId="78F99D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jc w:val="center"/>
              </w:trPr>
              <w:tc>
                <w:tcPr>
                  <w:tcW w:w="533" w:type="pct"/>
                  <w:shd w:val="clear" w:color="auto" w:fill="auto"/>
                  <w:noWrap/>
                  <w:vAlign w:val="center"/>
                </w:tcPr>
                <w:p w14:paraId="0A005DBD">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镍</w:t>
                  </w:r>
                </w:p>
              </w:tc>
              <w:tc>
                <w:tcPr>
                  <w:tcW w:w="655" w:type="pct"/>
                  <w:shd w:val="clear" w:color="auto" w:fill="auto"/>
                  <w:noWrap/>
                  <w:vAlign w:val="center"/>
                </w:tcPr>
                <w:p w14:paraId="1B69D1CB">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7" w:type="pct"/>
                  <w:shd w:val="clear" w:color="auto" w:fill="auto"/>
                  <w:noWrap/>
                  <w:vAlign w:val="center"/>
                </w:tcPr>
                <w:p w14:paraId="5FFB1857">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8" w:type="pct"/>
                  <w:vAlign w:val="center"/>
                </w:tcPr>
                <w:p w14:paraId="33355728">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7" w:type="pct"/>
                  <w:shd w:val="clear" w:color="auto" w:fill="auto"/>
                  <w:noWrap/>
                  <w:vAlign w:val="center"/>
                </w:tcPr>
                <w:p w14:paraId="55B77E8E">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5" w:type="pct"/>
                  <w:shd w:val="clear" w:color="auto" w:fill="auto"/>
                  <w:noWrap/>
                  <w:vAlign w:val="center"/>
                </w:tcPr>
                <w:p w14:paraId="76127DF0">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8" w:type="pct"/>
                  <w:vAlign w:val="center"/>
                </w:tcPr>
                <w:p w14:paraId="26F435FC">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526" w:type="pct"/>
                  <w:vAlign w:val="center"/>
                </w:tcPr>
                <w:p w14:paraId="26548DBF">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0.2</w:t>
                  </w:r>
                </w:p>
              </w:tc>
            </w:tr>
            <w:tr w14:paraId="41EDAC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jc w:val="center"/>
              </w:trPr>
              <w:tc>
                <w:tcPr>
                  <w:tcW w:w="533" w:type="pct"/>
                  <w:shd w:val="clear" w:color="auto" w:fill="auto"/>
                  <w:noWrap/>
                  <w:vAlign w:val="center"/>
                </w:tcPr>
                <w:p w14:paraId="7771DA96">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铜</w:t>
                  </w:r>
                </w:p>
              </w:tc>
              <w:tc>
                <w:tcPr>
                  <w:tcW w:w="655" w:type="pct"/>
                  <w:shd w:val="clear" w:color="auto" w:fill="auto"/>
                  <w:noWrap/>
                  <w:vAlign w:val="center"/>
                </w:tcPr>
                <w:p w14:paraId="32AF5558">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0.02</w:t>
                  </w:r>
                </w:p>
              </w:tc>
              <w:tc>
                <w:tcPr>
                  <w:tcW w:w="657" w:type="pct"/>
                  <w:shd w:val="clear" w:color="auto" w:fill="auto"/>
                  <w:noWrap/>
                  <w:vAlign w:val="center"/>
                </w:tcPr>
                <w:p w14:paraId="5AFB763A">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0.02</w:t>
                  </w:r>
                </w:p>
              </w:tc>
              <w:tc>
                <w:tcPr>
                  <w:tcW w:w="658" w:type="pct"/>
                  <w:vAlign w:val="center"/>
                </w:tcPr>
                <w:p w14:paraId="585608F2">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0.03</w:t>
                  </w:r>
                </w:p>
              </w:tc>
              <w:tc>
                <w:tcPr>
                  <w:tcW w:w="657" w:type="pct"/>
                  <w:shd w:val="clear" w:color="auto" w:fill="auto"/>
                  <w:noWrap/>
                  <w:vAlign w:val="center"/>
                </w:tcPr>
                <w:p w14:paraId="5FB141AB">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0.02</w:t>
                  </w:r>
                </w:p>
              </w:tc>
              <w:tc>
                <w:tcPr>
                  <w:tcW w:w="655" w:type="pct"/>
                  <w:shd w:val="clear" w:color="auto" w:fill="auto"/>
                  <w:noWrap/>
                  <w:vAlign w:val="center"/>
                </w:tcPr>
                <w:p w14:paraId="3269B07C">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0.02</w:t>
                  </w:r>
                </w:p>
              </w:tc>
              <w:tc>
                <w:tcPr>
                  <w:tcW w:w="658" w:type="pct"/>
                  <w:vAlign w:val="center"/>
                </w:tcPr>
                <w:p w14:paraId="2E74B0BD">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0.03</w:t>
                  </w:r>
                </w:p>
              </w:tc>
              <w:tc>
                <w:tcPr>
                  <w:tcW w:w="526" w:type="pct"/>
                  <w:vAlign w:val="center"/>
                </w:tcPr>
                <w:p w14:paraId="13D16FF3">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1.0</w:t>
                  </w:r>
                </w:p>
              </w:tc>
            </w:tr>
            <w:tr w14:paraId="6AC4E5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jc w:val="center"/>
              </w:trPr>
              <w:tc>
                <w:tcPr>
                  <w:tcW w:w="533" w:type="pct"/>
                  <w:shd w:val="clear" w:color="auto" w:fill="auto"/>
                  <w:noWrap/>
                  <w:vAlign w:val="center"/>
                </w:tcPr>
                <w:p w14:paraId="619277FC">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铬</w:t>
                  </w:r>
                </w:p>
              </w:tc>
              <w:tc>
                <w:tcPr>
                  <w:tcW w:w="655" w:type="pct"/>
                  <w:shd w:val="clear" w:color="auto" w:fill="auto"/>
                  <w:noWrap/>
                  <w:vAlign w:val="center"/>
                </w:tcPr>
                <w:p w14:paraId="480A24DE">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7" w:type="pct"/>
                  <w:shd w:val="clear" w:color="auto" w:fill="auto"/>
                  <w:noWrap/>
                  <w:vAlign w:val="center"/>
                </w:tcPr>
                <w:p w14:paraId="6F861DB8">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8" w:type="pct"/>
                  <w:vAlign w:val="center"/>
                </w:tcPr>
                <w:p w14:paraId="0A81D0B2">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7" w:type="pct"/>
                  <w:shd w:val="clear" w:color="auto" w:fill="auto"/>
                  <w:noWrap/>
                  <w:vAlign w:val="center"/>
                </w:tcPr>
                <w:p w14:paraId="65E92C70">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5" w:type="pct"/>
                  <w:shd w:val="clear" w:color="auto" w:fill="auto"/>
                  <w:noWrap/>
                  <w:vAlign w:val="center"/>
                </w:tcPr>
                <w:p w14:paraId="5001E79A">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8" w:type="pct"/>
                  <w:vAlign w:val="center"/>
                </w:tcPr>
                <w:p w14:paraId="7655578E">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526" w:type="pct"/>
                  <w:vAlign w:val="center"/>
                </w:tcPr>
                <w:p w14:paraId="3B105274">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0.2</w:t>
                  </w:r>
                </w:p>
              </w:tc>
            </w:tr>
            <w:tr w14:paraId="7AE6DB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jc w:val="center"/>
              </w:trPr>
              <w:tc>
                <w:tcPr>
                  <w:tcW w:w="533" w:type="pct"/>
                  <w:shd w:val="clear" w:color="auto" w:fill="auto"/>
                  <w:noWrap/>
                  <w:vAlign w:val="center"/>
                </w:tcPr>
                <w:p w14:paraId="5CE78744">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镉</w:t>
                  </w:r>
                </w:p>
              </w:tc>
              <w:tc>
                <w:tcPr>
                  <w:tcW w:w="655" w:type="pct"/>
                  <w:shd w:val="clear" w:color="auto" w:fill="auto"/>
                  <w:noWrap/>
                  <w:vAlign w:val="center"/>
                </w:tcPr>
                <w:p w14:paraId="58B59410">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7" w:type="pct"/>
                  <w:shd w:val="clear" w:color="auto" w:fill="auto"/>
                  <w:noWrap/>
                  <w:vAlign w:val="center"/>
                </w:tcPr>
                <w:p w14:paraId="1810B1B4">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8" w:type="pct"/>
                  <w:vAlign w:val="center"/>
                </w:tcPr>
                <w:p w14:paraId="2B66E36C">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7" w:type="pct"/>
                  <w:shd w:val="clear" w:color="auto" w:fill="auto"/>
                  <w:noWrap/>
                  <w:vAlign w:val="center"/>
                </w:tcPr>
                <w:p w14:paraId="3CEA3A42">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5" w:type="pct"/>
                  <w:shd w:val="clear" w:color="auto" w:fill="auto"/>
                  <w:noWrap/>
                  <w:vAlign w:val="center"/>
                </w:tcPr>
                <w:p w14:paraId="3912D589">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658" w:type="pct"/>
                  <w:vAlign w:val="center"/>
                </w:tcPr>
                <w:p w14:paraId="476361DD">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lang w:bidi="ar"/>
                    </w:rPr>
                    <w:t>未检出</w:t>
                  </w:r>
                </w:p>
              </w:tc>
              <w:tc>
                <w:tcPr>
                  <w:tcW w:w="526" w:type="pct"/>
                  <w:vAlign w:val="center"/>
                </w:tcPr>
                <w:p w14:paraId="0B49FF0E">
                  <w:pPr>
                    <w:widowControl/>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0.03</w:t>
                  </w:r>
                </w:p>
              </w:tc>
            </w:tr>
          </w:tbl>
          <w:p w14:paraId="2493B0F3">
            <w:pPr>
              <w:adjustRightInd w:val="0"/>
              <w:snapToGrid w:val="0"/>
              <w:spacing w:before="156" w:beforeLines="50" w:line="360" w:lineRule="auto"/>
              <w:ind w:firstLine="480" w:firstLineChars="200"/>
              <w:rPr>
                <w:rFonts w:ascii="Times New Roman" w:hAnsi="Times New Roman" w:eastAsia="宋体" w:cs="Times New Roman"/>
                <w:bCs/>
                <w:color w:val="000000"/>
                <w:sz w:val="24"/>
                <w:szCs w:val="24"/>
              </w:rPr>
            </w:pPr>
            <w:r>
              <w:rPr>
                <w:rFonts w:ascii="Times New Roman" w:hAnsi="Times New Roman" w:eastAsia="宋体" w:cs="Times New Roman"/>
                <w:bCs/>
                <w:color w:val="000000"/>
                <w:sz w:val="24"/>
                <w:szCs w:val="24"/>
              </w:rPr>
              <w:t>根据掺烧制成砖坯浸出液检测结果显示，东捷污泥用于烧结制砖其浸出检测指标均低于《水泥窑协同处置固体废物技术规范》（GB/T30760-2014）表3水泥熟料中可浸出重金属含量限值要求。</w:t>
            </w:r>
          </w:p>
          <w:p w14:paraId="62A5D561">
            <w:pPr>
              <w:adjustRightInd w:val="0"/>
              <w:snapToGrid w:val="0"/>
              <w:spacing w:line="360" w:lineRule="auto"/>
              <w:ind w:firstLine="482" w:firstLineChars="200"/>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（3）掺烧固废含水利用可行性分析</w:t>
            </w:r>
          </w:p>
          <w:p w14:paraId="30DB7304">
            <w:pPr>
              <w:pStyle w:val="35"/>
              <w:spacing w:line="360" w:lineRule="auto"/>
              <w:ind w:firstLineChars="0"/>
              <w:rPr>
                <w:rFonts w:ascii="Times New Roman" w:hAnsi="Times New Roman" w:eastAsia="宋体"/>
                <w:color w:val="000000"/>
                <w:sz w:val="24"/>
                <w:szCs w:val="24"/>
              </w:rPr>
            </w:pPr>
            <w:r>
              <w:rPr>
                <w:rFonts w:ascii="Times New Roman" w:hAnsi="Times New Roman" w:eastAsia="宋体"/>
                <w:color w:val="000000"/>
                <w:sz w:val="24"/>
                <w:szCs w:val="24"/>
              </w:rPr>
              <w:t>根据《页岩模数多孔砖（JYM砖）砌体的施工技术》研究结果表明，对模数多孔砖砌筑时的含水率规定也和普通烧结砖相同，即控制在10%~15%范围内为宜。根据调查，原有工程砖坯制作过程含水率通常控制在15%，成型砖坯在后续干燥过程经自然风干及烘干干燥后再入窑烧结。</w:t>
            </w:r>
          </w:p>
          <w:p w14:paraId="25D154F9">
            <w:pPr>
              <w:pStyle w:val="35"/>
              <w:spacing w:line="360" w:lineRule="auto"/>
              <w:ind w:firstLineChars="0"/>
              <w:rPr>
                <w:rFonts w:ascii="Times New Roman" w:hAnsi="Times New Roman" w:eastAsia="宋体"/>
                <w:color w:val="000000"/>
                <w:sz w:val="24"/>
                <w:szCs w:val="24"/>
              </w:rPr>
            </w:pPr>
            <w:r>
              <w:rPr>
                <w:rFonts w:ascii="Times New Roman" w:hAnsi="Times New Roman" w:eastAsia="宋体"/>
                <w:color w:val="000000"/>
                <w:sz w:val="24"/>
                <w:szCs w:val="24"/>
              </w:rPr>
              <w:t>本次技改后原料在贮存间贮存及干燥后，一般无机工业污泥含水率降低至60%以下后掺烧，水基钻井废弃物含水率控制在35%以下，物料成固态且具有一定硬度，不会影响后续的工艺、产品质量。由于掺烧原料含有一定水分，通过配比可将砖坯的含水率控制在15%以内，且可大大减少外加水入料，减少地下水的开采。</w:t>
            </w:r>
          </w:p>
          <w:p w14:paraId="1E35C10F">
            <w:pPr>
              <w:pStyle w:val="35"/>
              <w:spacing w:line="360" w:lineRule="auto"/>
              <w:ind w:firstLineChars="0"/>
              <w:rPr>
                <w:rFonts w:ascii="Times New Roman" w:hAnsi="Times New Roman" w:eastAsia="宋体"/>
                <w:b/>
                <w:color w:val="000000"/>
                <w:sz w:val="24"/>
                <w:szCs w:val="24"/>
              </w:rPr>
            </w:pPr>
            <w:r>
              <w:rPr>
                <w:rFonts w:ascii="Times New Roman" w:hAnsi="Times New Roman" w:eastAsia="宋体"/>
                <w:b/>
                <w:color w:val="000000"/>
                <w:sz w:val="24"/>
                <w:szCs w:val="24"/>
              </w:rPr>
              <w:t>（5）产品质量稳定达标论证</w:t>
            </w:r>
          </w:p>
          <w:p w14:paraId="60C9B7A7">
            <w:pPr>
              <w:pStyle w:val="35"/>
              <w:spacing w:line="360" w:lineRule="auto"/>
              <w:ind w:firstLineChars="0"/>
              <w:rPr>
                <w:rFonts w:ascii="Times New Roman" w:hAnsi="Times New Roman" w:eastAsia="宋体"/>
                <w:b/>
                <w:color w:val="000000"/>
                <w:sz w:val="24"/>
                <w:szCs w:val="24"/>
              </w:rPr>
            </w:pPr>
            <w:r>
              <w:rPr>
                <w:rFonts w:hint="eastAsia" w:ascii="宋体" w:hAnsi="宋体" w:eastAsia="宋体" w:cs="宋体"/>
                <w:b/>
                <w:color w:val="000000"/>
                <w:sz w:val="24"/>
                <w:szCs w:val="24"/>
                <w:lang w:eastAsia="ja-JP"/>
              </w:rPr>
              <w:t>①</w:t>
            </w:r>
            <w:r>
              <w:rPr>
                <w:rFonts w:ascii="Times New Roman" w:hAnsi="Times New Roman" w:eastAsia="宋体"/>
                <w:b/>
                <w:color w:val="000000"/>
                <w:sz w:val="24"/>
                <w:szCs w:val="24"/>
              </w:rPr>
              <w:t>水基钻井废弃物烧成砖产品质量检测结果</w:t>
            </w:r>
          </w:p>
          <w:p w14:paraId="5BBA68FE">
            <w:pPr>
              <w:pStyle w:val="35"/>
              <w:spacing w:line="360" w:lineRule="auto"/>
              <w:ind w:firstLine="480"/>
              <w:rPr>
                <w:rFonts w:ascii="Times New Roman" w:hAnsi="Times New Roman" w:eastAsia="宋体"/>
                <w:color w:val="000000"/>
                <w:sz w:val="24"/>
                <w:szCs w:val="24"/>
              </w:rPr>
            </w:pPr>
            <w:r>
              <w:rPr>
                <w:rFonts w:ascii="Times New Roman" w:hAnsi="Times New Roman" w:eastAsia="宋体"/>
                <w:color w:val="000000"/>
                <w:sz w:val="24"/>
                <w:szCs w:val="24"/>
              </w:rPr>
              <w:t>本项目水基钻井废弃物掺烧制砖产品质量稳定达标论证引用罗江县生态环境局公示的《罗江友兴建材有限公司钻井固化土资源综合利用制烧结砖项目（报批本）》中的中试实验结论。该厂按照《烧结普通砖》(GB5001-2003)和《建筑材料放射性核素限量》(GB6566-2010)的抽样和检测标准，委托成都产品质量检验研究院有限责任公司(四川省产品质量监督检验检测院/成都市产品质量监督检验院)进行了砖块强度、石灰爆裂、泛霜、抗风化性、放射性核素五项指标的检测，检测表明样品所检项目符合标准要求，检测数据表明钻井固废掺烧比例为30%时，制备的成品砖质量合格。</w:t>
            </w:r>
          </w:p>
          <w:p w14:paraId="6B1C0962">
            <w:pPr>
              <w:spacing w:line="360" w:lineRule="auto"/>
              <w:jc w:val="center"/>
              <w:rPr>
                <w:rFonts w:ascii="Times New Roman" w:hAnsi="Times New Roman" w:eastAsia="宋体" w:cs="Times New Roman"/>
                <w:b/>
                <w:color w:val="000000"/>
                <w:szCs w:val="24"/>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8</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掺烧比例30%时普通烧结砖质量检测数据</w:t>
            </w:r>
          </w:p>
          <w:tbl>
            <w:tblPr>
              <w:tblStyle w:val="25"/>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49"/>
              <w:gridCol w:w="814"/>
              <w:gridCol w:w="1627"/>
              <w:gridCol w:w="1897"/>
              <w:gridCol w:w="542"/>
              <w:gridCol w:w="1899"/>
              <w:gridCol w:w="585"/>
            </w:tblGrid>
            <w:tr w14:paraId="3DF56C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7" w:type="pct"/>
                  <w:vAlign w:val="center"/>
                </w:tcPr>
                <w:p w14:paraId="0E7776C7">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序号</w:t>
                  </w:r>
                </w:p>
              </w:tc>
              <w:tc>
                <w:tcPr>
                  <w:tcW w:w="1562" w:type="pct"/>
                  <w:gridSpan w:val="2"/>
                  <w:vAlign w:val="center"/>
                </w:tcPr>
                <w:p w14:paraId="40725CBC">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检测项目</w:t>
                  </w:r>
                </w:p>
              </w:tc>
              <w:tc>
                <w:tcPr>
                  <w:tcW w:w="1214" w:type="pct"/>
                  <w:vAlign w:val="center"/>
                </w:tcPr>
                <w:p w14:paraId="3BA2D44C">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技术要求</w:t>
                  </w:r>
                </w:p>
              </w:tc>
              <w:tc>
                <w:tcPr>
                  <w:tcW w:w="347" w:type="pct"/>
                  <w:vAlign w:val="center"/>
                </w:tcPr>
                <w:p w14:paraId="2FE41B3E">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单位</w:t>
                  </w:r>
                </w:p>
              </w:tc>
              <w:tc>
                <w:tcPr>
                  <w:tcW w:w="1215" w:type="pct"/>
                  <w:vAlign w:val="center"/>
                </w:tcPr>
                <w:p w14:paraId="775D6F21">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实测值</w:t>
                  </w:r>
                </w:p>
              </w:tc>
              <w:tc>
                <w:tcPr>
                  <w:tcW w:w="374" w:type="pct"/>
                  <w:vAlign w:val="center"/>
                </w:tcPr>
                <w:p w14:paraId="5FD3DEC0">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结论</w:t>
                  </w:r>
                </w:p>
              </w:tc>
            </w:tr>
            <w:tr w14:paraId="5EF360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7" w:type="pct"/>
                  <w:vMerge w:val="restart"/>
                  <w:vAlign w:val="center"/>
                </w:tcPr>
                <w:p w14:paraId="13C0BFE3">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w:t>
                  </w:r>
                </w:p>
              </w:tc>
              <w:tc>
                <w:tcPr>
                  <w:tcW w:w="521" w:type="pct"/>
                  <w:vMerge w:val="restart"/>
                  <w:vAlign w:val="center"/>
                </w:tcPr>
                <w:p w14:paraId="20A04968">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强度等级</w:t>
                  </w:r>
                </w:p>
              </w:tc>
              <w:tc>
                <w:tcPr>
                  <w:tcW w:w="1041" w:type="pct"/>
                  <w:vAlign w:val="center"/>
                </w:tcPr>
                <w:p w14:paraId="33781791">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平均值</w:t>
                  </w:r>
                </w:p>
              </w:tc>
              <w:tc>
                <w:tcPr>
                  <w:tcW w:w="1214" w:type="pct"/>
                  <w:vAlign w:val="center"/>
                </w:tcPr>
                <w:p w14:paraId="7E29E884">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≥10.0</w:t>
                  </w:r>
                </w:p>
              </w:tc>
              <w:tc>
                <w:tcPr>
                  <w:tcW w:w="347" w:type="pct"/>
                  <w:vAlign w:val="center"/>
                </w:tcPr>
                <w:p w14:paraId="2CF55197">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MPa</w:t>
                  </w:r>
                </w:p>
              </w:tc>
              <w:tc>
                <w:tcPr>
                  <w:tcW w:w="1215" w:type="pct"/>
                  <w:vAlign w:val="center"/>
                </w:tcPr>
                <w:p w14:paraId="4BB534E7">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21.0</w:t>
                  </w:r>
                </w:p>
              </w:tc>
              <w:tc>
                <w:tcPr>
                  <w:tcW w:w="374" w:type="pct"/>
                  <w:vMerge w:val="restart"/>
                  <w:vAlign w:val="center"/>
                </w:tcPr>
                <w:p w14:paraId="528843AB">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合格</w:t>
                  </w:r>
                </w:p>
              </w:tc>
            </w:tr>
            <w:tr w14:paraId="0AD8C9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7" w:type="pct"/>
                  <w:vMerge w:val="continue"/>
                  <w:vAlign w:val="center"/>
                </w:tcPr>
                <w:p w14:paraId="0E6234E6">
                  <w:pPr>
                    <w:ind w:left="-105" w:leftChars="-50" w:right="-105" w:rightChars="-50"/>
                    <w:jc w:val="center"/>
                    <w:rPr>
                      <w:rFonts w:ascii="Times New Roman" w:hAnsi="Times New Roman" w:eastAsia="宋体" w:cs="Times New Roman"/>
                      <w:color w:val="000000"/>
                      <w:szCs w:val="21"/>
                    </w:rPr>
                  </w:pPr>
                </w:p>
              </w:tc>
              <w:tc>
                <w:tcPr>
                  <w:tcW w:w="521" w:type="pct"/>
                  <w:vMerge w:val="continue"/>
                  <w:vAlign w:val="center"/>
                </w:tcPr>
                <w:p w14:paraId="5376DA15">
                  <w:pPr>
                    <w:ind w:left="-105" w:leftChars="-50" w:right="-105" w:rightChars="-50"/>
                    <w:jc w:val="center"/>
                    <w:rPr>
                      <w:rFonts w:ascii="Times New Roman" w:hAnsi="Times New Roman" w:eastAsia="宋体" w:cs="Times New Roman"/>
                      <w:color w:val="000000"/>
                      <w:szCs w:val="21"/>
                    </w:rPr>
                  </w:pPr>
                </w:p>
              </w:tc>
              <w:tc>
                <w:tcPr>
                  <w:tcW w:w="1041" w:type="pct"/>
                  <w:vAlign w:val="center"/>
                </w:tcPr>
                <w:p w14:paraId="7B2DD80E">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变异系数</w:t>
                  </w:r>
                </w:p>
              </w:tc>
              <w:tc>
                <w:tcPr>
                  <w:tcW w:w="1214" w:type="pct"/>
                  <w:vAlign w:val="center"/>
                </w:tcPr>
                <w:p w14:paraId="71C15619">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c>
                <w:tcPr>
                  <w:tcW w:w="347" w:type="pct"/>
                  <w:vAlign w:val="center"/>
                </w:tcPr>
                <w:p w14:paraId="1A49192E">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c>
                <w:tcPr>
                  <w:tcW w:w="1215" w:type="pct"/>
                  <w:vAlign w:val="center"/>
                </w:tcPr>
                <w:p w14:paraId="04B89038">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0.10</w:t>
                  </w:r>
                </w:p>
              </w:tc>
              <w:tc>
                <w:tcPr>
                  <w:tcW w:w="374" w:type="pct"/>
                  <w:vMerge w:val="continue"/>
                  <w:vAlign w:val="center"/>
                </w:tcPr>
                <w:p w14:paraId="2C1FDAAF">
                  <w:pPr>
                    <w:ind w:left="-105" w:leftChars="-50" w:right="-105" w:rightChars="-50"/>
                    <w:jc w:val="center"/>
                    <w:rPr>
                      <w:rFonts w:ascii="Times New Roman" w:hAnsi="Times New Roman" w:eastAsia="宋体" w:cs="Times New Roman"/>
                      <w:color w:val="000000"/>
                      <w:szCs w:val="21"/>
                    </w:rPr>
                  </w:pPr>
                </w:p>
              </w:tc>
            </w:tr>
            <w:tr w14:paraId="2CC136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7" w:type="pct"/>
                  <w:vMerge w:val="continue"/>
                  <w:vAlign w:val="center"/>
                </w:tcPr>
                <w:p w14:paraId="3C92738A">
                  <w:pPr>
                    <w:ind w:left="-105" w:leftChars="-50" w:right="-105" w:rightChars="-50"/>
                    <w:jc w:val="center"/>
                    <w:rPr>
                      <w:rFonts w:ascii="Times New Roman" w:hAnsi="Times New Roman" w:eastAsia="宋体" w:cs="Times New Roman"/>
                      <w:color w:val="000000"/>
                      <w:szCs w:val="21"/>
                    </w:rPr>
                  </w:pPr>
                </w:p>
              </w:tc>
              <w:tc>
                <w:tcPr>
                  <w:tcW w:w="521" w:type="pct"/>
                  <w:vMerge w:val="continue"/>
                  <w:vAlign w:val="center"/>
                </w:tcPr>
                <w:p w14:paraId="2C413D96">
                  <w:pPr>
                    <w:ind w:left="-105" w:leftChars="-50" w:right="-105" w:rightChars="-50"/>
                    <w:jc w:val="center"/>
                    <w:rPr>
                      <w:rFonts w:ascii="Times New Roman" w:hAnsi="Times New Roman" w:eastAsia="宋体" w:cs="Times New Roman"/>
                      <w:color w:val="000000"/>
                      <w:szCs w:val="21"/>
                    </w:rPr>
                  </w:pPr>
                </w:p>
              </w:tc>
              <w:tc>
                <w:tcPr>
                  <w:tcW w:w="1041" w:type="pct"/>
                  <w:vAlign w:val="center"/>
                </w:tcPr>
                <w:p w14:paraId="66686038">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标准值（变异系数≤0.21）</w:t>
                  </w:r>
                </w:p>
              </w:tc>
              <w:tc>
                <w:tcPr>
                  <w:tcW w:w="1214" w:type="pct"/>
                  <w:vAlign w:val="center"/>
                </w:tcPr>
                <w:p w14:paraId="73D61F88">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≥6.5</w:t>
                  </w:r>
                </w:p>
              </w:tc>
              <w:tc>
                <w:tcPr>
                  <w:tcW w:w="347" w:type="pct"/>
                  <w:vAlign w:val="center"/>
                </w:tcPr>
                <w:p w14:paraId="1CF29A0A">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MPa</w:t>
                  </w:r>
                </w:p>
              </w:tc>
              <w:tc>
                <w:tcPr>
                  <w:tcW w:w="1215" w:type="pct"/>
                  <w:vAlign w:val="center"/>
                </w:tcPr>
                <w:p w14:paraId="4CBC3E81">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17.2</w:t>
                  </w:r>
                </w:p>
              </w:tc>
              <w:tc>
                <w:tcPr>
                  <w:tcW w:w="374" w:type="pct"/>
                  <w:vMerge w:val="continue"/>
                  <w:vAlign w:val="center"/>
                </w:tcPr>
                <w:p w14:paraId="6CACFE15">
                  <w:pPr>
                    <w:ind w:left="-105" w:leftChars="-50" w:right="-105" w:rightChars="-50"/>
                    <w:jc w:val="center"/>
                    <w:rPr>
                      <w:rFonts w:ascii="Times New Roman" w:hAnsi="Times New Roman" w:eastAsia="宋体" w:cs="Times New Roman"/>
                      <w:color w:val="000000"/>
                      <w:szCs w:val="21"/>
                    </w:rPr>
                  </w:pPr>
                </w:p>
              </w:tc>
            </w:tr>
            <w:tr w14:paraId="2DEB71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7" w:type="pct"/>
                  <w:vAlign w:val="center"/>
                </w:tcPr>
                <w:p w14:paraId="7AA351F3">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2</w:t>
                  </w:r>
                </w:p>
              </w:tc>
              <w:tc>
                <w:tcPr>
                  <w:tcW w:w="1562" w:type="pct"/>
                  <w:gridSpan w:val="2"/>
                  <w:vAlign w:val="center"/>
                </w:tcPr>
                <w:p w14:paraId="72A0E5A8">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石灰爆裂</w:t>
                  </w:r>
                </w:p>
              </w:tc>
              <w:tc>
                <w:tcPr>
                  <w:tcW w:w="1214" w:type="pct"/>
                  <w:vAlign w:val="center"/>
                </w:tcPr>
                <w:p w14:paraId="1967469E">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见GB/T5101-2003中第5.6</w:t>
                  </w:r>
                </w:p>
              </w:tc>
              <w:tc>
                <w:tcPr>
                  <w:tcW w:w="347" w:type="pct"/>
                  <w:vAlign w:val="center"/>
                </w:tcPr>
                <w:p w14:paraId="67B79F53">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c>
                <w:tcPr>
                  <w:tcW w:w="1215" w:type="pct"/>
                  <w:vAlign w:val="center"/>
                </w:tcPr>
                <w:p w14:paraId="0434100C">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2-15mm爆裂点6处</w:t>
                  </w:r>
                </w:p>
              </w:tc>
              <w:tc>
                <w:tcPr>
                  <w:tcW w:w="374" w:type="pct"/>
                  <w:vAlign w:val="center"/>
                </w:tcPr>
                <w:p w14:paraId="075C5009">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合格</w:t>
                  </w:r>
                </w:p>
              </w:tc>
            </w:tr>
            <w:tr w14:paraId="5992BC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7" w:type="pct"/>
                  <w:vAlign w:val="center"/>
                </w:tcPr>
                <w:p w14:paraId="5190201E">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3</w:t>
                  </w:r>
                </w:p>
              </w:tc>
              <w:tc>
                <w:tcPr>
                  <w:tcW w:w="1562" w:type="pct"/>
                  <w:gridSpan w:val="2"/>
                  <w:vAlign w:val="center"/>
                </w:tcPr>
                <w:p w14:paraId="324A1F6E">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泛霜</w:t>
                  </w:r>
                </w:p>
              </w:tc>
              <w:tc>
                <w:tcPr>
                  <w:tcW w:w="1214" w:type="pct"/>
                  <w:vAlign w:val="center"/>
                </w:tcPr>
                <w:p w14:paraId="58B9DD41">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不允许出现严重泛霜</w:t>
                  </w:r>
                </w:p>
              </w:tc>
              <w:tc>
                <w:tcPr>
                  <w:tcW w:w="347" w:type="pct"/>
                  <w:vAlign w:val="center"/>
                </w:tcPr>
                <w:p w14:paraId="6B21420E">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c>
                <w:tcPr>
                  <w:tcW w:w="1215" w:type="pct"/>
                  <w:vAlign w:val="center"/>
                </w:tcPr>
                <w:p w14:paraId="4A213EB0">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均未出现严重泛霜</w:t>
                  </w:r>
                </w:p>
              </w:tc>
              <w:tc>
                <w:tcPr>
                  <w:tcW w:w="374" w:type="pct"/>
                  <w:vAlign w:val="center"/>
                </w:tcPr>
                <w:p w14:paraId="180BED4B">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合格</w:t>
                  </w:r>
                </w:p>
              </w:tc>
            </w:tr>
            <w:tr w14:paraId="79E8D6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7" w:type="pct"/>
                  <w:vMerge w:val="restart"/>
                  <w:vAlign w:val="center"/>
                </w:tcPr>
                <w:p w14:paraId="1C67E943">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4</w:t>
                  </w:r>
                </w:p>
              </w:tc>
              <w:tc>
                <w:tcPr>
                  <w:tcW w:w="521" w:type="pct"/>
                  <w:vMerge w:val="restart"/>
                  <w:vAlign w:val="center"/>
                </w:tcPr>
                <w:p w14:paraId="04303065">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抗风化性</w:t>
                  </w:r>
                </w:p>
              </w:tc>
              <w:tc>
                <w:tcPr>
                  <w:tcW w:w="1041" w:type="pct"/>
                  <w:vAlign w:val="center"/>
                </w:tcPr>
                <w:p w14:paraId="79E2D8B9">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5h沸煮吸水率%</w:t>
                  </w:r>
                </w:p>
              </w:tc>
              <w:tc>
                <w:tcPr>
                  <w:tcW w:w="1214" w:type="pct"/>
                  <w:vAlign w:val="center"/>
                </w:tcPr>
                <w:p w14:paraId="0A3DCEC8">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平均值≤18</w:t>
                  </w:r>
                </w:p>
                <w:p w14:paraId="236D3C89">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单块最大值≤20</w:t>
                  </w:r>
                </w:p>
              </w:tc>
              <w:tc>
                <w:tcPr>
                  <w:tcW w:w="347" w:type="pct"/>
                  <w:vAlign w:val="center"/>
                </w:tcPr>
                <w:p w14:paraId="0F3423AD">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c>
                <w:tcPr>
                  <w:tcW w:w="1215" w:type="pct"/>
                  <w:vAlign w:val="center"/>
                </w:tcPr>
                <w:p w14:paraId="598024CF">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平均值17</w:t>
                  </w:r>
                </w:p>
                <w:p w14:paraId="5F141D7F">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单块最大值19</w:t>
                  </w:r>
                </w:p>
              </w:tc>
              <w:tc>
                <w:tcPr>
                  <w:tcW w:w="374" w:type="pct"/>
                  <w:vMerge w:val="restart"/>
                  <w:vAlign w:val="center"/>
                </w:tcPr>
                <w:p w14:paraId="49C17D30">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合格</w:t>
                  </w:r>
                </w:p>
              </w:tc>
            </w:tr>
            <w:tr w14:paraId="066C08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7" w:type="pct"/>
                  <w:vMerge w:val="continue"/>
                  <w:vAlign w:val="center"/>
                </w:tcPr>
                <w:p w14:paraId="5083958F">
                  <w:pPr>
                    <w:ind w:left="-105" w:leftChars="-50" w:right="-105" w:rightChars="-50"/>
                    <w:jc w:val="center"/>
                    <w:rPr>
                      <w:rFonts w:ascii="Times New Roman" w:hAnsi="Times New Roman" w:eastAsia="宋体" w:cs="Times New Roman"/>
                      <w:color w:val="000000"/>
                      <w:szCs w:val="21"/>
                    </w:rPr>
                  </w:pPr>
                </w:p>
              </w:tc>
              <w:tc>
                <w:tcPr>
                  <w:tcW w:w="521" w:type="pct"/>
                  <w:vMerge w:val="continue"/>
                  <w:vAlign w:val="center"/>
                </w:tcPr>
                <w:p w14:paraId="5E989878">
                  <w:pPr>
                    <w:ind w:left="-105" w:leftChars="-50" w:right="-105" w:rightChars="-50"/>
                    <w:jc w:val="center"/>
                    <w:rPr>
                      <w:rFonts w:ascii="Times New Roman" w:hAnsi="Times New Roman" w:eastAsia="宋体" w:cs="Times New Roman"/>
                      <w:color w:val="000000"/>
                      <w:szCs w:val="21"/>
                    </w:rPr>
                  </w:pPr>
                </w:p>
              </w:tc>
              <w:tc>
                <w:tcPr>
                  <w:tcW w:w="1041" w:type="pct"/>
                  <w:vAlign w:val="center"/>
                </w:tcPr>
                <w:p w14:paraId="309D52AB">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饱和系数</w:t>
                  </w:r>
                </w:p>
              </w:tc>
              <w:tc>
                <w:tcPr>
                  <w:tcW w:w="1214" w:type="pct"/>
                  <w:vAlign w:val="center"/>
                </w:tcPr>
                <w:p w14:paraId="2733375C">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平均值≤0.78</w:t>
                  </w:r>
                </w:p>
                <w:p w14:paraId="1224DD0E">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单块最大值≤0.8</w:t>
                  </w:r>
                </w:p>
              </w:tc>
              <w:tc>
                <w:tcPr>
                  <w:tcW w:w="347" w:type="pct"/>
                  <w:vAlign w:val="center"/>
                </w:tcPr>
                <w:p w14:paraId="2C6A1B7C">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c>
                <w:tcPr>
                  <w:tcW w:w="1215" w:type="pct"/>
                  <w:vAlign w:val="center"/>
                </w:tcPr>
                <w:p w14:paraId="54113407">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平均值0.78</w:t>
                  </w:r>
                </w:p>
                <w:p w14:paraId="1A00DE10">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单块最大值0.8</w:t>
                  </w:r>
                </w:p>
              </w:tc>
              <w:tc>
                <w:tcPr>
                  <w:tcW w:w="374" w:type="pct"/>
                  <w:vMerge w:val="continue"/>
                  <w:vAlign w:val="center"/>
                </w:tcPr>
                <w:p w14:paraId="11E5B0C5">
                  <w:pPr>
                    <w:ind w:left="-105" w:leftChars="-50" w:right="-105" w:rightChars="-50"/>
                    <w:jc w:val="center"/>
                    <w:rPr>
                      <w:rFonts w:ascii="Times New Roman" w:hAnsi="Times New Roman" w:eastAsia="宋体" w:cs="Times New Roman"/>
                      <w:color w:val="000000"/>
                      <w:szCs w:val="21"/>
                    </w:rPr>
                  </w:pPr>
                </w:p>
              </w:tc>
            </w:tr>
            <w:tr w14:paraId="3A3D50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7" w:type="pct"/>
                  <w:vMerge w:val="restart"/>
                  <w:vAlign w:val="center"/>
                </w:tcPr>
                <w:p w14:paraId="7CF1C47C">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5</w:t>
                  </w:r>
                </w:p>
              </w:tc>
              <w:tc>
                <w:tcPr>
                  <w:tcW w:w="521" w:type="pct"/>
                  <w:vMerge w:val="restart"/>
                  <w:vAlign w:val="center"/>
                </w:tcPr>
                <w:p w14:paraId="2BF5F1AB">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放射性核素限量</w:t>
                  </w:r>
                </w:p>
              </w:tc>
              <w:tc>
                <w:tcPr>
                  <w:tcW w:w="1041" w:type="pct"/>
                  <w:vAlign w:val="center"/>
                </w:tcPr>
                <w:p w14:paraId="0923DFB2">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内照射指数</w:t>
                  </w:r>
                </w:p>
              </w:tc>
              <w:tc>
                <w:tcPr>
                  <w:tcW w:w="1214" w:type="pct"/>
                  <w:vAlign w:val="center"/>
                </w:tcPr>
                <w:p w14:paraId="47A6A0F9">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≤1.0</w:t>
                  </w:r>
                </w:p>
              </w:tc>
              <w:tc>
                <w:tcPr>
                  <w:tcW w:w="347" w:type="pct"/>
                  <w:vAlign w:val="center"/>
                </w:tcPr>
                <w:p w14:paraId="515E8210">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c>
                <w:tcPr>
                  <w:tcW w:w="1215" w:type="pct"/>
                  <w:vAlign w:val="center"/>
                </w:tcPr>
                <w:p w14:paraId="5D6D8C11">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0.2</w:t>
                  </w:r>
                </w:p>
              </w:tc>
              <w:tc>
                <w:tcPr>
                  <w:tcW w:w="374" w:type="pct"/>
                  <w:vMerge w:val="restart"/>
                  <w:vAlign w:val="center"/>
                </w:tcPr>
                <w:p w14:paraId="12DF00C2">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合格</w:t>
                  </w:r>
                </w:p>
              </w:tc>
            </w:tr>
            <w:tr w14:paraId="6C0C19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7" w:type="pct"/>
                  <w:vMerge w:val="continue"/>
                  <w:vAlign w:val="center"/>
                </w:tcPr>
                <w:p w14:paraId="1AE6D554">
                  <w:pPr>
                    <w:ind w:left="-105" w:leftChars="-50" w:right="-105" w:rightChars="-50"/>
                    <w:jc w:val="center"/>
                    <w:rPr>
                      <w:rFonts w:ascii="Times New Roman" w:hAnsi="Times New Roman" w:eastAsia="宋体" w:cs="Times New Roman"/>
                      <w:color w:val="000000"/>
                      <w:szCs w:val="21"/>
                    </w:rPr>
                  </w:pPr>
                </w:p>
              </w:tc>
              <w:tc>
                <w:tcPr>
                  <w:tcW w:w="521" w:type="pct"/>
                  <w:vMerge w:val="continue"/>
                  <w:vAlign w:val="center"/>
                </w:tcPr>
                <w:p w14:paraId="0907EEAB">
                  <w:pPr>
                    <w:ind w:left="-105" w:leftChars="-50" w:right="-105" w:rightChars="-50"/>
                    <w:jc w:val="center"/>
                    <w:rPr>
                      <w:rFonts w:ascii="Times New Roman" w:hAnsi="Times New Roman" w:eastAsia="宋体" w:cs="Times New Roman"/>
                      <w:color w:val="000000"/>
                      <w:szCs w:val="21"/>
                    </w:rPr>
                  </w:pPr>
                </w:p>
              </w:tc>
              <w:tc>
                <w:tcPr>
                  <w:tcW w:w="1041" w:type="pct"/>
                  <w:vAlign w:val="center"/>
                </w:tcPr>
                <w:p w14:paraId="15DF7EEB">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外照射指数</w:t>
                  </w:r>
                </w:p>
              </w:tc>
              <w:tc>
                <w:tcPr>
                  <w:tcW w:w="1214" w:type="pct"/>
                  <w:vAlign w:val="center"/>
                </w:tcPr>
                <w:p w14:paraId="6348EEC3">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≤1.0</w:t>
                  </w:r>
                </w:p>
              </w:tc>
              <w:tc>
                <w:tcPr>
                  <w:tcW w:w="347" w:type="pct"/>
                  <w:vAlign w:val="center"/>
                </w:tcPr>
                <w:p w14:paraId="74D42CAD">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c>
                <w:tcPr>
                  <w:tcW w:w="1215" w:type="pct"/>
                  <w:vAlign w:val="center"/>
                </w:tcPr>
                <w:p w14:paraId="7DEE7434">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0.4</w:t>
                  </w:r>
                </w:p>
              </w:tc>
              <w:tc>
                <w:tcPr>
                  <w:tcW w:w="374" w:type="pct"/>
                  <w:vMerge w:val="continue"/>
                  <w:vAlign w:val="center"/>
                </w:tcPr>
                <w:p w14:paraId="0211423E">
                  <w:pPr>
                    <w:ind w:left="-105" w:leftChars="-50" w:right="-105" w:rightChars="-50"/>
                    <w:jc w:val="center"/>
                    <w:rPr>
                      <w:rFonts w:ascii="Times New Roman" w:hAnsi="Times New Roman" w:eastAsia="宋体" w:cs="Times New Roman"/>
                      <w:color w:val="000000"/>
                      <w:szCs w:val="21"/>
                    </w:rPr>
                  </w:pPr>
                </w:p>
              </w:tc>
            </w:tr>
          </w:tbl>
          <w:p w14:paraId="2E91108B">
            <w:pPr>
              <w:spacing w:line="360" w:lineRule="auto"/>
              <w:ind w:firstLine="482" w:firstLineChars="200"/>
              <w:rPr>
                <w:rFonts w:ascii="Times New Roman" w:hAnsi="Times New Roman" w:eastAsia="宋体" w:cs="Times New Roman"/>
                <w:b/>
                <w:color w:val="000000"/>
                <w:sz w:val="24"/>
                <w:szCs w:val="24"/>
              </w:rPr>
            </w:pPr>
            <w:r>
              <w:rPr>
                <w:rFonts w:hint="eastAsia" w:ascii="宋体" w:hAnsi="宋体" w:eastAsia="宋体" w:cs="宋体"/>
                <w:b/>
                <w:color w:val="000000"/>
                <w:sz w:val="24"/>
                <w:szCs w:val="24"/>
              </w:rPr>
              <w:t>②</w:t>
            </w:r>
            <w:r>
              <w:rPr>
                <w:rFonts w:ascii="Times New Roman" w:hAnsi="Times New Roman" w:eastAsia="宋体" w:cs="Times New Roman"/>
                <w:b/>
                <w:color w:val="000000"/>
                <w:sz w:val="24"/>
                <w:szCs w:val="24"/>
              </w:rPr>
              <w:t>工业污泥烧成砖产品质量检测结果</w:t>
            </w:r>
          </w:p>
          <w:p w14:paraId="2E68ABA3">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麒新机砖厂销售单位（遂宁市均得建材有限公司）于2022年10月委托遂宁市产品质量监督检验所，按照《烧结普通砖》（GB/T5101-2017）的检验标准对裕宁、信利、东捷污泥小试制砖成品强度等级、抗风化性能进行检验，检测表明样品所检项目符合标准要求，检测数据表明工业污泥按照5%、8%、10%各个掺烧比例时，制备的成品砖质量合格。</w:t>
            </w:r>
          </w:p>
          <w:p w14:paraId="102BF58D">
            <w:pPr>
              <w:spacing w:line="360" w:lineRule="auto"/>
              <w:jc w:val="center"/>
              <w:rPr>
                <w:rFonts w:ascii="Times New Roman" w:hAnsi="Times New Roman" w:eastAsia="宋体" w:cs="Times New Roman"/>
                <w:color w:val="000000"/>
                <w:sz w:val="24"/>
                <w:szCs w:val="24"/>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9</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小试烧结普通砖质量检测数据</w:t>
            </w:r>
          </w:p>
          <w:tbl>
            <w:tblPr>
              <w:tblStyle w:val="2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8"/>
              <w:gridCol w:w="975"/>
              <w:gridCol w:w="647"/>
              <w:gridCol w:w="770"/>
              <w:gridCol w:w="1538"/>
              <w:gridCol w:w="924"/>
              <w:gridCol w:w="853"/>
              <w:gridCol w:w="860"/>
              <w:gridCol w:w="818"/>
            </w:tblGrid>
            <w:tr w14:paraId="502691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62D86784">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序号</w:t>
                  </w:r>
                </w:p>
              </w:tc>
              <w:tc>
                <w:tcPr>
                  <w:tcW w:w="2410" w:type="dxa"/>
                  <w:gridSpan w:val="3"/>
                  <w:vAlign w:val="center"/>
                </w:tcPr>
                <w:p w14:paraId="33C0CB7D">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检验项目</w:t>
                  </w:r>
                </w:p>
              </w:tc>
              <w:tc>
                <w:tcPr>
                  <w:tcW w:w="1559" w:type="dxa"/>
                  <w:vAlign w:val="center"/>
                </w:tcPr>
                <w:p w14:paraId="09D7495B">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方法标准</w:t>
                  </w:r>
                </w:p>
              </w:tc>
              <w:tc>
                <w:tcPr>
                  <w:tcW w:w="997" w:type="dxa"/>
                  <w:vAlign w:val="center"/>
                </w:tcPr>
                <w:p w14:paraId="77C3CC84">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单位</w:t>
                  </w:r>
                </w:p>
              </w:tc>
              <w:tc>
                <w:tcPr>
                  <w:tcW w:w="904" w:type="dxa"/>
                  <w:vAlign w:val="center"/>
                </w:tcPr>
                <w:p w14:paraId="7114E6C6">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标准要求</w:t>
                  </w:r>
                </w:p>
              </w:tc>
              <w:tc>
                <w:tcPr>
                  <w:tcW w:w="905" w:type="dxa"/>
                  <w:vAlign w:val="center"/>
                </w:tcPr>
                <w:p w14:paraId="131DD4F0">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检验结果</w:t>
                  </w:r>
                </w:p>
              </w:tc>
              <w:tc>
                <w:tcPr>
                  <w:tcW w:w="905" w:type="dxa"/>
                  <w:vAlign w:val="center"/>
                </w:tcPr>
                <w:p w14:paraId="21595129">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单项判定</w:t>
                  </w:r>
                </w:p>
              </w:tc>
            </w:tr>
            <w:tr w14:paraId="751DE0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Merge w:val="restart"/>
                  <w:vAlign w:val="center"/>
                </w:tcPr>
                <w:p w14:paraId="4B75A80A">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w:t>
                  </w:r>
                </w:p>
              </w:tc>
              <w:tc>
                <w:tcPr>
                  <w:tcW w:w="851" w:type="dxa"/>
                  <w:vMerge w:val="restart"/>
                  <w:vAlign w:val="center"/>
                </w:tcPr>
                <w:p w14:paraId="314BB583">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强度等级（MU10）</w:t>
                  </w:r>
                </w:p>
              </w:tc>
              <w:tc>
                <w:tcPr>
                  <w:tcW w:w="1559" w:type="dxa"/>
                  <w:gridSpan w:val="2"/>
                  <w:vAlign w:val="center"/>
                </w:tcPr>
                <w:p w14:paraId="78B9F3EF">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抗压强度平均值</w:t>
                  </w:r>
                </w:p>
              </w:tc>
              <w:tc>
                <w:tcPr>
                  <w:tcW w:w="1559" w:type="dxa"/>
                  <w:vAlign w:val="center"/>
                </w:tcPr>
                <w:p w14:paraId="28286097">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GB/T2542-2012</w:t>
                  </w:r>
                </w:p>
              </w:tc>
              <w:tc>
                <w:tcPr>
                  <w:tcW w:w="997" w:type="dxa"/>
                  <w:vAlign w:val="center"/>
                </w:tcPr>
                <w:p w14:paraId="701C488C">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MPa</w:t>
                  </w:r>
                </w:p>
              </w:tc>
              <w:tc>
                <w:tcPr>
                  <w:tcW w:w="904" w:type="dxa"/>
                  <w:vAlign w:val="center"/>
                </w:tcPr>
                <w:p w14:paraId="48B589AF">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≥10.0</w:t>
                  </w:r>
                </w:p>
              </w:tc>
              <w:tc>
                <w:tcPr>
                  <w:tcW w:w="905" w:type="dxa"/>
                  <w:vAlign w:val="center"/>
                </w:tcPr>
                <w:p w14:paraId="33012485">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25.1</w:t>
                  </w:r>
                </w:p>
              </w:tc>
              <w:tc>
                <w:tcPr>
                  <w:tcW w:w="905" w:type="dxa"/>
                  <w:vAlign w:val="center"/>
                </w:tcPr>
                <w:p w14:paraId="3D243C6D">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合格</w:t>
                  </w:r>
                </w:p>
              </w:tc>
            </w:tr>
            <w:tr w14:paraId="6EB1F4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Merge w:val="continue"/>
                  <w:vAlign w:val="center"/>
                </w:tcPr>
                <w:p w14:paraId="611E6FA3">
                  <w:pPr>
                    <w:ind w:left="-105" w:leftChars="-50" w:right="-105" w:rightChars="-50"/>
                    <w:jc w:val="center"/>
                    <w:rPr>
                      <w:rFonts w:ascii="Times New Roman" w:hAnsi="Times New Roman" w:eastAsia="宋体" w:cs="Times New Roman"/>
                      <w:color w:val="000000"/>
                      <w:szCs w:val="21"/>
                    </w:rPr>
                  </w:pPr>
                </w:p>
              </w:tc>
              <w:tc>
                <w:tcPr>
                  <w:tcW w:w="851" w:type="dxa"/>
                  <w:vMerge w:val="continue"/>
                  <w:vAlign w:val="center"/>
                </w:tcPr>
                <w:p w14:paraId="5C6036C3">
                  <w:pPr>
                    <w:ind w:left="-105" w:leftChars="-50" w:right="-105" w:rightChars="-50"/>
                    <w:jc w:val="center"/>
                    <w:rPr>
                      <w:rFonts w:ascii="Times New Roman" w:hAnsi="Times New Roman" w:eastAsia="宋体" w:cs="Times New Roman"/>
                      <w:color w:val="000000"/>
                      <w:szCs w:val="21"/>
                    </w:rPr>
                  </w:pPr>
                </w:p>
              </w:tc>
              <w:tc>
                <w:tcPr>
                  <w:tcW w:w="1559" w:type="dxa"/>
                  <w:gridSpan w:val="2"/>
                  <w:vAlign w:val="center"/>
                </w:tcPr>
                <w:p w14:paraId="38A0EC92">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强度标准值</w:t>
                  </w:r>
                </w:p>
              </w:tc>
              <w:tc>
                <w:tcPr>
                  <w:tcW w:w="1559" w:type="dxa"/>
                  <w:vAlign w:val="center"/>
                </w:tcPr>
                <w:p w14:paraId="27B008D3">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GB/T2542-2012</w:t>
                  </w:r>
                </w:p>
              </w:tc>
              <w:tc>
                <w:tcPr>
                  <w:tcW w:w="997" w:type="dxa"/>
                  <w:vAlign w:val="center"/>
                </w:tcPr>
                <w:p w14:paraId="1AC370E3">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MPa</w:t>
                  </w:r>
                </w:p>
              </w:tc>
              <w:tc>
                <w:tcPr>
                  <w:tcW w:w="904" w:type="dxa"/>
                  <w:vAlign w:val="center"/>
                </w:tcPr>
                <w:p w14:paraId="16373F15">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≥6.5</w:t>
                  </w:r>
                </w:p>
              </w:tc>
              <w:tc>
                <w:tcPr>
                  <w:tcW w:w="905" w:type="dxa"/>
                  <w:vAlign w:val="center"/>
                </w:tcPr>
                <w:p w14:paraId="12DE83BA">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21.3</w:t>
                  </w:r>
                </w:p>
              </w:tc>
              <w:tc>
                <w:tcPr>
                  <w:tcW w:w="905" w:type="dxa"/>
                  <w:vAlign w:val="center"/>
                </w:tcPr>
                <w:p w14:paraId="39778440">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合格</w:t>
                  </w:r>
                </w:p>
              </w:tc>
            </w:tr>
            <w:tr w14:paraId="6249AE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Merge w:val="restart"/>
                  <w:vAlign w:val="center"/>
                </w:tcPr>
                <w:p w14:paraId="48C3B6ED">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2</w:t>
                  </w:r>
                </w:p>
              </w:tc>
              <w:tc>
                <w:tcPr>
                  <w:tcW w:w="851" w:type="dxa"/>
                  <w:vMerge w:val="restart"/>
                  <w:vAlign w:val="center"/>
                </w:tcPr>
                <w:p w14:paraId="4A22CCCE">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抗风化性能</w:t>
                  </w:r>
                </w:p>
              </w:tc>
              <w:tc>
                <w:tcPr>
                  <w:tcW w:w="709" w:type="dxa"/>
                  <w:vMerge w:val="restart"/>
                  <w:vAlign w:val="center"/>
                </w:tcPr>
                <w:p w14:paraId="65EFC207">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5h沸煮吸水率</w:t>
                  </w:r>
                </w:p>
              </w:tc>
              <w:tc>
                <w:tcPr>
                  <w:tcW w:w="850" w:type="dxa"/>
                  <w:vAlign w:val="center"/>
                </w:tcPr>
                <w:p w14:paraId="457E8D17">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平均值</w:t>
                  </w:r>
                </w:p>
              </w:tc>
              <w:tc>
                <w:tcPr>
                  <w:tcW w:w="1559" w:type="dxa"/>
                  <w:vAlign w:val="center"/>
                </w:tcPr>
                <w:p w14:paraId="50CF9C62">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GB/T2542-2012</w:t>
                  </w:r>
                </w:p>
              </w:tc>
              <w:tc>
                <w:tcPr>
                  <w:tcW w:w="997" w:type="dxa"/>
                  <w:vAlign w:val="center"/>
                </w:tcPr>
                <w:p w14:paraId="40FAE3B6">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c>
                <w:tcPr>
                  <w:tcW w:w="904" w:type="dxa"/>
                  <w:vAlign w:val="center"/>
                </w:tcPr>
                <w:p w14:paraId="690CDD64">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≤18%</w:t>
                  </w:r>
                </w:p>
              </w:tc>
              <w:tc>
                <w:tcPr>
                  <w:tcW w:w="905" w:type="dxa"/>
                  <w:vAlign w:val="center"/>
                </w:tcPr>
                <w:p w14:paraId="7C887485">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16%</w:t>
                  </w:r>
                </w:p>
              </w:tc>
              <w:tc>
                <w:tcPr>
                  <w:tcW w:w="905" w:type="dxa"/>
                  <w:vAlign w:val="center"/>
                </w:tcPr>
                <w:p w14:paraId="49E76B08">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合格</w:t>
                  </w:r>
                </w:p>
              </w:tc>
            </w:tr>
            <w:tr w14:paraId="083C14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Merge w:val="continue"/>
                  <w:vAlign w:val="center"/>
                </w:tcPr>
                <w:p w14:paraId="35D48663">
                  <w:pPr>
                    <w:ind w:left="-105" w:leftChars="-50" w:right="-105" w:rightChars="-50"/>
                    <w:jc w:val="center"/>
                    <w:rPr>
                      <w:rFonts w:ascii="Times New Roman" w:hAnsi="Times New Roman" w:eastAsia="宋体" w:cs="Times New Roman"/>
                      <w:color w:val="000000"/>
                      <w:szCs w:val="21"/>
                    </w:rPr>
                  </w:pPr>
                </w:p>
              </w:tc>
              <w:tc>
                <w:tcPr>
                  <w:tcW w:w="851" w:type="dxa"/>
                  <w:vMerge w:val="continue"/>
                  <w:vAlign w:val="center"/>
                </w:tcPr>
                <w:p w14:paraId="4AEC5B40">
                  <w:pPr>
                    <w:ind w:left="-105" w:leftChars="-50" w:right="-105" w:rightChars="-50"/>
                    <w:jc w:val="center"/>
                    <w:rPr>
                      <w:rFonts w:ascii="Times New Roman" w:hAnsi="Times New Roman" w:eastAsia="宋体" w:cs="Times New Roman"/>
                      <w:color w:val="000000"/>
                      <w:szCs w:val="21"/>
                    </w:rPr>
                  </w:pPr>
                </w:p>
              </w:tc>
              <w:tc>
                <w:tcPr>
                  <w:tcW w:w="709" w:type="dxa"/>
                  <w:vMerge w:val="continue"/>
                  <w:vAlign w:val="center"/>
                </w:tcPr>
                <w:p w14:paraId="6BBAA70A">
                  <w:pPr>
                    <w:ind w:left="-105" w:leftChars="-50" w:right="-105" w:rightChars="-50"/>
                    <w:jc w:val="center"/>
                    <w:rPr>
                      <w:rFonts w:ascii="Times New Roman" w:hAnsi="Times New Roman" w:eastAsia="宋体" w:cs="Times New Roman"/>
                      <w:color w:val="000000"/>
                      <w:szCs w:val="21"/>
                    </w:rPr>
                  </w:pPr>
                </w:p>
              </w:tc>
              <w:tc>
                <w:tcPr>
                  <w:tcW w:w="850" w:type="dxa"/>
                  <w:vAlign w:val="center"/>
                </w:tcPr>
                <w:p w14:paraId="56DE7EC0">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单块最大值</w:t>
                  </w:r>
                </w:p>
              </w:tc>
              <w:tc>
                <w:tcPr>
                  <w:tcW w:w="1559" w:type="dxa"/>
                  <w:vAlign w:val="center"/>
                </w:tcPr>
                <w:p w14:paraId="09909DF1">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GB/T2542-2012</w:t>
                  </w:r>
                </w:p>
              </w:tc>
              <w:tc>
                <w:tcPr>
                  <w:tcW w:w="997" w:type="dxa"/>
                  <w:vAlign w:val="center"/>
                </w:tcPr>
                <w:p w14:paraId="7B17560A">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c>
                <w:tcPr>
                  <w:tcW w:w="904" w:type="dxa"/>
                  <w:vAlign w:val="center"/>
                </w:tcPr>
                <w:p w14:paraId="728CF936">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≤20%</w:t>
                  </w:r>
                </w:p>
              </w:tc>
              <w:tc>
                <w:tcPr>
                  <w:tcW w:w="905" w:type="dxa"/>
                  <w:vAlign w:val="center"/>
                </w:tcPr>
                <w:p w14:paraId="47105FF0">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17.7%</w:t>
                  </w:r>
                </w:p>
              </w:tc>
              <w:tc>
                <w:tcPr>
                  <w:tcW w:w="905" w:type="dxa"/>
                  <w:vAlign w:val="center"/>
                </w:tcPr>
                <w:p w14:paraId="43A4F905">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合格</w:t>
                  </w:r>
                </w:p>
              </w:tc>
            </w:tr>
            <w:tr w14:paraId="7A0FA8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Merge w:val="continue"/>
                  <w:vAlign w:val="center"/>
                </w:tcPr>
                <w:p w14:paraId="41DA4C87">
                  <w:pPr>
                    <w:ind w:left="-105" w:leftChars="-50" w:right="-105" w:rightChars="-50"/>
                    <w:jc w:val="center"/>
                    <w:rPr>
                      <w:rFonts w:ascii="Times New Roman" w:hAnsi="Times New Roman" w:eastAsia="宋体" w:cs="Times New Roman"/>
                      <w:color w:val="000000"/>
                      <w:szCs w:val="21"/>
                    </w:rPr>
                  </w:pPr>
                </w:p>
              </w:tc>
              <w:tc>
                <w:tcPr>
                  <w:tcW w:w="851" w:type="dxa"/>
                  <w:vMerge w:val="continue"/>
                  <w:vAlign w:val="center"/>
                </w:tcPr>
                <w:p w14:paraId="504CF3D6">
                  <w:pPr>
                    <w:ind w:left="-105" w:leftChars="-50" w:right="-105" w:rightChars="-50"/>
                    <w:jc w:val="center"/>
                    <w:rPr>
                      <w:rFonts w:ascii="Times New Roman" w:hAnsi="Times New Roman" w:eastAsia="宋体" w:cs="Times New Roman"/>
                      <w:color w:val="000000"/>
                      <w:szCs w:val="21"/>
                    </w:rPr>
                  </w:pPr>
                </w:p>
              </w:tc>
              <w:tc>
                <w:tcPr>
                  <w:tcW w:w="709" w:type="dxa"/>
                  <w:vMerge w:val="restart"/>
                  <w:vAlign w:val="center"/>
                </w:tcPr>
                <w:p w14:paraId="24026C46">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饱和系数</w:t>
                  </w:r>
                </w:p>
              </w:tc>
              <w:tc>
                <w:tcPr>
                  <w:tcW w:w="850" w:type="dxa"/>
                  <w:vAlign w:val="center"/>
                </w:tcPr>
                <w:p w14:paraId="3DA97CFD">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平均值</w:t>
                  </w:r>
                </w:p>
              </w:tc>
              <w:tc>
                <w:tcPr>
                  <w:tcW w:w="1559" w:type="dxa"/>
                  <w:vAlign w:val="center"/>
                </w:tcPr>
                <w:p w14:paraId="68FCAE1C">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GB/T2542-2012</w:t>
                  </w:r>
                </w:p>
              </w:tc>
              <w:tc>
                <w:tcPr>
                  <w:tcW w:w="997" w:type="dxa"/>
                  <w:vAlign w:val="center"/>
                </w:tcPr>
                <w:p w14:paraId="53BEF475">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c>
                <w:tcPr>
                  <w:tcW w:w="904" w:type="dxa"/>
                  <w:vAlign w:val="center"/>
                </w:tcPr>
                <w:p w14:paraId="6F2588FD">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≤0.78</w:t>
                  </w:r>
                </w:p>
              </w:tc>
              <w:tc>
                <w:tcPr>
                  <w:tcW w:w="905" w:type="dxa"/>
                  <w:vAlign w:val="center"/>
                </w:tcPr>
                <w:p w14:paraId="476A96AC">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0.75</w:t>
                  </w:r>
                </w:p>
              </w:tc>
              <w:tc>
                <w:tcPr>
                  <w:tcW w:w="905" w:type="dxa"/>
                  <w:vAlign w:val="center"/>
                </w:tcPr>
                <w:p w14:paraId="4F5B8E5E">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合格</w:t>
                  </w:r>
                </w:p>
              </w:tc>
            </w:tr>
            <w:tr w14:paraId="206D1F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Merge w:val="continue"/>
                  <w:vAlign w:val="center"/>
                </w:tcPr>
                <w:p w14:paraId="2A0366B7">
                  <w:pPr>
                    <w:ind w:left="-105" w:leftChars="-50" w:right="-105" w:rightChars="-50"/>
                    <w:jc w:val="center"/>
                    <w:rPr>
                      <w:rFonts w:ascii="Times New Roman" w:hAnsi="Times New Roman" w:eastAsia="宋体" w:cs="Times New Roman"/>
                      <w:color w:val="000000"/>
                      <w:szCs w:val="21"/>
                    </w:rPr>
                  </w:pPr>
                </w:p>
              </w:tc>
              <w:tc>
                <w:tcPr>
                  <w:tcW w:w="851" w:type="dxa"/>
                  <w:vMerge w:val="continue"/>
                  <w:vAlign w:val="center"/>
                </w:tcPr>
                <w:p w14:paraId="339D3B70">
                  <w:pPr>
                    <w:ind w:left="-105" w:leftChars="-50" w:right="-105" w:rightChars="-50"/>
                    <w:jc w:val="center"/>
                    <w:rPr>
                      <w:rFonts w:ascii="Times New Roman" w:hAnsi="Times New Roman" w:eastAsia="宋体" w:cs="Times New Roman"/>
                      <w:color w:val="000000"/>
                      <w:szCs w:val="21"/>
                    </w:rPr>
                  </w:pPr>
                </w:p>
              </w:tc>
              <w:tc>
                <w:tcPr>
                  <w:tcW w:w="709" w:type="dxa"/>
                  <w:vMerge w:val="continue"/>
                  <w:vAlign w:val="center"/>
                </w:tcPr>
                <w:p w14:paraId="6EF8F2DF">
                  <w:pPr>
                    <w:ind w:left="-105" w:leftChars="-50" w:right="-105" w:rightChars="-50"/>
                    <w:jc w:val="center"/>
                    <w:rPr>
                      <w:rFonts w:ascii="Times New Roman" w:hAnsi="Times New Roman" w:eastAsia="宋体" w:cs="Times New Roman"/>
                      <w:color w:val="000000"/>
                      <w:szCs w:val="21"/>
                    </w:rPr>
                  </w:pPr>
                </w:p>
              </w:tc>
              <w:tc>
                <w:tcPr>
                  <w:tcW w:w="850" w:type="dxa"/>
                  <w:vAlign w:val="center"/>
                </w:tcPr>
                <w:p w14:paraId="0828BA56">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单块最大值</w:t>
                  </w:r>
                </w:p>
              </w:tc>
              <w:tc>
                <w:tcPr>
                  <w:tcW w:w="1559" w:type="dxa"/>
                  <w:vAlign w:val="center"/>
                </w:tcPr>
                <w:p w14:paraId="4BCD0335">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GB/T2542-2012</w:t>
                  </w:r>
                </w:p>
              </w:tc>
              <w:tc>
                <w:tcPr>
                  <w:tcW w:w="997" w:type="dxa"/>
                  <w:vAlign w:val="center"/>
                </w:tcPr>
                <w:p w14:paraId="5C0A98C3">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c>
                <w:tcPr>
                  <w:tcW w:w="904" w:type="dxa"/>
                  <w:vAlign w:val="center"/>
                </w:tcPr>
                <w:p w14:paraId="6F5460A7">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≤0.80</w:t>
                  </w:r>
                </w:p>
              </w:tc>
              <w:tc>
                <w:tcPr>
                  <w:tcW w:w="905" w:type="dxa"/>
                  <w:vAlign w:val="center"/>
                </w:tcPr>
                <w:p w14:paraId="3CFF958D">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0.769</w:t>
                  </w:r>
                </w:p>
              </w:tc>
              <w:tc>
                <w:tcPr>
                  <w:tcW w:w="905" w:type="dxa"/>
                  <w:vAlign w:val="center"/>
                </w:tcPr>
                <w:p w14:paraId="35C0F48E">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合格</w:t>
                  </w:r>
                </w:p>
              </w:tc>
            </w:tr>
          </w:tbl>
          <w:p w14:paraId="0FCA6446">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综上，项目使用水基钻井废弃物及无机工业污泥掺烧制砖，原料来源可靠，工艺可行，产品质量满足相应标准，项目可行。</w:t>
            </w:r>
          </w:p>
          <w:p w14:paraId="2140E1C8">
            <w:pPr>
              <w:adjustRightInd w:val="0"/>
              <w:snapToGrid w:val="0"/>
              <w:spacing w:line="360" w:lineRule="auto"/>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二、工程概况</w:t>
            </w:r>
          </w:p>
          <w:p w14:paraId="38A463A5">
            <w:pPr>
              <w:adjustRightInd w:val="0"/>
              <w:snapToGrid w:val="0"/>
              <w:spacing w:line="360" w:lineRule="auto"/>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1、项目概况</w:t>
            </w:r>
          </w:p>
          <w:p w14:paraId="317C0876">
            <w:pPr>
              <w:adjustRightInd w:val="0"/>
              <w:snapToGrid w:val="0"/>
              <w:spacing w:line="360" w:lineRule="auto"/>
              <w:ind w:firstLine="480" w:firstLineChars="200"/>
              <w:rPr>
                <w:rFonts w:ascii="Times New Roman" w:hAnsi="Times New Roman" w:eastAsia="仿宋_GB2312" w:cs="Times New Roman"/>
                <w:color w:val="000000"/>
                <w:sz w:val="24"/>
                <w:szCs w:val="24"/>
              </w:rPr>
            </w:pPr>
            <w:r>
              <w:rPr>
                <w:rFonts w:ascii="Times New Roman" w:hAnsi="Times New Roman" w:eastAsia="宋体" w:cs="Times New Roman"/>
                <w:color w:val="000000"/>
                <w:sz w:val="24"/>
                <w:szCs w:val="24"/>
              </w:rPr>
              <w:t>项目名称：遂宁市安居区麒新机砖厂技术改造项目</w:t>
            </w:r>
          </w:p>
          <w:p w14:paraId="78731D30">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项目性质：技改</w:t>
            </w:r>
          </w:p>
          <w:p w14:paraId="4B7BA6ED">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建设地点：遂宁市安居区横山镇滑泥桥三社</w:t>
            </w:r>
          </w:p>
          <w:p w14:paraId="73665A6B">
            <w:pPr>
              <w:adjustRightInd w:val="0"/>
              <w:snapToGrid w:val="0"/>
              <w:spacing w:line="360" w:lineRule="auto"/>
              <w:ind w:firstLine="480" w:firstLineChars="200"/>
              <w:rPr>
                <w:rFonts w:ascii="Times New Roman" w:hAnsi="Times New Roman" w:eastAsia="宋体" w:cs="Times New Roman"/>
                <w:bCs/>
                <w:color w:val="000000"/>
                <w:sz w:val="24"/>
                <w:szCs w:val="24"/>
              </w:rPr>
            </w:pPr>
            <w:r>
              <w:rPr>
                <w:rFonts w:ascii="Times New Roman" w:hAnsi="Times New Roman" w:eastAsia="宋体" w:cs="Times New Roman"/>
                <w:color w:val="000000"/>
                <w:sz w:val="24"/>
                <w:szCs w:val="24"/>
              </w:rPr>
              <w:t>建设单位：遂宁市安居区麒新机砖厂（有限合伙）</w:t>
            </w:r>
          </w:p>
          <w:p w14:paraId="0C5A95B5">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建设内容：使用</w:t>
            </w:r>
            <w:r>
              <w:rPr>
                <w:rFonts w:ascii="Times New Roman" w:hAnsi="Times New Roman" w:eastAsia="宋体" w:cs="Times New Roman"/>
                <w:color w:val="000000"/>
                <w:sz w:val="24"/>
                <w:szCs w:val="24"/>
                <w:lang w:val="en-GB"/>
              </w:rPr>
              <w:t>水基钻井废弃物、无机工业污泥等一般工业固废</w:t>
            </w:r>
            <w:r>
              <w:rPr>
                <w:rFonts w:ascii="Times New Roman" w:hAnsi="Times New Roman" w:eastAsia="宋体" w:cs="Times New Roman"/>
                <w:color w:val="000000"/>
                <w:sz w:val="24"/>
                <w:szCs w:val="24"/>
              </w:rPr>
              <w:t>替代部分页岩原料，用于制备烧结砖，以实现工业固废综合利用制砖并减少制砖页岩用量的目标。本次技改不增加产能，仍为年产8000万块标砖/年。</w:t>
            </w:r>
          </w:p>
          <w:p w14:paraId="110C2CE5">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lang w:val="en-GB"/>
              </w:rPr>
              <w:t>劳动动员及工作制度：现有项目员工总数为20人，窑炉年工作日300天（年工作时长约7200h），制砖车间日工作时间约12小时，窑炉24小时焙烧。本项目技改后，不新增劳动定员，不改变生产制度。</w:t>
            </w:r>
          </w:p>
          <w:p w14:paraId="083FD1AB">
            <w:pPr>
              <w:adjustRightInd w:val="0"/>
              <w:snapToGrid w:val="0"/>
              <w:spacing w:line="360" w:lineRule="auto"/>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2、产品方案</w:t>
            </w:r>
          </w:p>
          <w:p w14:paraId="37BC22A5">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bCs/>
                <w:color w:val="000000"/>
                <w:sz w:val="24"/>
                <w:szCs w:val="24"/>
              </w:rPr>
              <w:t>本项目不改变原有生产工艺和规模，不新增产能。</w:t>
            </w:r>
            <w:r>
              <w:rPr>
                <w:rFonts w:ascii="Times New Roman" w:hAnsi="Times New Roman" w:eastAsia="宋体" w:cs="Times New Roman"/>
                <w:color w:val="000000"/>
                <w:sz w:val="24"/>
                <w:szCs w:val="24"/>
              </w:rPr>
              <w:t>产品方案如下：</w:t>
            </w:r>
          </w:p>
          <w:p w14:paraId="3E4DDC8B">
            <w:pPr>
              <w:adjustRightInd w:val="0"/>
              <w:snapToGrid w:val="0"/>
              <w:jc w:val="center"/>
              <w:rPr>
                <w:rFonts w:ascii="Times New Roman" w:hAnsi="Times New Roman" w:eastAsia="宋体" w:cs="Times New Roman"/>
                <w:b/>
                <w:color w:val="000000"/>
                <w:szCs w:val="21"/>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10</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ascii="Times New Roman" w:hAnsi="Times New Roman" w:eastAsia="宋体" w:cs="Times New Roman"/>
                <w:b/>
                <w:color w:val="000000"/>
                <w:szCs w:val="21"/>
              </w:rPr>
              <w:t>项目产品方案</w:t>
            </w:r>
          </w:p>
          <w:tbl>
            <w:tblPr>
              <w:tblStyle w:val="24"/>
              <w:tblW w:w="5000" w:type="pct"/>
              <w:tblInd w:w="0" w:type="dxa"/>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1354"/>
              <w:gridCol w:w="1355"/>
              <w:gridCol w:w="2315"/>
              <w:gridCol w:w="2779"/>
            </w:tblGrid>
            <w:tr w14:paraId="49CF05F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18" w:hRule="atLeast"/>
              </w:trPr>
              <w:tc>
                <w:tcPr>
                  <w:tcW w:w="868" w:type="pct"/>
                  <w:tcBorders>
                    <w:top w:val="single" w:color="auto" w:sz="8" w:space="0"/>
                    <w:left w:val="single" w:color="auto" w:sz="8" w:space="0"/>
                    <w:bottom w:val="single" w:color="auto" w:sz="8" w:space="0"/>
                    <w:right w:val="single" w:color="auto" w:sz="8" w:space="0"/>
                  </w:tcBorders>
                  <w:vAlign w:val="center"/>
                </w:tcPr>
                <w:p w14:paraId="42B04704">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类别</w:t>
                  </w:r>
                </w:p>
              </w:tc>
              <w:tc>
                <w:tcPr>
                  <w:tcW w:w="868" w:type="pct"/>
                  <w:tcBorders>
                    <w:top w:val="single" w:color="auto" w:sz="8" w:space="0"/>
                    <w:left w:val="single" w:color="auto" w:sz="8" w:space="0"/>
                    <w:bottom w:val="single" w:color="auto" w:sz="8" w:space="0"/>
                    <w:right w:val="single" w:color="auto" w:sz="8" w:space="0"/>
                  </w:tcBorders>
                  <w:vAlign w:val="center"/>
                </w:tcPr>
                <w:p w14:paraId="1A7F182F">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产品名称</w:t>
                  </w:r>
                </w:p>
              </w:tc>
              <w:tc>
                <w:tcPr>
                  <w:tcW w:w="1483" w:type="pct"/>
                  <w:tcBorders>
                    <w:top w:val="single" w:color="auto" w:sz="8" w:space="0"/>
                    <w:left w:val="single" w:color="auto" w:sz="8" w:space="0"/>
                    <w:bottom w:val="single" w:color="auto" w:sz="8" w:space="0"/>
                    <w:right w:val="single" w:color="auto" w:sz="8" w:space="0"/>
                  </w:tcBorders>
                  <w:vAlign w:val="center"/>
                </w:tcPr>
                <w:p w14:paraId="26B4427D">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产品规格（</w:t>
                  </w:r>
                  <w:r>
                    <w:rPr>
                      <w:rFonts w:ascii="Times New Roman" w:hAnsi="Times New Roman" w:eastAsia="Times New Roman" w:cs="Times New Roman"/>
                      <w:color w:val="000000"/>
                      <w:kern w:val="0"/>
                      <w:szCs w:val="21"/>
                    </w:rPr>
                    <w:t>mm</w:t>
                  </w:r>
                  <w:r>
                    <w:rPr>
                      <w:rFonts w:ascii="Times New Roman" w:hAnsi="Times New Roman" w:eastAsia="宋体" w:cs="Times New Roman"/>
                      <w:color w:val="000000"/>
                      <w:kern w:val="0"/>
                      <w:szCs w:val="21"/>
                    </w:rPr>
                    <w:t>）</w:t>
                  </w:r>
                </w:p>
              </w:tc>
              <w:tc>
                <w:tcPr>
                  <w:tcW w:w="1780" w:type="pct"/>
                  <w:tcBorders>
                    <w:top w:val="single" w:color="auto" w:sz="8" w:space="0"/>
                    <w:left w:val="single" w:color="auto" w:sz="8" w:space="0"/>
                    <w:bottom w:val="single" w:color="auto" w:sz="8" w:space="0"/>
                    <w:right w:val="single" w:color="auto" w:sz="8" w:space="0"/>
                  </w:tcBorders>
                  <w:vAlign w:val="center"/>
                </w:tcPr>
                <w:p w14:paraId="77174AE1">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生产规模（万匹</w:t>
                  </w:r>
                  <w:r>
                    <w:rPr>
                      <w:rFonts w:ascii="Times New Roman" w:hAnsi="Times New Roman" w:eastAsia="Times New Roman" w:cs="Times New Roman"/>
                      <w:color w:val="000000"/>
                      <w:kern w:val="0"/>
                      <w:szCs w:val="21"/>
                    </w:rPr>
                    <w:t>/</w:t>
                  </w:r>
                  <w:r>
                    <w:rPr>
                      <w:rFonts w:ascii="Times New Roman" w:hAnsi="Times New Roman" w:eastAsia="宋体" w:cs="Times New Roman"/>
                      <w:color w:val="000000"/>
                      <w:kern w:val="0"/>
                      <w:szCs w:val="21"/>
                    </w:rPr>
                    <w:t>年）</w:t>
                  </w:r>
                </w:p>
              </w:tc>
            </w:tr>
            <w:tr w14:paraId="04B4EE2B">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09" w:hRule="atLeast"/>
              </w:trPr>
              <w:tc>
                <w:tcPr>
                  <w:tcW w:w="868" w:type="pct"/>
                  <w:tcBorders>
                    <w:top w:val="single" w:color="auto" w:sz="8" w:space="0"/>
                    <w:left w:val="single" w:color="auto" w:sz="8" w:space="0"/>
                    <w:bottom w:val="single" w:color="auto" w:sz="8" w:space="0"/>
                    <w:right w:val="single" w:color="auto" w:sz="8" w:space="0"/>
                  </w:tcBorders>
                  <w:vAlign w:val="center"/>
                </w:tcPr>
                <w:p w14:paraId="3D59D4DF">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技改前</w:t>
                  </w:r>
                </w:p>
              </w:tc>
              <w:tc>
                <w:tcPr>
                  <w:tcW w:w="868" w:type="pct"/>
                  <w:tcBorders>
                    <w:top w:val="single" w:color="auto" w:sz="8" w:space="0"/>
                    <w:left w:val="single" w:color="auto" w:sz="8" w:space="0"/>
                    <w:bottom w:val="single" w:color="auto" w:sz="8" w:space="0"/>
                    <w:right w:val="single" w:color="auto" w:sz="8" w:space="0"/>
                  </w:tcBorders>
                  <w:vAlign w:val="center"/>
                </w:tcPr>
                <w:p w14:paraId="41F8B4AB">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标砖</w:t>
                  </w:r>
                </w:p>
              </w:tc>
              <w:tc>
                <w:tcPr>
                  <w:tcW w:w="1483" w:type="pct"/>
                  <w:tcBorders>
                    <w:top w:val="single" w:color="auto" w:sz="8" w:space="0"/>
                    <w:left w:val="single" w:color="auto" w:sz="8" w:space="0"/>
                    <w:bottom w:val="single" w:color="auto" w:sz="8" w:space="0"/>
                    <w:right w:val="single" w:color="auto" w:sz="8" w:space="0"/>
                  </w:tcBorders>
                  <w:vAlign w:val="center"/>
                </w:tcPr>
                <w:p w14:paraId="21A90FA4">
                  <w:pPr>
                    <w:jc w:val="center"/>
                    <w:rPr>
                      <w:rFonts w:ascii="Times New Roman" w:hAnsi="Times New Roman" w:eastAsia="宋体" w:cs="Times New Roman"/>
                      <w:color w:val="000000"/>
                      <w:kern w:val="0"/>
                      <w:szCs w:val="21"/>
                    </w:rPr>
                  </w:pPr>
                  <w:r>
                    <w:rPr>
                      <w:rFonts w:ascii="Times New Roman" w:hAnsi="Times New Roman" w:eastAsia="Times New Roman" w:cs="Times New Roman"/>
                      <w:color w:val="000000"/>
                      <w:kern w:val="0"/>
                      <w:szCs w:val="21"/>
                    </w:rPr>
                    <w:t>240×115×</w:t>
                  </w:r>
                  <w:r>
                    <w:rPr>
                      <w:rFonts w:ascii="Times New Roman" w:hAnsi="Times New Roman" w:eastAsia="宋体" w:cs="Times New Roman"/>
                      <w:color w:val="000000"/>
                      <w:kern w:val="0"/>
                      <w:szCs w:val="21"/>
                    </w:rPr>
                    <w:t>90</w:t>
                  </w:r>
                </w:p>
              </w:tc>
              <w:tc>
                <w:tcPr>
                  <w:tcW w:w="1780" w:type="pct"/>
                  <w:tcBorders>
                    <w:top w:val="single" w:color="auto" w:sz="8" w:space="0"/>
                    <w:left w:val="single" w:color="auto" w:sz="8" w:space="0"/>
                    <w:bottom w:val="single" w:color="auto" w:sz="8" w:space="0"/>
                    <w:right w:val="single" w:color="auto" w:sz="8" w:space="0"/>
                  </w:tcBorders>
                  <w:vAlign w:val="center"/>
                </w:tcPr>
                <w:p w14:paraId="6B25046B">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8</w:t>
                  </w:r>
                  <w:r>
                    <w:rPr>
                      <w:rFonts w:ascii="Times New Roman" w:hAnsi="Times New Roman" w:eastAsia="Times New Roman" w:cs="Times New Roman"/>
                      <w:color w:val="000000"/>
                      <w:kern w:val="0"/>
                      <w:szCs w:val="21"/>
                    </w:rPr>
                    <w:t>000</w:t>
                  </w:r>
                </w:p>
              </w:tc>
            </w:tr>
            <w:tr w14:paraId="6C8982E6">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09" w:hRule="atLeast"/>
              </w:trPr>
              <w:tc>
                <w:tcPr>
                  <w:tcW w:w="868" w:type="pct"/>
                  <w:tcBorders>
                    <w:top w:val="single" w:color="auto" w:sz="8" w:space="0"/>
                    <w:left w:val="single" w:color="auto" w:sz="8" w:space="0"/>
                    <w:bottom w:val="single" w:color="auto" w:sz="8" w:space="0"/>
                    <w:right w:val="single" w:color="auto" w:sz="8" w:space="0"/>
                  </w:tcBorders>
                  <w:vAlign w:val="center"/>
                </w:tcPr>
                <w:p w14:paraId="13051C2B">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技改后</w:t>
                  </w:r>
                </w:p>
              </w:tc>
              <w:tc>
                <w:tcPr>
                  <w:tcW w:w="868" w:type="pct"/>
                  <w:tcBorders>
                    <w:top w:val="single" w:color="auto" w:sz="8" w:space="0"/>
                    <w:left w:val="single" w:color="auto" w:sz="8" w:space="0"/>
                    <w:bottom w:val="single" w:color="auto" w:sz="8" w:space="0"/>
                    <w:right w:val="single" w:color="auto" w:sz="8" w:space="0"/>
                  </w:tcBorders>
                  <w:vAlign w:val="center"/>
                </w:tcPr>
                <w:p w14:paraId="7730228E">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标砖</w:t>
                  </w:r>
                </w:p>
              </w:tc>
              <w:tc>
                <w:tcPr>
                  <w:tcW w:w="1483" w:type="pct"/>
                  <w:tcBorders>
                    <w:top w:val="single" w:color="auto" w:sz="8" w:space="0"/>
                    <w:left w:val="single" w:color="auto" w:sz="8" w:space="0"/>
                    <w:bottom w:val="single" w:color="auto" w:sz="8" w:space="0"/>
                    <w:right w:val="single" w:color="auto" w:sz="8" w:space="0"/>
                  </w:tcBorders>
                  <w:vAlign w:val="center"/>
                </w:tcPr>
                <w:p w14:paraId="69C6411F">
                  <w:pPr>
                    <w:jc w:val="center"/>
                    <w:rPr>
                      <w:rFonts w:ascii="Times New Roman" w:hAnsi="Times New Roman" w:eastAsia="宋体" w:cs="Times New Roman"/>
                      <w:color w:val="000000"/>
                      <w:kern w:val="0"/>
                      <w:szCs w:val="21"/>
                    </w:rPr>
                  </w:pPr>
                  <w:r>
                    <w:rPr>
                      <w:rFonts w:ascii="Times New Roman" w:hAnsi="Times New Roman" w:eastAsia="Times New Roman" w:cs="Times New Roman"/>
                      <w:color w:val="000000"/>
                      <w:kern w:val="0"/>
                      <w:szCs w:val="21"/>
                    </w:rPr>
                    <w:t>240×115×</w:t>
                  </w:r>
                  <w:r>
                    <w:rPr>
                      <w:rFonts w:ascii="Times New Roman" w:hAnsi="Times New Roman" w:eastAsia="宋体" w:cs="Times New Roman"/>
                      <w:color w:val="000000"/>
                      <w:kern w:val="0"/>
                      <w:szCs w:val="21"/>
                    </w:rPr>
                    <w:t>90</w:t>
                  </w:r>
                </w:p>
              </w:tc>
              <w:tc>
                <w:tcPr>
                  <w:tcW w:w="1780" w:type="pct"/>
                  <w:tcBorders>
                    <w:top w:val="single" w:color="auto" w:sz="8" w:space="0"/>
                    <w:left w:val="single" w:color="auto" w:sz="8" w:space="0"/>
                    <w:bottom w:val="single" w:color="auto" w:sz="8" w:space="0"/>
                    <w:right w:val="single" w:color="auto" w:sz="8" w:space="0"/>
                  </w:tcBorders>
                  <w:vAlign w:val="center"/>
                </w:tcPr>
                <w:p w14:paraId="6CB8DD73">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8</w:t>
                  </w:r>
                  <w:r>
                    <w:rPr>
                      <w:rFonts w:ascii="Times New Roman" w:hAnsi="Times New Roman" w:eastAsia="Times New Roman" w:cs="Times New Roman"/>
                      <w:color w:val="000000"/>
                      <w:kern w:val="0"/>
                      <w:szCs w:val="21"/>
                    </w:rPr>
                    <w:t>000</w:t>
                  </w:r>
                </w:p>
              </w:tc>
            </w:tr>
            <w:tr w14:paraId="1A061973">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09" w:hRule="atLeast"/>
              </w:trPr>
              <w:tc>
                <w:tcPr>
                  <w:tcW w:w="868" w:type="pct"/>
                  <w:tcBorders>
                    <w:top w:val="single" w:color="auto" w:sz="8" w:space="0"/>
                    <w:left w:val="single" w:color="auto" w:sz="8" w:space="0"/>
                    <w:bottom w:val="single" w:color="auto" w:sz="8" w:space="0"/>
                    <w:right w:val="single" w:color="auto" w:sz="8" w:space="0"/>
                  </w:tcBorders>
                  <w:vAlign w:val="center"/>
                </w:tcPr>
                <w:p w14:paraId="50714A55">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变化情况</w:t>
                  </w:r>
                </w:p>
              </w:tc>
              <w:tc>
                <w:tcPr>
                  <w:tcW w:w="868" w:type="pct"/>
                  <w:tcBorders>
                    <w:top w:val="single" w:color="auto" w:sz="8" w:space="0"/>
                    <w:left w:val="single" w:color="auto" w:sz="8" w:space="0"/>
                    <w:bottom w:val="single" w:color="auto" w:sz="8" w:space="0"/>
                    <w:right w:val="single" w:color="auto" w:sz="8" w:space="0"/>
                  </w:tcBorders>
                  <w:vAlign w:val="center"/>
                </w:tcPr>
                <w:p w14:paraId="7C7263F8">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w:t>
                  </w:r>
                </w:p>
              </w:tc>
              <w:tc>
                <w:tcPr>
                  <w:tcW w:w="1483" w:type="pct"/>
                  <w:tcBorders>
                    <w:top w:val="single" w:color="auto" w:sz="8" w:space="0"/>
                    <w:left w:val="single" w:color="auto" w:sz="8" w:space="0"/>
                    <w:bottom w:val="single" w:color="auto" w:sz="8" w:space="0"/>
                    <w:right w:val="single" w:color="auto" w:sz="8" w:space="0"/>
                  </w:tcBorders>
                  <w:vAlign w:val="center"/>
                </w:tcPr>
                <w:p w14:paraId="34A4C158">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w:t>
                  </w:r>
                </w:p>
              </w:tc>
              <w:tc>
                <w:tcPr>
                  <w:tcW w:w="1780" w:type="pct"/>
                  <w:tcBorders>
                    <w:top w:val="single" w:color="auto" w:sz="8" w:space="0"/>
                    <w:left w:val="single" w:color="auto" w:sz="8" w:space="0"/>
                    <w:bottom w:val="single" w:color="auto" w:sz="8" w:space="0"/>
                    <w:right w:val="single" w:color="auto" w:sz="8" w:space="0"/>
                  </w:tcBorders>
                  <w:vAlign w:val="center"/>
                </w:tcPr>
                <w:p w14:paraId="0BF73C84">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0</w:t>
                  </w:r>
                </w:p>
              </w:tc>
            </w:tr>
          </w:tbl>
          <w:p w14:paraId="0674FB3E">
            <w:pPr>
              <w:adjustRightInd w:val="0"/>
              <w:snapToGrid w:val="0"/>
              <w:spacing w:before="156" w:beforeLines="50" w:line="360" w:lineRule="auto"/>
              <w:ind w:firstLine="480" w:firstLineChars="200"/>
              <w:rPr>
                <w:rFonts w:ascii="Times New Roman" w:hAnsi="Times New Roman" w:eastAsia="宋体" w:cs="Times New Roman"/>
                <w:color w:val="000000"/>
                <w:sz w:val="24"/>
                <w:szCs w:val="24"/>
                <w:u w:val="single"/>
              </w:rPr>
            </w:pPr>
            <w:r>
              <w:rPr>
                <w:rFonts w:ascii="Times New Roman" w:hAnsi="Times New Roman" w:eastAsia="宋体" w:cs="Times New Roman"/>
                <w:color w:val="000000"/>
                <w:sz w:val="24"/>
                <w:szCs w:val="24"/>
                <w:u w:val="single"/>
              </w:rPr>
              <w:t>为控制产品质量，本项目首次利用某种固体废物时，先制作一批次砖进行产品质量及浸出检测，检测指标合格后再投入批量生产，否则拒绝接纳该种固废，投入批量生产后定期对产品进行抽检。</w:t>
            </w:r>
          </w:p>
          <w:p w14:paraId="341F1C64">
            <w:pPr>
              <w:adjustRightInd w:val="0"/>
              <w:snapToGrid w:val="0"/>
              <w:spacing w:line="360" w:lineRule="auto"/>
              <w:ind w:firstLine="480" w:firstLineChars="200"/>
              <w:rPr>
                <w:rFonts w:ascii="Times New Roman" w:hAnsi="Times New Roman" w:cs="Times New Roman"/>
              </w:rPr>
            </w:pPr>
            <w:r>
              <w:rPr>
                <w:rFonts w:ascii="Times New Roman" w:hAnsi="Times New Roman" w:eastAsia="宋体" w:cs="Times New Roman"/>
                <w:color w:val="000000"/>
                <w:sz w:val="24"/>
                <w:szCs w:val="24"/>
              </w:rPr>
              <w:t>本项目产品执行《烧结普通砖》（GB/T 5101-2017）相关标准要求，具体如下：</w:t>
            </w:r>
          </w:p>
          <w:p w14:paraId="20514A4D">
            <w:pPr>
              <w:adjustRightInd w:val="0"/>
              <w:snapToGrid w:val="0"/>
              <w:jc w:val="center"/>
              <w:rPr>
                <w:rFonts w:ascii="Times New Roman" w:hAnsi="Times New Roman" w:eastAsia="宋体" w:cs="Times New Roman"/>
                <w:b/>
                <w:color w:val="000000"/>
                <w:szCs w:val="21"/>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11</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ascii="Times New Roman" w:hAnsi="Times New Roman" w:eastAsia="宋体" w:cs="Times New Roman"/>
                <w:b/>
                <w:color w:val="000000"/>
                <w:szCs w:val="21"/>
              </w:rPr>
              <w:t xml:space="preserve"> 外观质量</w:t>
            </w:r>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55"/>
              <w:gridCol w:w="2633"/>
              <w:gridCol w:w="4025"/>
            </w:tblGrid>
            <w:tr w14:paraId="68469D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6" w:hRule="atLeast"/>
                <w:jc w:val="center"/>
              </w:trPr>
              <w:tc>
                <w:tcPr>
                  <w:tcW w:w="2424" w:type="pct"/>
                  <w:gridSpan w:val="2"/>
                  <w:tcBorders>
                    <w:top w:val="single" w:color="auto" w:sz="4" w:space="0"/>
                    <w:left w:val="single" w:color="auto" w:sz="4" w:space="0"/>
                    <w:bottom w:val="single" w:color="auto" w:sz="4" w:space="0"/>
                    <w:right w:val="single" w:color="auto" w:sz="4" w:space="0"/>
                  </w:tcBorders>
                </w:tcPr>
                <w:p w14:paraId="782A9082">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项目</w:t>
                  </w:r>
                </w:p>
              </w:tc>
              <w:tc>
                <w:tcPr>
                  <w:tcW w:w="2576" w:type="pct"/>
                  <w:tcBorders>
                    <w:top w:val="single" w:color="auto" w:sz="4" w:space="0"/>
                    <w:left w:val="single" w:color="auto" w:sz="4" w:space="0"/>
                    <w:bottom w:val="single" w:color="auto" w:sz="4" w:space="0"/>
                    <w:right w:val="single" w:color="auto" w:sz="4" w:space="0"/>
                  </w:tcBorders>
                </w:tcPr>
                <w:p w14:paraId="50D1D1B0">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指标</w:t>
                  </w:r>
                </w:p>
              </w:tc>
            </w:tr>
            <w:tr w14:paraId="358968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6" w:hRule="atLeast"/>
                <w:jc w:val="center"/>
              </w:trPr>
              <w:tc>
                <w:tcPr>
                  <w:tcW w:w="2424" w:type="pct"/>
                  <w:gridSpan w:val="2"/>
                  <w:tcBorders>
                    <w:top w:val="single" w:color="auto" w:sz="4" w:space="0"/>
                    <w:left w:val="single" w:color="auto" w:sz="4" w:space="0"/>
                    <w:bottom w:val="single" w:color="auto" w:sz="4" w:space="0"/>
                    <w:right w:val="single" w:color="auto" w:sz="4" w:space="0"/>
                  </w:tcBorders>
                </w:tcPr>
                <w:p w14:paraId="1B94BF29">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两条面高度差</w:t>
                  </w:r>
                </w:p>
              </w:tc>
              <w:tc>
                <w:tcPr>
                  <w:tcW w:w="2576" w:type="pct"/>
                  <w:tcBorders>
                    <w:top w:val="single" w:color="auto" w:sz="4" w:space="0"/>
                    <w:left w:val="single" w:color="auto" w:sz="4" w:space="0"/>
                    <w:bottom w:val="single" w:color="auto" w:sz="4" w:space="0"/>
                    <w:right w:val="single" w:color="auto" w:sz="4" w:space="0"/>
                  </w:tcBorders>
                </w:tcPr>
                <w:p w14:paraId="14611494">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≤2</w:t>
                  </w:r>
                </w:p>
              </w:tc>
            </w:tr>
            <w:tr w14:paraId="3B561E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jc w:val="center"/>
              </w:trPr>
              <w:tc>
                <w:tcPr>
                  <w:tcW w:w="2424" w:type="pct"/>
                  <w:gridSpan w:val="2"/>
                  <w:tcBorders>
                    <w:top w:val="single" w:color="auto" w:sz="4" w:space="0"/>
                    <w:left w:val="single" w:color="auto" w:sz="4" w:space="0"/>
                    <w:bottom w:val="single" w:color="auto" w:sz="4" w:space="0"/>
                    <w:right w:val="single" w:color="auto" w:sz="4" w:space="0"/>
                  </w:tcBorders>
                </w:tcPr>
                <w:p w14:paraId="3CF001BD">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弯曲</w:t>
                  </w:r>
                </w:p>
              </w:tc>
              <w:tc>
                <w:tcPr>
                  <w:tcW w:w="2576" w:type="pct"/>
                  <w:tcBorders>
                    <w:top w:val="single" w:color="auto" w:sz="4" w:space="0"/>
                    <w:left w:val="single" w:color="auto" w:sz="4" w:space="0"/>
                    <w:bottom w:val="single" w:color="auto" w:sz="4" w:space="0"/>
                    <w:right w:val="single" w:color="auto" w:sz="4" w:space="0"/>
                  </w:tcBorders>
                </w:tcPr>
                <w:p w14:paraId="0E058624">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≤2</w:t>
                  </w:r>
                </w:p>
              </w:tc>
            </w:tr>
            <w:tr w14:paraId="0C5397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6" w:hRule="atLeast"/>
                <w:jc w:val="center"/>
              </w:trPr>
              <w:tc>
                <w:tcPr>
                  <w:tcW w:w="2424" w:type="pct"/>
                  <w:gridSpan w:val="2"/>
                  <w:tcBorders>
                    <w:top w:val="single" w:color="auto" w:sz="4" w:space="0"/>
                    <w:left w:val="single" w:color="auto" w:sz="4" w:space="0"/>
                    <w:bottom w:val="single" w:color="auto" w:sz="4" w:space="0"/>
                    <w:right w:val="single" w:color="auto" w:sz="4" w:space="0"/>
                  </w:tcBorders>
                </w:tcPr>
                <w:p w14:paraId="17D1229D">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杂质凸出高度</w:t>
                  </w:r>
                </w:p>
              </w:tc>
              <w:tc>
                <w:tcPr>
                  <w:tcW w:w="2576" w:type="pct"/>
                  <w:tcBorders>
                    <w:top w:val="single" w:color="auto" w:sz="4" w:space="0"/>
                    <w:left w:val="single" w:color="auto" w:sz="4" w:space="0"/>
                    <w:bottom w:val="single" w:color="auto" w:sz="4" w:space="0"/>
                    <w:right w:val="single" w:color="auto" w:sz="4" w:space="0"/>
                  </w:tcBorders>
                </w:tcPr>
                <w:p w14:paraId="7F15B648">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≤2</w:t>
                  </w:r>
                </w:p>
              </w:tc>
            </w:tr>
            <w:tr w14:paraId="159A6A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6" w:hRule="atLeast"/>
                <w:jc w:val="center"/>
              </w:trPr>
              <w:tc>
                <w:tcPr>
                  <w:tcW w:w="2424" w:type="pct"/>
                  <w:gridSpan w:val="2"/>
                  <w:tcBorders>
                    <w:top w:val="single" w:color="auto" w:sz="4" w:space="0"/>
                    <w:left w:val="single" w:color="auto" w:sz="4" w:space="0"/>
                    <w:bottom w:val="single" w:color="auto" w:sz="4" w:space="0"/>
                    <w:right w:val="single" w:color="auto" w:sz="4" w:space="0"/>
                  </w:tcBorders>
                </w:tcPr>
                <w:p w14:paraId="48998AAB">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缺棱掉角的三个破坏尺寸</w:t>
                  </w:r>
                </w:p>
              </w:tc>
              <w:tc>
                <w:tcPr>
                  <w:tcW w:w="2576" w:type="pct"/>
                  <w:tcBorders>
                    <w:top w:val="single" w:color="auto" w:sz="4" w:space="0"/>
                    <w:left w:val="single" w:color="auto" w:sz="4" w:space="0"/>
                    <w:bottom w:val="single" w:color="auto" w:sz="4" w:space="0"/>
                    <w:right w:val="single" w:color="auto" w:sz="4" w:space="0"/>
                  </w:tcBorders>
                </w:tcPr>
                <w:p w14:paraId="70D6D081">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不得同时大于</w:t>
                  </w:r>
                  <w:r>
                    <w:rPr>
                      <w:rFonts w:ascii="Times New Roman" w:hAnsi="Times New Roman" w:eastAsia="Times New Roman" w:cs="Times New Roman"/>
                      <w:color w:val="000000"/>
                      <w:kern w:val="0"/>
                      <w:szCs w:val="21"/>
                    </w:rPr>
                    <w:t>5</w:t>
                  </w:r>
                </w:p>
              </w:tc>
            </w:tr>
            <w:tr w14:paraId="116DC0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atLeast"/>
                <w:jc w:val="center"/>
              </w:trPr>
              <w:tc>
                <w:tcPr>
                  <w:tcW w:w="739" w:type="pct"/>
                  <w:vMerge w:val="restart"/>
                  <w:tcBorders>
                    <w:top w:val="single" w:color="auto" w:sz="4" w:space="0"/>
                    <w:left w:val="single" w:color="auto" w:sz="4" w:space="0"/>
                    <w:bottom w:val="single" w:color="auto" w:sz="4" w:space="0"/>
                    <w:right w:val="single" w:color="auto" w:sz="4" w:space="0"/>
                  </w:tcBorders>
                </w:tcPr>
                <w:p w14:paraId="1ADB49C2">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裂纹长度</w:t>
                  </w:r>
                </w:p>
              </w:tc>
              <w:tc>
                <w:tcPr>
                  <w:tcW w:w="1685" w:type="pct"/>
                  <w:tcBorders>
                    <w:top w:val="single" w:color="auto" w:sz="4" w:space="0"/>
                    <w:left w:val="single" w:color="auto" w:sz="4" w:space="0"/>
                    <w:bottom w:val="single" w:color="auto" w:sz="4" w:space="0"/>
                    <w:right w:val="single" w:color="auto" w:sz="4" w:space="0"/>
                  </w:tcBorders>
                </w:tcPr>
                <w:p w14:paraId="56C30038">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a.</w:t>
                  </w:r>
                  <w:r>
                    <w:rPr>
                      <w:rFonts w:ascii="Times New Roman" w:hAnsi="Times New Roman" w:eastAsia="宋体" w:cs="Times New Roman"/>
                      <w:color w:val="000000"/>
                      <w:kern w:val="0"/>
                      <w:szCs w:val="21"/>
                    </w:rPr>
                    <w:t>大面上宽度方向及其延伸至条面的长度</w:t>
                  </w:r>
                </w:p>
              </w:tc>
              <w:tc>
                <w:tcPr>
                  <w:tcW w:w="2576" w:type="pct"/>
                  <w:tcBorders>
                    <w:top w:val="single" w:color="auto" w:sz="4" w:space="0"/>
                    <w:left w:val="single" w:color="auto" w:sz="4" w:space="0"/>
                    <w:bottom w:val="single" w:color="auto" w:sz="4" w:space="0"/>
                    <w:right w:val="single" w:color="auto" w:sz="4" w:space="0"/>
                  </w:tcBorders>
                </w:tcPr>
                <w:p w14:paraId="34D4D518">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≤30</w:t>
                  </w:r>
                </w:p>
              </w:tc>
            </w:tr>
            <w:tr w14:paraId="5030EA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5" w:hRule="atLeast"/>
                <w:jc w:val="center"/>
              </w:trPr>
              <w:tc>
                <w:tcPr>
                  <w:tcW w:w="739" w:type="pct"/>
                  <w:vMerge w:val="continue"/>
                  <w:tcBorders>
                    <w:top w:val="single" w:color="auto" w:sz="4" w:space="0"/>
                    <w:left w:val="single" w:color="auto" w:sz="4" w:space="0"/>
                    <w:bottom w:val="single" w:color="auto" w:sz="4" w:space="0"/>
                    <w:right w:val="single" w:color="auto" w:sz="4" w:space="0"/>
                  </w:tcBorders>
                  <w:vAlign w:val="center"/>
                </w:tcPr>
                <w:p w14:paraId="1FFB7111">
                  <w:pPr>
                    <w:widowControl/>
                    <w:jc w:val="left"/>
                    <w:rPr>
                      <w:rFonts w:ascii="Times New Roman" w:hAnsi="Times New Roman" w:eastAsia="Times New Roman" w:cs="Times New Roman"/>
                      <w:color w:val="000000"/>
                      <w:kern w:val="0"/>
                      <w:szCs w:val="21"/>
                    </w:rPr>
                  </w:pPr>
                </w:p>
              </w:tc>
              <w:tc>
                <w:tcPr>
                  <w:tcW w:w="1685" w:type="pct"/>
                  <w:tcBorders>
                    <w:top w:val="single" w:color="auto" w:sz="4" w:space="0"/>
                    <w:left w:val="single" w:color="auto" w:sz="4" w:space="0"/>
                    <w:bottom w:val="single" w:color="auto" w:sz="4" w:space="0"/>
                    <w:right w:val="single" w:color="auto" w:sz="4" w:space="0"/>
                  </w:tcBorders>
                </w:tcPr>
                <w:p w14:paraId="238204C2">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b.</w:t>
                  </w:r>
                  <w:r>
                    <w:rPr>
                      <w:rFonts w:ascii="Times New Roman" w:hAnsi="Times New Roman" w:eastAsia="宋体" w:cs="Times New Roman"/>
                      <w:color w:val="000000"/>
                      <w:kern w:val="0"/>
                      <w:szCs w:val="21"/>
                    </w:rPr>
                    <w:t>大面上长度方向及其延伸至顶面的长度或条顶面上水平裂纹的长度</w:t>
                  </w:r>
                </w:p>
              </w:tc>
              <w:tc>
                <w:tcPr>
                  <w:tcW w:w="2576" w:type="pct"/>
                  <w:tcBorders>
                    <w:top w:val="single" w:color="auto" w:sz="4" w:space="0"/>
                    <w:left w:val="single" w:color="auto" w:sz="4" w:space="0"/>
                    <w:bottom w:val="single" w:color="auto" w:sz="4" w:space="0"/>
                    <w:right w:val="single" w:color="auto" w:sz="4" w:space="0"/>
                  </w:tcBorders>
                </w:tcPr>
                <w:p w14:paraId="2E911F21">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≤50</w:t>
                  </w:r>
                </w:p>
              </w:tc>
            </w:tr>
            <w:tr w14:paraId="53009F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6" w:hRule="atLeast"/>
                <w:jc w:val="center"/>
              </w:trPr>
              <w:tc>
                <w:tcPr>
                  <w:tcW w:w="2424" w:type="pct"/>
                  <w:gridSpan w:val="2"/>
                  <w:tcBorders>
                    <w:top w:val="single" w:color="auto" w:sz="4" w:space="0"/>
                    <w:left w:val="single" w:color="auto" w:sz="4" w:space="0"/>
                    <w:bottom w:val="single" w:color="auto" w:sz="4" w:space="0"/>
                    <w:right w:val="single" w:color="auto" w:sz="4" w:space="0"/>
                  </w:tcBorders>
                </w:tcPr>
                <w:p w14:paraId="3D6BF31E">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完整面</w:t>
                  </w:r>
                  <w:r>
                    <w:rPr>
                      <w:rFonts w:hint="eastAsia" w:ascii="宋体" w:hAnsi="宋体" w:eastAsia="宋体" w:cs="宋体"/>
                      <w:color w:val="000000"/>
                      <w:kern w:val="0"/>
                      <w:szCs w:val="21"/>
                    </w:rPr>
                    <w:t>①</w:t>
                  </w:r>
                </w:p>
              </w:tc>
              <w:tc>
                <w:tcPr>
                  <w:tcW w:w="2576" w:type="pct"/>
                  <w:tcBorders>
                    <w:top w:val="single" w:color="auto" w:sz="4" w:space="0"/>
                    <w:left w:val="single" w:color="auto" w:sz="4" w:space="0"/>
                    <w:bottom w:val="single" w:color="auto" w:sz="4" w:space="0"/>
                    <w:right w:val="single" w:color="auto" w:sz="4" w:space="0"/>
                  </w:tcBorders>
                </w:tcPr>
                <w:p w14:paraId="456F0574">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不得少于一条面和一顶面</w:t>
                  </w:r>
                </w:p>
              </w:tc>
            </w:tr>
            <w:tr w14:paraId="04512B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6" w:hRule="atLeast"/>
                <w:jc w:val="center"/>
              </w:trPr>
              <w:tc>
                <w:tcPr>
                  <w:tcW w:w="5000" w:type="pct"/>
                  <w:gridSpan w:val="3"/>
                  <w:tcBorders>
                    <w:top w:val="single" w:color="auto" w:sz="4" w:space="0"/>
                    <w:left w:val="single" w:color="auto" w:sz="4" w:space="0"/>
                    <w:bottom w:val="single" w:color="auto" w:sz="4" w:space="0"/>
                    <w:right w:val="single" w:color="auto" w:sz="4" w:space="0"/>
                  </w:tcBorders>
                </w:tcPr>
                <w:p w14:paraId="72664188">
                  <w:pPr>
                    <w:jc w:val="left"/>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注：为砌筑挂浆而施加的凹凸纹、槽、压花等不算作缺陷。</w:t>
                  </w:r>
                </w:p>
              </w:tc>
            </w:tr>
            <w:tr w14:paraId="550053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29" w:hRule="atLeast"/>
                <w:jc w:val="center"/>
              </w:trPr>
              <w:tc>
                <w:tcPr>
                  <w:tcW w:w="5000" w:type="pct"/>
                  <w:gridSpan w:val="3"/>
                  <w:tcBorders>
                    <w:top w:val="single" w:color="auto" w:sz="4" w:space="0"/>
                    <w:left w:val="single" w:color="auto" w:sz="4" w:space="0"/>
                    <w:bottom w:val="single" w:color="auto" w:sz="4" w:space="0"/>
                    <w:right w:val="single" w:color="auto" w:sz="4" w:space="0"/>
                  </w:tcBorders>
                </w:tcPr>
                <w:p w14:paraId="6B6DEEBB">
                  <w:pPr>
                    <w:autoSpaceDE w:val="0"/>
                    <w:autoSpaceDN w:val="0"/>
                    <w:adjustRightInd w:val="0"/>
                    <w:snapToGrid w:val="0"/>
                    <w:rPr>
                      <w:rFonts w:ascii="Times New Roman" w:hAnsi="Times New Roman" w:eastAsia="宋体" w:cs="Times New Roman"/>
                      <w:color w:val="000000"/>
                      <w:szCs w:val="21"/>
                      <w:lang w:val="zh-CN"/>
                    </w:rPr>
                  </w:pPr>
                  <w:r>
                    <w:rPr>
                      <w:rFonts w:hint="eastAsia" w:ascii="宋体" w:hAnsi="宋体" w:eastAsia="宋体" w:cs="宋体"/>
                      <w:color w:val="000000"/>
                      <w:szCs w:val="21"/>
                      <w:lang w:val="zh-CN"/>
                    </w:rPr>
                    <w:t>①</w:t>
                  </w:r>
                  <w:r>
                    <w:rPr>
                      <w:rFonts w:ascii="Times New Roman" w:hAnsi="Times New Roman" w:eastAsia="宋体" w:cs="Times New Roman"/>
                      <w:color w:val="000000"/>
                      <w:szCs w:val="21"/>
                      <w:lang w:val="zh-CN"/>
                    </w:rPr>
                    <w:t>凡有下列缺陷之一者，不得称为完整面：</w:t>
                  </w:r>
                </w:p>
                <w:p w14:paraId="471C60C6">
                  <w:pPr>
                    <w:autoSpaceDE w:val="0"/>
                    <w:autoSpaceDN w:val="0"/>
                    <w:adjustRightInd w:val="0"/>
                    <w:snapToGrid w:val="0"/>
                    <w:rPr>
                      <w:rFonts w:ascii="Times New Roman" w:hAnsi="Times New Roman" w:eastAsia="宋体" w:cs="Times New Roman"/>
                      <w:color w:val="000000"/>
                      <w:szCs w:val="21"/>
                      <w:lang w:val="zh-CN"/>
                    </w:rPr>
                  </w:pPr>
                  <w:r>
                    <w:rPr>
                      <w:rFonts w:ascii="Times New Roman" w:hAnsi="Times New Roman" w:eastAsia="宋体" w:cs="Times New Roman"/>
                      <w:color w:val="000000"/>
                      <w:szCs w:val="21"/>
                      <w:lang w:val="zh-CN"/>
                    </w:rPr>
                    <w:t>——缺损在条面或顶面上造成的破坏面尺寸同时大于10mm×10mm。</w:t>
                  </w:r>
                </w:p>
                <w:p w14:paraId="69DFDB13">
                  <w:pPr>
                    <w:autoSpaceDE w:val="0"/>
                    <w:autoSpaceDN w:val="0"/>
                    <w:adjustRightInd w:val="0"/>
                    <w:snapToGrid w:val="0"/>
                    <w:rPr>
                      <w:rFonts w:ascii="Times New Roman" w:hAnsi="Times New Roman" w:eastAsia="宋体" w:cs="Times New Roman"/>
                      <w:color w:val="000000"/>
                      <w:szCs w:val="21"/>
                      <w:lang w:val="zh-CN"/>
                    </w:rPr>
                  </w:pPr>
                  <w:r>
                    <w:rPr>
                      <w:rFonts w:ascii="Times New Roman" w:hAnsi="Times New Roman" w:eastAsia="宋体" w:cs="Times New Roman"/>
                      <w:color w:val="000000"/>
                      <w:szCs w:val="21"/>
                      <w:lang w:val="zh-CN"/>
                    </w:rPr>
                    <w:t>——条面或顶面上裂纹宽度大于1mm，其长度超过30mm。</w:t>
                  </w:r>
                </w:p>
                <w:p w14:paraId="7CD0A0F1">
                  <w:pPr>
                    <w:autoSpaceDE w:val="0"/>
                    <w:autoSpaceDN w:val="0"/>
                    <w:adjustRightInd w:val="0"/>
                    <w:snapToGrid w:val="0"/>
                    <w:rPr>
                      <w:rFonts w:ascii="Times New Roman" w:hAnsi="Times New Roman" w:eastAsia="宋体" w:cs="Times New Roman"/>
                      <w:color w:val="000000"/>
                      <w:szCs w:val="21"/>
                      <w:lang w:val="zh-CN"/>
                    </w:rPr>
                  </w:pPr>
                  <w:r>
                    <w:rPr>
                      <w:rFonts w:ascii="Times New Roman" w:hAnsi="Times New Roman" w:eastAsia="宋体" w:cs="Times New Roman"/>
                      <w:color w:val="000000"/>
                      <w:szCs w:val="21"/>
                      <w:lang w:val="zh-CN"/>
                    </w:rPr>
                    <w:t>——压陷、粘底、焦花在条面或顶面上的凹陷或凸出超过2mm，区域尺寸同时大于10mm×10mm。</w:t>
                  </w:r>
                </w:p>
              </w:tc>
            </w:tr>
          </w:tbl>
          <w:p w14:paraId="3B02A8F0">
            <w:pPr>
              <w:adjustRightInd w:val="0"/>
              <w:snapToGrid w:val="0"/>
              <w:spacing w:before="156" w:beforeLines="50"/>
              <w:jc w:val="center"/>
              <w:rPr>
                <w:rFonts w:ascii="Times New Roman" w:hAnsi="Times New Roman" w:eastAsia="宋体" w:cs="Times New Roman"/>
                <w:b/>
                <w:color w:val="000000"/>
                <w:szCs w:val="21"/>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12</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ascii="Times New Roman" w:hAnsi="Times New Roman" w:eastAsia="宋体" w:cs="Times New Roman"/>
                <w:b/>
                <w:color w:val="000000"/>
                <w:szCs w:val="21"/>
              </w:rPr>
              <w:t>强度等级</w:t>
            </w:r>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26"/>
              <w:gridCol w:w="2527"/>
              <w:gridCol w:w="2760"/>
            </w:tblGrid>
            <w:tr w14:paraId="6905B6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83" w:hRule="atLeast"/>
                <w:jc w:val="center"/>
              </w:trPr>
              <w:tc>
                <w:tcPr>
                  <w:tcW w:w="1617" w:type="pct"/>
                  <w:tcBorders>
                    <w:top w:val="single" w:color="auto" w:sz="4" w:space="0"/>
                    <w:left w:val="single" w:color="auto" w:sz="4" w:space="0"/>
                    <w:bottom w:val="single" w:color="auto" w:sz="4" w:space="0"/>
                    <w:right w:val="single" w:color="auto" w:sz="4" w:space="0"/>
                  </w:tcBorders>
                  <w:vAlign w:val="center"/>
                </w:tcPr>
                <w:p w14:paraId="43BA4F3F">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强度等级</w:t>
                  </w:r>
                </w:p>
              </w:tc>
              <w:tc>
                <w:tcPr>
                  <w:tcW w:w="1617" w:type="pct"/>
                  <w:tcBorders>
                    <w:top w:val="single" w:color="auto" w:sz="4" w:space="0"/>
                    <w:left w:val="single" w:color="auto" w:sz="4" w:space="0"/>
                    <w:bottom w:val="single" w:color="auto" w:sz="4" w:space="0"/>
                    <w:right w:val="single" w:color="auto" w:sz="4" w:space="0"/>
                  </w:tcBorders>
                  <w:vAlign w:val="center"/>
                </w:tcPr>
                <w:p w14:paraId="2CE97F4B">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val="zh-CN"/>
                    </w:rPr>
                    <w:t>抗压强度平均值</w:t>
                  </w:r>
                  <w:r>
                    <w:rPr>
                      <w:rFonts w:ascii="Times New Roman" w:hAnsi="Times New Roman" w:eastAsia="Times New Roman" w:cs="Times New Roman"/>
                      <w:color w:val="000000"/>
                      <w:kern w:val="0"/>
                      <w:position w:val="-10"/>
                      <w:szCs w:val="21"/>
                    </w:rPr>
                    <w:object>
                      <v:shape id="_x0000_i1025" o:spt="75" type="#_x0000_t75" style="height:21.9pt;width:14.4pt;" o:ole="t" filled="f" o:preferrelative="t" stroked="f" coordsize="21600,21600">
                        <v:path/>
                        <v:fill on="f" focussize="0,0"/>
                        <v:stroke on="f" joinstyle="miter"/>
                        <v:imagedata r:id="rId11" o:title=""/>
                        <o:lock v:ext="edit" aspectratio="t"/>
                        <w10:wrap type="none"/>
                        <w10:anchorlock/>
                      </v:shape>
                      <o:OLEObject Type="Embed" ProgID="Equation.DSMT4" ShapeID="_x0000_i1025" DrawAspect="Content" ObjectID="_1468075725" r:id="rId10">
                        <o:LockedField>false</o:LockedField>
                      </o:OLEObject>
                    </w:object>
                  </w:r>
                </w:p>
              </w:tc>
              <w:tc>
                <w:tcPr>
                  <w:tcW w:w="1766" w:type="pct"/>
                  <w:tcBorders>
                    <w:top w:val="single" w:color="auto" w:sz="4" w:space="0"/>
                    <w:left w:val="single" w:color="auto" w:sz="4" w:space="0"/>
                    <w:bottom w:val="single" w:color="auto" w:sz="4" w:space="0"/>
                    <w:right w:val="single" w:color="auto" w:sz="4" w:space="0"/>
                  </w:tcBorders>
                  <w:vAlign w:val="center"/>
                </w:tcPr>
                <w:p w14:paraId="4B35E769">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强度标准值</w:t>
                  </w:r>
                  <w:r>
                    <w:rPr>
                      <w:rFonts w:ascii="Times New Roman" w:hAnsi="Times New Roman" w:eastAsia="Times New Roman" w:cs="Times New Roman"/>
                      <w:color w:val="000000"/>
                      <w:kern w:val="0"/>
                      <w:position w:val="-12"/>
                      <w:szCs w:val="21"/>
                    </w:rPr>
                    <w:object>
                      <v:shape id="_x0000_i1026" o:spt="75" type="#_x0000_t75" style="height:21.9pt;width:14.4pt;" o:ole="t" filled="f" o:preferrelative="t" stroked="f" coordsize="21600,21600">
                        <v:path/>
                        <v:fill on="f" focussize="0,0"/>
                        <v:stroke on="f" joinstyle="miter"/>
                        <v:imagedata r:id="rId13" o:title=""/>
                        <o:lock v:ext="edit" aspectratio="t"/>
                        <w10:wrap type="none"/>
                        <w10:anchorlock/>
                      </v:shape>
                      <o:OLEObject Type="Embed" ProgID="Equation.DSMT4" ShapeID="_x0000_i1026" DrawAspect="Content" ObjectID="_1468075726" r:id="rId12">
                        <o:LockedField>false</o:LockedField>
                      </o:OLEObject>
                    </w:object>
                  </w:r>
                </w:p>
              </w:tc>
            </w:tr>
            <w:tr w14:paraId="2EC9BD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617" w:type="pct"/>
                  <w:tcBorders>
                    <w:top w:val="single" w:color="auto" w:sz="4" w:space="0"/>
                    <w:left w:val="single" w:color="auto" w:sz="4" w:space="0"/>
                    <w:bottom w:val="single" w:color="auto" w:sz="4" w:space="0"/>
                    <w:right w:val="single" w:color="auto" w:sz="4" w:space="0"/>
                  </w:tcBorders>
                  <w:vAlign w:val="center"/>
                </w:tcPr>
                <w:p w14:paraId="11889273">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MU30</w:t>
                  </w:r>
                </w:p>
              </w:tc>
              <w:tc>
                <w:tcPr>
                  <w:tcW w:w="1617" w:type="pct"/>
                  <w:tcBorders>
                    <w:top w:val="single" w:color="auto" w:sz="4" w:space="0"/>
                    <w:left w:val="single" w:color="auto" w:sz="4" w:space="0"/>
                    <w:bottom w:val="single" w:color="auto" w:sz="4" w:space="0"/>
                    <w:right w:val="single" w:color="auto" w:sz="4" w:space="0"/>
                  </w:tcBorders>
                  <w:vAlign w:val="center"/>
                </w:tcPr>
                <w:p w14:paraId="26630A7B">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≥30.0</w:t>
                  </w:r>
                </w:p>
              </w:tc>
              <w:tc>
                <w:tcPr>
                  <w:tcW w:w="1766" w:type="pct"/>
                  <w:tcBorders>
                    <w:top w:val="single" w:color="auto" w:sz="4" w:space="0"/>
                    <w:left w:val="single" w:color="auto" w:sz="4" w:space="0"/>
                    <w:bottom w:val="single" w:color="auto" w:sz="4" w:space="0"/>
                    <w:right w:val="single" w:color="auto" w:sz="4" w:space="0"/>
                  </w:tcBorders>
                  <w:vAlign w:val="center"/>
                </w:tcPr>
                <w:p w14:paraId="65543369">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≥22.0</w:t>
                  </w:r>
                </w:p>
              </w:tc>
            </w:tr>
            <w:tr w14:paraId="5FE77D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617" w:type="pct"/>
                  <w:tcBorders>
                    <w:top w:val="single" w:color="auto" w:sz="4" w:space="0"/>
                    <w:left w:val="single" w:color="auto" w:sz="4" w:space="0"/>
                    <w:bottom w:val="single" w:color="auto" w:sz="4" w:space="0"/>
                    <w:right w:val="single" w:color="auto" w:sz="4" w:space="0"/>
                  </w:tcBorders>
                  <w:vAlign w:val="center"/>
                </w:tcPr>
                <w:p w14:paraId="57732298">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MU25</w:t>
                  </w:r>
                </w:p>
              </w:tc>
              <w:tc>
                <w:tcPr>
                  <w:tcW w:w="1617" w:type="pct"/>
                  <w:tcBorders>
                    <w:top w:val="single" w:color="auto" w:sz="4" w:space="0"/>
                    <w:left w:val="single" w:color="auto" w:sz="4" w:space="0"/>
                    <w:bottom w:val="single" w:color="auto" w:sz="4" w:space="0"/>
                    <w:right w:val="single" w:color="auto" w:sz="4" w:space="0"/>
                  </w:tcBorders>
                  <w:vAlign w:val="center"/>
                </w:tcPr>
                <w:p w14:paraId="13A91FF6">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≥25.0</w:t>
                  </w:r>
                </w:p>
              </w:tc>
              <w:tc>
                <w:tcPr>
                  <w:tcW w:w="1766" w:type="pct"/>
                  <w:tcBorders>
                    <w:top w:val="single" w:color="auto" w:sz="4" w:space="0"/>
                    <w:left w:val="single" w:color="auto" w:sz="4" w:space="0"/>
                    <w:bottom w:val="single" w:color="auto" w:sz="4" w:space="0"/>
                    <w:right w:val="single" w:color="auto" w:sz="4" w:space="0"/>
                  </w:tcBorders>
                  <w:vAlign w:val="center"/>
                </w:tcPr>
                <w:p w14:paraId="395D452A">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≥18.0</w:t>
                  </w:r>
                </w:p>
              </w:tc>
            </w:tr>
            <w:tr w14:paraId="64F1A1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9" w:hRule="atLeast"/>
                <w:jc w:val="center"/>
              </w:trPr>
              <w:tc>
                <w:tcPr>
                  <w:tcW w:w="1617" w:type="pct"/>
                  <w:tcBorders>
                    <w:top w:val="single" w:color="auto" w:sz="4" w:space="0"/>
                    <w:left w:val="single" w:color="auto" w:sz="4" w:space="0"/>
                    <w:bottom w:val="single" w:color="auto" w:sz="4" w:space="0"/>
                    <w:right w:val="single" w:color="auto" w:sz="4" w:space="0"/>
                  </w:tcBorders>
                  <w:vAlign w:val="center"/>
                </w:tcPr>
                <w:p w14:paraId="0824D17A">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MU20</w:t>
                  </w:r>
                </w:p>
              </w:tc>
              <w:tc>
                <w:tcPr>
                  <w:tcW w:w="1617" w:type="pct"/>
                  <w:tcBorders>
                    <w:top w:val="single" w:color="auto" w:sz="4" w:space="0"/>
                    <w:left w:val="single" w:color="auto" w:sz="4" w:space="0"/>
                    <w:bottom w:val="single" w:color="auto" w:sz="4" w:space="0"/>
                    <w:right w:val="single" w:color="auto" w:sz="4" w:space="0"/>
                  </w:tcBorders>
                  <w:vAlign w:val="center"/>
                </w:tcPr>
                <w:p w14:paraId="71550981">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≥20.0</w:t>
                  </w:r>
                </w:p>
              </w:tc>
              <w:tc>
                <w:tcPr>
                  <w:tcW w:w="1766" w:type="pct"/>
                  <w:tcBorders>
                    <w:top w:val="single" w:color="auto" w:sz="4" w:space="0"/>
                    <w:left w:val="single" w:color="auto" w:sz="4" w:space="0"/>
                    <w:bottom w:val="single" w:color="auto" w:sz="4" w:space="0"/>
                    <w:right w:val="single" w:color="auto" w:sz="4" w:space="0"/>
                  </w:tcBorders>
                  <w:vAlign w:val="center"/>
                </w:tcPr>
                <w:p w14:paraId="09FD48EA">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≥14.0</w:t>
                  </w:r>
                </w:p>
              </w:tc>
            </w:tr>
            <w:tr w14:paraId="09DEF5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617" w:type="pct"/>
                  <w:tcBorders>
                    <w:top w:val="single" w:color="auto" w:sz="4" w:space="0"/>
                    <w:left w:val="single" w:color="auto" w:sz="4" w:space="0"/>
                    <w:bottom w:val="single" w:color="auto" w:sz="4" w:space="0"/>
                    <w:right w:val="single" w:color="auto" w:sz="4" w:space="0"/>
                  </w:tcBorders>
                  <w:vAlign w:val="center"/>
                </w:tcPr>
                <w:p w14:paraId="24129EF0">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MU15</w:t>
                  </w:r>
                </w:p>
              </w:tc>
              <w:tc>
                <w:tcPr>
                  <w:tcW w:w="1617" w:type="pct"/>
                  <w:tcBorders>
                    <w:top w:val="single" w:color="auto" w:sz="4" w:space="0"/>
                    <w:left w:val="single" w:color="auto" w:sz="4" w:space="0"/>
                    <w:bottom w:val="single" w:color="auto" w:sz="4" w:space="0"/>
                    <w:right w:val="single" w:color="auto" w:sz="4" w:space="0"/>
                  </w:tcBorders>
                  <w:vAlign w:val="center"/>
                </w:tcPr>
                <w:p w14:paraId="12BE8E3E">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≥15.0</w:t>
                  </w:r>
                </w:p>
              </w:tc>
              <w:tc>
                <w:tcPr>
                  <w:tcW w:w="1766" w:type="pct"/>
                  <w:tcBorders>
                    <w:top w:val="single" w:color="auto" w:sz="4" w:space="0"/>
                    <w:left w:val="single" w:color="auto" w:sz="4" w:space="0"/>
                    <w:bottom w:val="single" w:color="auto" w:sz="4" w:space="0"/>
                    <w:right w:val="single" w:color="auto" w:sz="4" w:space="0"/>
                  </w:tcBorders>
                  <w:vAlign w:val="center"/>
                </w:tcPr>
                <w:p w14:paraId="11A17E87">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≥10.0</w:t>
                  </w:r>
                </w:p>
              </w:tc>
            </w:tr>
            <w:tr w14:paraId="7E95AB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617" w:type="pct"/>
                  <w:tcBorders>
                    <w:top w:val="single" w:color="auto" w:sz="4" w:space="0"/>
                    <w:left w:val="single" w:color="auto" w:sz="4" w:space="0"/>
                    <w:bottom w:val="single" w:color="auto" w:sz="4" w:space="0"/>
                    <w:right w:val="single" w:color="auto" w:sz="4" w:space="0"/>
                  </w:tcBorders>
                  <w:vAlign w:val="center"/>
                </w:tcPr>
                <w:p w14:paraId="353AAA9D">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MU10</w:t>
                  </w:r>
                </w:p>
              </w:tc>
              <w:tc>
                <w:tcPr>
                  <w:tcW w:w="1617" w:type="pct"/>
                  <w:tcBorders>
                    <w:top w:val="single" w:color="auto" w:sz="4" w:space="0"/>
                    <w:left w:val="single" w:color="auto" w:sz="4" w:space="0"/>
                    <w:bottom w:val="single" w:color="auto" w:sz="4" w:space="0"/>
                    <w:right w:val="single" w:color="auto" w:sz="4" w:space="0"/>
                  </w:tcBorders>
                  <w:vAlign w:val="center"/>
                </w:tcPr>
                <w:p w14:paraId="631AC675">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≥10.0</w:t>
                  </w:r>
                </w:p>
              </w:tc>
              <w:tc>
                <w:tcPr>
                  <w:tcW w:w="1766" w:type="pct"/>
                  <w:tcBorders>
                    <w:top w:val="single" w:color="auto" w:sz="4" w:space="0"/>
                    <w:left w:val="single" w:color="auto" w:sz="4" w:space="0"/>
                    <w:bottom w:val="single" w:color="auto" w:sz="4" w:space="0"/>
                    <w:right w:val="single" w:color="auto" w:sz="4" w:space="0"/>
                  </w:tcBorders>
                  <w:vAlign w:val="center"/>
                </w:tcPr>
                <w:p w14:paraId="21F109A3">
                  <w:pPr>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≥6.5</w:t>
                  </w:r>
                </w:p>
              </w:tc>
            </w:tr>
          </w:tbl>
          <w:p w14:paraId="629F6C28">
            <w:pPr>
              <w:autoSpaceDE w:val="0"/>
              <w:autoSpaceDN w:val="0"/>
              <w:adjustRightInd w:val="0"/>
              <w:snapToGrid w:val="0"/>
              <w:spacing w:before="156" w:beforeLines="50"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根据《固体废物再生利用污染防治技术导则》（HJ1091-2020）“6.3利用固体废物生产砖瓦、轻骨料、集料、玻璃、陶瓷、陶粒、路基材料等建材过程的污染控制执行相关行业污染物排放标准，相关产品中有害物质含量参照GB 30760的要求执行”。本项目掺烧水基钻井废弃物、无机工业污泥等一般工业固废，烧结页岩砖产品可浸出重金属含量限值参照《水泥窑协同处置固体废物技术规范》（GB 30760-2014）中表3水泥熟料中可浸出重金属含量限值要求，具体限值如下表所示：</w:t>
            </w:r>
          </w:p>
          <w:p w14:paraId="5D80011B">
            <w:pPr>
              <w:autoSpaceDE w:val="0"/>
              <w:autoSpaceDN w:val="0"/>
              <w:adjustRightInd w:val="0"/>
              <w:snapToGrid w:val="0"/>
              <w:jc w:val="center"/>
              <w:rPr>
                <w:rFonts w:ascii="Times New Roman" w:hAnsi="Times New Roman" w:eastAsia="宋体" w:cs="Times New Roman"/>
                <w:b/>
                <w:bCs/>
                <w:color w:val="000000"/>
                <w:szCs w:val="24"/>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13</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ascii="Times New Roman" w:hAnsi="Times New Roman" w:eastAsia="宋体" w:cs="Times New Roman"/>
                <w:b/>
                <w:bCs/>
                <w:color w:val="000000"/>
                <w:szCs w:val="24"/>
              </w:rPr>
              <w:t>产品可浸出重金属含量限值要求</w:t>
            </w:r>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906"/>
              <w:gridCol w:w="3907"/>
            </w:tblGrid>
            <w:tr w14:paraId="64CDC6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500" w:type="pct"/>
                  <w:tcBorders>
                    <w:top w:val="single" w:color="auto" w:sz="4" w:space="0"/>
                    <w:left w:val="single" w:color="auto" w:sz="4" w:space="0"/>
                    <w:bottom w:val="single" w:color="auto" w:sz="4" w:space="0"/>
                    <w:right w:val="single" w:color="auto" w:sz="4" w:space="0"/>
                  </w:tcBorders>
                  <w:vAlign w:val="center"/>
                </w:tcPr>
                <w:p w14:paraId="521DDEBE">
                  <w:pPr>
                    <w:jc w:val="center"/>
                    <w:rPr>
                      <w:rFonts w:ascii="Times New Roman" w:hAnsi="Times New Roman" w:eastAsia="宋体" w:cs="Times New Roman"/>
                      <w:b/>
                      <w:color w:val="000000"/>
                      <w:kern w:val="0"/>
                      <w:szCs w:val="21"/>
                    </w:rPr>
                  </w:pPr>
                  <w:r>
                    <w:rPr>
                      <w:rFonts w:ascii="Times New Roman" w:hAnsi="Times New Roman" w:eastAsia="宋体" w:cs="Times New Roman"/>
                      <w:b/>
                      <w:color w:val="000000"/>
                      <w:kern w:val="0"/>
                      <w:szCs w:val="21"/>
                    </w:rPr>
                    <w:t>重金属</w:t>
                  </w:r>
                </w:p>
              </w:tc>
              <w:tc>
                <w:tcPr>
                  <w:tcW w:w="2500" w:type="pct"/>
                  <w:tcBorders>
                    <w:top w:val="single" w:color="auto" w:sz="4" w:space="0"/>
                    <w:left w:val="single" w:color="auto" w:sz="4" w:space="0"/>
                    <w:bottom w:val="single" w:color="auto" w:sz="4" w:space="0"/>
                    <w:right w:val="single" w:color="auto" w:sz="4" w:space="0"/>
                  </w:tcBorders>
                  <w:vAlign w:val="center"/>
                </w:tcPr>
                <w:p w14:paraId="00DCB283">
                  <w:pPr>
                    <w:jc w:val="center"/>
                    <w:rPr>
                      <w:rFonts w:ascii="Times New Roman" w:hAnsi="Times New Roman" w:eastAsia="宋体" w:cs="Times New Roman"/>
                      <w:b/>
                      <w:color w:val="000000"/>
                      <w:kern w:val="0"/>
                      <w:szCs w:val="21"/>
                    </w:rPr>
                  </w:pPr>
                  <w:r>
                    <w:rPr>
                      <w:rFonts w:ascii="Times New Roman" w:hAnsi="Times New Roman" w:eastAsia="宋体" w:cs="Times New Roman"/>
                      <w:b/>
                      <w:color w:val="000000"/>
                      <w:kern w:val="0"/>
                      <w:szCs w:val="21"/>
                    </w:rPr>
                    <w:t>限值（mg/L）</w:t>
                  </w:r>
                </w:p>
              </w:tc>
            </w:tr>
            <w:tr w14:paraId="5246B7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500" w:type="pct"/>
                  <w:tcBorders>
                    <w:top w:val="single" w:color="auto" w:sz="4" w:space="0"/>
                    <w:left w:val="single" w:color="auto" w:sz="4" w:space="0"/>
                    <w:bottom w:val="single" w:color="auto" w:sz="4" w:space="0"/>
                    <w:right w:val="single" w:color="auto" w:sz="4" w:space="0"/>
                  </w:tcBorders>
                  <w:vAlign w:val="center"/>
                </w:tcPr>
                <w:p w14:paraId="0DC37E7F">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砷（As）</w:t>
                  </w:r>
                </w:p>
              </w:tc>
              <w:tc>
                <w:tcPr>
                  <w:tcW w:w="2500" w:type="pct"/>
                  <w:tcBorders>
                    <w:top w:val="single" w:color="auto" w:sz="4" w:space="0"/>
                    <w:left w:val="single" w:color="auto" w:sz="4" w:space="0"/>
                    <w:bottom w:val="single" w:color="auto" w:sz="4" w:space="0"/>
                    <w:right w:val="single" w:color="auto" w:sz="4" w:space="0"/>
                  </w:tcBorders>
                  <w:vAlign w:val="center"/>
                </w:tcPr>
                <w:p w14:paraId="4F84CBE9">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0.1</w:t>
                  </w:r>
                </w:p>
              </w:tc>
            </w:tr>
            <w:tr w14:paraId="19166A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500" w:type="pct"/>
                  <w:tcBorders>
                    <w:top w:val="single" w:color="auto" w:sz="4" w:space="0"/>
                    <w:left w:val="single" w:color="auto" w:sz="4" w:space="0"/>
                    <w:bottom w:val="single" w:color="auto" w:sz="4" w:space="0"/>
                    <w:right w:val="single" w:color="auto" w:sz="4" w:space="0"/>
                  </w:tcBorders>
                  <w:vAlign w:val="center"/>
                </w:tcPr>
                <w:p w14:paraId="77476790">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铅（Pb）</w:t>
                  </w:r>
                </w:p>
              </w:tc>
              <w:tc>
                <w:tcPr>
                  <w:tcW w:w="2500" w:type="pct"/>
                  <w:tcBorders>
                    <w:top w:val="single" w:color="auto" w:sz="4" w:space="0"/>
                    <w:left w:val="single" w:color="auto" w:sz="4" w:space="0"/>
                    <w:bottom w:val="single" w:color="auto" w:sz="4" w:space="0"/>
                    <w:right w:val="single" w:color="auto" w:sz="4" w:space="0"/>
                  </w:tcBorders>
                  <w:vAlign w:val="center"/>
                </w:tcPr>
                <w:p w14:paraId="34EE0628">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0.3</w:t>
                  </w:r>
                </w:p>
              </w:tc>
            </w:tr>
            <w:tr w14:paraId="7A4DAE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500" w:type="pct"/>
                  <w:tcBorders>
                    <w:top w:val="single" w:color="auto" w:sz="4" w:space="0"/>
                    <w:left w:val="single" w:color="auto" w:sz="4" w:space="0"/>
                    <w:bottom w:val="single" w:color="auto" w:sz="4" w:space="0"/>
                    <w:right w:val="single" w:color="auto" w:sz="4" w:space="0"/>
                  </w:tcBorders>
                  <w:vAlign w:val="center"/>
                </w:tcPr>
                <w:p w14:paraId="6E93C782">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镉（Cd）</w:t>
                  </w:r>
                </w:p>
              </w:tc>
              <w:tc>
                <w:tcPr>
                  <w:tcW w:w="2500" w:type="pct"/>
                  <w:tcBorders>
                    <w:top w:val="single" w:color="auto" w:sz="4" w:space="0"/>
                    <w:left w:val="single" w:color="auto" w:sz="4" w:space="0"/>
                    <w:bottom w:val="single" w:color="auto" w:sz="4" w:space="0"/>
                    <w:right w:val="single" w:color="auto" w:sz="4" w:space="0"/>
                  </w:tcBorders>
                  <w:vAlign w:val="center"/>
                </w:tcPr>
                <w:p w14:paraId="52870967">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0.03</w:t>
                  </w:r>
                </w:p>
              </w:tc>
            </w:tr>
            <w:tr w14:paraId="042DF0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500" w:type="pct"/>
                  <w:tcBorders>
                    <w:top w:val="single" w:color="auto" w:sz="4" w:space="0"/>
                    <w:left w:val="single" w:color="auto" w:sz="4" w:space="0"/>
                    <w:bottom w:val="single" w:color="auto" w:sz="4" w:space="0"/>
                    <w:right w:val="single" w:color="auto" w:sz="4" w:space="0"/>
                  </w:tcBorders>
                  <w:vAlign w:val="center"/>
                </w:tcPr>
                <w:p w14:paraId="58DA28E6">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铬（Cr）</w:t>
                  </w:r>
                </w:p>
              </w:tc>
              <w:tc>
                <w:tcPr>
                  <w:tcW w:w="2500" w:type="pct"/>
                  <w:tcBorders>
                    <w:top w:val="single" w:color="auto" w:sz="4" w:space="0"/>
                    <w:left w:val="single" w:color="auto" w:sz="4" w:space="0"/>
                    <w:bottom w:val="single" w:color="auto" w:sz="4" w:space="0"/>
                    <w:right w:val="single" w:color="auto" w:sz="4" w:space="0"/>
                  </w:tcBorders>
                  <w:vAlign w:val="center"/>
                </w:tcPr>
                <w:p w14:paraId="609A095B">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0.2</w:t>
                  </w:r>
                </w:p>
              </w:tc>
            </w:tr>
            <w:tr w14:paraId="4CA6F8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500" w:type="pct"/>
                  <w:tcBorders>
                    <w:top w:val="single" w:color="auto" w:sz="4" w:space="0"/>
                    <w:left w:val="single" w:color="auto" w:sz="4" w:space="0"/>
                    <w:bottom w:val="single" w:color="auto" w:sz="4" w:space="0"/>
                    <w:right w:val="single" w:color="auto" w:sz="4" w:space="0"/>
                  </w:tcBorders>
                  <w:vAlign w:val="center"/>
                </w:tcPr>
                <w:p w14:paraId="1E21F8BB">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铜（Cu）</w:t>
                  </w:r>
                </w:p>
              </w:tc>
              <w:tc>
                <w:tcPr>
                  <w:tcW w:w="2500" w:type="pct"/>
                  <w:tcBorders>
                    <w:top w:val="single" w:color="auto" w:sz="4" w:space="0"/>
                    <w:left w:val="single" w:color="auto" w:sz="4" w:space="0"/>
                    <w:bottom w:val="single" w:color="auto" w:sz="4" w:space="0"/>
                    <w:right w:val="single" w:color="auto" w:sz="4" w:space="0"/>
                  </w:tcBorders>
                  <w:vAlign w:val="center"/>
                </w:tcPr>
                <w:p w14:paraId="0D0802B7">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1.0</w:t>
                  </w:r>
                </w:p>
              </w:tc>
            </w:tr>
            <w:tr w14:paraId="682C96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500" w:type="pct"/>
                  <w:tcBorders>
                    <w:top w:val="single" w:color="auto" w:sz="4" w:space="0"/>
                    <w:left w:val="single" w:color="auto" w:sz="4" w:space="0"/>
                    <w:bottom w:val="single" w:color="auto" w:sz="4" w:space="0"/>
                    <w:right w:val="single" w:color="auto" w:sz="4" w:space="0"/>
                  </w:tcBorders>
                  <w:vAlign w:val="center"/>
                </w:tcPr>
                <w:p w14:paraId="34BA61A2">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镍（Ni）</w:t>
                  </w:r>
                </w:p>
              </w:tc>
              <w:tc>
                <w:tcPr>
                  <w:tcW w:w="2500" w:type="pct"/>
                  <w:tcBorders>
                    <w:top w:val="single" w:color="auto" w:sz="4" w:space="0"/>
                    <w:left w:val="single" w:color="auto" w:sz="4" w:space="0"/>
                    <w:bottom w:val="single" w:color="auto" w:sz="4" w:space="0"/>
                    <w:right w:val="single" w:color="auto" w:sz="4" w:space="0"/>
                  </w:tcBorders>
                  <w:vAlign w:val="center"/>
                </w:tcPr>
                <w:p w14:paraId="0704FC67">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0.2</w:t>
                  </w:r>
                </w:p>
              </w:tc>
            </w:tr>
            <w:tr w14:paraId="39870B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500" w:type="pct"/>
                  <w:tcBorders>
                    <w:top w:val="single" w:color="auto" w:sz="4" w:space="0"/>
                    <w:left w:val="single" w:color="auto" w:sz="4" w:space="0"/>
                    <w:bottom w:val="single" w:color="auto" w:sz="4" w:space="0"/>
                    <w:right w:val="single" w:color="auto" w:sz="4" w:space="0"/>
                  </w:tcBorders>
                  <w:vAlign w:val="center"/>
                </w:tcPr>
                <w:p w14:paraId="2E61C780">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锌（Zn）</w:t>
                  </w:r>
                </w:p>
              </w:tc>
              <w:tc>
                <w:tcPr>
                  <w:tcW w:w="2500" w:type="pct"/>
                  <w:tcBorders>
                    <w:top w:val="single" w:color="auto" w:sz="4" w:space="0"/>
                    <w:left w:val="single" w:color="auto" w:sz="4" w:space="0"/>
                    <w:bottom w:val="single" w:color="auto" w:sz="4" w:space="0"/>
                    <w:right w:val="single" w:color="auto" w:sz="4" w:space="0"/>
                  </w:tcBorders>
                  <w:vAlign w:val="center"/>
                </w:tcPr>
                <w:p w14:paraId="05B61A5A">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1.0</w:t>
                  </w:r>
                </w:p>
              </w:tc>
            </w:tr>
            <w:tr w14:paraId="255156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500" w:type="pct"/>
                  <w:tcBorders>
                    <w:top w:val="single" w:color="auto" w:sz="4" w:space="0"/>
                    <w:left w:val="single" w:color="auto" w:sz="4" w:space="0"/>
                    <w:bottom w:val="single" w:color="auto" w:sz="4" w:space="0"/>
                    <w:right w:val="single" w:color="auto" w:sz="4" w:space="0"/>
                  </w:tcBorders>
                  <w:vAlign w:val="center"/>
                </w:tcPr>
                <w:p w14:paraId="1B8824FA">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锰（Mn）</w:t>
                  </w:r>
                </w:p>
              </w:tc>
              <w:tc>
                <w:tcPr>
                  <w:tcW w:w="2500" w:type="pct"/>
                  <w:tcBorders>
                    <w:top w:val="single" w:color="auto" w:sz="4" w:space="0"/>
                    <w:left w:val="single" w:color="auto" w:sz="4" w:space="0"/>
                    <w:bottom w:val="single" w:color="auto" w:sz="4" w:space="0"/>
                    <w:right w:val="single" w:color="auto" w:sz="4" w:space="0"/>
                  </w:tcBorders>
                  <w:vAlign w:val="center"/>
                </w:tcPr>
                <w:p w14:paraId="558FBA98">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1.0</w:t>
                  </w:r>
                </w:p>
              </w:tc>
            </w:tr>
          </w:tbl>
          <w:p w14:paraId="282924BC">
            <w:pPr>
              <w:autoSpaceDE w:val="0"/>
              <w:autoSpaceDN w:val="0"/>
              <w:adjustRightInd w:val="0"/>
              <w:snapToGrid w:val="0"/>
              <w:spacing w:before="156" w:beforeLines="50" w:line="360" w:lineRule="auto"/>
              <w:rPr>
                <w:rFonts w:ascii="Times New Roman" w:hAnsi="Times New Roman" w:eastAsia="宋体" w:cs="Times New Roman"/>
                <w:b/>
                <w:bCs/>
                <w:color w:val="000000"/>
                <w:sz w:val="24"/>
                <w:szCs w:val="24"/>
                <w:lang w:val="zh-CN"/>
              </w:rPr>
            </w:pPr>
            <w:r>
              <w:rPr>
                <w:rFonts w:ascii="Times New Roman" w:hAnsi="Times New Roman" w:eastAsia="宋体" w:cs="Times New Roman"/>
                <w:b/>
                <w:bCs/>
                <w:color w:val="000000"/>
                <w:sz w:val="24"/>
                <w:szCs w:val="24"/>
                <w:lang w:val="zh-CN"/>
              </w:rPr>
              <w:t>3、项目组成</w:t>
            </w:r>
          </w:p>
          <w:p w14:paraId="45776D0F">
            <w:pPr>
              <w:adjustRightInd w:val="0"/>
              <w:snapToGrid w:val="0"/>
              <w:spacing w:line="360" w:lineRule="auto"/>
              <w:ind w:firstLine="480" w:firstLineChars="200"/>
              <w:rPr>
                <w:rFonts w:ascii="Times New Roman" w:hAnsi="Times New Roman" w:eastAsia="宋体" w:cs="Times New Roman"/>
                <w:color w:val="000000"/>
                <w:sz w:val="24"/>
                <w:szCs w:val="24"/>
                <w:lang w:val="zh-CN"/>
              </w:rPr>
            </w:pPr>
            <w:r>
              <w:rPr>
                <w:rFonts w:ascii="Times New Roman" w:hAnsi="Times New Roman" w:eastAsia="宋体" w:cs="Times New Roman"/>
                <w:color w:val="000000"/>
                <w:sz w:val="24"/>
                <w:szCs w:val="24"/>
                <w:u w:val="single"/>
                <w:lang w:val="zh-CN"/>
              </w:rPr>
              <w:t>本项目生产工艺、生产设施均不发生变化，新增建设内容主要为一栋一般工业固废贮存间、一座雨水池，一般工业固废由产生单位采用专用运输车辆陆路运输至本厂，运输车辆采用GPS系统进行跟踪管理。</w:t>
            </w:r>
            <w:r>
              <w:rPr>
                <w:rFonts w:ascii="Times New Roman" w:hAnsi="Times New Roman" w:eastAsia="宋体" w:cs="Times New Roman"/>
                <w:color w:val="000000"/>
                <w:sz w:val="24"/>
                <w:szCs w:val="24"/>
                <w:lang w:val="zh-CN"/>
              </w:rPr>
              <w:t>组成及主要环境问题如下表所示。</w:t>
            </w:r>
          </w:p>
          <w:p w14:paraId="7FA25918">
            <w:pPr>
              <w:adjustRightInd w:val="0"/>
              <w:snapToGrid w:val="0"/>
              <w:jc w:val="center"/>
              <w:rPr>
                <w:rFonts w:ascii="Times New Roman" w:hAnsi="Times New Roman" w:eastAsia="宋体" w:cs="Times New Roman"/>
                <w:b/>
                <w:color w:val="000000"/>
                <w:szCs w:val="21"/>
              </w:rPr>
            </w:pPr>
            <w:bookmarkStart w:id="10" w:name="_Ref140572270"/>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14</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ascii="Times New Roman" w:hAnsi="Times New Roman" w:eastAsia="宋体" w:cs="Times New Roman"/>
                <w:b/>
                <w:color w:val="000000"/>
                <w:szCs w:val="21"/>
              </w:rPr>
              <w:t>项目组成及主要环境问题</w:t>
            </w:r>
            <w:bookmarkEnd w:id="10"/>
          </w:p>
          <w:tbl>
            <w:tblPr>
              <w:tblStyle w:val="2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1"/>
              <w:gridCol w:w="881"/>
              <w:gridCol w:w="3640"/>
              <w:gridCol w:w="1049"/>
              <w:gridCol w:w="941"/>
              <w:gridCol w:w="651"/>
            </w:tblGrid>
            <w:tr w14:paraId="490610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restart"/>
                  <w:tcBorders>
                    <w:top w:val="single" w:color="auto" w:sz="4" w:space="0"/>
                    <w:left w:val="single" w:color="auto" w:sz="4" w:space="0"/>
                    <w:bottom w:val="single" w:color="auto" w:sz="4" w:space="0"/>
                    <w:right w:val="single" w:color="auto" w:sz="4" w:space="0"/>
                  </w:tcBorders>
                  <w:vAlign w:val="center"/>
                </w:tcPr>
                <w:p w14:paraId="01CFA1EB">
                  <w:pPr>
                    <w:jc w:val="center"/>
                    <w:rPr>
                      <w:rFonts w:ascii="Times New Roman" w:hAnsi="Times New Roman" w:eastAsia="宋体" w:cs="Times New Roman"/>
                      <w:b/>
                      <w:snapToGrid w:val="0"/>
                      <w:color w:val="000000"/>
                      <w:kern w:val="0"/>
                      <w:szCs w:val="24"/>
                    </w:rPr>
                  </w:pPr>
                  <w:r>
                    <w:rPr>
                      <w:rFonts w:ascii="Times New Roman" w:hAnsi="Times New Roman" w:eastAsia="宋体" w:cs="Times New Roman"/>
                      <w:b/>
                      <w:snapToGrid w:val="0"/>
                      <w:color w:val="000000"/>
                      <w:kern w:val="0"/>
                      <w:szCs w:val="21"/>
                    </w:rPr>
                    <w:t>名称</w:t>
                  </w:r>
                </w:p>
              </w:tc>
              <w:tc>
                <w:tcPr>
                  <w:tcW w:w="4733" w:type="dxa"/>
                  <w:gridSpan w:val="2"/>
                  <w:vMerge w:val="restart"/>
                  <w:tcBorders>
                    <w:top w:val="single" w:color="auto" w:sz="4" w:space="0"/>
                    <w:left w:val="single" w:color="auto" w:sz="4" w:space="0"/>
                    <w:bottom w:val="single" w:color="auto" w:sz="4" w:space="0"/>
                    <w:right w:val="single" w:color="auto" w:sz="4" w:space="0"/>
                  </w:tcBorders>
                  <w:vAlign w:val="center"/>
                </w:tcPr>
                <w:p w14:paraId="1DEF2249">
                  <w:pPr>
                    <w:jc w:val="center"/>
                    <w:rPr>
                      <w:rFonts w:ascii="Times New Roman" w:hAnsi="Times New Roman" w:eastAsia="宋体" w:cs="Times New Roman"/>
                      <w:b/>
                      <w:snapToGrid w:val="0"/>
                      <w:color w:val="000000"/>
                      <w:kern w:val="0"/>
                      <w:szCs w:val="21"/>
                    </w:rPr>
                  </w:pPr>
                  <w:r>
                    <w:rPr>
                      <w:rFonts w:ascii="Times New Roman" w:hAnsi="Times New Roman" w:eastAsia="宋体" w:cs="Times New Roman"/>
                      <w:b/>
                      <w:snapToGrid w:val="0"/>
                      <w:color w:val="000000"/>
                      <w:kern w:val="0"/>
                      <w:szCs w:val="21"/>
                    </w:rPr>
                    <w:t>建设内容及规模</w:t>
                  </w:r>
                </w:p>
              </w:tc>
              <w:tc>
                <w:tcPr>
                  <w:tcW w:w="2044" w:type="dxa"/>
                  <w:gridSpan w:val="2"/>
                  <w:tcBorders>
                    <w:top w:val="single" w:color="auto" w:sz="4" w:space="0"/>
                    <w:left w:val="single" w:color="auto" w:sz="4" w:space="0"/>
                    <w:bottom w:val="single" w:color="auto" w:sz="4" w:space="0"/>
                    <w:right w:val="single" w:color="auto" w:sz="4" w:space="0"/>
                  </w:tcBorders>
                  <w:vAlign w:val="center"/>
                </w:tcPr>
                <w:p w14:paraId="0EC70C3E">
                  <w:pPr>
                    <w:ind w:left="-105" w:leftChars="-50" w:right="-105" w:rightChars="-50"/>
                    <w:jc w:val="center"/>
                    <w:rPr>
                      <w:rFonts w:ascii="Times New Roman" w:hAnsi="Times New Roman" w:eastAsia="宋体" w:cs="Times New Roman"/>
                      <w:b/>
                      <w:snapToGrid w:val="0"/>
                      <w:color w:val="000000"/>
                      <w:kern w:val="0"/>
                      <w:szCs w:val="21"/>
                    </w:rPr>
                  </w:pPr>
                  <w:r>
                    <w:rPr>
                      <w:rFonts w:ascii="Times New Roman" w:hAnsi="Times New Roman" w:eastAsia="宋体" w:cs="Times New Roman"/>
                      <w:b/>
                      <w:snapToGrid w:val="0"/>
                      <w:color w:val="000000"/>
                      <w:kern w:val="0"/>
                      <w:szCs w:val="21"/>
                    </w:rPr>
                    <w:t>可能产生的环境问题</w:t>
                  </w:r>
                </w:p>
              </w:tc>
              <w:tc>
                <w:tcPr>
                  <w:tcW w:w="667" w:type="dxa"/>
                  <w:vMerge w:val="restart"/>
                  <w:tcBorders>
                    <w:top w:val="single" w:color="auto" w:sz="4" w:space="0"/>
                    <w:left w:val="single" w:color="auto" w:sz="4" w:space="0"/>
                    <w:bottom w:val="single" w:color="auto" w:sz="4" w:space="0"/>
                    <w:right w:val="single" w:color="auto" w:sz="4" w:space="0"/>
                  </w:tcBorders>
                  <w:vAlign w:val="center"/>
                </w:tcPr>
                <w:p w14:paraId="626861FD">
                  <w:pPr>
                    <w:jc w:val="center"/>
                    <w:rPr>
                      <w:rFonts w:ascii="Times New Roman" w:hAnsi="Times New Roman" w:eastAsia="宋体" w:cs="Times New Roman"/>
                      <w:b/>
                      <w:snapToGrid w:val="0"/>
                      <w:color w:val="000000"/>
                      <w:kern w:val="0"/>
                      <w:szCs w:val="21"/>
                    </w:rPr>
                  </w:pPr>
                  <w:r>
                    <w:rPr>
                      <w:rFonts w:ascii="Times New Roman" w:hAnsi="Times New Roman" w:eastAsia="宋体" w:cs="Times New Roman"/>
                      <w:b/>
                      <w:snapToGrid w:val="0"/>
                      <w:color w:val="000000"/>
                      <w:kern w:val="0"/>
                      <w:szCs w:val="21"/>
                    </w:rPr>
                    <w:t>备注</w:t>
                  </w:r>
                </w:p>
              </w:tc>
            </w:tr>
            <w:tr w14:paraId="5BB25D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continue"/>
                  <w:tcBorders>
                    <w:top w:val="single" w:color="auto" w:sz="4" w:space="0"/>
                    <w:left w:val="single" w:color="auto" w:sz="4" w:space="0"/>
                    <w:bottom w:val="single" w:color="auto" w:sz="4" w:space="0"/>
                    <w:right w:val="single" w:color="auto" w:sz="4" w:space="0"/>
                  </w:tcBorders>
                  <w:vAlign w:val="center"/>
                </w:tcPr>
                <w:p w14:paraId="6D2E7483">
                  <w:pPr>
                    <w:widowControl/>
                    <w:jc w:val="left"/>
                    <w:rPr>
                      <w:rFonts w:ascii="Times New Roman" w:hAnsi="Times New Roman" w:eastAsia="宋体" w:cs="Times New Roman"/>
                      <w:b/>
                      <w:snapToGrid w:val="0"/>
                      <w:color w:val="000000"/>
                      <w:kern w:val="0"/>
                      <w:szCs w:val="24"/>
                    </w:rPr>
                  </w:pPr>
                </w:p>
              </w:tc>
              <w:tc>
                <w:tcPr>
                  <w:tcW w:w="4733" w:type="dxa"/>
                  <w:gridSpan w:val="2"/>
                  <w:vMerge w:val="continue"/>
                  <w:tcBorders>
                    <w:top w:val="single" w:color="auto" w:sz="4" w:space="0"/>
                    <w:left w:val="single" w:color="auto" w:sz="4" w:space="0"/>
                    <w:bottom w:val="single" w:color="auto" w:sz="4" w:space="0"/>
                    <w:right w:val="single" w:color="auto" w:sz="4" w:space="0"/>
                  </w:tcBorders>
                  <w:vAlign w:val="center"/>
                </w:tcPr>
                <w:p w14:paraId="2471C2FE">
                  <w:pPr>
                    <w:widowControl/>
                    <w:jc w:val="left"/>
                    <w:rPr>
                      <w:rFonts w:ascii="Times New Roman" w:hAnsi="Times New Roman" w:eastAsia="宋体" w:cs="Times New Roman"/>
                      <w:b/>
                      <w:snapToGrid w:val="0"/>
                      <w:color w:val="000000"/>
                      <w:kern w:val="0"/>
                      <w:szCs w:val="21"/>
                    </w:rPr>
                  </w:pPr>
                </w:p>
              </w:tc>
              <w:tc>
                <w:tcPr>
                  <w:tcW w:w="1080" w:type="dxa"/>
                  <w:tcBorders>
                    <w:top w:val="single" w:color="auto" w:sz="4" w:space="0"/>
                    <w:left w:val="single" w:color="auto" w:sz="4" w:space="0"/>
                    <w:bottom w:val="single" w:color="auto" w:sz="4" w:space="0"/>
                    <w:right w:val="single" w:color="auto" w:sz="4" w:space="0"/>
                  </w:tcBorders>
                  <w:vAlign w:val="center"/>
                </w:tcPr>
                <w:p w14:paraId="7AB11E16">
                  <w:pPr>
                    <w:jc w:val="center"/>
                    <w:rPr>
                      <w:rFonts w:ascii="Times New Roman" w:hAnsi="Times New Roman" w:eastAsia="宋体" w:cs="Times New Roman"/>
                      <w:b/>
                      <w:snapToGrid w:val="0"/>
                      <w:color w:val="000000"/>
                      <w:kern w:val="0"/>
                      <w:szCs w:val="21"/>
                    </w:rPr>
                  </w:pPr>
                  <w:r>
                    <w:rPr>
                      <w:rFonts w:ascii="Times New Roman" w:hAnsi="Times New Roman" w:eastAsia="宋体" w:cs="Times New Roman"/>
                      <w:b/>
                      <w:snapToGrid w:val="0"/>
                      <w:color w:val="000000"/>
                      <w:kern w:val="0"/>
                      <w:szCs w:val="21"/>
                    </w:rPr>
                    <w:t>施工期</w:t>
                  </w:r>
                </w:p>
              </w:tc>
              <w:tc>
                <w:tcPr>
                  <w:tcW w:w="964" w:type="dxa"/>
                  <w:tcBorders>
                    <w:top w:val="single" w:color="auto" w:sz="4" w:space="0"/>
                    <w:left w:val="single" w:color="auto" w:sz="4" w:space="0"/>
                    <w:bottom w:val="single" w:color="auto" w:sz="4" w:space="0"/>
                    <w:right w:val="single" w:color="auto" w:sz="4" w:space="0"/>
                  </w:tcBorders>
                  <w:vAlign w:val="center"/>
                </w:tcPr>
                <w:p w14:paraId="5FE00CF1">
                  <w:pPr>
                    <w:jc w:val="center"/>
                    <w:rPr>
                      <w:rFonts w:ascii="Times New Roman" w:hAnsi="Times New Roman" w:eastAsia="宋体" w:cs="Times New Roman"/>
                      <w:b/>
                      <w:snapToGrid w:val="0"/>
                      <w:color w:val="000000"/>
                      <w:kern w:val="0"/>
                      <w:szCs w:val="21"/>
                    </w:rPr>
                  </w:pPr>
                  <w:r>
                    <w:rPr>
                      <w:rFonts w:ascii="Times New Roman" w:hAnsi="Times New Roman" w:eastAsia="宋体" w:cs="Times New Roman"/>
                      <w:b/>
                      <w:snapToGrid w:val="0"/>
                      <w:color w:val="000000"/>
                      <w:kern w:val="0"/>
                      <w:szCs w:val="21"/>
                    </w:rPr>
                    <w:t>营运期</w:t>
                  </w:r>
                </w:p>
              </w:tc>
              <w:tc>
                <w:tcPr>
                  <w:tcW w:w="667" w:type="dxa"/>
                  <w:vMerge w:val="continue"/>
                  <w:tcBorders>
                    <w:top w:val="single" w:color="auto" w:sz="4" w:space="0"/>
                    <w:left w:val="single" w:color="auto" w:sz="4" w:space="0"/>
                    <w:bottom w:val="single" w:color="auto" w:sz="4" w:space="0"/>
                    <w:right w:val="single" w:color="auto" w:sz="4" w:space="0"/>
                  </w:tcBorders>
                  <w:vAlign w:val="center"/>
                </w:tcPr>
                <w:p w14:paraId="4BE53826">
                  <w:pPr>
                    <w:widowControl/>
                    <w:jc w:val="left"/>
                    <w:rPr>
                      <w:rFonts w:ascii="Times New Roman" w:hAnsi="Times New Roman" w:eastAsia="宋体" w:cs="Times New Roman"/>
                      <w:b/>
                      <w:snapToGrid w:val="0"/>
                      <w:color w:val="000000"/>
                      <w:kern w:val="0"/>
                      <w:szCs w:val="21"/>
                    </w:rPr>
                  </w:pPr>
                </w:p>
              </w:tc>
            </w:tr>
            <w:tr w14:paraId="075966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restart"/>
                  <w:tcBorders>
                    <w:top w:val="single" w:color="auto" w:sz="4" w:space="0"/>
                    <w:left w:val="single" w:color="auto" w:sz="4" w:space="0"/>
                    <w:bottom w:val="single" w:color="auto" w:sz="4" w:space="0"/>
                    <w:right w:val="single" w:color="auto" w:sz="4" w:space="0"/>
                  </w:tcBorders>
                  <w:vAlign w:val="center"/>
                </w:tcPr>
                <w:p w14:paraId="7AAA1F25">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主体</w:t>
                  </w:r>
                </w:p>
                <w:p w14:paraId="4BDA3DAF">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工程</w:t>
                  </w:r>
                </w:p>
              </w:tc>
              <w:tc>
                <w:tcPr>
                  <w:tcW w:w="914" w:type="dxa"/>
                  <w:tcBorders>
                    <w:top w:val="single" w:color="auto" w:sz="4" w:space="0"/>
                    <w:left w:val="single" w:color="auto" w:sz="4" w:space="0"/>
                    <w:bottom w:val="single" w:color="auto" w:sz="4" w:space="0"/>
                    <w:right w:val="single" w:color="auto" w:sz="4" w:space="0"/>
                  </w:tcBorders>
                  <w:vAlign w:val="center"/>
                </w:tcPr>
                <w:p w14:paraId="67EF39EB">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隧道窑</w:t>
                  </w:r>
                </w:p>
              </w:tc>
              <w:tc>
                <w:tcPr>
                  <w:tcW w:w="3819" w:type="dxa"/>
                  <w:tcBorders>
                    <w:top w:val="single" w:color="auto" w:sz="4" w:space="0"/>
                    <w:left w:val="single" w:color="auto" w:sz="4" w:space="0"/>
                    <w:bottom w:val="single" w:color="auto" w:sz="4" w:space="0"/>
                    <w:right w:val="single" w:color="auto" w:sz="4" w:space="0"/>
                  </w:tcBorders>
                  <w:vAlign w:val="center"/>
                </w:tcPr>
                <w:p w14:paraId="2324C83C">
                  <w:pPr>
                    <w:pStyle w:val="3"/>
                    <w:adjustRightInd w:val="0"/>
                    <w:snapToGrid w:val="0"/>
                    <w:spacing w:line="240" w:lineRule="auto"/>
                    <w:ind w:firstLine="0" w:firstLineChars="0"/>
                    <w:rPr>
                      <w:rFonts w:ascii="Times New Roman" w:eastAsia="宋体" w:cs="Times New Roman"/>
                      <w:color w:val="000000"/>
                      <w:sz w:val="21"/>
                      <w:szCs w:val="21"/>
                    </w:rPr>
                  </w:pPr>
                  <w:r>
                    <w:rPr>
                      <w:rFonts w:ascii="Times New Roman" w:eastAsia="宋体" w:cs="Times New Roman"/>
                      <w:snapToGrid w:val="0"/>
                      <w:color w:val="000000"/>
                      <w:spacing w:val="10"/>
                      <w:kern w:val="0"/>
                      <w:sz w:val="21"/>
                      <w:szCs w:val="21"/>
                    </w:rPr>
                    <w:t>隧道窑一座，位于厂区中部，年产8000万匹页岩砖。年工作时长4000h。</w:t>
                  </w:r>
                </w:p>
              </w:tc>
              <w:tc>
                <w:tcPr>
                  <w:tcW w:w="1080" w:type="dxa"/>
                  <w:vMerge w:val="restart"/>
                  <w:tcBorders>
                    <w:top w:val="single" w:color="auto" w:sz="4" w:space="0"/>
                    <w:left w:val="single" w:color="auto" w:sz="4" w:space="0"/>
                    <w:bottom w:val="single" w:color="auto" w:sz="4" w:space="0"/>
                    <w:right w:val="single" w:color="auto" w:sz="4" w:space="0"/>
                  </w:tcBorders>
                  <w:vAlign w:val="center"/>
                </w:tcPr>
                <w:p w14:paraId="2003740A">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w:t>
                  </w:r>
                </w:p>
              </w:tc>
              <w:tc>
                <w:tcPr>
                  <w:tcW w:w="964" w:type="dxa"/>
                  <w:tcBorders>
                    <w:top w:val="single" w:color="auto" w:sz="4" w:space="0"/>
                    <w:left w:val="single" w:color="auto" w:sz="4" w:space="0"/>
                    <w:bottom w:val="single" w:color="auto" w:sz="4" w:space="0"/>
                    <w:right w:val="single" w:color="auto" w:sz="4" w:space="0"/>
                  </w:tcBorders>
                  <w:vAlign w:val="center"/>
                </w:tcPr>
                <w:p w14:paraId="5C24936C">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扬尘、噪声、废石</w:t>
                  </w:r>
                </w:p>
              </w:tc>
              <w:tc>
                <w:tcPr>
                  <w:tcW w:w="667" w:type="dxa"/>
                  <w:tcBorders>
                    <w:top w:val="single" w:color="auto" w:sz="4" w:space="0"/>
                    <w:left w:val="single" w:color="auto" w:sz="4" w:space="0"/>
                    <w:bottom w:val="single" w:color="auto" w:sz="4" w:space="0"/>
                    <w:right w:val="single" w:color="auto" w:sz="4" w:space="0"/>
                  </w:tcBorders>
                  <w:vAlign w:val="center"/>
                </w:tcPr>
                <w:p w14:paraId="7E88B047">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利旧</w:t>
                  </w:r>
                </w:p>
              </w:tc>
            </w:tr>
            <w:tr w14:paraId="0A430B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continue"/>
                  <w:tcBorders>
                    <w:top w:val="single" w:color="auto" w:sz="4" w:space="0"/>
                    <w:left w:val="single" w:color="auto" w:sz="4" w:space="0"/>
                    <w:bottom w:val="single" w:color="auto" w:sz="4" w:space="0"/>
                    <w:right w:val="single" w:color="auto" w:sz="4" w:space="0"/>
                  </w:tcBorders>
                  <w:vAlign w:val="center"/>
                </w:tcPr>
                <w:p w14:paraId="0443F139">
                  <w:pPr>
                    <w:widowControl/>
                    <w:jc w:val="left"/>
                    <w:rPr>
                      <w:rFonts w:ascii="Times New Roman" w:hAnsi="Times New Roman" w:eastAsia="宋体" w:cs="Times New Roman"/>
                      <w:snapToGrid w:val="0"/>
                      <w:color w:val="000000"/>
                      <w:kern w:val="0"/>
                      <w:szCs w:val="21"/>
                    </w:rPr>
                  </w:pPr>
                </w:p>
              </w:tc>
              <w:tc>
                <w:tcPr>
                  <w:tcW w:w="914" w:type="dxa"/>
                  <w:tcBorders>
                    <w:top w:val="single" w:color="auto" w:sz="4" w:space="0"/>
                    <w:left w:val="single" w:color="auto" w:sz="4" w:space="0"/>
                    <w:bottom w:val="single" w:color="auto" w:sz="4" w:space="0"/>
                    <w:right w:val="single" w:color="auto" w:sz="4" w:space="0"/>
                  </w:tcBorders>
                  <w:vAlign w:val="center"/>
                </w:tcPr>
                <w:p w14:paraId="352DF6A0">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制砖</w:t>
                  </w:r>
                </w:p>
                <w:p w14:paraId="6AF9F17E">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车间</w:t>
                  </w:r>
                </w:p>
              </w:tc>
              <w:tc>
                <w:tcPr>
                  <w:tcW w:w="3819" w:type="dxa"/>
                  <w:tcBorders>
                    <w:top w:val="single" w:color="auto" w:sz="4" w:space="0"/>
                    <w:left w:val="single" w:color="auto" w:sz="4" w:space="0"/>
                    <w:bottom w:val="single" w:color="auto" w:sz="4" w:space="0"/>
                    <w:right w:val="single" w:color="auto" w:sz="4" w:space="0"/>
                  </w:tcBorders>
                  <w:vAlign w:val="center"/>
                </w:tcPr>
                <w:p w14:paraId="090D35DB">
                  <w:pPr>
                    <w:pStyle w:val="3"/>
                    <w:adjustRightInd w:val="0"/>
                    <w:snapToGrid w:val="0"/>
                    <w:spacing w:line="240" w:lineRule="auto"/>
                    <w:ind w:firstLine="0" w:firstLineChars="0"/>
                    <w:rPr>
                      <w:rFonts w:ascii="Times New Roman" w:eastAsia="宋体" w:cs="Times New Roman"/>
                      <w:color w:val="000000"/>
                      <w:sz w:val="21"/>
                      <w:szCs w:val="21"/>
                    </w:rPr>
                  </w:pPr>
                  <w:r>
                    <w:rPr>
                      <w:rFonts w:ascii="Times New Roman" w:eastAsia="宋体" w:cs="Times New Roman"/>
                      <w:snapToGrid w:val="0"/>
                      <w:color w:val="000000"/>
                      <w:spacing w:val="10"/>
                      <w:kern w:val="0"/>
                      <w:sz w:val="21"/>
                      <w:szCs w:val="21"/>
                    </w:rPr>
                    <w:t>制砖车间一座，位于厂区北侧，占地面积约1000m</w:t>
                  </w:r>
                  <w:r>
                    <w:rPr>
                      <w:rFonts w:ascii="Times New Roman" w:eastAsia="宋体" w:cs="Times New Roman"/>
                      <w:snapToGrid w:val="0"/>
                      <w:color w:val="000000"/>
                      <w:spacing w:val="10"/>
                      <w:kern w:val="0"/>
                      <w:sz w:val="21"/>
                      <w:szCs w:val="21"/>
                      <w:vertAlign w:val="superscript"/>
                    </w:rPr>
                    <w:t>2</w:t>
                  </w:r>
                  <w:r>
                    <w:rPr>
                      <w:rFonts w:ascii="Times New Roman" w:eastAsia="宋体" w:cs="Times New Roman"/>
                      <w:snapToGrid w:val="0"/>
                      <w:color w:val="000000"/>
                      <w:spacing w:val="10"/>
                      <w:kern w:val="0"/>
                      <w:sz w:val="21"/>
                      <w:szCs w:val="21"/>
                    </w:rPr>
                    <w:t>，内设破碎机、搅拌机、真空挤砖机等设备，布置为鄂破区、粉碎区、陈化区、制砖区。制砖工序年工作时长2000h。</w:t>
                  </w:r>
                </w:p>
              </w:tc>
              <w:tc>
                <w:tcPr>
                  <w:tcW w:w="1080" w:type="dxa"/>
                  <w:vMerge w:val="continue"/>
                  <w:tcBorders>
                    <w:top w:val="single" w:color="auto" w:sz="4" w:space="0"/>
                    <w:left w:val="single" w:color="auto" w:sz="4" w:space="0"/>
                    <w:bottom w:val="single" w:color="auto" w:sz="4" w:space="0"/>
                    <w:right w:val="single" w:color="auto" w:sz="4" w:space="0"/>
                  </w:tcBorders>
                  <w:vAlign w:val="center"/>
                </w:tcPr>
                <w:p w14:paraId="0741B34C">
                  <w:pPr>
                    <w:widowControl/>
                    <w:jc w:val="left"/>
                    <w:rPr>
                      <w:rFonts w:ascii="Times New Roman" w:hAnsi="Times New Roman" w:eastAsia="宋体" w:cs="Times New Roman"/>
                      <w:color w:val="000000"/>
                      <w:kern w:val="0"/>
                      <w:szCs w:val="21"/>
                    </w:rPr>
                  </w:pPr>
                </w:p>
              </w:tc>
              <w:tc>
                <w:tcPr>
                  <w:tcW w:w="964" w:type="dxa"/>
                  <w:tcBorders>
                    <w:top w:val="single" w:color="auto" w:sz="4" w:space="0"/>
                    <w:left w:val="single" w:color="auto" w:sz="4" w:space="0"/>
                    <w:bottom w:val="single" w:color="auto" w:sz="4" w:space="0"/>
                    <w:right w:val="single" w:color="auto" w:sz="4" w:space="0"/>
                  </w:tcBorders>
                  <w:vAlign w:val="center"/>
                </w:tcPr>
                <w:p w14:paraId="4111F0C2">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烟气、噪声</w:t>
                  </w:r>
                </w:p>
              </w:tc>
              <w:tc>
                <w:tcPr>
                  <w:tcW w:w="667" w:type="dxa"/>
                  <w:tcBorders>
                    <w:top w:val="single" w:color="auto" w:sz="4" w:space="0"/>
                    <w:left w:val="single" w:color="auto" w:sz="4" w:space="0"/>
                    <w:bottom w:val="single" w:color="auto" w:sz="4" w:space="0"/>
                    <w:right w:val="single" w:color="auto" w:sz="4" w:space="0"/>
                  </w:tcBorders>
                  <w:vAlign w:val="center"/>
                </w:tcPr>
                <w:p w14:paraId="490FAAEF">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利旧</w:t>
                  </w:r>
                </w:p>
              </w:tc>
            </w:tr>
            <w:tr w14:paraId="5F32B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restart"/>
                  <w:tcBorders>
                    <w:top w:val="single" w:color="auto" w:sz="4" w:space="0"/>
                    <w:left w:val="single" w:color="auto" w:sz="4" w:space="0"/>
                    <w:bottom w:val="single" w:color="auto" w:sz="4" w:space="0"/>
                    <w:right w:val="single" w:color="auto" w:sz="4" w:space="0"/>
                  </w:tcBorders>
                  <w:vAlign w:val="center"/>
                </w:tcPr>
                <w:p w14:paraId="5E53E809">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辅助</w:t>
                  </w:r>
                </w:p>
                <w:p w14:paraId="3C20ABCC">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工程</w:t>
                  </w:r>
                </w:p>
              </w:tc>
              <w:tc>
                <w:tcPr>
                  <w:tcW w:w="914" w:type="dxa"/>
                  <w:tcBorders>
                    <w:top w:val="single" w:color="auto" w:sz="4" w:space="0"/>
                    <w:left w:val="single" w:color="auto" w:sz="4" w:space="0"/>
                    <w:bottom w:val="single" w:color="auto" w:sz="4" w:space="0"/>
                    <w:right w:val="single" w:color="auto" w:sz="4" w:space="0"/>
                  </w:tcBorders>
                  <w:vAlign w:val="center"/>
                </w:tcPr>
                <w:p w14:paraId="6CDEC787">
                  <w:pPr>
                    <w:adjustRightInd w:val="0"/>
                    <w:snapToGrid w:val="0"/>
                    <w:jc w:val="center"/>
                    <w:rPr>
                      <w:rFonts w:ascii="Times New Roman" w:hAnsi="Times New Roman" w:eastAsia="宋体" w:cs="Times New Roman"/>
                      <w:snapToGrid w:val="0"/>
                      <w:color w:val="000000"/>
                      <w:spacing w:val="10"/>
                      <w:kern w:val="0"/>
                      <w:szCs w:val="21"/>
                    </w:rPr>
                  </w:pPr>
                  <w:r>
                    <w:rPr>
                      <w:rFonts w:ascii="Times New Roman" w:hAnsi="Times New Roman" w:eastAsia="宋体" w:cs="Times New Roman"/>
                      <w:snapToGrid w:val="0"/>
                      <w:color w:val="000000"/>
                      <w:spacing w:val="10"/>
                      <w:kern w:val="0"/>
                      <w:szCs w:val="21"/>
                    </w:rPr>
                    <w:t>烘干</w:t>
                  </w:r>
                </w:p>
                <w:p w14:paraId="6AAA9064">
                  <w:pPr>
                    <w:adjustRightInd w:val="0"/>
                    <w:snapToGrid w:val="0"/>
                    <w:jc w:val="center"/>
                    <w:rPr>
                      <w:rFonts w:ascii="Times New Roman" w:hAnsi="Times New Roman" w:eastAsia="宋体" w:cs="Times New Roman"/>
                      <w:snapToGrid w:val="0"/>
                      <w:color w:val="000000"/>
                      <w:spacing w:val="10"/>
                      <w:kern w:val="0"/>
                      <w:szCs w:val="21"/>
                    </w:rPr>
                  </w:pPr>
                  <w:r>
                    <w:rPr>
                      <w:rFonts w:ascii="Times New Roman" w:hAnsi="Times New Roman" w:eastAsia="宋体" w:cs="Times New Roman"/>
                      <w:snapToGrid w:val="0"/>
                      <w:color w:val="000000"/>
                      <w:spacing w:val="10"/>
                      <w:kern w:val="0"/>
                      <w:szCs w:val="21"/>
                    </w:rPr>
                    <w:t>车间</w:t>
                  </w:r>
                </w:p>
              </w:tc>
              <w:tc>
                <w:tcPr>
                  <w:tcW w:w="3819" w:type="dxa"/>
                  <w:tcBorders>
                    <w:top w:val="single" w:color="auto" w:sz="4" w:space="0"/>
                    <w:left w:val="single" w:color="auto" w:sz="4" w:space="0"/>
                    <w:bottom w:val="single" w:color="auto" w:sz="4" w:space="0"/>
                    <w:right w:val="single" w:color="auto" w:sz="4" w:space="0"/>
                  </w:tcBorders>
                  <w:vAlign w:val="center"/>
                </w:tcPr>
                <w:p w14:paraId="0782D33B">
                  <w:pPr>
                    <w:adjustRightInd w:val="0"/>
                    <w:snapToGrid w:val="0"/>
                    <w:rPr>
                      <w:rFonts w:ascii="Times New Roman" w:hAnsi="Times New Roman" w:eastAsia="宋体" w:cs="Times New Roman"/>
                      <w:color w:val="000000"/>
                      <w:szCs w:val="21"/>
                    </w:rPr>
                  </w:pPr>
                  <w:r>
                    <w:rPr>
                      <w:rFonts w:ascii="Times New Roman" w:hAnsi="Times New Roman" w:eastAsia="宋体" w:cs="Times New Roman"/>
                      <w:snapToGrid w:val="0"/>
                      <w:color w:val="000000"/>
                      <w:spacing w:val="10"/>
                      <w:kern w:val="0"/>
                      <w:szCs w:val="21"/>
                    </w:rPr>
                    <w:t>烘干窑一座，位于厂区隧道窑北侧。年工作时长1000h。</w:t>
                  </w:r>
                </w:p>
              </w:tc>
              <w:tc>
                <w:tcPr>
                  <w:tcW w:w="1080" w:type="dxa"/>
                  <w:vMerge w:val="restart"/>
                  <w:tcBorders>
                    <w:top w:val="single" w:color="auto" w:sz="4" w:space="0"/>
                    <w:left w:val="single" w:color="auto" w:sz="4" w:space="0"/>
                    <w:bottom w:val="single" w:color="auto" w:sz="4" w:space="0"/>
                    <w:right w:val="single" w:color="auto" w:sz="4" w:space="0"/>
                  </w:tcBorders>
                  <w:vAlign w:val="center"/>
                </w:tcPr>
                <w:p w14:paraId="468097BB">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color w:val="000000"/>
                      <w:kern w:val="0"/>
                      <w:szCs w:val="21"/>
                    </w:rPr>
                    <w:t>/</w:t>
                  </w:r>
                </w:p>
              </w:tc>
              <w:tc>
                <w:tcPr>
                  <w:tcW w:w="964" w:type="dxa"/>
                  <w:vMerge w:val="restart"/>
                  <w:tcBorders>
                    <w:top w:val="single" w:color="auto" w:sz="4" w:space="0"/>
                    <w:left w:val="single" w:color="auto" w:sz="4" w:space="0"/>
                    <w:bottom w:val="single" w:color="auto" w:sz="4" w:space="0"/>
                    <w:right w:val="single" w:color="auto" w:sz="4" w:space="0"/>
                  </w:tcBorders>
                  <w:vAlign w:val="center"/>
                </w:tcPr>
                <w:p w14:paraId="2C3519C5">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w:t>
                  </w:r>
                </w:p>
              </w:tc>
              <w:tc>
                <w:tcPr>
                  <w:tcW w:w="667" w:type="dxa"/>
                  <w:tcBorders>
                    <w:top w:val="single" w:color="auto" w:sz="4" w:space="0"/>
                    <w:left w:val="single" w:color="auto" w:sz="4" w:space="0"/>
                    <w:bottom w:val="single" w:color="auto" w:sz="4" w:space="0"/>
                    <w:right w:val="single" w:color="auto" w:sz="4" w:space="0"/>
                  </w:tcBorders>
                  <w:vAlign w:val="center"/>
                </w:tcPr>
                <w:p w14:paraId="1BCD57FA">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利旧</w:t>
                  </w:r>
                </w:p>
              </w:tc>
            </w:tr>
            <w:tr w14:paraId="7AA655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continue"/>
                  <w:tcBorders>
                    <w:top w:val="single" w:color="auto" w:sz="4" w:space="0"/>
                    <w:left w:val="single" w:color="auto" w:sz="4" w:space="0"/>
                    <w:bottom w:val="single" w:color="auto" w:sz="4" w:space="0"/>
                    <w:right w:val="single" w:color="auto" w:sz="4" w:space="0"/>
                  </w:tcBorders>
                  <w:vAlign w:val="center"/>
                </w:tcPr>
                <w:p w14:paraId="761A6031">
                  <w:pPr>
                    <w:widowControl/>
                    <w:jc w:val="left"/>
                    <w:rPr>
                      <w:rFonts w:ascii="Times New Roman" w:hAnsi="Times New Roman" w:eastAsia="宋体" w:cs="Times New Roman"/>
                      <w:snapToGrid w:val="0"/>
                      <w:color w:val="000000"/>
                      <w:kern w:val="0"/>
                      <w:szCs w:val="21"/>
                    </w:rPr>
                  </w:pPr>
                </w:p>
              </w:tc>
              <w:tc>
                <w:tcPr>
                  <w:tcW w:w="914" w:type="dxa"/>
                  <w:tcBorders>
                    <w:top w:val="single" w:color="auto" w:sz="4" w:space="0"/>
                    <w:left w:val="single" w:color="auto" w:sz="4" w:space="0"/>
                    <w:bottom w:val="single" w:color="auto" w:sz="4" w:space="0"/>
                    <w:right w:val="single" w:color="auto" w:sz="4" w:space="0"/>
                  </w:tcBorders>
                  <w:vAlign w:val="center"/>
                </w:tcPr>
                <w:p w14:paraId="3A9C1DF4">
                  <w:pPr>
                    <w:adjustRightInd w:val="0"/>
                    <w:snapToGrid w:val="0"/>
                    <w:jc w:val="center"/>
                    <w:rPr>
                      <w:rFonts w:ascii="Times New Roman" w:hAnsi="Times New Roman" w:eastAsia="宋体" w:cs="Times New Roman"/>
                      <w:snapToGrid w:val="0"/>
                      <w:color w:val="000000"/>
                      <w:spacing w:val="10"/>
                      <w:kern w:val="0"/>
                      <w:szCs w:val="21"/>
                    </w:rPr>
                  </w:pPr>
                  <w:r>
                    <w:rPr>
                      <w:rFonts w:ascii="Times New Roman" w:hAnsi="Times New Roman" w:eastAsia="宋体" w:cs="Times New Roman"/>
                      <w:snapToGrid w:val="0"/>
                      <w:color w:val="000000"/>
                      <w:kern w:val="0"/>
                      <w:szCs w:val="21"/>
                    </w:rPr>
                    <w:t>配电房</w:t>
                  </w:r>
                </w:p>
              </w:tc>
              <w:tc>
                <w:tcPr>
                  <w:tcW w:w="3819" w:type="dxa"/>
                  <w:tcBorders>
                    <w:top w:val="single" w:color="auto" w:sz="4" w:space="0"/>
                    <w:left w:val="single" w:color="auto" w:sz="4" w:space="0"/>
                    <w:bottom w:val="single" w:color="auto" w:sz="4" w:space="0"/>
                    <w:right w:val="single" w:color="auto" w:sz="4" w:space="0"/>
                  </w:tcBorders>
                  <w:vAlign w:val="center"/>
                </w:tcPr>
                <w:p w14:paraId="2A74C9CF">
                  <w:pPr>
                    <w:adjustRightInd w:val="0"/>
                    <w:snapToGrid w:val="0"/>
                    <w:rPr>
                      <w:rFonts w:ascii="Times New Roman" w:hAnsi="Times New Roman" w:eastAsia="宋体" w:cs="Times New Roman"/>
                      <w:color w:val="000000"/>
                      <w:szCs w:val="21"/>
                    </w:rPr>
                  </w:pPr>
                  <w:r>
                    <w:rPr>
                      <w:rFonts w:ascii="Times New Roman" w:hAnsi="Times New Roman" w:eastAsia="宋体" w:cs="Times New Roman"/>
                      <w:snapToGrid w:val="0"/>
                      <w:color w:val="000000"/>
                      <w:kern w:val="0"/>
                      <w:szCs w:val="21"/>
                    </w:rPr>
                    <w:t>依托原有配电室，变压器容量增加至800KVA。</w:t>
                  </w:r>
                </w:p>
              </w:tc>
              <w:tc>
                <w:tcPr>
                  <w:tcW w:w="1080" w:type="dxa"/>
                  <w:vMerge w:val="continue"/>
                  <w:tcBorders>
                    <w:top w:val="single" w:color="auto" w:sz="4" w:space="0"/>
                    <w:left w:val="single" w:color="auto" w:sz="4" w:space="0"/>
                    <w:bottom w:val="single" w:color="auto" w:sz="4" w:space="0"/>
                    <w:right w:val="single" w:color="auto" w:sz="4" w:space="0"/>
                  </w:tcBorders>
                  <w:vAlign w:val="center"/>
                </w:tcPr>
                <w:p w14:paraId="3A911769">
                  <w:pPr>
                    <w:widowControl/>
                    <w:jc w:val="left"/>
                    <w:rPr>
                      <w:rFonts w:ascii="Times New Roman" w:hAnsi="Times New Roman" w:eastAsia="宋体" w:cs="Times New Roman"/>
                      <w:snapToGrid w:val="0"/>
                      <w:color w:val="000000"/>
                      <w:kern w:val="0"/>
                      <w:szCs w:val="21"/>
                    </w:rPr>
                  </w:pPr>
                </w:p>
              </w:tc>
              <w:tc>
                <w:tcPr>
                  <w:tcW w:w="964" w:type="dxa"/>
                  <w:vMerge w:val="continue"/>
                  <w:tcBorders>
                    <w:top w:val="single" w:color="auto" w:sz="4" w:space="0"/>
                    <w:left w:val="single" w:color="auto" w:sz="4" w:space="0"/>
                    <w:bottom w:val="single" w:color="auto" w:sz="4" w:space="0"/>
                    <w:right w:val="single" w:color="auto" w:sz="4" w:space="0"/>
                  </w:tcBorders>
                  <w:vAlign w:val="center"/>
                </w:tcPr>
                <w:p w14:paraId="74385A70">
                  <w:pPr>
                    <w:widowControl/>
                    <w:jc w:val="left"/>
                    <w:rPr>
                      <w:rFonts w:ascii="Times New Roman" w:hAnsi="Times New Roman" w:eastAsia="宋体" w:cs="Times New Roman"/>
                      <w:snapToGrid w:val="0"/>
                      <w:color w:val="000000"/>
                      <w:kern w:val="0"/>
                      <w:szCs w:val="21"/>
                    </w:rPr>
                  </w:pPr>
                </w:p>
              </w:tc>
              <w:tc>
                <w:tcPr>
                  <w:tcW w:w="667" w:type="dxa"/>
                  <w:tcBorders>
                    <w:top w:val="single" w:color="auto" w:sz="4" w:space="0"/>
                    <w:left w:val="single" w:color="auto" w:sz="4" w:space="0"/>
                    <w:bottom w:val="single" w:color="auto" w:sz="4" w:space="0"/>
                    <w:right w:val="single" w:color="auto" w:sz="4" w:space="0"/>
                  </w:tcBorders>
                  <w:vAlign w:val="center"/>
                </w:tcPr>
                <w:p w14:paraId="2D7FA3C8">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利旧</w:t>
                  </w:r>
                </w:p>
              </w:tc>
            </w:tr>
            <w:tr w14:paraId="78FEF0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continue"/>
                  <w:tcBorders>
                    <w:top w:val="single" w:color="auto" w:sz="4" w:space="0"/>
                    <w:left w:val="single" w:color="auto" w:sz="4" w:space="0"/>
                    <w:bottom w:val="single" w:color="auto" w:sz="4" w:space="0"/>
                    <w:right w:val="single" w:color="auto" w:sz="4" w:space="0"/>
                  </w:tcBorders>
                  <w:vAlign w:val="center"/>
                </w:tcPr>
                <w:p w14:paraId="5D02BDAA">
                  <w:pPr>
                    <w:widowControl/>
                    <w:jc w:val="left"/>
                    <w:rPr>
                      <w:rFonts w:ascii="Times New Roman" w:hAnsi="Times New Roman" w:eastAsia="宋体" w:cs="Times New Roman"/>
                      <w:snapToGrid w:val="0"/>
                      <w:color w:val="000000"/>
                      <w:kern w:val="0"/>
                      <w:szCs w:val="21"/>
                    </w:rPr>
                  </w:pPr>
                </w:p>
              </w:tc>
              <w:tc>
                <w:tcPr>
                  <w:tcW w:w="914" w:type="dxa"/>
                  <w:tcBorders>
                    <w:top w:val="single" w:color="auto" w:sz="4" w:space="0"/>
                    <w:left w:val="single" w:color="auto" w:sz="4" w:space="0"/>
                    <w:bottom w:val="single" w:color="auto" w:sz="4" w:space="0"/>
                    <w:right w:val="single" w:color="auto" w:sz="4" w:space="0"/>
                  </w:tcBorders>
                  <w:vAlign w:val="center"/>
                </w:tcPr>
                <w:p w14:paraId="00156407">
                  <w:pPr>
                    <w:adjustRightInd w:val="0"/>
                    <w:snapToGrid w:val="0"/>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场内</w:t>
                  </w:r>
                </w:p>
                <w:p w14:paraId="14DA4041">
                  <w:pPr>
                    <w:adjustRightInd w:val="0"/>
                    <w:snapToGrid w:val="0"/>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道路</w:t>
                  </w:r>
                </w:p>
              </w:tc>
              <w:tc>
                <w:tcPr>
                  <w:tcW w:w="3819" w:type="dxa"/>
                  <w:tcBorders>
                    <w:top w:val="single" w:color="auto" w:sz="4" w:space="0"/>
                    <w:left w:val="single" w:color="auto" w:sz="4" w:space="0"/>
                    <w:bottom w:val="single" w:color="auto" w:sz="4" w:space="0"/>
                    <w:right w:val="single" w:color="auto" w:sz="4" w:space="0"/>
                  </w:tcBorders>
                  <w:vAlign w:val="center"/>
                </w:tcPr>
                <w:p w14:paraId="5B746648">
                  <w:pPr>
                    <w:adjustRightInd w:val="0"/>
                    <w:snapToGrid w:val="0"/>
                    <w:rPr>
                      <w:rFonts w:ascii="Times New Roman" w:hAnsi="Times New Roman" w:eastAsia="宋体" w:cs="Times New Roman"/>
                      <w:color w:val="000000"/>
                      <w:szCs w:val="21"/>
                    </w:rPr>
                  </w:pPr>
                  <w:r>
                    <w:rPr>
                      <w:rFonts w:ascii="Times New Roman" w:hAnsi="Times New Roman" w:eastAsia="宋体" w:cs="Times New Roman"/>
                      <w:snapToGrid w:val="0"/>
                      <w:color w:val="000000"/>
                      <w:kern w:val="0"/>
                      <w:szCs w:val="21"/>
                    </w:rPr>
                    <w:t>混凝土硬化路面，总长度约200m。</w:t>
                  </w:r>
                </w:p>
              </w:tc>
              <w:tc>
                <w:tcPr>
                  <w:tcW w:w="1080" w:type="dxa"/>
                  <w:vMerge w:val="continue"/>
                  <w:tcBorders>
                    <w:top w:val="single" w:color="auto" w:sz="4" w:space="0"/>
                    <w:left w:val="single" w:color="auto" w:sz="4" w:space="0"/>
                    <w:bottom w:val="single" w:color="auto" w:sz="4" w:space="0"/>
                    <w:right w:val="single" w:color="auto" w:sz="4" w:space="0"/>
                  </w:tcBorders>
                  <w:vAlign w:val="center"/>
                </w:tcPr>
                <w:p w14:paraId="4AEFBABB">
                  <w:pPr>
                    <w:widowControl/>
                    <w:jc w:val="left"/>
                    <w:rPr>
                      <w:rFonts w:ascii="Times New Roman" w:hAnsi="Times New Roman" w:eastAsia="宋体" w:cs="Times New Roman"/>
                      <w:snapToGrid w:val="0"/>
                      <w:color w:val="000000"/>
                      <w:kern w:val="0"/>
                      <w:szCs w:val="21"/>
                    </w:rPr>
                  </w:pPr>
                </w:p>
              </w:tc>
              <w:tc>
                <w:tcPr>
                  <w:tcW w:w="964" w:type="dxa"/>
                  <w:vMerge w:val="continue"/>
                  <w:tcBorders>
                    <w:top w:val="single" w:color="auto" w:sz="4" w:space="0"/>
                    <w:left w:val="single" w:color="auto" w:sz="4" w:space="0"/>
                    <w:bottom w:val="single" w:color="auto" w:sz="4" w:space="0"/>
                    <w:right w:val="single" w:color="auto" w:sz="4" w:space="0"/>
                  </w:tcBorders>
                  <w:vAlign w:val="center"/>
                </w:tcPr>
                <w:p w14:paraId="2DDA9B81">
                  <w:pPr>
                    <w:widowControl/>
                    <w:jc w:val="left"/>
                    <w:rPr>
                      <w:rFonts w:ascii="Times New Roman" w:hAnsi="Times New Roman" w:eastAsia="宋体" w:cs="Times New Roman"/>
                      <w:snapToGrid w:val="0"/>
                      <w:color w:val="000000"/>
                      <w:kern w:val="0"/>
                      <w:szCs w:val="21"/>
                    </w:rPr>
                  </w:pPr>
                </w:p>
              </w:tc>
              <w:tc>
                <w:tcPr>
                  <w:tcW w:w="667" w:type="dxa"/>
                  <w:tcBorders>
                    <w:top w:val="single" w:color="auto" w:sz="4" w:space="0"/>
                    <w:left w:val="single" w:color="auto" w:sz="4" w:space="0"/>
                    <w:bottom w:val="single" w:color="auto" w:sz="4" w:space="0"/>
                    <w:right w:val="single" w:color="auto" w:sz="4" w:space="0"/>
                  </w:tcBorders>
                  <w:vAlign w:val="center"/>
                </w:tcPr>
                <w:p w14:paraId="19F40554">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利旧</w:t>
                  </w:r>
                </w:p>
              </w:tc>
            </w:tr>
            <w:tr w14:paraId="37B4F9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continue"/>
                  <w:tcBorders>
                    <w:top w:val="single" w:color="auto" w:sz="4" w:space="0"/>
                    <w:left w:val="single" w:color="auto" w:sz="4" w:space="0"/>
                    <w:bottom w:val="single" w:color="auto" w:sz="4" w:space="0"/>
                    <w:right w:val="single" w:color="auto" w:sz="4" w:space="0"/>
                  </w:tcBorders>
                  <w:vAlign w:val="center"/>
                </w:tcPr>
                <w:p w14:paraId="6418822B">
                  <w:pPr>
                    <w:widowControl/>
                    <w:jc w:val="left"/>
                    <w:rPr>
                      <w:rFonts w:ascii="Times New Roman" w:hAnsi="Times New Roman" w:eastAsia="宋体" w:cs="Times New Roman"/>
                      <w:snapToGrid w:val="0"/>
                      <w:color w:val="000000"/>
                      <w:kern w:val="0"/>
                      <w:szCs w:val="21"/>
                    </w:rPr>
                  </w:pPr>
                </w:p>
              </w:tc>
              <w:tc>
                <w:tcPr>
                  <w:tcW w:w="914" w:type="dxa"/>
                  <w:tcBorders>
                    <w:top w:val="single" w:color="auto" w:sz="4" w:space="0"/>
                    <w:left w:val="single" w:color="auto" w:sz="4" w:space="0"/>
                    <w:bottom w:val="single" w:color="auto" w:sz="4" w:space="0"/>
                    <w:right w:val="single" w:color="auto" w:sz="4" w:space="0"/>
                  </w:tcBorders>
                  <w:vAlign w:val="center"/>
                </w:tcPr>
                <w:p w14:paraId="05665DB8">
                  <w:pPr>
                    <w:adjustRightInd w:val="0"/>
                    <w:snapToGrid w:val="0"/>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真空泵循环水池</w:t>
                  </w:r>
                </w:p>
              </w:tc>
              <w:tc>
                <w:tcPr>
                  <w:tcW w:w="3819" w:type="dxa"/>
                  <w:tcBorders>
                    <w:top w:val="single" w:color="auto" w:sz="4" w:space="0"/>
                    <w:left w:val="single" w:color="auto" w:sz="4" w:space="0"/>
                    <w:bottom w:val="single" w:color="auto" w:sz="4" w:space="0"/>
                    <w:right w:val="single" w:color="auto" w:sz="4" w:space="0"/>
                  </w:tcBorders>
                  <w:vAlign w:val="center"/>
                </w:tcPr>
                <w:p w14:paraId="02FA8BEC">
                  <w:pPr>
                    <w:pStyle w:val="3"/>
                    <w:adjustRightInd w:val="0"/>
                    <w:snapToGrid w:val="0"/>
                    <w:spacing w:line="240" w:lineRule="auto"/>
                    <w:ind w:firstLine="0" w:firstLineChars="0"/>
                    <w:rPr>
                      <w:rFonts w:ascii="Times New Roman" w:eastAsia="宋体" w:cs="Times New Roman"/>
                      <w:color w:val="000000"/>
                      <w:sz w:val="21"/>
                      <w:szCs w:val="21"/>
                    </w:rPr>
                  </w:pPr>
                  <w:r>
                    <w:rPr>
                      <w:rFonts w:ascii="Times New Roman" w:eastAsia="宋体" w:cs="Times New Roman"/>
                      <w:snapToGrid w:val="0"/>
                      <w:color w:val="000000"/>
                      <w:kern w:val="0"/>
                      <w:sz w:val="21"/>
                      <w:szCs w:val="21"/>
                    </w:rPr>
                    <w:t>真空泵设有间接循环水箱一个，有效容积3.0m</w:t>
                  </w:r>
                  <w:r>
                    <w:rPr>
                      <w:rFonts w:ascii="Times New Roman" w:eastAsia="宋体" w:cs="Times New Roman"/>
                      <w:snapToGrid w:val="0"/>
                      <w:color w:val="000000"/>
                      <w:kern w:val="0"/>
                      <w:sz w:val="21"/>
                      <w:szCs w:val="21"/>
                      <w:vertAlign w:val="superscript"/>
                    </w:rPr>
                    <w:t>3</w:t>
                  </w:r>
                  <w:r>
                    <w:rPr>
                      <w:rFonts w:ascii="Times New Roman" w:eastAsia="宋体" w:cs="Times New Roman"/>
                      <w:snapToGrid w:val="0"/>
                      <w:color w:val="000000"/>
                      <w:kern w:val="0"/>
                      <w:sz w:val="21"/>
                      <w:szCs w:val="21"/>
                    </w:rPr>
                    <w:t>。</w:t>
                  </w:r>
                </w:p>
              </w:tc>
              <w:tc>
                <w:tcPr>
                  <w:tcW w:w="1080" w:type="dxa"/>
                  <w:vMerge w:val="continue"/>
                  <w:tcBorders>
                    <w:top w:val="single" w:color="auto" w:sz="4" w:space="0"/>
                    <w:left w:val="single" w:color="auto" w:sz="4" w:space="0"/>
                    <w:bottom w:val="single" w:color="auto" w:sz="4" w:space="0"/>
                    <w:right w:val="single" w:color="auto" w:sz="4" w:space="0"/>
                  </w:tcBorders>
                  <w:vAlign w:val="center"/>
                </w:tcPr>
                <w:p w14:paraId="627AF1D6">
                  <w:pPr>
                    <w:widowControl/>
                    <w:jc w:val="left"/>
                    <w:rPr>
                      <w:rFonts w:ascii="Times New Roman" w:hAnsi="Times New Roman" w:eastAsia="宋体" w:cs="Times New Roman"/>
                      <w:snapToGrid w:val="0"/>
                      <w:color w:val="000000"/>
                      <w:kern w:val="0"/>
                      <w:szCs w:val="21"/>
                    </w:rPr>
                  </w:pPr>
                </w:p>
              </w:tc>
              <w:tc>
                <w:tcPr>
                  <w:tcW w:w="964" w:type="dxa"/>
                  <w:vMerge w:val="continue"/>
                  <w:tcBorders>
                    <w:top w:val="single" w:color="auto" w:sz="4" w:space="0"/>
                    <w:left w:val="single" w:color="auto" w:sz="4" w:space="0"/>
                    <w:bottom w:val="single" w:color="auto" w:sz="4" w:space="0"/>
                    <w:right w:val="single" w:color="auto" w:sz="4" w:space="0"/>
                  </w:tcBorders>
                  <w:vAlign w:val="center"/>
                </w:tcPr>
                <w:p w14:paraId="7C9B5874">
                  <w:pPr>
                    <w:widowControl/>
                    <w:jc w:val="left"/>
                    <w:rPr>
                      <w:rFonts w:ascii="Times New Roman" w:hAnsi="Times New Roman" w:eastAsia="宋体" w:cs="Times New Roman"/>
                      <w:snapToGrid w:val="0"/>
                      <w:color w:val="000000"/>
                      <w:kern w:val="0"/>
                      <w:szCs w:val="21"/>
                    </w:rPr>
                  </w:pPr>
                </w:p>
              </w:tc>
              <w:tc>
                <w:tcPr>
                  <w:tcW w:w="667" w:type="dxa"/>
                  <w:tcBorders>
                    <w:top w:val="single" w:color="auto" w:sz="4" w:space="0"/>
                    <w:left w:val="single" w:color="auto" w:sz="4" w:space="0"/>
                    <w:bottom w:val="single" w:color="auto" w:sz="4" w:space="0"/>
                    <w:right w:val="single" w:color="auto" w:sz="4" w:space="0"/>
                  </w:tcBorders>
                  <w:vAlign w:val="center"/>
                </w:tcPr>
                <w:p w14:paraId="3E453B00">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利旧</w:t>
                  </w:r>
                </w:p>
              </w:tc>
            </w:tr>
            <w:tr w14:paraId="703CA0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continue"/>
                  <w:tcBorders>
                    <w:top w:val="single" w:color="auto" w:sz="4" w:space="0"/>
                    <w:left w:val="single" w:color="auto" w:sz="4" w:space="0"/>
                    <w:bottom w:val="single" w:color="auto" w:sz="4" w:space="0"/>
                    <w:right w:val="single" w:color="auto" w:sz="4" w:space="0"/>
                  </w:tcBorders>
                  <w:vAlign w:val="center"/>
                </w:tcPr>
                <w:p w14:paraId="1655DE45">
                  <w:pPr>
                    <w:widowControl/>
                    <w:jc w:val="left"/>
                    <w:rPr>
                      <w:rFonts w:ascii="Times New Roman" w:hAnsi="Times New Roman" w:eastAsia="宋体" w:cs="Times New Roman"/>
                      <w:snapToGrid w:val="0"/>
                      <w:color w:val="000000"/>
                      <w:kern w:val="0"/>
                      <w:szCs w:val="21"/>
                    </w:rPr>
                  </w:pPr>
                </w:p>
              </w:tc>
              <w:tc>
                <w:tcPr>
                  <w:tcW w:w="914" w:type="dxa"/>
                  <w:tcBorders>
                    <w:top w:val="single" w:color="auto" w:sz="4" w:space="0"/>
                    <w:left w:val="single" w:color="auto" w:sz="4" w:space="0"/>
                    <w:bottom w:val="single" w:color="auto" w:sz="4" w:space="0"/>
                    <w:right w:val="single" w:color="auto" w:sz="4" w:space="0"/>
                  </w:tcBorders>
                  <w:vAlign w:val="center"/>
                </w:tcPr>
                <w:p w14:paraId="0A4BC7D8">
                  <w:pPr>
                    <w:adjustRightInd w:val="0"/>
                    <w:snapToGrid w:val="0"/>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雨水池</w:t>
                  </w:r>
                </w:p>
              </w:tc>
              <w:tc>
                <w:tcPr>
                  <w:tcW w:w="3819" w:type="dxa"/>
                  <w:tcBorders>
                    <w:top w:val="single" w:color="auto" w:sz="4" w:space="0"/>
                    <w:left w:val="single" w:color="auto" w:sz="4" w:space="0"/>
                    <w:bottom w:val="single" w:color="auto" w:sz="4" w:space="0"/>
                    <w:right w:val="single" w:color="auto" w:sz="4" w:space="0"/>
                  </w:tcBorders>
                  <w:vAlign w:val="center"/>
                </w:tcPr>
                <w:p w14:paraId="209A646F">
                  <w:pPr>
                    <w:pStyle w:val="3"/>
                    <w:adjustRightInd w:val="0"/>
                    <w:snapToGrid w:val="0"/>
                    <w:spacing w:line="240" w:lineRule="auto"/>
                    <w:ind w:firstLine="0" w:firstLineChars="0"/>
                    <w:rPr>
                      <w:rFonts w:ascii="Times New Roman" w:eastAsia="宋体" w:cs="Times New Roman"/>
                      <w:color w:val="000000"/>
                      <w:sz w:val="21"/>
                      <w:szCs w:val="21"/>
                    </w:rPr>
                  </w:pPr>
                  <w:r>
                    <w:rPr>
                      <w:rFonts w:ascii="Times New Roman" w:eastAsia="宋体" w:cs="Times New Roman"/>
                      <w:color w:val="000000"/>
                      <w:sz w:val="21"/>
                      <w:szCs w:val="21"/>
                    </w:rPr>
                    <w:t>厂区东侧设置1个容积约260m</w:t>
                  </w:r>
                  <w:r>
                    <w:rPr>
                      <w:rFonts w:ascii="Times New Roman" w:eastAsia="宋体" w:cs="Times New Roman"/>
                      <w:color w:val="000000"/>
                      <w:sz w:val="21"/>
                      <w:szCs w:val="21"/>
                      <w:vertAlign w:val="superscript"/>
                    </w:rPr>
                    <w:t>3</w:t>
                  </w:r>
                  <w:r>
                    <w:rPr>
                      <w:rFonts w:ascii="Times New Roman" w:eastAsia="宋体" w:cs="Times New Roman"/>
                      <w:color w:val="000000"/>
                      <w:sz w:val="21"/>
                      <w:szCs w:val="21"/>
                    </w:rPr>
                    <w:t>的初期雨水池，收集雨水经沉淀后用于补给生产用水。</w:t>
                  </w:r>
                </w:p>
              </w:tc>
              <w:tc>
                <w:tcPr>
                  <w:tcW w:w="1080" w:type="dxa"/>
                  <w:vMerge w:val="continue"/>
                  <w:tcBorders>
                    <w:top w:val="single" w:color="auto" w:sz="4" w:space="0"/>
                    <w:left w:val="single" w:color="auto" w:sz="4" w:space="0"/>
                    <w:bottom w:val="single" w:color="auto" w:sz="4" w:space="0"/>
                    <w:right w:val="single" w:color="auto" w:sz="4" w:space="0"/>
                  </w:tcBorders>
                  <w:vAlign w:val="center"/>
                </w:tcPr>
                <w:p w14:paraId="0B129DD5">
                  <w:pPr>
                    <w:widowControl/>
                    <w:jc w:val="left"/>
                    <w:rPr>
                      <w:rFonts w:ascii="Times New Roman" w:hAnsi="Times New Roman" w:eastAsia="宋体" w:cs="Times New Roman"/>
                      <w:snapToGrid w:val="0"/>
                      <w:color w:val="000000"/>
                      <w:kern w:val="0"/>
                      <w:szCs w:val="21"/>
                    </w:rPr>
                  </w:pPr>
                </w:p>
              </w:tc>
              <w:tc>
                <w:tcPr>
                  <w:tcW w:w="964" w:type="dxa"/>
                  <w:vMerge w:val="continue"/>
                  <w:tcBorders>
                    <w:top w:val="single" w:color="auto" w:sz="4" w:space="0"/>
                    <w:left w:val="single" w:color="auto" w:sz="4" w:space="0"/>
                    <w:bottom w:val="single" w:color="auto" w:sz="4" w:space="0"/>
                    <w:right w:val="single" w:color="auto" w:sz="4" w:space="0"/>
                  </w:tcBorders>
                  <w:vAlign w:val="center"/>
                </w:tcPr>
                <w:p w14:paraId="650BBA61">
                  <w:pPr>
                    <w:widowControl/>
                    <w:jc w:val="left"/>
                    <w:rPr>
                      <w:rFonts w:ascii="Times New Roman" w:hAnsi="Times New Roman" w:eastAsia="宋体" w:cs="Times New Roman"/>
                      <w:snapToGrid w:val="0"/>
                      <w:color w:val="000000"/>
                      <w:kern w:val="0"/>
                      <w:szCs w:val="21"/>
                    </w:rPr>
                  </w:pPr>
                </w:p>
              </w:tc>
              <w:tc>
                <w:tcPr>
                  <w:tcW w:w="667" w:type="dxa"/>
                  <w:tcBorders>
                    <w:top w:val="single" w:color="auto" w:sz="4" w:space="0"/>
                    <w:left w:val="single" w:color="auto" w:sz="4" w:space="0"/>
                    <w:bottom w:val="single" w:color="auto" w:sz="4" w:space="0"/>
                    <w:right w:val="single" w:color="auto" w:sz="4" w:space="0"/>
                  </w:tcBorders>
                  <w:vAlign w:val="center"/>
                </w:tcPr>
                <w:p w14:paraId="62EC65D2">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新建</w:t>
                  </w:r>
                </w:p>
              </w:tc>
            </w:tr>
            <w:tr w14:paraId="061E42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restart"/>
                  <w:tcBorders>
                    <w:top w:val="single" w:color="auto" w:sz="4" w:space="0"/>
                    <w:left w:val="single" w:color="auto" w:sz="4" w:space="0"/>
                    <w:bottom w:val="single" w:color="auto" w:sz="4" w:space="0"/>
                    <w:right w:val="single" w:color="auto" w:sz="4" w:space="0"/>
                  </w:tcBorders>
                  <w:vAlign w:val="center"/>
                </w:tcPr>
                <w:p w14:paraId="70F57362">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办公及生活设施</w:t>
                  </w:r>
                </w:p>
              </w:tc>
              <w:tc>
                <w:tcPr>
                  <w:tcW w:w="914" w:type="dxa"/>
                  <w:tcBorders>
                    <w:top w:val="single" w:color="auto" w:sz="4" w:space="0"/>
                    <w:left w:val="single" w:color="auto" w:sz="4" w:space="0"/>
                    <w:bottom w:val="single" w:color="auto" w:sz="4" w:space="0"/>
                    <w:right w:val="single" w:color="auto" w:sz="4" w:space="0"/>
                  </w:tcBorders>
                  <w:vAlign w:val="center"/>
                </w:tcPr>
                <w:p w14:paraId="1A4BE9FC">
                  <w:pPr>
                    <w:adjustRightInd w:val="0"/>
                    <w:snapToGrid w:val="0"/>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倒班房</w:t>
                  </w:r>
                </w:p>
              </w:tc>
              <w:tc>
                <w:tcPr>
                  <w:tcW w:w="3819" w:type="dxa"/>
                  <w:tcBorders>
                    <w:top w:val="single" w:color="auto" w:sz="4" w:space="0"/>
                    <w:left w:val="single" w:color="auto" w:sz="4" w:space="0"/>
                    <w:bottom w:val="single" w:color="auto" w:sz="4" w:space="0"/>
                    <w:right w:val="single" w:color="auto" w:sz="4" w:space="0"/>
                  </w:tcBorders>
                  <w:vAlign w:val="center"/>
                </w:tcPr>
                <w:p w14:paraId="40414490">
                  <w:pPr>
                    <w:pStyle w:val="3"/>
                    <w:adjustRightInd w:val="0"/>
                    <w:snapToGrid w:val="0"/>
                    <w:spacing w:line="240" w:lineRule="auto"/>
                    <w:ind w:firstLine="0" w:firstLineChars="0"/>
                    <w:rPr>
                      <w:rFonts w:ascii="Times New Roman" w:eastAsia="宋体" w:cs="Times New Roman"/>
                      <w:color w:val="000000"/>
                      <w:sz w:val="21"/>
                      <w:szCs w:val="21"/>
                    </w:rPr>
                  </w:pPr>
                  <w:r>
                    <w:rPr>
                      <w:rFonts w:ascii="Times New Roman" w:eastAsia="宋体" w:cs="Times New Roman"/>
                      <w:snapToGrid w:val="0"/>
                      <w:color w:val="000000"/>
                      <w:kern w:val="0"/>
                      <w:sz w:val="21"/>
                      <w:szCs w:val="21"/>
                    </w:rPr>
                    <w:t>位于厂区南侧，3F，建筑面积1500m</w:t>
                  </w:r>
                  <w:r>
                    <w:rPr>
                      <w:rFonts w:ascii="Times New Roman" w:eastAsia="宋体" w:cs="Times New Roman"/>
                      <w:snapToGrid w:val="0"/>
                      <w:color w:val="000000"/>
                      <w:kern w:val="0"/>
                      <w:sz w:val="21"/>
                      <w:szCs w:val="21"/>
                      <w:vertAlign w:val="superscript"/>
                    </w:rPr>
                    <w:t>2</w:t>
                  </w:r>
                  <w:r>
                    <w:rPr>
                      <w:rFonts w:ascii="Times New Roman" w:eastAsia="宋体" w:cs="Times New Roman"/>
                      <w:snapToGrid w:val="0"/>
                      <w:color w:val="000000"/>
                      <w:kern w:val="0"/>
                      <w:sz w:val="21"/>
                      <w:szCs w:val="21"/>
                    </w:rPr>
                    <w:t>。</w:t>
                  </w:r>
                </w:p>
              </w:tc>
              <w:tc>
                <w:tcPr>
                  <w:tcW w:w="1080" w:type="dxa"/>
                  <w:vMerge w:val="restart"/>
                  <w:tcBorders>
                    <w:top w:val="single" w:color="auto" w:sz="4" w:space="0"/>
                    <w:left w:val="single" w:color="auto" w:sz="4" w:space="0"/>
                    <w:bottom w:val="single" w:color="auto" w:sz="4" w:space="0"/>
                    <w:right w:val="single" w:color="auto" w:sz="4" w:space="0"/>
                  </w:tcBorders>
                  <w:vAlign w:val="center"/>
                </w:tcPr>
                <w:p w14:paraId="46A9EA5D">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color w:val="000000"/>
                      <w:kern w:val="0"/>
                      <w:szCs w:val="21"/>
                    </w:rPr>
                    <w:t>/</w:t>
                  </w:r>
                </w:p>
              </w:tc>
              <w:tc>
                <w:tcPr>
                  <w:tcW w:w="964" w:type="dxa"/>
                  <w:tcBorders>
                    <w:top w:val="single" w:color="auto" w:sz="4" w:space="0"/>
                    <w:left w:val="single" w:color="auto" w:sz="4" w:space="0"/>
                    <w:bottom w:val="single" w:color="auto" w:sz="4" w:space="0"/>
                    <w:right w:val="single" w:color="auto" w:sz="4" w:space="0"/>
                  </w:tcBorders>
                  <w:vAlign w:val="center"/>
                </w:tcPr>
                <w:p w14:paraId="7BA3F9B6">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生活污水、生活垃圾</w:t>
                  </w:r>
                </w:p>
              </w:tc>
              <w:tc>
                <w:tcPr>
                  <w:tcW w:w="667" w:type="dxa"/>
                  <w:tcBorders>
                    <w:top w:val="single" w:color="auto" w:sz="4" w:space="0"/>
                    <w:left w:val="single" w:color="auto" w:sz="4" w:space="0"/>
                    <w:bottom w:val="single" w:color="auto" w:sz="4" w:space="0"/>
                    <w:right w:val="single" w:color="auto" w:sz="4" w:space="0"/>
                  </w:tcBorders>
                  <w:vAlign w:val="center"/>
                </w:tcPr>
                <w:p w14:paraId="4B2FC684">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利旧</w:t>
                  </w:r>
                </w:p>
              </w:tc>
            </w:tr>
            <w:tr w14:paraId="5FC290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continue"/>
                  <w:tcBorders>
                    <w:top w:val="single" w:color="auto" w:sz="4" w:space="0"/>
                    <w:left w:val="single" w:color="auto" w:sz="4" w:space="0"/>
                    <w:bottom w:val="single" w:color="auto" w:sz="4" w:space="0"/>
                    <w:right w:val="single" w:color="auto" w:sz="4" w:space="0"/>
                  </w:tcBorders>
                  <w:vAlign w:val="center"/>
                </w:tcPr>
                <w:p w14:paraId="05834C67">
                  <w:pPr>
                    <w:widowControl/>
                    <w:jc w:val="left"/>
                    <w:rPr>
                      <w:rFonts w:ascii="Times New Roman" w:hAnsi="Times New Roman" w:eastAsia="宋体" w:cs="Times New Roman"/>
                      <w:snapToGrid w:val="0"/>
                      <w:color w:val="000000"/>
                      <w:kern w:val="0"/>
                      <w:szCs w:val="21"/>
                    </w:rPr>
                  </w:pPr>
                </w:p>
              </w:tc>
              <w:tc>
                <w:tcPr>
                  <w:tcW w:w="914" w:type="dxa"/>
                  <w:tcBorders>
                    <w:top w:val="single" w:color="auto" w:sz="4" w:space="0"/>
                    <w:left w:val="single" w:color="auto" w:sz="4" w:space="0"/>
                    <w:bottom w:val="single" w:color="auto" w:sz="4" w:space="0"/>
                    <w:right w:val="single" w:color="auto" w:sz="4" w:space="0"/>
                  </w:tcBorders>
                  <w:vAlign w:val="center"/>
                </w:tcPr>
                <w:p w14:paraId="457C42D9">
                  <w:pPr>
                    <w:adjustRightInd w:val="0"/>
                    <w:snapToGrid w:val="0"/>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办公楼</w:t>
                  </w:r>
                </w:p>
              </w:tc>
              <w:tc>
                <w:tcPr>
                  <w:tcW w:w="3819" w:type="dxa"/>
                  <w:tcBorders>
                    <w:top w:val="single" w:color="auto" w:sz="4" w:space="0"/>
                    <w:left w:val="single" w:color="auto" w:sz="4" w:space="0"/>
                    <w:bottom w:val="single" w:color="auto" w:sz="4" w:space="0"/>
                    <w:right w:val="single" w:color="auto" w:sz="4" w:space="0"/>
                  </w:tcBorders>
                  <w:vAlign w:val="center"/>
                </w:tcPr>
                <w:p w14:paraId="1F296980">
                  <w:pPr>
                    <w:pStyle w:val="3"/>
                    <w:adjustRightInd w:val="0"/>
                    <w:snapToGrid w:val="0"/>
                    <w:spacing w:line="240" w:lineRule="auto"/>
                    <w:ind w:firstLine="0" w:firstLineChars="0"/>
                    <w:rPr>
                      <w:rFonts w:ascii="Times New Roman" w:eastAsia="宋体" w:cs="Times New Roman"/>
                      <w:color w:val="000000"/>
                      <w:sz w:val="21"/>
                      <w:szCs w:val="21"/>
                    </w:rPr>
                  </w:pPr>
                  <w:r>
                    <w:rPr>
                      <w:rFonts w:ascii="Times New Roman" w:eastAsia="宋体" w:cs="Times New Roman"/>
                      <w:snapToGrid w:val="0"/>
                      <w:color w:val="000000"/>
                      <w:kern w:val="0"/>
                      <w:sz w:val="21"/>
                      <w:szCs w:val="21"/>
                    </w:rPr>
                    <w:t>位于厂区西侧，1F，建筑面积850m</w:t>
                  </w:r>
                  <w:r>
                    <w:rPr>
                      <w:rFonts w:ascii="Times New Roman" w:eastAsia="宋体" w:cs="Times New Roman"/>
                      <w:snapToGrid w:val="0"/>
                      <w:color w:val="000000"/>
                      <w:kern w:val="0"/>
                      <w:sz w:val="21"/>
                      <w:szCs w:val="21"/>
                      <w:vertAlign w:val="superscript"/>
                    </w:rPr>
                    <w:t>2</w:t>
                  </w:r>
                  <w:r>
                    <w:rPr>
                      <w:rFonts w:ascii="Times New Roman" w:eastAsia="宋体" w:cs="Times New Roman"/>
                      <w:snapToGrid w:val="0"/>
                      <w:color w:val="000000"/>
                      <w:kern w:val="0"/>
                      <w:sz w:val="21"/>
                      <w:szCs w:val="21"/>
                    </w:rPr>
                    <w:t>。</w:t>
                  </w:r>
                </w:p>
              </w:tc>
              <w:tc>
                <w:tcPr>
                  <w:tcW w:w="1080" w:type="dxa"/>
                  <w:vMerge w:val="continue"/>
                  <w:tcBorders>
                    <w:top w:val="single" w:color="auto" w:sz="4" w:space="0"/>
                    <w:left w:val="single" w:color="auto" w:sz="4" w:space="0"/>
                    <w:bottom w:val="single" w:color="auto" w:sz="4" w:space="0"/>
                    <w:right w:val="single" w:color="auto" w:sz="4" w:space="0"/>
                  </w:tcBorders>
                  <w:vAlign w:val="center"/>
                </w:tcPr>
                <w:p w14:paraId="0634C133">
                  <w:pPr>
                    <w:widowControl/>
                    <w:jc w:val="left"/>
                    <w:rPr>
                      <w:rFonts w:ascii="Times New Roman" w:hAnsi="Times New Roman" w:eastAsia="宋体" w:cs="Times New Roman"/>
                      <w:snapToGrid w:val="0"/>
                      <w:color w:val="000000"/>
                      <w:kern w:val="0"/>
                      <w:szCs w:val="21"/>
                    </w:rPr>
                  </w:pPr>
                </w:p>
              </w:tc>
              <w:tc>
                <w:tcPr>
                  <w:tcW w:w="964" w:type="dxa"/>
                  <w:tcBorders>
                    <w:top w:val="single" w:color="auto" w:sz="4" w:space="0"/>
                    <w:left w:val="single" w:color="auto" w:sz="4" w:space="0"/>
                    <w:bottom w:val="single" w:color="auto" w:sz="4" w:space="0"/>
                    <w:right w:val="single" w:color="auto" w:sz="4" w:space="0"/>
                  </w:tcBorders>
                  <w:vAlign w:val="center"/>
                </w:tcPr>
                <w:p w14:paraId="11F3DD25">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食堂油烟</w:t>
                  </w:r>
                </w:p>
              </w:tc>
              <w:tc>
                <w:tcPr>
                  <w:tcW w:w="667" w:type="dxa"/>
                  <w:tcBorders>
                    <w:top w:val="single" w:color="auto" w:sz="4" w:space="0"/>
                    <w:left w:val="single" w:color="auto" w:sz="4" w:space="0"/>
                    <w:bottom w:val="single" w:color="auto" w:sz="4" w:space="0"/>
                    <w:right w:val="single" w:color="auto" w:sz="4" w:space="0"/>
                  </w:tcBorders>
                  <w:vAlign w:val="center"/>
                </w:tcPr>
                <w:p w14:paraId="6CFBE2A2">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利旧</w:t>
                  </w:r>
                </w:p>
              </w:tc>
            </w:tr>
            <w:tr w14:paraId="3F4615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restart"/>
                  <w:tcBorders>
                    <w:top w:val="single" w:color="auto" w:sz="4" w:space="0"/>
                    <w:left w:val="single" w:color="auto" w:sz="4" w:space="0"/>
                    <w:bottom w:val="single" w:color="auto" w:sz="4" w:space="0"/>
                    <w:right w:val="single" w:color="auto" w:sz="4" w:space="0"/>
                  </w:tcBorders>
                  <w:vAlign w:val="center"/>
                </w:tcPr>
                <w:p w14:paraId="38242731">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公用</w:t>
                  </w:r>
                </w:p>
                <w:p w14:paraId="7946CEB5">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工程</w:t>
                  </w:r>
                </w:p>
              </w:tc>
              <w:tc>
                <w:tcPr>
                  <w:tcW w:w="914" w:type="dxa"/>
                  <w:tcBorders>
                    <w:top w:val="single" w:color="auto" w:sz="4" w:space="0"/>
                    <w:left w:val="single" w:color="auto" w:sz="4" w:space="0"/>
                    <w:bottom w:val="single" w:color="auto" w:sz="4" w:space="0"/>
                    <w:right w:val="single" w:color="auto" w:sz="4" w:space="0"/>
                  </w:tcBorders>
                  <w:vAlign w:val="center"/>
                </w:tcPr>
                <w:p w14:paraId="1A41E31A">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供电</w:t>
                  </w:r>
                </w:p>
              </w:tc>
              <w:tc>
                <w:tcPr>
                  <w:tcW w:w="3819" w:type="dxa"/>
                  <w:tcBorders>
                    <w:top w:val="single" w:color="auto" w:sz="4" w:space="0"/>
                    <w:left w:val="single" w:color="auto" w:sz="4" w:space="0"/>
                    <w:bottom w:val="single" w:color="auto" w:sz="4" w:space="0"/>
                    <w:right w:val="single" w:color="auto" w:sz="4" w:space="0"/>
                  </w:tcBorders>
                  <w:vAlign w:val="center"/>
                </w:tcPr>
                <w:p w14:paraId="3469B94D">
                  <w:pPr>
                    <w:pStyle w:val="3"/>
                    <w:adjustRightInd w:val="0"/>
                    <w:snapToGrid w:val="0"/>
                    <w:spacing w:line="240" w:lineRule="auto"/>
                    <w:ind w:firstLine="0" w:firstLineChars="0"/>
                    <w:rPr>
                      <w:rFonts w:ascii="Times New Roman" w:eastAsia="宋体" w:cs="Times New Roman"/>
                      <w:color w:val="000000"/>
                      <w:sz w:val="21"/>
                      <w:szCs w:val="21"/>
                    </w:rPr>
                  </w:pPr>
                  <w:r>
                    <w:rPr>
                      <w:rFonts w:ascii="Times New Roman" w:eastAsia="宋体" w:cs="Times New Roman"/>
                      <w:snapToGrid w:val="0"/>
                      <w:color w:val="000000"/>
                      <w:kern w:val="0"/>
                      <w:sz w:val="21"/>
                      <w:szCs w:val="21"/>
                    </w:rPr>
                    <w:t>由横山镇供电网引入，依托原有变配电房，增加变压器容量为800KVA。</w:t>
                  </w:r>
                </w:p>
              </w:tc>
              <w:tc>
                <w:tcPr>
                  <w:tcW w:w="1080" w:type="dxa"/>
                  <w:vMerge w:val="restart"/>
                  <w:tcBorders>
                    <w:top w:val="single" w:color="auto" w:sz="4" w:space="0"/>
                    <w:left w:val="single" w:color="auto" w:sz="4" w:space="0"/>
                    <w:bottom w:val="single" w:color="auto" w:sz="4" w:space="0"/>
                    <w:right w:val="single" w:color="auto" w:sz="4" w:space="0"/>
                  </w:tcBorders>
                  <w:vAlign w:val="center"/>
                </w:tcPr>
                <w:p w14:paraId="61140DDB">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color w:val="000000"/>
                      <w:kern w:val="0"/>
                      <w:szCs w:val="21"/>
                    </w:rPr>
                    <w:t>/</w:t>
                  </w:r>
                </w:p>
              </w:tc>
              <w:tc>
                <w:tcPr>
                  <w:tcW w:w="964" w:type="dxa"/>
                  <w:vMerge w:val="restart"/>
                  <w:tcBorders>
                    <w:top w:val="single" w:color="auto" w:sz="4" w:space="0"/>
                    <w:left w:val="single" w:color="auto" w:sz="4" w:space="0"/>
                    <w:bottom w:val="single" w:color="auto" w:sz="4" w:space="0"/>
                    <w:right w:val="single" w:color="auto" w:sz="4" w:space="0"/>
                  </w:tcBorders>
                  <w:vAlign w:val="center"/>
                </w:tcPr>
                <w:p w14:paraId="48E53DB0">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w:t>
                  </w:r>
                </w:p>
              </w:tc>
              <w:tc>
                <w:tcPr>
                  <w:tcW w:w="667" w:type="dxa"/>
                  <w:tcBorders>
                    <w:top w:val="single" w:color="auto" w:sz="4" w:space="0"/>
                    <w:left w:val="single" w:color="auto" w:sz="4" w:space="0"/>
                    <w:bottom w:val="single" w:color="auto" w:sz="4" w:space="0"/>
                    <w:right w:val="single" w:color="auto" w:sz="4" w:space="0"/>
                  </w:tcBorders>
                  <w:vAlign w:val="center"/>
                </w:tcPr>
                <w:p w14:paraId="38FC3070">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利旧</w:t>
                  </w:r>
                </w:p>
              </w:tc>
            </w:tr>
            <w:tr w14:paraId="4DBDA5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continue"/>
                  <w:tcBorders>
                    <w:top w:val="single" w:color="auto" w:sz="4" w:space="0"/>
                    <w:left w:val="single" w:color="auto" w:sz="4" w:space="0"/>
                    <w:bottom w:val="single" w:color="auto" w:sz="4" w:space="0"/>
                    <w:right w:val="single" w:color="auto" w:sz="4" w:space="0"/>
                  </w:tcBorders>
                  <w:vAlign w:val="center"/>
                </w:tcPr>
                <w:p w14:paraId="5E1F1E3D">
                  <w:pPr>
                    <w:widowControl/>
                    <w:jc w:val="left"/>
                    <w:rPr>
                      <w:rFonts w:ascii="Times New Roman" w:hAnsi="Times New Roman" w:eastAsia="宋体" w:cs="Times New Roman"/>
                      <w:snapToGrid w:val="0"/>
                      <w:color w:val="000000"/>
                      <w:kern w:val="0"/>
                      <w:szCs w:val="21"/>
                    </w:rPr>
                  </w:pPr>
                </w:p>
              </w:tc>
              <w:tc>
                <w:tcPr>
                  <w:tcW w:w="914" w:type="dxa"/>
                  <w:tcBorders>
                    <w:top w:val="single" w:color="auto" w:sz="4" w:space="0"/>
                    <w:left w:val="single" w:color="auto" w:sz="4" w:space="0"/>
                    <w:bottom w:val="single" w:color="auto" w:sz="4" w:space="0"/>
                    <w:right w:val="single" w:color="auto" w:sz="4" w:space="0"/>
                  </w:tcBorders>
                  <w:vAlign w:val="center"/>
                </w:tcPr>
                <w:p w14:paraId="5C671695">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供水</w:t>
                  </w:r>
                </w:p>
              </w:tc>
              <w:tc>
                <w:tcPr>
                  <w:tcW w:w="3819" w:type="dxa"/>
                  <w:tcBorders>
                    <w:top w:val="single" w:color="auto" w:sz="4" w:space="0"/>
                    <w:left w:val="single" w:color="auto" w:sz="4" w:space="0"/>
                    <w:bottom w:val="single" w:color="auto" w:sz="4" w:space="0"/>
                    <w:right w:val="single" w:color="auto" w:sz="4" w:space="0"/>
                  </w:tcBorders>
                  <w:vAlign w:val="center"/>
                </w:tcPr>
                <w:p w14:paraId="761C0377">
                  <w:pPr>
                    <w:pStyle w:val="3"/>
                    <w:adjustRightInd w:val="0"/>
                    <w:snapToGrid w:val="0"/>
                    <w:spacing w:line="240" w:lineRule="auto"/>
                    <w:ind w:firstLine="0" w:firstLineChars="0"/>
                    <w:jc w:val="left"/>
                    <w:rPr>
                      <w:rFonts w:ascii="Times New Roman" w:eastAsia="宋体" w:cs="Times New Roman"/>
                      <w:color w:val="000000"/>
                      <w:sz w:val="21"/>
                      <w:szCs w:val="21"/>
                    </w:rPr>
                  </w:pPr>
                  <w:r>
                    <w:rPr>
                      <w:rFonts w:ascii="Times New Roman" w:eastAsia="宋体" w:cs="Times New Roman"/>
                      <w:snapToGrid w:val="0"/>
                      <w:color w:val="000000"/>
                      <w:kern w:val="0"/>
                      <w:sz w:val="21"/>
                      <w:szCs w:val="21"/>
                    </w:rPr>
                    <w:t>用水为地下水，设有机井一个，位于厂区西侧，生产区新增蓄水罐一个，有效容积40m</w:t>
                  </w:r>
                  <w:r>
                    <w:rPr>
                      <w:rFonts w:ascii="Times New Roman" w:eastAsia="宋体" w:cs="Times New Roman"/>
                      <w:snapToGrid w:val="0"/>
                      <w:color w:val="000000"/>
                      <w:kern w:val="0"/>
                      <w:sz w:val="21"/>
                      <w:szCs w:val="21"/>
                      <w:vertAlign w:val="superscript"/>
                    </w:rPr>
                    <w:t>3</w:t>
                  </w:r>
                  <w:r>
                    <w:rPr>
                      <w:rFonts w:ascii="Times New Roman" w:eastAsia="宋体" w:cs="Times New Roman"/>
                      <w:snapToGrid w:val="0"/>
                      <w:color w:val="000000"/>
                      <w:kern w:val="0"/>
                      <w:sz w:val="21"/>
                      <w:szCs w:val="21"/>
                    </w:rPr>
                    <w:t>；生活区水池利旧，有效容积2.0m</w:t>
                  </w:r>
                  <w:r>
                    <w:rPr>
                      <w:rFonts w:ascii="Times New Roman" w:eastAsia="宋体" w:cs="Times New Roman"/>
                      <w:snapToGrid w:val="0"/>
                      <w:color w:val="000000"/>
                      <w:kern w:val="0"/>
                      <w:sz w:val="21"/>
                      <w:szCs w:val="21"/>
                      <w:vertAlign w:val="superscript"/>
                    </w:rPr>
                    <w:t>3</w:t>
                  </w:r>
                  <w:r>
                    <w:rPr>
                      <w:rFonts w:ascii="Times New Roman" w:eastAsia="宋体" w:cs="Times New Roman"/>
                      <w:snapToGrid w:val="0"/>
                      <w:color w:val="000000"/>
                      <w:kern w:val="0"/>
                      <w:sz w:val="21"/>
                      <w:szCs w:val="21"/>
                    </w:rPr>
                    <w:t>。</w:t>
                  </w:r>
                </w:p>
              </w:tc>
              <w:tc>
                <w:tcPr>
                  <w:tcW w:w="1080" w:type="dxa"/>
                  <w:vMerge w:val="continue"/>
                  <w:tcBorders>
                    <w:top w:val="single" w:color="auto" w:sz="4" w:space="0"/>
                    <w:left w:val="single" w:color="auto" w:sz="4" w:space="0"/>
                    <w:bottom w:val="single" w:color="auto" w:sz="4" w:space="0"/>
                    <w:right w:val="single" w:color="auto" w:sz="4" w:space="0"/>
                  </w:tcBorders>
                  <w:vAlign w:val="center"/>
                </w:tcPr>
                <w:p w14:paraId="351A4812">
                  <w:pPr>
                    <w:widowControl/>
                    <w:jc w:val="left"/>
                    <w:rPr>
                      <w:rFonts w:ascii="Times New Roman" w:hAnsi="Times New Roman" w:eastAsia="宋体" w:cs="Times New Roman"/>
                      <w:snapToGrid w:val="0"/>
                      <w:color w:val="000000"/>
                      <w:kern w:val="0"/>
                      <w:szCs w:val="21"/>
                    </w:rPr>
                  </w:pPr>
                </w:p>
              </w:tc>
              <w:tc>
                <w:tcPr>
                  <w:tcW w:w="964" w:type="dxa"/>
                  <w:vMerge w:val="continue"/>
                  <w:tcBorders>
                    <w:top w:val="single" w:color="auto" w:sz="4" w:space="0"/>
                    <w:left w:val="single" w:color="auto" w:sz="4" w:space="0"/>
                    <w:bottom w:val="single" w:color="auto" w:sz="4" w:space="0"/>
                    <w:right w:val="single" w:color="auto" w:sz="4" w:space="0"/>
                  </w:tcBorders>
                  <w:vAlign w:val="center"/>
                </w:tcPr>
                <w:p w14:paraId="718FE151">
                  <w:pPr>
                    <w:widowControl/>
                    <w:jc w:val="left"/>
                    <w:rPr>
                      <w:rFonts w:ascii="Times New Roman" w:hAnsi="Times New Roman" w:eastAsia="宋体" w:cs="Times New Roman"/>
                      <w:snapToGrid w:val="0"/>
                      <w:color w:val="000000"/>
                      <w:kern w:val="0"/>
                      <w:szCs w:val="21"/>
                    </w:rPr>
                  </w:pPr>
                </w:p>
              </w:tc>
              <w:tc>
                <w:tcPr>
                  <w:tcW w:w="667" w:type="dxa"/>
                  <w:tcBorders>
                    <w:top w:val="single" w:color="auto" w:sz="4" w:space="0"/>
                    <w:left w:val="single" w:color="auto" w:sz="4" w:space="0"/>
                    <w:bottom w:val="single" w:color="auto" w:sz="4" w:space="0"/>
                    <w:right w:val="single" w:color="auto" w:sz="4" w:space="0"/>
                  </w:tcBorders>
                  <w:vAlign w:val="center"/>
                </w:tcPr>
                <w:p w14:paraId="613C2723">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利旧</w:t>
                  </w:r>
                </w:p>
              </w:tc>
            </w:tr>
            <w:tr w14:paraId="0AC7BA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continue"/>
                  <w:tcBorders>
                    <w:top w:val="single" w:color="auto" w:sz="4" w:space="0"/>
                    <w:left w:val="single" w:color="auto" w:sz="4" w:space="0"/>
                    <w:bottom w:val="single" w:color="auto" w:sz="4" w:space="0"/>
                    <w:right w:val="single" w:color="auto" w:sz="4" w:space="0"/>
                  </w:tcBorders>
                  <w:vAlign w:val="center"/>
                </w:tcPr>
                <w:p w14:paraId="159DCB45">
                  <w:pPr>
                    <w:widowControl/>
                    <w:jc w:val="left"/>
                    <w:rPr>
                      <w:rFonts w:ascii="Times New Roman" w:hAnsi="Times New Roman" w:eastAsia="宋体" w:cs="Times New Roman"/>
                      <w:snapToGrid w:val="0"/>
                      <w:color w:val="000000"/>
                      <w:kern w:val="0"/>
                      <w:szCs w:val="21"/>
                    </w:rPr>
                  </w:pPr>
                </w:p>
              </w:tc>
              <w:tc>
                <w:tcPr>
                  <w:tcW w:w="914" w:type="dxa"/>
                  <w:tcBorders>
                    <w:top w:val="single" w:color="auto" w:sz="4" w:space="0"/>
                    <w:left w:val="single" w:color="auto" w:sz="4" w:space="0"/>
                    <w:bottom w:val="single" w:color="auto" w:sz="4" w:space="0"/>
                    <w:right w:val="single" w:color="auto" w:sz="4" w:space="0"/>
                  </w:tcBorders>
                  <w:vAlign w:val="center"/>
                </w:tcPr>
                <w:p w14:paraId="3B8E3F05">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排水</w:t>
                  </w:r>
                </w:p>
              </w:tc>
              <w:tc>
                <w:tcPr>
                  <w:tcW w:w="3819" w:type="dxa"/>
                  <w:tcBorders>
                    <w:top w:val="single" w:color="auto" w:sz="4" w:space="0"/>
                    <w:left w:val="single" w:color="auto" w:sz="4" w:space="0"/>
                    <w:bottom w:val="single" w:color="auto" w:sz="4" w:space="0"/>
                    <w:right w:val="single" w:color="auto" w:sz="4" w:space="0"/>
                  </w:tcBorders>
                  <w:vAlign w:val="center"/>
                </w:tcPr>
                <w:p w14:paraId="360A6320">
                  <w:pPr>
                    <w:pStyle w:val="3"/>
                    <w:adjustRightInd w:val="0"/>
                    <w:snapToGrid w:val="0"/>
                    <w:spacing w:line="240" w:lineRule="auto"/>
                    <w:ind w:firstLine="0" w:firstLineChars="0"/>
                    <w:jc w:val="left"/>
                    <w:rPr>
                      <w:rFonts w:ascii="Times New Roman" w:eastAsia="宋体" w:cs="Times New Roman"/>
                      <w:color w:val="000000"/>
                      <w:sz w:val="21"/>
                      <w:szCs w:val="21"/>
                    </w:rPr>
                  </w:pPr>
                  <w:r>
                    <w:rPr>
                      <w:rFonts w:ascii="Times New Roman" w:eastAsia="宋体" w:cs="Times New Roman"/>
                      <w:snapToGrid w:val="0"/>
                      <w:color w:val="000000"/>
                      <w:kern w:val="0"/>
                      <w:sz w:val="21"/>
                      <w:szCs w:val="21"/>
                    </w:rPr>
                    <w:t>无生产废水产生；生活污水依托已建预处理池一个，容积为5m</w:t>
                  </w:r>
                  <w:r>
                    <w:rPr>
                      <w:rFonts w:ascii="Times New Roman" w:eastAsia="宋体" w:cs="Times New Roman"/>
                      <w:snapToGrid w:val="0"/>
                      <w:color w:val="000000"/>
                      <w:kern w:val="0"/>
                      <w:sz w:val="21"/>
                      <w:szCs w:val="21"/>
                      <w:vertAlign w:val="superscript"/>
                    </w:rPr>
                    <w:t>3</w:t>
                  </w:r>
                  <w:r>
                    <w:rPr>
                      <w:rFonts w:ascii="Times New Roman" w:eastAsia="宋体" w:cs="Times New Roman"/>
                      <w:snapToGrid w:val="0"/>
                      <w:color w:val="000000"/>
                      <w:kern w:val="0"/>
                      <w:sz w:val="21"/>
                      <w:szCs w:val="21"/>
                    </w:rPr>
                    <w:t>。</w:t>
                  </w:r>
                </w:p>
              </w:tc>
              <w:tc>
                <w:tcPr>
                  <w:tcW w:w="1080" w:type="dxa"/>
                  <w:vMerge w:val="continue"/>
                  <w:tcBorders>
                    <w:top w:val="single" w:color="auto" w:sz="4" w:space="0"/>
                    <w:left w:val="single" w:color="auto" w:sz="4" w:space="0"/>
                    <w:bottom w:val="single" w:color="auto" w:sz="4" w:space="0"/>
                    <w:right w:val="single" w:color="auto" w:sz="4" w:space="0"/>
                  </w:tcBorders>
                  <w:vAlign w:val="center"/>
                </w:tcPr>
                <w:p w14:paraId="7A7842CC">
                  <w:pPr>
                    <w:widowControl/>
                    <w:jc w:val="left"/>
                    <w:rPr>
                      <w:rFonts w:ascii="Times New Roman" w:hAnsi="Times New Roman" w:eastAsia="宋体" w:cs="Times New Roman"/>
                      <w:snapToGrid w:val="0"/>
                      <w:color w:val="000000"/>
                      <w:kern w:val="0"/>
                      <w:szCs w:val="21"/>
                    </w:rPr>
                  </w:pPr>
                </w:p>
              </w:tc>
              <w:tc>
                <w:tcPr>
                  <w:tcW w:w="964" w:type="dxa"/>
                  <w:vMerge w:val="continue"/>
                  <w:tcBorders>
                    <w:top w:val="single" w:color="auto" w:sz="4" w:space="0"/>
                    <w:left w:val="single" w:color="auto" w:sz="4" w:space="0"/>
                    <w:bottom w:val="single" w:color="auto" w:sz="4" w:space="0"/>
                    <w:right w:val="single" w:color="auto" w:sz="4" w:space="0"/>
                  </w:tcBorders>
                  <w:vAlign w:val="center"/>
                </w:tcPr>
                <w:p w14:paraId="70CE06E3">
                  <w:pPr>
                    <w:widowControl/>
                    <w:jc w:val="left"/>
                    <w:rPr>
                      <w:rFonts w:ascii="Times New Roman" w:hAnsi="Times New Roman" w:eastAsia="宋体" w:cs="Times New Roman"/>
                      <w:snapToGrid w:val="0"/>
                      <w:color w:val="000000"/>
                      <w:kern w:val="0"/>
                      <w:szCs w:val="21"/>
                    </w:rPr>
                  </w:pPr>
                </w:p>
              </w:tc>
              <w:tc>
                <w:tcPr>
                  <w:tcW w:w="667" w:type="dxa"/>
                  <w:tcBorders>
                    <w:top w:val="single" w:color="auto" w:sz="4" w:space="0"/>
                    <w:left w:val="single" w:color="auto" w:sz="4" w:space="0"/>
                    <w:bottom w:val="single" w:color="auto" w:sz="4" w:space="0"/>
                    <w:right w:val="single" w:color="auto" w:sz="4" w:space="0"/>
                  </w:tcBorders>
                  <w:vAlign w:val="center"/>
                </w:tcPr>
                <w:p w14:paraId="708AAF10">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利旧</w:t>
                  </w:r>
                </w:p>
              </w:tc>
            </w:tr>
            <w:tr w14:paraId="142BAA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restart"/>
                  <w:tcBorders>
                    <w:top w:val="single" w:color="auto" w:sz="4" w:space="0"/>
                    <w:left w:val="single" w:color="auto" w:sz="4" w:space="0"/>
                    <w:bottom w:val="single" w:color="auto" w:sz="4" w:space="0"/>
                    <w:right w:val="single" w:color="auto" w:sz="4" w:space="0"/>
                  </w:tcBorders>
                  <w:vAlign w:val="center"/>
                </w:tcPr>
                <w:p w14:paraId="73E03A33">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储运</w:t>
                  </w:r>
                </w:p>
                <w:p w14:paraId="46DA35D0">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设施</w:t>
                  </w:r>
                </w:p>
              </w:tc>
              <w:tc>
                <w:tcPr>
                  <w:tcW w:w="914" w:type="dxa"/>
                  <w:tcBorders>
                    <w:top w:val="single" w:color="auto" w:sz="4" w:space="0"/>
                    <w:left w:val="single" w:color="auto" w:sz="4" w:space="0"/>
                    <w:bottom w:val="single" w:color="auto" w:sz="4" w:space="0"/>
                    <w:right w:val="single" w:color="auto" w:sz="4" w:space="0"/>
                  </w:tcBorders>
                  <w:vAlign w:val="center"/>
                </w:tcPr>
                <w:p w14:paraId="0E01C601">
                  <w:pPr>
                    <w:adjustRightInd w:val="0"/>
                    <w:snapToGrid w:val="0"/>
                    <w:jc w:val="center"/>
                    <w:rPr>
                      <w:rFonts w:ascii="Times New Roman" w:hAnsi="Times New Roman" w:eastAsia="宋体" w:cs="Times New Roman"/>
                      <w:color w:val="000000"/>
                      <w:szCs w:val="21"/>
                    </w:rPr>
                  </w:pPr>
                  <w:r>
                    <w:rPr>
                      <w:rFonts w:ascii="Times New Roman" w:hAnsi="Times New Roman" w:eastAsia="宋体" w:cs="Times New Roman"/>
                      <w:snapToGrid w:val="0"/>
                      <w:color w:val="000000"/>
                      <w:kern w:val="0"/>
                      <w:szCs w:val="21"/>
                    </w:rPr>
                    <w:t>原料堆场</w:t>
                  </w:r>
                </w:p>
              </w:tc>
              <w:tc>
                <w:tcPr>
                  <w:tcW w:w="3819" w:type="dxa"/>
                  <w:tcBorders>
                    <w:top w:val="single" w:color="auto" w:sz="4" w:space="0"/>
                    <w:left w:val="single" w:color="auto" w:sz="4" w:space="0"/>
                    <w:bottom w:val="single" w:color="auto" w:sz="4" w:space="0"/>
                    <w:right w:val="single" w:color="auto" w:sz="4" w:space="0"/>
                  </w:tcBorders>
                  <w:vAlign w:val="center"/>
                </w:tcPr>
                <w:p w14:paraId="530A44AF">
                  <w:pPr>
                    <w:adjustRightInd w:val="0"/>
                    <w:snapToGrid w:val="0"/>
                    <w:rPr>
                      <w:rFonts w:ascii="Times New Roman" w:hAnsi="Times New Roman" w:eastAsia="宋体" w:cs="Times New Roman"/>
                      <w:color w:val="000000"/>
                      <w:szCs w:val="21"/>
                    </w:rPr>
                  </w:pPr>
                  <w:r>
                    <w:rPr>
                      <w:rFonts w:ascii="Times New Roman" w:hAnsi="Times New Roman" w:eastAsia="宋体" w:cs="Times New Roman"/>
                      <w:snapToGrid w:val="0"/>
                      <w:color w:val="000000"/>
                      <w:kern w:val="0"/>
                      <w:szCs w:val="21"/>
                    </w:rPr>
                    <w:t>钢结构厂棚，占地面积约300m</w:t>
                  </w:r>
                  <w:r>
                    <w:rPr>
                      <w:rFonts w:ascii="Times New Roman" w:hAnsi="Times New Roman" w:eastAsia="宋体" w:cs="Times New Roman"/>
                      <w:snapToGrid w:val="0"/>
                      <w:color w:val="000000"/>
                      <w:kern w:val="0"/>
                      <w:szCs w:val="21"/>
                      <w:vertAlign w:val="superscript"/>
                    </w:rPr>
                    <w:t>2</w:t>
                  </w:r>
                  <w:r>
                    <w:rPr>
                      <w:rFonts w:ascii="Times New Roman" w:hAnsi="Times New Roman" w:eastAsia="宋体" w:cs="Times New Roman"/>
                      <w:snapToGrid w:val="0"/>
                      <w:color w:val="000000"/>
                      <w:kern w:val="0"/>
                      <w:szCs w:val="21"/>
                    </w:rPr>
                    <w:t>，作为原料页岩和堆煤场。</w:t>
                  </w:r>
                </w:p>
              </w:tc>
              <w:tc>
                <w:tcPr>
                  <w:tcW w:w="1080" w:type="dxa"/>
                  <w:tcBorders>
                    <w:top w:val="single" w:color="auto" w:sz="4" w:space="0"/>
                    <w:left w:val="single" w:color="auto" w:sz="4" w:space="0"/>
                    <w:bottom w:val="single" w:color="auto" w:sz="4" w:space="0"/>
                    <w:right w:val="single" w:color="auto" w:sz="4" w:space="0"/>
                  </w:tcBorders>
                  <w:vAlign w:val="center"/>
                </w:tcPr>
                <w:p w14:paraId="380D2B17">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w:t>
                  </w:r>
                </w:p>
              </w:tc>
              <w:tc>
                <w:tcPr>
                  <w:tcW w:w="964" w:type="dxa"/>
                  <w:tcBorders>
                    <w:top w:val="single" w:color="auto" w:sz="4" w:space="0"/>
                    <w:left w:val="single" w:color="auto" w:sz="4" w:space="0"/>
                    <w:bottom w:val="single" w:color="auto" w:sz="4" w:space="0"/>
                    <w:right w:val="single" w:color="auto" w:sz="4" w:space="0"/>
                  </w:tcBorders>
                  <w:vAlign w:val="center"/>
                </w:tcPr>
                <w:p w14:paraId="71E9AF73">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粉尘</w:t>
                  </w:r>
                </w:p>
              </w:tc>
              <w:tc>
                <w:tcPr>
                  <w:tcW w:w="667" w:type="dxa"/>
                  <w:tcBorders>
                    <w:top w:val="single" w:color="auto" w:sz="4" w:space="0"/>
                    <w:left w:val="single" w:color="auto" w:sz="4" w:space="0"/>
                    <w:bottom w:val="single" w:color="auto" w:sz="4" w:space="0"/>
                    <w:right w:val="single" w:color="auto" w:sz="4" w:space="0"/>
                  </w:tcBorders>
                  <w:vAlign w:val="center"/>
                </w:tcPr>
                <w:p w14:paraId="242432DC">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利旧</w:t>
                  </w:r>
                </w:p>
              </w:tc>
            </w:tr>
            <w:tr w14:paraId="094782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continue"/>
                  <w:tcBorders>
                    <w:top w:val="single" w:color="auto" w:sz="4" w:space="0"/>
                    <w:left w:val="single" w:color="auto" w:sz="4" w:space="0"/>
                    <w:bottom w:val="single" w:color="auto" w:sz="4" w:space="0"/>
                    <w:right w:val="single" w:color="auto" w:sz="4" w:space="0"/>
                  </w:tcBorders>
                  <w:vAlign w:val="center"/>
                </w:tcPr>
                <w:p w14:paraId="2BBA4112">
                  <w:pPr>
                    <w:widowControl/>
                    <w:jc w:val="left"/>
                    <w:rPr>
                      <w:rFonts w:ascii="Times New Roman" w:hAnsi="Times New Roman" w:eastAsia="宋体" w:cs="Times New Roman"/>
                      <w:snapToGrid w:val="0"/>
                      <w:color w:val="000000"/>
                      <w:kern w:val="0"/>
                      <w:szCs w:val="21"/>
                    </w:rPr>
                  </w:pPr>
                </w:p>
              </w:tc>
              <w:tc>
                <w:tcPr>
                  <w:tcW w:w="914" w:type="dxa"/>
                  <w:tcBorders>
                    <w:top w:val="single" w:color="auto" w:sz="4" w:space="0"/>
                    <w:left w:val="single" w:color="auto" w:sz="4" w:space="0"/>
                    <w:bottom w:val="single" w:color="auto" w:sz="4" w:space="0"/>
                    <w:right w:val="single" w:color="auto" w:sz="4" w:space="0"/>
                  </w:tcBorders>
                  <w:vAlign w:val="center"/>
                </w:tcPr>
                <w:p w14:paraId="55C56426">
                  <w:pPr>
                    <w:adjustRightInd w:val="0"/>
                    <w:snapToGrid w:val="0"/>
                    <w:jc w:val="center"/>
                    <w:rPr>
                      <w:rFonts w:ascii="Times New Roman" w:hAnsi="Times New Roman" w:eastAsia="宋体" w:cs="Times New Roman"/>
                      <w:color w:val="000000"/>
                      <w:szCs w:val="21"/>
                    </w:rPr>
                  </w:pPr>
                  <w:r>
                    <w:rPr>
                      <w:rFonts w:ascii="Times New Roman" w:hAnsi="Times New Roman" w:eastAsia="宋体" w:cs="Times New Roman"/>
                      <w:snapToGrid w:val="0"/>
                      <w:color w:val="000000"/>
                      <w:kern w:val="0"/>
                      <w:szCs w:val="21"/>
                    </w:rPr>
                    <w:t>成品堆场</w:t>
                  </w:r>
                </w:p>
              </w:tc>
              <w:tc>
                <w:tcPr>
                  <w:tcW w:w="3819" w:type="dxa"/>
                  <w:tcBorders>
                    <w:top w:val="single" w:color="auto" w:sz="4" w:space="0"/>
                    <w:left w:val="single" w:color="auto" w:sz="4" w:space="0"/>
                    <w:bottom w:val="single" w:color="auto" w:sz="4" w:space="0"/>
                    <w:right w:val="single" w:color="auto" w:sz="4" w:space="0"/>
                  </w:tcBorders>
                  <w:vAlign w:val="center"/>
                </w:tcPr>
                <w:p w14:paraId="2902EA8E">
                  <w:pPr>
                    <w:adjustRightInd w:val="0"/>
                    <w:snapToGrid w:val="0"/>
                    <w:rPr>
                      <w:rFonts w:ascii="Times New Roman" w:hAnsi="Times New Roman" w:eastAsia="宋体" w:cs="Times New Roman"/>
                      <w:color w:val="000000"/>
                      <w:szCs w:val="21"/>
                    </w:rPr>
                  </w:pPr>
                  <w:r>
                    <w:rPr>
                      <w:rFonts w:ascii="Times New Roman" w:hAnsi="Times New Roman" w:eastAsia="宋体" w:cs="Times New Roman"/>
                      <w:snapToGrid w:val="0"/>
                      <w:color w:val="000000"/>
                      <w:kern w:val="0"/>
                      <w:szCs w:val="21"/>
                    </w:rPr>
                    <w:t>钢结构厂棚，占地面积约700m</w:t>
                  </w:r>
                  <w:r>
                    <w:rPr>
                      <w:rFonts w:ascii="Times New Roman" w:hAnsi="Times New Roman" w:eastAsia="宋体" w:cs="Times New Roman"/>
                      <w:snapToGrid w:val="0"/>
                      <w:color w:val="000000"/>
                      <w:kern w:val="0"/>
                      <w:szCs w:val="21"/>
                      <w:vertAlign w:val="superscript"/>
                    </w:rPr>
                    <w:t>2</w:t>
                  </w:r>
                  <w:r>
                    <w:rPr>
                      <w:rFonts w:ascii="Times New Roman" w:hAnsi="Times New Roman" w:eastAsia="宋体" w:cs="Times New Roman"/>
                      <w:snapToGrid w:val="0"/>
                      <w:color w:val="000000"/>
                      <w:kern w:val="0"/>
                      <w:szCs w:val="21"/>
                    </w:rPr>
                    <w:t>，用于成品堆放和装卸。</w:t>
                  </w:r>
                </w:p>
              </w:tc>
              <w:tc>
                <w:tcPr>
                  <w:tcW w:w="1080" w:type="dxa"/>
                  <w:tcBorders>
                    <w:top w:val="single" w:color="auto" w:sz="4" w:space="0"/>
                    <w:left w:val="single" w:color="auto" w:sz="4" w:space="0"/>
                    <w:bottom w:val="single" w:color="auto" w:sz="4" w:space="0"/>
                    <w:right w:val="single" w:color="auto" w:sz="4" w:space="0"/>
                  </w:tcBorders>
                  <w:vAlign w:val="center"/>
                </w:tcPr>
                <w:p w14:paraId="25CAE31B">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w:t>
                  </w:r>
                </w:p>
              </w:tc>
              <w:tc>
                <w:tcPr>
                  <w:tcW w:w="964" w:type="dxa"/>
                  <w:tcBorders>
                    <w:top w:val="single" w:color="auto" w:sz="4" w:space="0"/>
                    <w:left w:val="single" w:color="auto" w:sz="4" w:space="0"/>
                    <w:bottom w:val="single" w:color="auto" w:sz="4" w:space="0"/>
                    <w:right w:val="single" w:color="auto" w:sz="4" w:space="0"/>
                  </w:tcBorders>
                  <w:vAlign w:val="center"/>
                </w:tcPr>
                <w:p w14:paraId="48523E8D">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废砖</w:t>
                  </w:r>
                </w:p>
              </w:tc>
              <w:tc>
                <w:tcPr>
                  <w:tcW w:w="667" w:type="dxa"/>
                  <w:tcBorders>
                    <w:top w:val="single" w:color="auto" w:sz="4" w:space="0"/>
                    <w:left w:val="single" w:color="auto" w:sz="4" w:space="0"/>
                    <w:bottom w:val="single" w:color="auto" w:sz="4" w:space="0"/>
                    <w:right w:val="single" w:color="auto" w:sz="4" w:space="0"/>
                  </w:tcBorders>
                  <w:vAlign w:val="center"/>
                </w:tcPr>
                <w:p w14:paraId="7D34762B">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利旧</w:t>
                  </w:r>
                </w:p>
              </w:tc>
            </w:tr>
            <w:tr w14:paraId="3511E9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53" w:hRule="atLeast"/>
                <w:jc w:val="center"/>
              </w:trPr>
              <w:tc>
                <w:tcPr>
                  <w:tcW w:w="668" w:type="dxa"/>
                  <w:vMerge w:val="continue"/>
                  <w:tcBorders>
                    <w:top w:val="single" w:color="auto" w:sz="4" w:space="0"/>
                    <w:left w:val="single" w:color="auto" w:sz="4" w:space="0"/>
                    <w:bottom w:val="single" w:color="auto" w:sz="4" w:space="0"/>
                    <w:right w:val="single" w:color="auto" w:sz="4" w:space="0"/>
                  </w:tcBorders>
                  <w:vAlign w:val="center"/>
                </w:tcPr>
                <w:p w14:paraId="74DC2152">
                  <w:pPr>
                    <w:widowControl/>
                    <w:jc w:val="left"/>
                    <w:rPr>
                      <w:rFonts w:ascii="Times New Roman" w:hAnsi="Times New Roman" w:eastAsia="宋体" w:cs="Times New Roman"/>
                      <w:snapToGrid w:val="0"/>
                      <w:color w:val="000000"/>
                      <w:kern w:val="0"/>
                      <w:szCs w:val="21"/>
                    </w:rPr>
                  </w:pPr>
                </w:p>
              </w:tc>
              <w:tc>
                <w:tcPr>
                  <w:tcW w:w="914" w:type="dxa"/>
                  <w:tcBorders>
                    <w:top w:val="single" w:color="auto" w:sz="4" w:space="0"/>
                    <w:left w:val="single" w:color="auto" w:sz="4" w:space="0"/>
                    <w:bottom w:val="single" w:color="auto" w:sz="4" w:space="0"/>
                    <w:right w:val="single" w:color="auto" w:sz="4" w:space="0"/>
                  </w:tcBorders>
                  <w:vAlign w:val="center"/>
                </w:tcPr>
                <w:p w14:paraId="0EB4872F">
                  <w:pPr>
                    <w:jc w:val="left"/>
                    <w:rPr>
                      <w:rFonts w:ascii="Times New Roman" w:hAnsi="Times New Roman" w:eastAsia="宋体" w:cs="Times New Roman"/>
                      <w:snapToGrid w:val="0"/>
                      <w:color w:val="000000"/>
                      <w:kern w:val="0"/>
                      <w:szCs w:val="21"/>
                    </w:rPr>
                  </w:pPr>
                  <w:r>
                    <w:rPr>
                      <w:rFonts w:ascii="Times New Roman" w:hAnsi="Times New Roman" w:eastAsia="宋体" w:cs="Times New Roman"/>
                      <w:color w:val="000000"/>
                      <w:szCs w:val="21"/>
                    </w:rPr>
                    <w:t>一般工业固废贮存间</w:t>
                  </w:r>
                </w:p>
              </w:tc>
              <w:tc>
                <w:tcPr>
                  <w:tcW w:w="3819" w:type="dxa"/>
                  <w:tcBorders>
                    <w:top w:val="single" w:color="auto" w:sz="4" w:space="0"/>
                    <w:left w:val="single" w:color="auto" w:sz="4" w:space="0"/>
                    <w:bottom w:val="single" w:color="auto" w:sz="4" w:space="0"/>
                    <w:right w:val="single" w:color="auto" w:sz="4" w:space="0"/>
                  </w:tcBorders>
                  <w:vAlign w:val="center"/>
                </w:tcPr>
                <w:p w14:paraId="095D4884">
                  <w:pPr>
                    <w:rPr>
                      <w:rFonts w:ascii="Times New Roman" w:hAnsi="Times New Roman" w:eastAsia="宋体" w:cs="Times New Roman"/>
                      <w:snapToGrid w:val="0"/>
                      <w:color w:val="000000"/>
                      <w:kern w:val="0"/>
                      <w:szCs w:val="21"/>
                    </w:rPr>
                  </w:pPr>
                  <w:r>
                    <w:rPr>
                      <w:rFonts w:ascii="Times New Roman" w:hAnsi="Times New Roman" w:eastAsia="宋体" w:cs="Times New Roman"/>
                      <w:color w:val="000000"/>
                      <w:kern w:val="0"/>
                      <w:szCs w:val="21"/>
                    </w:rPr>
                    <w:t>制砖车间西侧新建1处约150m</w:t>
                  </w:r>
                  <w:r>
                    <w:rPr>
                      <w:rFonts w:ascii="Times New Roman" w:hAnsi="Times New Roman" w:eastAsia="宋体" w:cs="Times New Roman"/>
                      <w:color w:val="000000"/>
                      <w:kern w:val="0"/>
                      <w:szCs w:val="21"/>
                      <w:vertAlign w:val="superscript"/>
                    </w:rPr>
                    <w:t>2</w:t>
                  </w:r>
                  <w:r>
                    <w:rPr>
                      <w:rFonts w:ascii="Times New Roman" w:hAnsi="Times New Roman" w:eastAsia="宋体" w:cs="Times New Roman"/>
                      <w:color w:val="000000"/>
                      <w:kern w:val="0"/>
                      <w:szCs w:val="21"/>
                    </w:rPr>
                    <w:t>的</w:t>
                  </w:r>
                  <w:r>
                    <w:rPr>
                      <w:rFonts w:ascii="Times New Roman" w:hAnsi="Times New Roman" w:eastAsia="宋体" w:cs="Times New Roman"/>
                      <w:color w:val="000000"/>
                      <w:szCs w:val="21"/>
                    </w:rPr>
                    <w:t>一般工业固废贮存间</w:t>
                  </w:r>
                  <w:r>
                    <w:rPr>
                      <w:rFonts w:ascii="Times New Roman" w:hAnsi="Times New Roman" w:eastAsia="宋体" w:cs="Times New Roman"/>
                      <w:color w:val="000000"/>
                      <w:kern w:val="0"/>
                      <w:szCs w:val="21"/>
                    </w:rPr>
                    <w:t>，设置为密闭彩钢结构厂房，</w:t>
                  </w:r>
                  <w:r>
                    <w:rPr>
                      <w:rFonts w:ascii="Times New Roman" w:hAnsi="Times New Roman" w:eastAsia="宋体" w:cs="Times New Roman"/>
                      <w:color w:val="000000"/>
                      <w:szCs w:val="21"/>
                    </w:rPr>
                    <w:t>各类固废设置单独隔间分别存储，储存周期（5天）。贮存间采取重点防渗，四周设置导流沟以及1个1m</w:t>
                  </w:r>
                  <w:r>
                    <w:rPr>
                      <w:rFonts w:ascii="Times New Roman" w:hAnsi="Times New Roman" w:eastAsia="宋体" w:cs="Times New Roman"/>
                      <w:color w:val="000000"/>
                      <w:szCs w:val="21"/>
                      <w:vertAlign w:val="superscript"/>
                    </w:rPr>
                    <w:t>3</w:t>
                  </w:r>
                  <w:r>
                    <w:rPr>
                      <w:rFonts w:ascii="Times New Roman" w:hAnsi="Times New Roman" w:eastAsia="宋体" w:cs="Times New Roman"/>
                      <w:color w:val="000000"/>
                      <w:szCs w:val="21"/>
                    </w:rPr>
                    <w:t>的渗滤液收集池，满足防扬撒、防渗漏、防腐蚀要求。</w:t>
                  </w:r>
                </w:p>
              </w:tc>
              <w:tc>
                <w:tcPr>
                  <w:tcW w:w="1080" w:type="dxa"/>
                  <w:tcBorders>
                    <w:top w:val="single" w:color="auto" w:sz="4" w:space="0"/>
                    <w:left w:val="single" w:color="auto" w:sz="4" w:space="0"/>
                    <w:bottom w:val="single" w:color="auto" w:sz="4" w:space="0"/>
                    <w:right w:val="single" w:color="auto" w:sz="4" w:space="0"/>
                  </w:tcBorders>
                  <w:vAlign w:val="center"/>
                </w:tcPr>
                <w:p w14:paraId="02359B0E">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扬尘、废水噪声、固废等</w:t>
                  </w:r>
                </w:p>
              </w:tc>
              <w:tc>
                <w:tcPr>
                  <w:tcW w:w="964" w:type="dxa"/>
                  <w:tcBorders>
                    <w:top w:val="single" w:color="auto" w:sz="4" w:space="0"/>
                    <w:left w:val="single" w:color="auto" w:sz="4" w:space="0"/>
                    <w:bottom w:val="single" w:color="auto" w:sz="4" w:space="0"/>
                    <w:right w:val="single" w:color="auto" w:sz="4" w:space="0"/>
                  </w:tcBorders>
                  <w:vAlign w:val="center"/>
                </w:tcPr>
                <w:p w14:paraId="2DA2C711">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废水</w:t>
                  </w:r>
                </w:p>
              </w:tc>
              <w:tc>
                <w:tcPr>
                  <w:tcW w:w="667" w:type="dxa"/>
                  <w:tcBorders>
                    <w:top w:val="single" w:color="auto" w:sz="4" w:space="0"/>
                    <w:left w:val="single" w:color="auto" w:sz="4" w:space="0"/>
                    <w:bottom w:val="single" w:color="auto" w:sz="4" w:space="0"/>
                    <w:right w:val="single" w:color="auto" w:sz="4" w:space="0"/>
                  </w:tcBorders>
                  <w:vAlign w:val="center"/>
                </w:tcPr>
                <w:p w14:paraId="336C61AA">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color w:val="000000"/>
                      <w:kern w:val="0"/>
                      <w:szCs w:val="21"/>
                    </w:rPr>
                    <w:t>新建</w:t>
                  </w:r>
                </w:p>
              </w:tc>
            </w:tr>
            <w:tr w14:paraId="6C0C0D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0" w:hRule="atLeast"/>
                <w:jc w:val="center"/>
              </w:trPr>
              <w:tc>
                <w:tcPr>
                  <w:tcW w:w="668" w:type="dxa"/>
                  <w:vMerge w:val="restart"/>
                  <w:tcBorders>
                    <w:top w:val="single" w:color="auto" w:sz="4" w:space="0"/>
                    <w:left w:val="single" w:color="auto" w:sz="4" w:space="0"/>
                    <w:right w:val="single" w:color="auto" w:sz="4" w:space="0"/>
                  </w:tcBorders>
                  <w:vAlign w:val="center"/>
                </w:tcPr>
                <w:p w14:paraId="60A06D81">
                  <w:pPr>
                    <w:jc w:val="left"/>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环保设施</w:t>
                  </w:r>
                </w:p>
              </w:tc>
              <w:tc>
                <w:tcPr>
                  <w:tcW w:w="914" w:type="dxa"/>
                  <w:vMerge w:val="restart"/>
                  <w:tcBorders>
                    <w:top w:val="single" w:color="auto" w:sz="4" w:space="0"/>
                    <w:left w:val="single" w:color="auto" w:sz="4" w:space="0"/>
                    <w:right w:val="single" w:color="auto" w:sz="4" w:space="0"/>
                  </w:tcBorders>
                  <w:vAlign w:val="center"/>
                </w:tcPr>
                <w:p w14:paraId="0A1EF1E1">
                  <w:pPr>
                    <w:jc w:val="left"/>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废气</w:t>
                  </w:r>
                </w:p>
              </w:tc>
              <w:tc>
                <w:tcPr>
                  <w:tcW w:w="3819" w:type="dxa"/>
                  <w:tcBorders>
                    <w:top w:val="single" w:color="auto" w:sz="4" w:space="0"/>
                    <w:left w:val="single" w:color="auto" w:sz="4" w:space="0"/>
                    <w:bottom w:val="single" w:color="auto" w:sz="4" w:space="0"/>
                    <w:right w:val="single" w:color="auto" w:sz="4" w:space="0"/>
                  </w:tcBorders>
                  <w:vAlign w:val="center"/>
                </w:tcPr>
                <w:p w14:paraId="325D3EFA">
                  <w:pP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原料制备车间破碎机已经设置独立房间、粉料胶带输送机已经设置封闭廊道，以上设备均设负压风机集气，最终进入一套布袋除尘器进行处理，之后经15m排气筒（DA001）外排。</w:t>
                  </w:r>
                </w:p>
              </w:tc>
              <w:tc>
                <w:tcPr>
                  <w:tcW w:w="1080" w:type="dxa"/>
                  <w:tcBorders>
                    <w:top w:val="single" w:color="auto" w:sz="4" w:space="0"/>
                    <w:left w:val="single" w:color="auto" w:sz="4" w:space="0"/>
                    <w:bottom w:val="single" w:color="auto" w:sz="4" w:space="0"/>
                    <w:right w:val="single" w:color="auto" w:sz="4" w:space="0"/>
                  </w:tcBorders>
                  <w:vAlign w:val="center"/>
                </w:tcPr>
                <w:p w14:paraId="11CB8C8A">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w:t>
                  </w:r>
                </w:p>
              </w:tc>
              <w:tc>
                <w:tcPr>
                  <w:tcW w:w="964" w:type="dxa"/>
                  <w:tcBorders>
                    <w:top w:val="single" w:color="auto" w:sz="4" w:space="0"/>
                    <w:left w:val="single" w:color="auto" w:sz="4" w:space="0"/>
                    <w:bottom w:val="single" w:color="auto" w:sz="4" w:space="0"/>
                    <w:right w:val="single" w:color="auto" w:sz="4" w:space="0"/>
                  </w:tcBorders>
                  <w:vAlign w:val="center"/>
                </w:tcPr>
                <w:p w14:paraId="4ED1BB0D">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收尘灰</w:t>
                  </w:r>
                </w:p>
              </w:tc>
              <w:tc>
                <w:tcPr>
                  <w:tcW w:w="667" w:type="dxa"/>
                  <w:tcBorders>
                    <w:top w:val="single" w:color="auto" w:sz="4" w:space="0"/>
                    <w:left w:val="single" w:color="auto" w:sz="4" w:space="0"/>
                    <w:bottom w:val="single" w:color="auto" w:sz="4" w:space="0"/>
                    <w:right w:val="single" w:color="auto" w:sz="4" w:space="0"/>
                  </w:tcBorders>
                  <w:vAlign w:val="center"/>
                </w:tcPr>
                <w:p w14:paraId="74F1BF4E">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利旧</w:t>
                  </w:r>
                </w:p>
              </w:tc>
            </w:tr>
            <w:tr w14:paraId="6DB18F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continue"/>
                  <w:tcBorders>
                    <w:left w:val="single" w:color="auto" w:sz="4" w:space="0"/>
                    <w:right w:val="single" w:color="auto" w:sz="4" w:space="0"/>
                  </w:tcBorders>
                  <w:vAlign w:val="center"/>
                </w:tcPr>
                <w:p w14:paraId="01D10EFE">
                  <w:pPr>
                    <w:widowControl/>
                    <w:jc w:val="left"/>
                    <w:rPr>
                      <w:rFonts w:ascii="Times New Roman" w:hAnsi="Times New Roman" w:eastAsia="宋体" w:cs="Times New Roman"/>
                      <w:snapToGrid w:val="0"/>
                      <w:color w:val="000000"/>
                      <w:kern w:val="0"/>
                      <w:szCs w:val="21"/>
                    </w:rPr>
                  </w:pPr>
                </w:p>
              </w:tc>
              <w:tc>
                <w:tcPr>
                  <w:tcW w:w="914" w:type="dxa"/>
                  <w:vMerge w:val="continue"/>
                  <w:tcBorders>
                    <w:left w:val="single" w:color="auto" w:sz="4" w:space="0"/>
                    <w:right w:val="single" w:color="auto" w:sz="4" w:space="0"/>
                  </w:tcBorders>
                  <w:vAlign w:val="center"/>
                </w:tcPr>
                <w:p w14:paraId="75675C21">
                  <w:pPr>
                    <w:widowControl/>
                    <w:jc w:val="left"/>
                    <w:rPr>
                      <w:rFonts w:ascii="Times New Roman" w:hAnsi="Times New Roman" w:eastAsia="宋体" w:cs="Times New Roman"/>
                      <w:snapToGrid w:val="0"/>
                      <w:color w:val="000000"/>
                      <w:kern w:val="0"/>
                      <w:szCs w:val="21"/>
                    </w:rPr>
                  </w:pPr>
                </w:p>
              </w:tc>
              <w:tc>
                <w:tcPr>
                  <w:tcW w:w="3819" w:type="dxa"/>
                  <w:tcBorders>
                    <w:top w:val="single" w:color="auto" w:sz="4" w:space="0"/>
                    <w:left w:val="single" w:color="auto" w:sz="4" w:space="0"/>
                    <w:bottom w:val="single" w:color="auto" w:sz="4" w:space="0"/>
                    <w:right w:val="single" w:color="auto" w:sz="4" w:space="0"/>
                  </w:tcBorders>
                  <w:vAlign w:val="center"/>
                </w:tcPr>
                <w:p w14:paraId="314E8BEA">
                  <w:pP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隧道窑窑炉烟气经干燥区砖坯吸附后，进入一套湿式脱硫塔处理后经18m排气筒（DA002）外排，烘干车间新增一套湿式脱硫塔，废气经湿式脱硫塔处理后经18m排气筒（DA003）外排。</w:t>
                  </w:r>
                </w:p>
              </w:tc>
              <w:tc>
                <w:tcPr>
                  <w:tcW w:w="1080" w:type="dxa"/>
                  <w:tcBorders>
                    <w:top w:val="single" w:color="auto" w:sz="4" w:space="0"/>
                    <w:left w:val="single" w:color="auto" w:sz="4" w:space="0"/>
                    <w:bottom w:val="single" w:color="auto" w:sz="4" w:space="0"/>
                    <w:right w:val="single" w:color="auto" w:sz="4" w:space="0"/>
                  </w:tcBorders>
                  <w:vAlign w:val="center"/>
                </w:tcPr>
                <w:p w14:paraId="12CA9774">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w:t>
                  </w:r>
                </w:p>
              </w:tc>
              <w:tc>
                <w:tcPr>
                  <w:tcW w:w="964" w:type="dxa"/>
                  <w:tcBorders>
                    <w:top w:val="single" w:color="auto" w:sz="4" w:space="0"/>
                    <w:left w:val="single" w:color="auto" w:sz="4" w:space="0"/>
                    <w:bottom w:val="single" w:color="auto" w:sz="4" w:space="0"/>
                    <w:right w:val="single" w:color="auto" w:sz="4" w:space="0"/>
                  </w:tcBorders>
                  <w:vAlign w:val="center"/>
                </w:tcPr>
                <w:p w14:paraId="51D98A55">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脱硫石膏</w:t>
                  </w:r>
                </w:p>
              </w:tc>
              <w:tc>
                <w:tcPr>
                  <w:tcW w:w="667" w:type="dxa"/>
                  <w:tcBorders>
                    <w:top w:val="single" w:color="auto" w:sz="4" w:space="0"/>
                    <w:left w:val="single" w:color="auto" w:sz="4" w:space="0"/>
                    <w:bottom w:val="single" w:color="auto" w:sz="4" w:space="0"/>
                    <w:right w:val="single" w:color="auto" w:sz="4" w:space="0"/>
                  </w:tcBorders>
                  <w:vAlign w:val="center"/>
                </w:tcPr>
                <w:p w14:paraId="3637B5E9">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利旧</w:t>
                  </w:r>
                </w:p>
              </w:tc>
            </w:tr>
            <w:tr w14:paraId="26151B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continue"/>
                  <w:tcBorders>
                    <w:left w:val="single" w:color="auto" w:sz="4" w:space="0"/>
                    <w:right w:val="single" w:color="auto" w:sz="4" w:space="0"/>
                  </w:tcBorders>
                  <w:vAlign w:val="center"/>
                </w:tcPr>
                <w:p w14:paraId="2C3F0D19">
                  <w:pPr>
                    <w:widowControl/>
                    <w:jc w:val="left"/>
                    <w:rPr>
                      <w:rFonts w:ascii="Times New Roman" w:hAnsi="Times New Roman" w:eastAsia="宋体" w:cs="Times New Roman"/>
                      <w:snapToGrid w:val="0"/>
                      <w:color w:val="000000"/>
                      <w:kern w:val="0"/>
                      <w:szCs w:val="21"/>
                    </w:rPr>
                  </w:pPr>
                </w:p>
              </w:tc>
              <w:tc>
                <w:tcPr>
                  <w:tcW w:w="914" w:type="dxa"/>
                  <w:vMerge w:val="continue"/>
                  <w:tcBorders>
                    <w:left w:val="single" w:color="auto" w:sz="4" w:space="0"/>
                    <w:bottom w:val="single" w:color="auto" w:sz="4" w:space="0"/>
                    <w:right w:val="single" w:color="auto" w:sz="4" w:space="0"/>
                  </w:tcBorders>
                  <w:vAlign w:val="center"/>
                </w:tcPr>
                <w:p w14:paraId="57D2439C">
                  <w:pPr>
                    <w:widowControl/>
                    <w:jc w:val="left"/>
                    <w:rPr>
                      <w:rFonts w:ascii="Times New Roman" w:hAnsi="Times New Roman" w:eastAsia="宋体" w:cs="Times New Roman"/>
                      <w:snapToGrid w:val="0"/>
                      <w:color w:val="000000"/>
                      <w:kern w:val="0"/>
                      <w:szCs w:val="21"/>
                    </w:rPr>
                  </w:pPr>
                </w:p>
              </w:tc>
              <w:tc>
                <w:tcPr>
                  <w:tcW w:w="3819" w:type="dxa"/>
                  <w:tcBorders>
                    <w:top w:val="single" w:color="auto" w:sz="4" w:space="0"/>
                    <w:left w:val="single" w:color="auto" w:sz="4" w:space="0"/>
                    <w:bottom w:val="single" w:color="auto" w:sz="4" w:space="0"/>
                    <w:right w:val="single" w:color="auto" w:sz="4" w:space="0"/>
                  </w:tcBorders>
                  <w:vAlign w:val="center"/>
                </w:tcPr>
                <w:p w14:paraId="640B9F55">
                  <w:pP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一般固废贮存间车间采取负压机械抽风，废气经采取水喷淋吸收。</w:t>
                  </w:r>
                </w:p>
              </w:tc>
              <w:tc>
                <w:tcPr>
                  <w:tcW w:w="1080" w:type="dxa"/>
                  <w:tcBorders>
                    <w:top w:val="single" w:color="auto" w:sz="4" w:space="0"/>
                    <w:left w:val="single" w:color="auto" w:sz="4" w:space="0"/>
                    <w:bottom w:val="single" w:color="auto" w:sz="4" w:space="0"/>
                    <w:right w:val="single" w:color="auto" w:sz="4" w:space="0"/>
                  </w:tcBorders>
                  <w:vAlign w:val="center"/>
                </w:tcPr>
                <w:p w14:paraId="32384507">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扬尘、废水噪声、固废等</w:t>
                  </w:r>
                </w:p>
              </w:tc>
              <w:tc>
                <w:tcPr>
                  <w:tcW w:w="964" w:type="dxa"/>
                  <w:tcBorders>
                    <w:top w:val="single" w:color="auto" w:sz="4" w:space="0"/>
                    <w:left w:val="single" w:color="auto" w:sz="4" w:space="0"/>
                    <w:bottom w:val="single" w:color="auto" w:sz="4" w:space="0"/>
                    <w:right w:val="single" w:color="auto" w:sz="4" w:space="0"/>
                  </w:tcBorders>
                  <w:vAlign w:val="center"/>
                </w:tcPr>
                <w:p w14:paraId="07EBA9C0">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异味、废水</w:t>
                  </w:r>
                </w:p>
              </w:tc>
              <w:tc>
                <w:tcPr>
                  <w:tcW w:w="667" w:type="dxa"/>
                  <w:tcBorders>
                    <w:top w:val="single" w:color="auto" w:sz="4" w:space="0"/>
                    <w:left w:val="single" w:color="auto" w:sz="4" w:space="0"/>
                    <w:bottom w:val="single" w:color="auto" w:sz="4" w:space="0"/>
                    <w:right w:val="single" w:color="auto" w:sz="4" w:space="0"/>
                  </w:tcBorders>
                  <w:vAlign w:val="center"/>
                </w:tcPr>
                <w:p w14:paraId="63562270">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新建</w:t>
                  </w:r>
                </w:p>
              </w:tc>
            </w:tr>
            <w:tr w14:paraId="153D72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continue"/>
                  <w:tcBorders>
                    <w:left w:val="single" w:color="auto" w:sz="4" w:space="0"/>
                    <w:right w:val="single" w:color="auto" w:sz="4" w:space="0"/>
                  </w:tcBorders>
                  <w:vAlign w:val="center"/>
                </w:tcPr>
                <w:p w14:paraId="67498AD9">
                  <w:pPr>
                    <w:widowControl/>
                    <w:jc w:val="left"/>
                    <w:rPr>
                      <w:rFonts w:ascii="Times New Roman" w:hAnsi="Times New Roman" w:eastAsia="宋体" w:cs="Times New Roman"/>
                      <w:snapToGrid w:val="0"/>
                      <w:color w:val="000000"/>
                      <w:kern w:val="0"/>
                      <w:szCs w:val="21"/>
                    </w:rPr>
                  </w:pPr>
                </w:p>
              </w:tc>
              <w:tc>
                <w:tcPr>
                  <w:tcW w:w="914" w:type="dxa"/>
                  <w:tcBorders>
                    <w:top w:val="single" w:color="auto" w:sz="4" w:space="0"/>
                    <w:left w:val="single" w:color="auto" w:sz="4" w:space="0"/>
                    <w:bottom w:val="single" w:color="auto" w:sz="4" w:space="0"/>
                    <w:right w:val="single" w:color="auto" w:sz="4" w:space="0"/>
                  </w:tcBorders>
                  <w:vAlign w:val="center"/>
                </w:tcPr>
                <w:p w14:paraId="32D1427C">
                  <w:pPr>
                    <w:jc w:val="left"/>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废水</w:t>
                  </w:r>
                </w:p>
              </w:tc>
              <w:tc>
                <w:tcPr>
                  <w:tcW w:w="3819" w:type="dxa"/>
                  <w:tcBorders>
                    <w:top w:val="single" w:color="auto" w:sz="4" w:space="0"/>
                    <w:left w:val="single" w:color="auto" w:sz="4" w:space="0"/>
                    <w:bottom w:val="single" w:color="auto" w:sz="4" w:space="0"/>
                    <w:right w:val="single" w:color="auto" w:sz="4" w:space="0"/>
                  </w:tcBorders>
                  <w:vAlign w:val="center"/>
                </w:tcPr>
                <w:p w14:paraId="781CDB34">
                  <w:pP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项目无生产废水排放，主要为生活污水，依托已建容积为3m</w:t>
                  </w:r>
                  <w:r>
                    <w:rPr>
                      <w:rFonts w:ascii="Times New Roman" w:hAnsi="Times New Roman" w:eastAsia="宋体" w:cs="Times New Roman"/>
                      <w:snapToGrid w:val="0"/>
                      <w:color w:val="000000"/>
                      <w:kern w:val="0"/>
                      <w:szCs w:val="21"/>
                      <w:vertAlign w:val="superscript"/>
                    </w:rPr>
                    <w:t>3</w:t>
                  </w:r>
                  <w:r>
                    <w:rPr>
                      <w:rFonts w:ascii="Times New Roman" w:hAnsi="Times New Roman" w:eastAsia="宋体" w:cs="Times New Roman"/>
                      <w:snapToGrid w:val="0"/>
                      <w:color w:val="000000"/>
                      <w:kern w:val="0"/>
                      <w:szCs w:val="21"/>
                    </w:rPr>
                    <w:t>预处理池一座处理后，用作农肥。</w:t>
                  </w:r>
                  <w:r>
                    <w:rPr>
                      <w:rFonts w:ascii="Times New Roman" w:hAnsi="Times New Roman" w:eastAsia="宋体" w:cs="Times New Roman"/>
                      <w:snapToGrid w:val="0"/>
                      <w:color w:val="FF0000"/>
                      <w:kern w:val="0"/>
                      <w:szCs w:val="21"/>
                    </w:rPr>
                    <w:t>湿式脱硫塔废水采用1个沉淀池（8m</w:t>
                  </w:r>
                  <w:r>
                    <w:rPr>
                      <w:rFonts w:ascii="Times New Roman" w:hAnsi="Times New Roman" w:eastAsia="宋体" w:cs="Times New Roman"/>
                      <w:snapToGrid w:val="0"/>
                      <w:color w:val="FF0000"/>
                      <w:kern w:val="0"/>
                      <w:szCs w:val="21"/>
                      <w:vertAlign w:val="superscript"/>
                    </w:rPr>
                    <w:t>3</w:t>
                  </w:r>
                  <w:r>
                    <w:rPr>
                      <w:rFonts w:ascii="Times New Roman" w:hAnsi="Times New Roman" w:eastAsia="宋体" w:cs="Times New Roman"/>
                      <w:snapToGrid w:val="0"/>
                      <w:color w:val="FF0000"/>
                      <w:kern w:val="0"/>
                      <w:szCs w:val="21"/>
                    </w:rPr>
                    <w:t>）进</w:t>
                  </w:r>
                  <w:r>
                    <w:rPr>
                      <w:rFonts w:ascii="Times New Roman" w:hAnsi="Times New Roman" w:eastAsia="宋体" w:cs="Times New Roman"/>
                      <w:snapToGrid w:val="0"/>
                      <w:color w:val="000000"/>
                      <w:kern w:val="0"/>
                      <w:szCs w:val="21"/>
                    </w:rPr>
                    <w:t>行沉淀后，上清液循环使用，不外排。真空泵间接冷却水循环使用，不外排。</w:t>
                  </w:r>
                </w:p>
              </w:tc>
              <w:tc>
                <w:tcPr>
                  <w:tcW w:w="1080" w:type="dxa"/>
                  <w:tcBorders>
                    <w:top w:val="single" w:color="auto" w:sz="4" w:space="0"/>
                    <w:left w:val="single" w:color="auto" w:sz="4" w:space="0"/>
                    <w:bottom w:val="single" w:color="auto" w:sz="4" w:space="0"/>
                    <w:right w:val="single" w:color="auto" w:sz="4" w:space="0"/>
                  </w:tcBorders>
                  <w:vAlign w:val="center"/>
                </w:tcPr>
                <w:p w14:paraId="24E7F6E2">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w:t>
                  </w:r>
                </w:p>
              </w:tc>
              <w:tc>
                <w:tcPr>
                  <w:tcW w:w="964" w:type="dxa"/>
                  <w:tcBorders>
                    <w:top w:val="single" w:color="auto" w:sz="4" w:space="0"/>
                    <w:left w:val="single" w:color="auto" w:sz="4" w:space="0"/>
                    <w:bottom w:val="single" w:color="auto" w:sz="4" w:space="0"/>
                    <w:right w:val="single" w:color="auto" w:sz="4" w:space="0"/>
                  </w:tcBorders>
                  <w:vAlign w:val="center"/>
                </w:tcPr>
                <w:p w14:paraId="4B8797D4">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沉淀渣</w:t>
                  </w:r>
                </w:p>
              </w:tc>
              <w:tc>
                <w:tcPr>
                  <w:tcW w:w="667" w:type="dxa"/>
                  <w:tcBorders>
                    <w:top w:val="single" w:color="auto" w:sz="4" w:space="0"/>
                    <w:left w:val="single" w:color="auto" w:sz="4" w:space="0"/>
                    <w:bottom w:val="single" w:color="auto" w:sz="4" w:space="0"/>
                    <w:right w:val="single" w:color="auto" w:sz="4" w:space="0"/>
                  </w:tcBorders>
                  <w:vAlign w:val="center"/>
                </w:tcPr>
                <w:p w14:paraId="5250A601">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利旧</w:t>
                  </w:r>
                </w:p>
              </w:tc>
            </w:tr>
            <w:tr w14:paraId="551B31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68" w:type="dxa"/>
                  <w:vMerge w:val="continue"/>
                  <w:tcBorders>
                    <w:left w:val="single" w:color="auto" w:sz="4" w:space="0"/>
                    <w:bottom w:val="single" w:color="auto" w:sz="4" w:space="0"/>
                    <w:right w:val="single" w:color="auto" w:sz="4" w:space="0"/>
                  </w:tcBorders>
                  <w:vAlign w:val="center"/>
                </w:tcPr>
                <w:p w14:paraId="23FFAD97">
                  <w:pPr>
                    <w:widowControl/>
                    <w:jc w:val="left"/>
                    <w:rPr>
                      <w:rFonts w:ascii="Times New Roman" w:hAnsi="Times New Roman" w:eastAsia="宋体" w:cs="Times New Roman"/>
                      <w:snapToGrid w:val="0"/>
                      <w:color w:val="000000"/>
                      <w:kern w:val="0"/>
                      <w:szCs w:val="21"/>
                    </w:rPr>
                  </w:pPr>
                </w:p>
              </w:tc>
              <w:tc>
                <w:tcPr>
                  <w:tcW w:w="914" w:type="dxa"/>
                  <w:tcBorders>
                    <w:top w:val="single" w:color="auto" w:sz="4" w:space="0"/>
                    <w:left w:val="single" w:color="auto" w:sz="4" w:space="0"/>
                    <w:bottom w:val="single" w:color="auto" w:sz="4" w:space="0"/>
                    <w:right w:val="single" w:color="auto" w:sz="4" w:space="0"/>
                  </w:tcBorders>
                  <w:vAlign w:val="center"/>
                </w:tcPr>
                <w:p w14:paraId="66AD3217">
                  <w:pPr>
                    <w:jc w:val="left"/>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固废</w:t>
                  </w:r>
                </w:p>
              </w:tc>
              <w:tc>
                <w:tcPr>
                  <w:tcW w:w="3819" w:type="dxa"/>
                  <w:tcBorders>
                    <w:top w:val="single" w:color="auto" w:sz="4" w:space="0"/>
                    <w:left w:val="single" w:color="auto" w:sz="4" w:space="0"/>
                    <w:bottom w:val="single" w:color="auto" w:sz="4" w:space="0"/>
                    <w:right w:val="single" w:color="auto" w:sz="4" w:space="0"/>
                  </w:tcBorders>
                  <w:vAlign w:val="center"/>
                </w:tcPr>
                <w:p w14:paraId="0637BC48">
                  <w:pP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生产废料（含收尘灰）将返回作为生产原料；生活垃圾将依托现有垃圾桶收集后同当地农户生活垃圾一并处理；</w:t>
                  </w:r>
                </w:p>
                <w:p w14:paraId="2808394F">
                  <w:pP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湿式脱硫塔沉淀污泥为石膏，直接作为原料进入砖坯；</w:t>
                  </w:r>
                </w:p>
                <w:p w14:paraId="79E6004B">
                  <w:pP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废油与废手套暂时存放于危废间内，外委危废资质单位定期处理。</w:t>
                  </w:r>
                </w:p>
              </w:tc>
              <w:tc>
                <w:tcPr>
                  <w:tcW w:w="1080" w:type="dxa"/>
                  <w:tcBorders>
                    <w:top w:val="single" w:color="auto" w:sz="4" w:space="0"/>
                    <w:left w:val="single" w:color="auto" w:sz="4" w:space="0"/>
                    <w:bottom w:val="single" w:color="auto" w:sz="4" w:space="0"/>
                    <w:right w:val="single" w:color="auto" w:sz="4" w:space="0"/>
                  </w:tcBorders>
                  <w:vAlign w:val="center"/>
                </w:tcPr>
                <w:p w14:paraId="00EA6329">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w:t>
                  </w:r>
                </w:p>
              </w:tc>
              <w:tc>
                <w:tcPr>
                  <w:tcW w:w="964" w:type="dxa"/>
                  <w:tcBorders>
                    <w:top w:val="single" w:color="auto" w:sz="4" w:space="0"/>
                    <w:left w:val="single" w:color="auto" w:sz="4" w:space="0"/>
                    <w:bottom w:val="single" w:color="auto" w:sz="4" w:space="0"/>
                    <w:right w:val="single" w:color="auto" w:sz="4" w:space="0"/>
                  </w:tcBorders>
                  <w:vAlign w:val="center"/>
                </w:tcPr>
                <w:p w14:paraId="2327DE27">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w:t>
                  </w:r>
                </w:p>
              </w:tc>
              <w:tc>
                <w:tcPr>
                  <w:tcW w:w="667" w:type="dxa"/>
                  <w:tcBorders>
                    <w:top w:val="single" w:color="auto" w:sz="4" w:space="0"/>
                    <w:left w:val="single" w:color="auto" w:sz="4" w:space="0"/>
                    <w:bottom w:val="single" w:color="auto" w:sz="4" w:space="0"/>
                    <w:right w:val="single" w:color="auto" w:sz="4" w:space="0"/>
                  </w:tcBorders>
                  <w:vAlign w:val="center"/>
                </w:tcPr>
                <w:p w14:paraId="74E3E110">
                  <w:pPr>
                    <w:jc w:val="center"/>
                    <w:rPr>
                      <w:rFonts w:ascii="Times New Roman" w:hAnsi="Times New Roman" w:eastAsia="宋体" w:cs="Times New Roman"/>
                      <w:snapToGrid w:val="0"/>
                      <w:color w:val="000000"/>
                      <w:kern w:val="0"/>
                      <w:szCs w:val="21"/>
                    </w:rPr>
                  </w:pPr>
                  <w:r>
                    <w:rPr>
                      <w:rFonts w:ascii="Times New Roman" w:hAnsi="Times New Roman" w:eastAsia="宋体" w:cs="Times New Roman"/>
                      <w:snapToGrid w:val="0"/>
                      <w:color w:val="000000"/>
                      <w:kern w:val="0"/>
                      <w:szCs w:val="21"/>
                    </w:rPr>
                    <w:t>利旧</w:t>
                  </w:r>
                </w:p>
              </w:tc>
            </w:tr>
          </w:tbl>
          <w:p w14:paraId="6BA3444E">
            <w:pPr>
              <w:adjustRightInd w:val="0"/>
              <w:snapToGrid w:val="0"/>
              <w:spacing w:before="156" w:beforeLines="50" w:line="360" w:lineRule="auto"/>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4、主要生产设备</w:t>
            </w:r>
          </w:p>
          <w:p w14:paraId="00237D0A">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项目的主要生产设备见下表。</w:t>
            </w:r>
          </w:p>
          <w:p w14:paraId="22DEA321">
            <w:pPr>
              <w:adjustRightInd w:val="0"/>
              <w:snapToGrid w:val="0"/>
              <w:jc w:val="center"/>
              <w:rPr>
                <w:rFonts w:ascii="Times New Roman" w:hAnsi="Times New Roman" w:cs="Times New Roman"/>
                <w:b/>
                <w:color w:val="000000"/>
                <w:szCs w:val="21"/>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15</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ascii="Times New Roman" w:hAnsi="Times New Roman" w:eastAsia="宋体" w:cs="Times New Roman"/>
                <w:b/>
                <w:color w:val="000000"/>
                <w:sz w:val="24"/>
                <w:szCs w:val="21"/>
              </w:rPr>
              <w:t>项目主要生产设备一览表</w:t>
            </w:r>
          </w:p>
          <w:tbl>
            <w:tblPr>
              <w:tblStyle w:val="24"/>
              <w:tblW w:w="4983"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95"/>
              <w:gridCol w:w="2054"/>
              <w:gridCol w:w="2924"/>
              <w:gridCol w:w="757"/>
              <w:gridCol w:w="629"/>
              <w:gridCol w:w="727"/>
            </w:tblGrid>
            <w:tr w14:paraId="5CBF3E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1DDAD17B">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序号</w:t>
                  </w:r>
                </w:p>
              </w:tc>
              <w:tc>
                <w:tcPr>
                  <w:tcW w:w="1319" w:type="pct"/>
                  <w:vAlign w:val="center"/>
                </w:tcPr>
                <w:p w14:paraId="19311B4B">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设备名称</w:t>
                  </w:r>
                </w:p>
              </w:tc>
              <w:tc>
                <w:tcPr>
                  <w:tcW w:w="1878" w:type="pct"/>
                  <w:vAlign w:val="center"/>
                </w:tcPr>
                <w:p w14:paraId="55DE9A9F">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型号</w:t>
                  </w:r>
                </w:p>
              </w:tc>
              <w:tc>
                <w:tcPr>
                  <w:tcW w:w="486" w:type="pct"/>
                  <w:vAlign w:val="center"/>
                </w:tcPr>
                <w:p w14:paraId="06BFCB0D">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单位</w:t>
                  </w:r>
                </w:p>
              </w:tc>
              <w:tc>
                <w:tcPr>
                  <w:tcW w:w="404" w:type="pct"/>
                  <w:vAlign w:val="center"/>
                </w:tcPr>
                <w:p w14:paraId="0E304E6B">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数量</w:t>
                  </w:r>
                </w:p>
              </w:tc>
              <w:tc>
                <w:tcPr>
                  <w:tcW w:w="467" w:type="pct"/>
                  <w:vAlign w:val="center"/>
                </w:tcPr>
                <w:p w14:paraId="37C82B74">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备注</w:t>
                  </w:r>
                </w:p>
              </w:tc>
            </w:tr>
            <w:tr w14:paraId="1FA394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23FAE464">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1</w:t>
                  </w:r>
                </w:p>
              </w:tc>
              <w:tc>
                <w:tcPr>
                  <w:tcW w:w="1319" w:type="pct"/>
                  <w:vAlign w:val="center"/>
                </w:tcPr>
                <w:p w14:paraId="64579457">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胶带箱式给料机</w:t>
                  </w:r>
                </w:p>
              </w:tc>
              <w:tc>
                <w:tcPr>
                  <w:tcW w:w="1878" w:type="pct"/>
                  <w:vAlign w:val="center"/>
                </w:tcPr>
                <w:p w14:paraId="798CE8FC">
                  <w:pPr>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B800×6000mm，3kw变频调速</w:t>
                  </w:r>
                </w:p>
              </w:tc>
              <w:tc>
                <w:tcPr>
                  <w:tcW w:w="486" w:type="pct"/>
                  <w:vAlign w:val="center"/>
                </w:tcPr>
                <w:p w14:paraId="66D7E76B">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台</w:t>
                  </w:r>
                </w:p>
              </w:tc>
              <w:tc>
                <w:tcPr>
                  <w:tcW w:w="404" w:type="pct"/>
                  <w:vAlign w:val="center"/>
                </w:tcPr>
                <w:p w14:paraId="64C68ECD">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1</w:t>
                  </w:r>
                </w:p>
              </w:tc>
              <w:tc>
                <w:tcPr>
                  <w:tcW w:w="467" w:type="pct"/>
                  <w:vAlign w:val="center"/>
                </w:tcPr>
                <w:p w14:paraId="4DE665E6">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1A3EF1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31A1B766">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2</w:t>
                  </w:r>
                </w:p>
              </w:tc>
              <w:tc>
                <w:tcPr>
                  <w:tcW w:w="1319" w:type="pct"/>
                  <w:vAlign w:val="center"/>
                </w:tcPr>
                <w:p w14:paraId="43EF5DC8">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颚式破碎机</w:t>
                  </w:r>
                </w:p>
              </w:tc>
              <w:tc>
                <w:tcPr>
                  <w:tcW w:w="1878" w:type="pct"/>
                  <w:vAlign w:val="center"/>
                </w:tcPr>
                <w:p w14:paraId="6CEDE903">
                  <w:pPr>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PEF600×900，55kw</w:t>
                  </w:r>
                </w:p>
              </w:tc>
              <w:tc>
                <w:tcPr>
                  <w:tcW w:w="486" w:type="pct"/>
                  <w:vAlign w:val="center"/>
                </w:tcPr>
                <w:p w14:paraId="5CA06545">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台</w:t>
                  </w:r>
                </w:p>
              </w:tc>
              <w:tc>
                <w:tcPr>
                  <w:tcW w:w="404" w:type="pct"/>
                  <w:vAlign w:val="center"/>
                </w:tcPr>
                <w:p w14:paraId="6E0DA84B">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1</w:t>
                  </w:r>
                </w:p>
              </w:tc>
              <w:tc>
                <w:tcPr>
                  <w:tcW w:w="467" w:type="pct"/>
                  <w:vAlign w:val="center"/>
                </w:tcPr>
                <w:p w14:paraId="7962088D">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736465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35F92F70">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3</w:t>
                  </w:r>
                </w:p>
              </w:tc>
              <w:tc>
                <w:tcPr>
                  <w:tcW w:w="1319" w:type="pct"/>
                  <w:vAlign w:val="center"/>
                </w:tcPr>
                <w:p w14:paraId="68F894CE">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配煤系统</w:t>
                  </w:r>
                </w:p>
              </w:tc>
              <w:tc>
                <w:tcPr>
                  <w:tcW w:w="1878" w:type="pct"/>
                  <w:vAlign w:val="center"/>
                </w:tcPr>
                <w:p w14:paraId="06CB78A3">
                  <w:pPr>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PZW3 3kw</w:t>
                  </w:r>
                </w:p>
              </w:tc>
              <w:tc>
                <w:tcPr>
                  <w:tcW w:w="486" w:type="pct"/>
                  <w:vAlign w:val="center"/>
                </w:tcPr>
                <w:p w14:paraId="7261FC30">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套</w:t>
                  </w:r>
                </w:p>
              </w:tc>
              <w:tc>
                <w:tcPr>
                  <w:tcW w:w="404" w:type="pct"/>
                  <w:vAlign w:val="center"/>
                </w:tcPr>
                <w:p w14:paraId="365B9DDF">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1</w:t>
                  </w:r>
                </w:p>
              </w:tc>
              <w:tc>
                <w:tcPr>
                  <w:tcW w:w="467" w:type="pct"/>
                  <w:vAlign w:val="center"/>
                </w:tcPr>
                <w:p w14:paraId="03626152">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0DE378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4B1DD264">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4</w:t>
                  </w:r>
                </w:p>
              </w:tc>
              <w:tc>
                <w:tcPr>
                  <w:tcW w:w="1319" w:type="pct"/>
                  <w:vAlign w:val="center"/>
                </w:tcPr>
                <w:p w14:paraId="29349858">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胶带输送机</w:t>
                  </w:r>
                </w:p>
              </w:tc>
              <w:tc>
                <w:tcPr>
                  <w:tcW w:w="1878" w:type="pct"/>
                  <w:vAlign w:val="center"/>
                </w:tcPr>
                <w:p w14:paraId="307F288B">
                  <w:pPr>
                    <w:ind w:left="-105" w:leftChars="-50" w:right="-105" w:rightChars="-50"/>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B800×31600mm，0.8m/s，15kw</w:t>
                  </w:r>
                </w:p>
              </w:tc>
              <w:tc>
                <w:tcPr>
                  <w:tcW w:w="486" w:type="pct"/>
                  <w:vAlign w:val="center"/>
                </w:tcPr>
                <w:p w14:paraId="175E2CB0">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条</w:t>
                  </w:r>
                </w:p>
              </w:tc>
              <w:tc>
                <w:tcPr>
                  <w:tcW w:w="404" w:type="pct"/>
                  <w:vAlign w:val="center"/>
                </w:tcPr>
                <w:p w14:paraId="31AD8D7C">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1</w:t>
                  </w:r>
                </w:p>
              </w:tc>
              <w:tc>
                <w:tcPr>
                  <w:tcW w:w="467" w:type="pct"/>
                  <w:vAlign w:val="center"/>
                </w:tcPr>
                <w:p w14:paraId="7F4D6E92">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7E0F13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7665F480">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5</w:t>
                  </w:r>
                </w:p>
              </w:tc>
              <w:tc>
                <w:tcPr>
                  <w:tcW w:w="1319" w:type="pct"/>
                  <w:vAlign w:val="center"/>
                </w:tcPr>
                <w:p w14:paraId="0DDEB5C4">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锤式破碎机</w:t>
                  </w:r>
                </w:p>
              </w:tc>
              <w:tc>
                <w:tcPr>
                  <w:tcW w:w="1878" w:type="pct"/>
                  <w:vAlign w:val="center"/>
                </w:tcPr>
                <w:p w14:paraId="23D472A7">
                  <w:pPr>
                    <w:ind w:left="-105" w:leftChars="-50" w:right="-105" w:rightChars="-50"/>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PC1000×1300mm 250kw</w:t>
                  </w:r>
                </w:p>
              </w:tc>
              <w:tc>
                <w:tcPr>
                  <w:tcW w:w="486" w:type="pct"/>
                  <w:vAlign w:val="center"/>
                </w:tcPr>
                <w:p w14:paraId="75B47947">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台</w:t>
                  </w:r>
                </w:p>
              </w:tc>
              <w:tc>
                <w:tcPr>
                  <w:tcW w:w="404" w:type="pct"/>
                  <w:vAlign w:val="center"/>
                </w:tcPr>
                <w:p w14:paraId="31E1DDB6">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1</w:t>
                  </w:r>
                </w:p>
              </w:tc>
              <w:tc>
                <w:tcPr>
                  <w:tcW w:w="467" w:type="pct"/>
                  <w:vAlign w:val="center"/>
                </w:tcPr>
                <w:p w14:paraId="18B014DF">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141897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1DA35551">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6</w:t>
                  </w:r>
                </w:p>
              </w:tc>
              <w:tc>
                <w:tcPr>
                  <w:tcW w:w="1319" w:type="pct"/>
                  <w:vAlign w:val="center"/>
                </w:tcPr>
                <w:p w14:paraId="0B2BEBBF">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胶带输送机</w:t>
                  </w:r>
                </w:p>
              </w:tc>
              <w:tc>
                <w:tcPr>
                  <w:tcW w:w="1878" w:type="pct"/>
                  <w:vAlign w:val="center"/>
                </w:tcPr>
                <w:p w14:paraId="4EB11A15">
                  <w:pPr>
                    <w:ind w:left="-105" w:leftChars="-50" w:right="-105" w:rightChars="-50"/>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B800×15850mm 0.8m/s 4kw</w:t>
                  </w:r>
                </w:p>
              </w:tc>
              <w:tc>
                <w:tcPr>
                  <w:tcW w:w="486" w:type="pct"/>
                  <w:vAlign w:val="center"/>
                </w:tcPr>
                <w:p w14:paraId="46BF630A">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条</w:t>
                  </w:r>
                </w:p>
              </w:tc>
              <w:tc>
                <w:tcPr>
                  <w:tcW w:w="404" w:type="pct"/>
                  <w:vAlign w:val="center"/>
                </w:tcPr>
                <w:p w14:paraId="19CBA4A1">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1</w:t>
                  </w:r>
                </w:p>
              </w:tc>
              <w:tc>
                <w:tcPr>
                  <w:tcW w:w="467" w:type="pct"/>
                  <w:vAlign w:val="center"/>
                </w:tcPr>
                <w:p w14:paraId="59D78953">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25B162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20F500D7">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7</w:t>
                  </w:r>
                </w:p>
              </w:tc>
              <w:tc>
                <w:tcPr>
                  <w:tcW w:w="1319" w:type="pct"/>
                  <w:vAlign w:val="center"/>
                </w:tcPr>
                <w:p w14:paraId="48BADD0C">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回转筛</w:t>
                  </w:r>
                </w:p>
              </w:tc>
              <w:tc>
                <w:tcPr>
                  <w:tcW w:w="1878" w:type="pct"/>
                  <w:vAlign w:val="center"/>
                </w:tcPr>
                <w:p w14:paraId="7C037CF8">
                  <w:pPr>
                    <w:ind w:left="-105" w:leftChars="-50" w:right="-105" w:rightChars="-50"/>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φ2800×6000mm 11kw</w:t>
                  </w:r>
                </w:p>
              </w:tc>
              <w:tc>
                <w:tcPr>
                  <w:tcW w:w="486" w:type="pct"/>
                  <w:vAlign w:val="center"/>
                </w:tcPr>
                <w:p w14:paraId="6CC0BF79">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台</w:t>
                  </w:r>
                </w:p>
              </w:tc>
              <w:tc>
                <w:tcPr>
                  <w:tcW w:w="404" w:type="pct"/>
                  <w:vAlign w:val="center"/>
                </w:tcPr>
                <w:p w14:paraId="11918DE2">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1</w:t>
                  </w:r>
                </w:p>
              </w:tc>
              <w:tc>
                <w:tcPr>
                  <w:tcW w:w="467" w:type="pct"/>
                  <w:vAlign w:val="center"/>
                </w:tcPr>
                <w:p w14:paraId="11E0DB4B">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29CB4D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013D92D3">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8</w:t>
                  </w:r>
                </w:p>
              </w:tc>
              <w:tc>
                <w:tcPr>
                  <w:tcW w:w="1319" w:type="pct"/>
                  <w:vAlign w:val="center"/>
                </w:tcPr>
                <w:p w14:paraId="7488E8DE">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胶带输送机</w:t>
                  </w:r>
                </w:p>
              </w:tc>
              <w:tc>
                <w:tcPr>
                  <w:tcW w:w="1878" w:type="pct"/>
                  <w:vAlign w:val="center"/>
                </w:tcPr>
                <w:p w14:paraId="7D889216">
                  <w:pPr>
                    <w:ind w:left="-105" w:leftChars="-50" w:right="-105" w:rightChars="-50"/>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B800×16060mm 0.8m/s 7.5kw</w:t>
                  </w:r>
                </w:p>
              </w:tc>
              <w:tc>
                <w:tcPr>
                  <w:tcW w:w="486" w:type="pct"/>
                  <w:vAlign w:val="center"/>
                </w:tcPr>
                <w:p w14:paraId="4785762B">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条</w:t>
                  </w:r>
                </w:p>
              </w:tc>
              <w:tc>
                <w:tcPr>
                  <w:tcW w:w="404" w:type="pct"/>
                  <w:vAlign w:val="center"/>
                </w:tcPr>
                <w:p w14:paraId="028E63E9">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1</w:t>
                  </w:r>
                </w:p>
              </w:tc>
              <w:tc>
                <w:tcPr>
                  <w:tcW w:w="467" w:type="pct"/>
                  <w:vAlign w:val="center"/>
                </w:tcPr>
                <w:p w14:paraId="22EE5BBE">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19F187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73B9AB16">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9</w:t>
                  </w:r>
                </w:p>
              </w:tc>
              <w:tc>
                <w:tcPr>
                  <w:tcW w:w="1319" w:type="pct"/>
                  <w:vAlign w:val="center"/>
                </w:tcPr>
                <w:p w14:paraId="54E1873E">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胶带输出机（回粗料）</w:t>
                  </w:r>
                </w:p>
              </w:tc>
              <w:tc>
                <w:tcPr>
                  <w:tcW w:w="1878" w:type="pct"/>
                  <w:vAlign w:val="center"/>
                </w:tcPr>
                <w:p w14:paraId="5FAB784D">
                  <w:pPr>
                    <w:ind w:left="-105" w:leftChars="-50" w:right="-105" w:rightChars="-50"/>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B650×15170mm 0.8m/s 7.5kw</w:t>
                  </w:r>
                </w:p>
              </w:tc>
              <w:tc>
                <w:tcPr>
                  <w:tcW w:w="486" w:type="pct"/>
                  <w:vAlign w:val="center"/>
                </w:tcPr>
                <w:p w14:paraId="758066FC">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条</w:t>
                  </w:r>
                </w:p>
              </w:tc>
              <w:tc>
                <w:tcPr>
                  <w:tcW w:w="404" w:type="pct"/>
                  <w:vAlign w:val="center"/>
                </w:tcPr>
                <w:p w14:paraId="6CF49D07">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1</w:t>
                  </w:r>
                </w:p>
              </w:tc>
              <w:tc>
                <w:tcPr>
                  <w:tcW w:w="467" w:type="pct"/>
                  <w:vAlign w:val="center"/>
                </w:tcPr>
                <w:p w14:paraId="35040EC7">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001EAC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55E687A6">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10</w:t>
                  </w:r>
                </w:p>
              </w:tc>
              <w:tc>
                <w:tcPr>
                  <w:tcW w:w="1319" w:type="pct"/>
                  <w:vAlign w:val="center"/>
                </w:tcPr>
                <w:p w14:paraId="715C4A85">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螺旋式给料机</w:t>
                  </w:r>
                </w:p>
              </w:tc>
              <w:tc>
                <w:tcPr>
                  <w:tcW w:w="1878" w:type="pct"/>
                  <w:vAlign w:val="center"/>
                </w:tcPr>
                <w:p w14:paraId="1F668B36">
                  <w:pPr>
                    <w:ind w:left="-105" w:leftChars="-50" w:right="-105" w:rightChars="-50"/>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7.5kw（4级）</w:t>
                  </w:r>
                </w:p>
              </w:tc>
              <w:tc>
                <w:tcPr>
                  <w:tcW w:w="486" w:type="pct"/>
                  <w:vAlign w:val="center"/>
                </w:tcPr>
                <w:p w14:paraId="339FD19B">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台</w:t>
                  </w:r>
                </w:p>
              </w:tc>
              <w:tc>
                <w:tcPr>
                  <w:tcW w:w="404" w:type="pct"/>
                  <w:vAlign w:val="center"/>
                </w:tcPr>
                <w:p w14:paraId="1721CEAB">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1</w:t>
                  </w:r>
                </w:p>
              </w:tc>
              <w:tc>
                <w:tcPr>
                  <w:tcW w:w="467" w:type="pct"/>
                  <w:vAlign w:val="center"/>
                </w:tcPr>
                <w:p w14:paraId="297E4A1B">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008C53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51A92560">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11</w:t>
                  </w:r>
                </w:p>
              </w:tc>
              <w:tc>
                <w:tcPr>
                  <w:tcW w:w="1319" w:type="pct"/>
                  <w:vAlign w:val="center"/>
                </w:tcPr>
                <w:p w14:paraId="77FF5877">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双轴搅拌机</w:t>
                  </w:r>
                </w:p>
              </w:tc>
              <w:tc>
                <w:tcPr>
                  <w:tcW w:w="1878" w:type="pct"/>
                  <w:vAlign w:val="center"/>
                </w:tcPr>
                <w:p w14:paraId="5F3C8AB8">
                  <w:pPr>
                    <w:ind w:left="-105" w:leftChars="-50" w:right="-105" w:rightChars="-50"/>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4500型 75kw</w:t>
                  </w:r>
                </w:p>
              </w:tc>
              <w:tc>
                <w:tcPr>
                  <w:tcW w:w="486" w:type="pct"/>
                  <w:vAlign w:val="center"/>
                </w:tcPr>
                <w:p w14:paraId="714CE07D">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台</w:t>
                  </w:r>
                </w:p>
              </w:tc>
              <w:tc>
                <w:tcPr>
                  <w:tcW w:w="404" w:type="pct"/>
                  <w:vAlign w:val="center"/>
                </w:tcPr>
                <w:p w14:paraId="06BDE779">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1</w:t>
                  </w:r>
                </w:p>
              </w:tc>
              <w:tc>
                <w:tcPr>
                  <w:tcW w:w="467" w:type="pct"/>
                  <w:vAlign w:val="center"/>
                </w:tcPr>
                <w:p w14:paraId="0DE1C142">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327A7F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387E5C07">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12</w:t>
                  </w:r>
                </w:p>
              </w:tc>
              <w:tc>
                <w:tcPr>
                  <w:tcW w:w="1319" w:type="pct"/>
                  <w:vAlign w:val="center"/>
                </w:tcPr>
                <w:p w14:paraId="2E0AAFAA">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油环式真空泵</w:t>
                  </w:r>
                </w:p>
              </w:tc>
              <w:tc>
                <w:tcPr>
                  <w:tcW w:w="1878" w:type="pct"/>
                  <w:vAlign w:val="center"/>
                </w:tcPr>
                <w:p w14:paraId="33F91390">
                  <w:pPr>
                    <w:ind w:left="-105" w:leftChars="-50" w:right="-105" w:rightChars="-50"/>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MH2/200 11kw</w:t>
                  </w:r>
                </w:p>
              </w:tc>
              <w:tc>
                <w:tcPr>
                  <w:tcW w:w="486" w:type="pct"/>
                  <w:vAlign w:val="center"/>
                </w:tcPr>
                <w:p w14:paraId="3381202B">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台</w:t>
                  </w:r>
                </w:p>
              </w:tc>
              <w:tc>
                <w:tcPr>
                  <w:tcW w:w="404" w:type="pct"/>
                  <w:vAlign w:val="center"/>
                </w:tcPr>
                <w:p w14:paraId="79074959">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1</w:t>
                  </w:r>
                </w:p>
              </w:tc>
              <w:tc>
                <w:tcPr>
                  <w:tcW w:w="467" w:type="pct"/>
                  <w:vAlign w:val="center"/>
                </w:tcPr>
                <w:p w14:paraId="749C8B6C">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22FA16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6B7FFDBD">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13</w:t>
                  </w:r>
                </w:p>
              </w:tc>
              <w:tc>
                <w:tcPr>
                  <w:tcW w:w="1319" w:type="pct"/>
                  <w:vAlign w:val="center"/>
                </w:tcPr>
                <w:p w14:paraId="6932A350">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三级真空挤条机</w:t>
                  </w:r>
                </w:p>
              </w:tc>
              <w:tc>
                <w:tcPr>
                  <w:tcW w:w="1878" w:type="pct"/>
                  <w:vAlign w:val="center"/>
                </w:tcPr>
                <w:p w14:paraId="220C3AD0">
                  <w:pPr>
                    <w:ind w:left="-105" w:leftChars="-50" w:right="-105" w:rightChars="-50"/>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75-60-4.0mpa 315kw-132kw-22kw</w:t>
                  </w:r>
                </w:p>
              </w:tc>
              <w:tc>
                <w:tcPr>
                  <w:tcW w:w="486" w:type="pct"/>
                  <w:vAlign w:val="center"/>
                </w:tcPr>
                <w:p w14:paraId="24CFB32F">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套</w:t>
                  </w:r>
                </w:p>
              </w:tc>
              <w:tc>
                <w:tcPr>
                  <w:tcW w:w="404" w:type="pct"/>
                  <w:vAlign w:val="center"/>
                </w:tcPr>
                <w:p w14:paraId="25CEA3E6">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1</w:t>
                  </w:r>
                </w:p>
              </w:tc>
              <w:tc>
                <w:tcPr>
                  <w:tcW w:w="467" w:type="pct"/>
                  <w:vAlign w:val="center"/>
                </w:tcPr>
                <w:p w14:paraId="387CFCAD">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5A96A3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683A4DBE">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14</w:t>
                  </w:r>
                </w:p>
              </w:tc>
              <w:tc>
                <w:tcPr>
                  <w:tcW w:w="1319" w:type="pct"/>
                  <w:vAlign w:val="center"/>
                </w:tcPr>
                <w:p w14:paraId="4C88F7A7">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自动切条机</w:t>
                  </w:r>
                </w:p>
              </w:tc>
              <w:tc>
                <w:tcPr>
                  <w:tcW w:w="1878" w:type="pct"/>
                  <w:vAlign w:val="center"/>
                </w:tcPr>
                <w:p w14:paraId="7AD8B705">
                  <w:pPr>
                    <w:ind w:left="-105" w:leftChars="-50" w:right="-105" w:rightChars="-50"/>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3kw</w:t>
                  </w:r>
                </w:p>
              </w:tc>
              <w:tc>
                <w:tcPr>
                  <w:tcW w:w="486" w:type="pct"/>
                  <w:vAlign w:val="center"/>
                </w:tcPr>
                <w:p w14:paraId="72DA24CD">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台</w:t>
                  </w:r>
                </w:p>
              </w:tc>
              <w:tc>
                <w:tcPr>
                  <w:tcW w:w="404" w:type="pct"/>
                  <w:vAlign w:val="center"/>
                </w:tcPr>
                <w:p w14:paraId="1587E01B">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1</w:t>
                  </w:r>
                </w:p>
              </w:tc>
              <w:tc>
                <w:tcPr>
                  <w:tcW w:w="467" w:type="pct"/>
                  <w:vAlign w:val="center"/>
                </w:tcPr>
                <w:p w14:paraId="2652FF2F">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415364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5F10C789">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15</w:t>
                  </w:r>
                </w:p>
              </w:tc>
              <w:tc>
                <w:tcPr>
                  <w:tcW w:w="1319" w:type="pct"/>
                  <w:vAlign w:val="center"/>
                </w:tcPr>
                <w:p w14:paraId="5A9D2054">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自动切坯机</w:t>
                  </w:r>
                </w:p>
              </w:tc>
              <w:tc>
                <w:tcPr>
                  <w:tcW w:w="1878" w:type="pct"/>
                  <w:vAlign w:val="center"/>
                </w:tcPr>
                <w:p w14:paraId="12100C19">
                  <w:pPr>
                    <w:ind w:left="-105" w:leftChars="-50" w:right="-105" w:rightChars="-50"/>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5.5kw</w:t>
                  </w:r>
                </w:p>
              </w:tc>
              <w:tc>
                <w:tcPr>
                  <w:tcW w:w="486" w:type="pct"/>
                  <w:vAlign w:val="center"/>
                </w:tcPr>
                <w:p w14:paraId="4F1A895E">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台</w:t>
                  </w:r>
                </w:p>
              </w:tc>
              <w:tc>
                <w:tcPr>
                  <w:tcW w:w="404" w:type="pct"/>
                  <w:vAlign w:val="center"/>
                </w:tcPr>
                <w:p w14:paraId="60F97323">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1</w:t>
                  </w:r>
                </w:p>
              </w:tc>
              <w:tc>
                <w:tcPr>
                  <w:tcW w:w="467" w:type="pct"/>
                  <w:vAlign w:val="center"/>
                </w:tcPr>
                <w:p w14:paraId="7696A15B">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677BF5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6F29A7B3">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16</w:t>
                  </w:r>
                </w:p>
              </w:tc>
              <w:tc>
                <w:tcPr>
                  <w:tcW w:w="1319" w:type="pct"/>
                  <w:vAlign w:val="center"/>
                </w:tcPr>
                <w:p w14:paraId="0A2D325E">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胶带输送机</w:t>
                  </w:r>
                </w:p>
              </w:tc>
              <w:tc>
                <w:tcPr>
                  <w:tcW w:w="1878" w:type="pct"/>
                  <w:vAlign w:val="center"/>
                </w:tcPr>
                <w:p w14:paraId="22A1E7AB">
                  <w:pPr>
                    <w:ind w:left="-105" w:leftChars="-50" w:right="-105" w:rightChars="-50"/>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B800×28000mm 0.8m/s 7.5kw</w:t>
                  </w:r>
                </w:p>
              </w:tc>
              <w:tc>
                <w:tcPr>
                  <w:tcW w:w="486" w:type="pct"/>
                  <w:vAlign w:val="center"/>
                </w:tcPr>
                <w:p w14:paraId="2C4B9E77">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条</w:t>
                  </w:r>
                </w:p>
              </w:tc>
              <w:tc>
                <w:tcPr>
                  <w:tcW w:w="404" w:type="pct"/>
                  <w:vAlign w:val="center"/>
                </w:tcPr>
                <w:p w14:paraId="1BEEA2A1">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1</w:t>
                  </w:r>
                </w:p>
              </w:tc>
              <w:tc>
                <w:tcPr>
                  <w:tcW w:w="467" w:type="pct"/>
                  <w:vAlign w:val="center"/>
                </w:tcPr>
                <w:p w14:paraId="1BB27496">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06D1CD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4D8DB9A9">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17</w:t>
                  </w:r>
                </w:p>
              </w:tc>
              <w:tc>
                <w:tcPr>
                  <w:tcW w:w="1319" w:type="pct"/>
                  <w:vAlign w:val="center"/>
                </w:tcPr>
                <w:p w14:paraId="0BC9F6FB">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胶带输送机</w:t>
                  </w:r>
                </w:p>
              </w:tc>
              <w:tc>
                <w:tcPr>
                  <w:tcW w:w="1878" w:type="pct"/>
                  <w:vAlign w:val="center"/>
                </w:tcPr>
                <w:p w14:paraId="7EC882A8">
                  <w:pPr>
                    <w:ind w:left="-105" w:leftChars="-50" w:right="-105" w:rightChars="-50"/>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B800×43500mm 0.8m/s 7.5kw</w:t>
                  </w:r>
                </w:p>
              </w:tc>
              <w:tc>
                <w:tcPr>
                  <w:tcW w:w="486" w:type="pct"/>
                  <w:vAlign w:val="center"/>
                </w:tcPr>
                <w:p w14:paraId="24787DEA">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条</w:t>
                  </w:r>
                </w:p>
              </w:tc>
              <w:tc>
                <w:tcPr>
                  <w:tcW w:w="404" w:type="pct"/>
                  <w:vAlign w:val="center"/>
                </w:tcPr>
                <w:p w14:paraId="718FAF87">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1</w:t>
                  </w:r>
                </w:p>
              </w:tc>
              <w:tc>
                <w:tcPr>
                  <w:tcW w:w="467" w:type="pct"/>
                  <w:vAlign w:val="center"/>
                </w:tcPr>
                <w:p w14:paraId="1B6FCECA">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257E03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68AFA1F5">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18</w:t>
                  </w:r>
                </w:p>
              </w:tc>
              <w:tc>
                <w:tcPr>
                  <w:tcW w:w="1319" w:type="pct"/>
                  <w:vAlign w:val="center"/>
                </w:tcPr>
                <w:p w14:paraId="0D3952BF">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胶带输送机（废坯回料1）</w:t>
                  </w:r>
                </w:p>
              </w:tc>
              <w:tc>
                <w:tcPr>
                  <w:tcW w:w="1878" w:type="pct"/>
                  <w:vAlign w:val="center"/>
                </w:tcPr>
                <w:p w14:paraId="5C9D2A6E">
                  <w:pPr>
                    <w:ind w:left="-105" w:leftChars="-50" w:right="-105" w:rightChars="-50"/>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B650×13280mm 0.6m/s 7.5kw</w:t>
                  </w:r>
                </w:p>
              </w:tc>
              <w:tc>
                <w:tcPr>
                  <w:tcW w:w="486" w:type="pct"/>
                  <w:vAlign w:val="center"/>
                </w:tcPr>
                <w:p w14:paraId="506A6A1C">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条</w:t>
                  </w:r>
                </w:p>
              </w:tc>
              <w:tc>
                <w:tcPr>
                  <w:tcW w:w="404" w:type="pct"/>
                  <w:vAlign w:val="center"/>
                </w:tcPr>
                <w:p w14:paraId="6FF2A8E3">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1</w:t>
                  </w:r>
                </w:p>
              </w:tc>
              <w:tc>
                <w:tcPr>
                  <w:tcW w:w="467" w:type="pct"/>
                  <w:vAlign w:val="center"/>
                </w:tcPr>
                <w:p w14:paraId="55AB84FE">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70A4A6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61C7549E">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19</w:t>
                  </w:r>
                </w:p>
              </w:tc>
              <w:tc>
                <w:tcPr>
                  <w:tcW w:w="1319" w:type="pct"/>
                  <w:vAlign w:val="center"/>
                </w:tcPr>
                <w:p w14:paraId="3345FF00">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胶带输送机（废坯回料2）</w:t>
                  </w:r>
                </w:p>
              </w:tc>
              <w:tc>
                <w:tcPr>
                  <w:tcW w:w="1878" w:type="pct"/>
                  <w:vAlign w:val="center"/>
                </w:tcPr>
                <w:p w14:paraId="3C93CC40">
                  <w:pPr>
                    <w:ind w:left="-105" w:leftChars="-50" w:right="-105" w:rightChars="-50"/>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B650×76200mm 0.6m/s 7.5kw</w:t>
                  </w:r>
                </w:p>
              </w:tc>
              <w:tc>
                <w:tcPr>
                  <w:tcW w:w="486" w:type="pct"/>
                  <w:vAlign w:val="center"/>
                </w:tcPr>
                <w:p w14:paraId="2790DD10">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条</w:t>
                  </w:r>
                </w:p>
              </w:tc>
              <w:tc>
                <w:tcPr>
                  <w:tcW w:w="404" w:type="pct"/>
                  <w:vAlign w:val="center"/>
                </w:tcPr>
                <w:p w14:paraId="6979499D">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1</w:t>
                  </w:r>
                </w:p>
              </w:tc>
              <w:tc>
                <w:tcPr>
                  <w:tcW w:w="467" w:type="pct"/>
                  <w:vAlign w:val="center"/>
                </w:tcPr>
                <w:p w14:paraId="78CF47D7">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44ACE1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2D778395">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20</w:t>
                  </w:r>
                </w:p>
              </w:tc>
              <w:tc>
                <w:tcPr>
                  <w:tcW w:w="1319" w:type="pct"/>
                  <w:vAlign w:val="center"/>
                </w:tcPr>
                <w:p w14:paraId="1060C704">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成品打捆机</w:t>
                  </w:r>
                </w:p>
              </w:tc>
              <w:tc>
                <w:tcPr>
                  <w:tcW w:w="1878" w:type="pct"/>
                  <w:vAlign w:val="center"/>
                </w:tcPr>
                <w:p w14:paraId="326FAE0F">
                  <w:pPr>
                    <w:ind w:left="-105" w:leftChars="-50" w:right="-105" w:rightChars="-50"/>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w:t>
                  </w:r>
                </w:p>
              </w:tc>
              <w:tc>
                <w:tcPr>
                  <w:tcW w:w="486" w:type="pct"/>
                  <w:vAlign w:val="center"/>
                </w:tcPr>
                <w:p w14:paraId="76F09099">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台</w:t>
                  </w:r>
                </w:p>
              </w:tc>
              <w:tc>
                <w:tcPr>
                  <w:tcW w:w="404" w:type="pct"/>
                  <w:vAlign w:val="center"/>
                </w:tcPr>
                <w:p w14:paraId="3AF5394D">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1</w:t>
                  </w:r>
                </w:p>
              </w:tc>
              <w:tc>
                <w:tcPr>
                  <w:tcW w:w="467" w:type="pct"/>
                  <w:vAlign w:val="center"/>
                </w:tcPr>
                <w:p w14:paraId="0A501BF0">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新增</w:t>
                  </w:r>
                </w:p>
              </w:tc>
            </w:tr>
            <w:tr w14:paraId="75BD00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0910D24B">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21</w:t>
                  </w:r>
                </w:p>
              </w:tc>
              <w:tc>
                <w:tcPr>
                  <w:tcW w:w="1319" w:type="pct"/>
                  <w:vAlign w:val="center"/>
                </w:tcPr>
                <w:p w14:paraId="3014C68F">
                  <w:pPr>
                    <w:jc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烟气净化装置</w:t>
                  </w:r>
                </w:p>
              </w:tc>
              <w:tc>
                <w:tcPr>
                  <w:tcW w:w="1878" w:type="pct"/>
                  <w:vAlign w:val="center"/>
                </w:tcPr>
                <w:p w14:paraId="0E7BFBBC">
                  <w:pPr>
                    <w:ind w:left="-105" w:leftChars="-50" w:right="-105" w:rightChars="-50"/>
                    <w:jc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φ4500mm×15000mm</w:t>
                  </w:r>
                </w:p>
              </w:tc>
              <w:tc>
                <w:tcPr>
                  <w:tcW w:w="486" w:type="pct"/>
                  <w:vAlign w:val="center"/>
                </w:tcPr>
                <w:p w14:paraId="7DEB3E4E">
                  <w:pPr>
                    <w:jc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套</w:t>
                  </w:r>
                </w:p>
              </w:tc>
              <w:tc>
                <w:tcPr>
                  <w:tcW w:w="404" w:type="pct"/>
                  <w:vAlign w:val="center"/>
                </w:tcPr>
                <w:p w14:paraId="21F7AA2F">
                  <w:pPr>
                    <w:jc w:val="center"/>
                    <w:rPr>
                      <w:rFonts w:ascii="Times New Roman" w:hAnsi="Times New Roman" w:eastAsia="宋体" w:cs="Times New Roman"/>
                      <w:color w:val="000000"/>
                      <w:kern w:val="0"/>
                      <w:szCs w:val="21"/>
                      <w:lang w:bidi="ar"/>
                    </w:rPr>
                  </w:pPr>
                  <w:r>
                    <w:rPr>
                      <w:rFonts w:ascii="Times New Roman" w:hAnsi="Times New Roman" w:eastAsia="宋体" w:cs="Times New Roman"/>
                      <w:color w:val="000000"/>
                      <w:kern w:val="0"/>
                      <w:szCs w:val="21"/>
                      <w:lang w:bidi="ar"/>
                    </w:rPr>
                    <w:t>2</w:t>
                  </w:r>
                </w:p>
              </w:tc>
              <w:tc>
                <w:tcPr>
                  <w:tcW w:w="467" w:type="pct"/>
                  <w:vAlign w:val="center"/>
                </w:tcPr>
                <w:p w14:paraId="5BC23784">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利旧</w:t>
                  </w:r>
                </w:p>
              </w:tc>
            </w:tr>
            <w:tr w14:paraId="4B214B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79AAAB7D">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22</w:t>
                  </w:r>
                </w:p>
              </w:tc>
              <w:tc>
                <w:tcPr>
                  <w:tcW w:w="1319" w:type="pct"/>
                  <w:vAlign w:val="center"/>
                </w:tcPr>
                <w:p w14:paraId="67B201EA">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布袋除尘器</w:t>
                  </w:r>
                </w:p>
              </w:tc>
              <w:tc>
                <w:tcPr>
                  <w:tcW w:w="1878" w:type="pct"/>
                  <w:vAlign w:val="center"/>
                </w:tcPr>
                <w:p w14:paraId="7FC49ACA">
                  <w:pPr>
                    <w:ind w:left="-105" w:leftChars="-50" w:right="-105" w:rightChars="-50"/>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rPr>
                    <w:t>风量5000m</w:t>
                  </w:r>
                  <w:r>
                    <w:rPr>
                      <w:rFonts w:ascii="Times New Roman" w:hAnsi="Times New Roman" w:eastAsia="宋体" w:cs="Times New Roman"/>
                      <w:color w:val="000000"/>
                      <w:kern w:val="0"/>
                      <w:szCs w:val="21"/>
                      <w:vertAlign w:val="superscript"/>
                    </w:rPr>
                    <w:t>3</w:t>
                  </w:r>
                  <w:r>
                    <w:rPr>
                      <w:rFonts w:ascii="Times New Roman" w:hAnsi="Times New Roman" w:eastAsia="宋体" w:cs="Times New Roman"/>
                      <w:color w:val="000000"/>
                      <w:kern w:val="0"/>
                      <w:szCs w:val="21"/>
                    </w:rPr>
                    <w:t>/h</w:t>
                  </w:r>
                </w:p>
              </w:tc>
              <w:tc>
                <w:tcPr>
                  <w:tcW w:w="486" w:type="pct"/>
                  <w:vAlign w:val="center"/>
                </w:tcPr>
                <w:p w14:paraId="6FF7FA33">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套</w:t>
                  </w:r>
                </w:p>
              </w:tc>
              <w:tc>
                <w:tcPr>
                  <w:tcW w:w="404" w:type="pct"/>
                  <w:vAlign w:val="center"/>
                </w:tcPr>
                <w:p w14:paraId="31AE23B6">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1</w:t>
                  </w:r>
                </w:p>
              </w:tc>
              <w:tc>
                <w:tcPr>
                  <w:tcW w:w="467" w:type="pct"/>
                  <w:vAlign w:val="center"/>
                </w:tcPr>
                <w:p w14:paraId="0A5FA8D6">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182C10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445EFB21">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23</w:t>
                  </w:r>
                </w:p>
              </w:tc>
              <w:tc>
                <w:tcPr>
                  <w:tcW w:w="1319" w:type="pct"/>
                  <w:vAlign w:val="center"/>
                </w:tcPr>
                <w:p w14:paraId="5202F4A6">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轴流通风机</w:t>
                  </w:r>
                </w:p>
              </w:tc>
              <w:tc>
                <w:tcPr>
                  <w:tcW w:w="1878" w:type="pct"/>
                  <w:vAlign w:val="center"/>
                </w:tcPr>
                <w:p w14:paraId="67B28C61">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MDZYZ130-104A-6型20# 132kw 2100pa 310000m</w:t>
                  </w:r>
                  <w:r>
                    <w:rPr>
                      <w:rFonts w:ascii="Times New Roman" w:hAnsi="Times New Roman" w:eastAsia="宋体" w:cs="Times New Roman"/>
                      <w:color w:val="000000"/>
                      <w:kern w:val="0"/>
                      <w:szCs w:val="21"/>
                      <w:vertAlign w:val="superscript"/>
                      <w:lang w:bidi="ar"/>
                    </w:rPr>
                    <w:t>3</w:t>
                  </w:r>
                  <w:r>
                    <w:rPr>
                      <w:rFonts w:ascii="Times New Roman" w:hAnsi="Times New Roman" w:eastAsia="宋体" w:cs="Times New Roman"/>
                      <w:color w:val="000000"/>
                      <w:kern w:val="0"/>
                      <w:szCs w:val="21"/>
                      <w:lang w:bidi="ar"/>
                    </w:rPr>
                    <w:t>/h</w:t>
                  </w:r>
                </w:p>
              </w:tc>
              <w:tc>
                <w:tcPr>
                  <w:tcW w:w="486" w:type="pct"/>
                  <w:vAlign w:val="center"/>
                </w:tcPr>
                <w:p w14:paraId="44E666D9">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台</w:t>
                  </w:r>
                </w:p>
              </w:tc>
              <w:tc>
                <w:tcPr>
                  <w:tcW w:w="404" w:type="pct"/>
                  <w:vAlign w:val="center"/>
                </w:tcPr>
                <w:p w14:paraId="11803139">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1</w:t>
                  </w:r>
                </w:p>
              </w:tc>
              <w:tc>
                <w:tcPr>
                  <w:tcW w:w="467" w:type="pct"/>
                  <w:vAlign w:val="center"/>
                </w:tcPr>
                <w:p w14:paraId="654B2F58">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r w14:paraId="74C55C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446" w:type="pct"/>
                  <w:vAlign w:val="center"/>
                </w:tcPr>
                <w:p w14:paraId="75DB8FB1">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24</w:t>
                  </w:r>
                </w:p>
              </w:tc>
              <w:tc>
                <w:tcPr>
                  <w:tcW w:w="1319" w:type="pct"/>
                  <w:vAlign w:val="center"/>
                </w:tcPr>
                <w:p w14:paraId="0C65B18E">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轴流通风机</w:t>
                  </w:r>
                </w:p>
              </w:tc>
              <w:tc>
                <w:tcPr>
                  <w:tcW w:w="1878" w:type="pct"/>
                  <w:vAlign w:val="center"/>
                </w:tcPr>
                <w:p w14:paraId="673FA56D">
                  <w:pPr>
                    <w:ind w:left="-105" w:leftChars="-50" w:right="-105" w:rightChars="-50"/>
                    <w:jc w:val="center"/>
                    <w:rPr>
                      <w:rFonts w:ascii="Times New Roman" w:hAnsi="Times New Roman" w:eastAsia="Times New Roman" w:cs="Times New Roman"/>
                      <w:color w:val="000000"/>
                      <w:kern w:val="0"/>
                      <w:szCs w:val="21"/>
                      <w:lang w:bidi="ar"/>
                    </w:rPr>
                  </w:pPr>
                  <w:r>
                    <w:rPr>
                      <w:rFonts w:ascii="Times New Roman" w:hAnsi="Times New Roman" w:eastAsia="宋体" w:cs="Times New Roman"/>
                      <w:color w:val="000000"/>
                      <w:kern w:val="0"/>
                      <w:szCs w:val="21"/>
                      <w:lang w:bidi="ar"/>
                    </w:rPr>
                    <w:t>MDZYZ130-104A-6型18# 75kw 1400pa 185000m</w:t>
                  </w:r>
                  <w:r>
                    <w:rPr>
                      <w:rFonts w:ascii="Times New Roman" w:hAnsi="Times New Roman" w:eastAsia="宋体" w:cs="Times New Roman"/>
                      <w:color w:val="000000"/>
                      <w:kern w:val="0"/>
                      <w:szCs w:val="21"/>
                      <w:vertAlign w:val="superscript"/>
                      <w:lang w:bidi="ar"/>
                    </w:rPr>
                    <w:t>3</w:t>
                  </w:r>
                  <w:r>
                    <w:rPr>
                      <w:rFonts w:ascii="Times New Roman" w:hAnsi="Times New Roman" w:eastAsia="宋体" w:cs="Times New Roman"/>
                      <w:color w:val="000000"/>
                      <w:kern w:val="0"/>
                      <w:szCs w:val="21"/>
                      <w:lang w:bidi="ar"/>
                    </w:rPr>
                    <w:t>/h</w:t>
                  </w:r>
                </w:p>
              </w:tc>
              <w:tc>
                <w:tcPr>
                  <w:tcW w:w="486" w:type="pct"/>
                  <w:vAlign w:val="center"/>
                </w:tcPr>
                <w:p w14:paraId="5AAB00C8">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台</w:t>
                  </w:r>
                </w:p>
              </w:tc>
              <w:tc>
                <w:tcPr>
                  <w:tcW w:w="404" w:type="pct"/>
                  <w:vAlign w:val="center"/>
                </w:tcPr>
                <w:p w14:paraId="1768BEF0">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lang w:bidi="ar"/>
                    </w:rPr>
                    <w:t>3</w:t>
                  </w:r>
                </w:p>
              </w:tc>
              <w:tc>
                <w:tcPr>
                  <w:tcW w:w="467" w:type="pct"/>
                  <w:vAlign w:val="center"/>
                </w:tcPr>
                <w:p w14:paraId="572A3137">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利旧</w:t>
                  </w:r>
                </w:p>
              </w:tc>
            </w:tr>
          </w:tbl>
          <w:p w14:paraId="6B05F90D">
            <w:pPr>
              <w:adjustRightInd w:val="0"/>
              <w:snapToGrid w:val="0"/>
              <w:spacing w:before="240" w:line="360" w:lineRule="auto"/>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5、主要原辅材料</w:t>
            </w:r>
          </w:p>
          <w:p w14:paraId="3A168B99">
            <w:pPr>
              <w:adjustRightInd w:val="0"/>
              <w:snapToGrid w:val="0"/>
              <w:spacing w:line="360" w:lineRule="auto"/>
              <w:ind w:firstLine="480" w:firstLineChars="200"/>
              <w:rPr>
                <w:rFonts w:ascii="Times New Roman" w:hAnsi="Times New Roman" w:eastAsia="宋体" w:cs="Times New Roman"/>
                <w:color w:val="000000"/>
                <w:szCs w:val="24"/>
              </w:rPr>
            </w:pPr>
            <w:r>
              <w:rPr>
                <w:rFonts w:ascii="Times New Roman" w:hAnsi="Times New Roman" w:eastAsia="宋体" w:cs="Times New Roman"/>
                <w:color w:val="000000"/>
                <w:sz w:val="24"/>
                <w:szCs w:val="24"/>
              </w:rPr>
              <w:t>本项目掺烧固废为国家市场管理监督总局、国家标准化管理委员会发布的《一般固体废物分类与代码》（GB/T39198-2020）中明确的一般工业固体废物，主要原辅材料名称及消耗数量见下表。</w:t>
            </w:r>
          </w:p>
          <w:p w14:paraId="25A6B18C">
            <w:pPr>
              <w:adjustRightInd w:val="0"/>
              <w:snapToGrid w:val="0"/>
              <w:jc w:val="center"/>
              <w:rPr>
                <w:rFonts w:ascii="Times New Roman" w:hAnsi="Times New Roman" w:eastAsia="宋体" w:cs="Times New Roman"/>
                <w:b/>
                <w:color w:val="000000"/>
                <w:szCs w:val="21"/>
              </w:rPr>
            </w:pPr>
            <w:bookmarkStart w:id="11" w:name="_Ref140571864"/>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16</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ascii="Times New Roman" w:hAnsi="Times New Roman" w:eastAsia="宋体" w:cs="Times New Roman"/>
                <w:b/>
                <w:color w:val="000000"/>
                <w:szCs w:val="21"/>
              </w:rPr>
              <w:t>主要原辅材料及能源消耗一览表</w:t>
            </w:r>
            <w:bookmarkEnd w:id="11"/>
          </w:p>
          <w:tbl>
            <w:tblPr>
              <w:tblStyle w:val="24"/>
              <w:tblW w:w="494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6"/>
              <w:gridCol w:w="322"/>
              <w:gridCol w:w="986"/>
              <w:gridCol w:w="846"/>
              <w:gridCol w:w="1154"/>
              <w:gridCol w:w="1288"/>
              <w:gridCol w:w="883"/>
              <w:gridCol w:w="740"/>
              <w:gridCol w:w="1018"/>
            </w:tblGrid>
            <w:tr w14:paraId="286763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1165" w:type="pct"/>
                  <w:gridSpan w:val="3"/>
                  <w:tcBorders>
                    <w:top w:val="single" w:color="auto" w:sz="4" w:space="0"/>
                    <w:left w:val="single" w:color="auto" w:sz="4" w:space="0"/>
                    <w:bottom w:val="single" w:color="auto" w:sz="4" w:space="0"/>
                    <w:right w:val="single" w:color="auto" w:sz="4" w:space="0"/>
                  </w:tcBorders>
                  <w:vAlign w:val="center"/>
                </w:tcPr>
                <w:p w14:paraId="5E556D91">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名称</w:t>
                  </w:r>
                </w:p>
              </w:tc>
              <w:tc>
                <w:tcPr>
                  <w:tcW w:w="544" w:type="pct"/>
                  <w:tcBorders>
                    <w:top w:val="single" w:color="auto" w:sz="4" w:space="0"/>
                    <w:left w:val="single" w:color="auto" w:sz="4" w:space="0"/>
                    <w:bottom w:val="single" w:color="auto" w:sz="4" w:space="0"/>
                    <w:right w:val="single" w:color="auto" w:sz="4" w:space="0"/>
                  </w:tcBorders>
                  <w:vAlign w:val="center"/>
                </w:tcPr>
                <w:p w14:paraId="1BA2349F">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技改前年耗量（t/a）</w:t>
                  </w:r>
                </w:p>
              </w:tc>
              <w:tc>
                <w:tcPr>
                  <w:tcW w:w="746" w:type="pct"/>
                  <w:tcBorders>
                    <w:top w:val="single" w:color="auto" w:sz="4" w:space="0"/>
                    <w:left w:val="single" w:color="auto" w:sz="4" w:space="0"/>
                    <w:bottom w:val="single" w:color="auto" w:sz="4" w:space="0"/>
                    <w:right w:val="single" w:color="auto" w:sz="4" w:space="0"/>
                  </w:tcBorders>
                  <w:vAlign w:val="center"/>
                </w:tcPr>
                <w:p w14:paraId="38A81631">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技改后年耗量（t/a）</w:t>
                  </w:r>
                </w:p>
              </w:tc>
              <w:tc>
                <w:tcPr>
                  <w:tcW w:w="833" w:type="pct"/>
                  <w:tcBorders>
                    <w:top w:val="single" w:color="auto" w:sz="4" w:space="0"/>
                    <w:left w:val="single" w:color="auto" w:sz="4" w:space="0"/>
                    <w:bottom w:val="single" w:color="auto" w:sz="4" w:space="0"/>
                    <w:right w:val="single" w:color="auto" w:sz="4" w:space="0"/>
                  </w:tcBorders>
                  <w:vAlign w:val="center"/>
                </w:tcPr>
                <w:p w14:paraId="69C47F72">
                  <w:pPr>
                    <w:ind w:left="-63" w:leftChars="-30" w:right="-63" w:rightChars="-3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变化量（t/a）</w:t>
                  </w:r>
                </w:p>
              </w:tc>
              <w:tc>
                <w:tcPr>
                  <w:tcW w:w="571" w:type="pct"/>
                  <w:tcBorders>
                    <w:top w:val="single" w:color="auto" w:sz="4" w:space="0"/>
                    <w:left w:val="single" w:color="auto" w:sz="4" w:space="0"/>
                    <w:bottom w:val="single" w:color="auto" w:sz="4" w:space="0"/>
                    <w:right w:val="single" w:color="auto" w:sz="4" w:space="0"/>
                  </w:tcBorders>
                  <w:vAlign w:val="center"/>
                </w:tcPr>
                <w:p w14:paraId="5CDA4792">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形态</w:t>
                  </w:r>
                </w:p>
              </w:tc>
              <w:tc>
                <w:tcPr>
                  <w:tcW w:w="479" w:type="pct"/>
                  <w:tcBorders>
                    <w:top w:val="single" w:color="auto" w:sz="4" w:space="0"/>
                    <w:left w:val="single" w:color="auto" w:sz="4" w:space="0"/>
                    <w:bottom w:val="single" w:color="auto" w:sz="4" w:space="0"/>
                    <w:right w:val="single" w:color="auto" w:sz="4" w:space="0"/>
                  </w:tcBorders>
                  <w:vAlign w:val="center"/>
                </w:tcPr>
                <w:p w14:paraId="1BBA5563">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来源</w:t>
                  </w:r>
                </w:p>
              </w:tc>
              <w:tc>
                <w:tcPr>
                  <w:tcW w:w="658" w:type="pct"/>
                  <w:tcBorders>
                    <w:top w:val="single" w:color="auto" w:sz="4" w:space="0"/>
                    <w:left w:val="single" w:color="auto" w:sz="4" w:space="0"/>
                    <w:bottom w:val="single" w:color="auto" w:sz="4" w:space="0"/>
                    <w:right w:val="single" w:color="auto" w:sz="4" w:space="0"/>
                  </w:tcBorders>
                </w:tcPr>
                <w:p w14:paraId="63D9B05E">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储运方式及储存位置</w:t>
                  </w:r>
                </w:p>
              </w:tc>
            </w:tr>
            <w:tr w14:paraId="7A411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321" w:type="pct"/>
                  <w:vMerge w:val="restart"/>
                  <w:tcBorders>
                    <w:top w:val="single" w:color="auto" w:sz="4" w:space="0"/>
                    <w:left w:val="single" w:color="auto" w:sz="4" w:space="0"/>
                    <w:bottom w:val="single" w:color="auto" w:sz="4" w:space="0"/>
                    <w:right w:val="single" w:color="auto" w:sz="4" w:space="0"/>
                  </w:tcBorders>
                  <w:vAlign w:val="center"/>
                </w:tcPr>
                <w:p w14:paraId="0FA6F861">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原辅材料</w:t>
                  </w:r>
                </w:p>
              </w:tc>
              <w:tc>
                <w:tcPr>
                  <w:tcW w:w="844" w:type="pct"/>
                  <w:gridSpan w:val="2"/>
                  <w:tcBorders>
                    <w:top w:val="single" w:color="auto" w:sz="4" w:space="0"/>
                    <w:left w:val="single" w:color="auto" w:sz="4" w:space="0"/>
                    <w:bottom w:val="single" w:color="auto" w:sz="4" w:space="0"/>
                    <w:right w:val="single" w:color="auto" w:sz="4" w:space="0"/>
                  </w:tcBorders>
                  <w:vAlign w:val="center"/>
                </w:tcPr>
                <w:p w14:paraId="1281282A">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页岩</w:t>
                  </w:r>
                </w:p>
              </w:tc>
              <w:tc>
                <w:tcPr>
                  <w:tcW w:w="544" w:type="pct"/>
                  <w:tcBorders>
                    <w:top w:val="single" w:color="auto" w:sz="4" w:space="0"/>
                    <w:left w:val="single" w:color="auto" w:sz="4" w:space="0"/>
                    <w:bottom w:val="single" w:color="auto" w:sz="4" w:space="0"/>
                    <w:right w:val="single" w:color="auto" w:sz="4" w:space="0"/>
                  </w:tcBorders>
                  <w:vAlign w:val="center"/>
                </w:tcPr>
                <w:p w14:paraId="2C5908EF">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192000</w:t>
                  </w:r>
                </w:p>
              </w:tc>
              <w:tc>
                <w:tcPr>
                  <w:tcW w:w="746" w:type="pct"/>
                  <w:tcBorders>
                    <w:top w:val="single" w:color="auto" w:sz="4" w:space="0"/>
                    <w:left w:val="single" w:color="auto" w:sz="4" w:space="0"/>
                    <w:bottom w:val="single" w:color="auto" w:sz="4" w:space="0"/>
                    <w:right w:val="single" w:color="auto" w:sz="4" w:space="0"/>
                  </w:tcBorders>
                  <w:vAlign w:val="center"/>
                </w:tcPr>
                <w:p w14:paraId="424B342E">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163000</w:t>
                  </w:r>
                </w:p>
              </w:tc>
              <w:tc>
                <w:tcPr>
                  <w:tcW w:w="833" w:type="pct"/>
                  <w:tcBorders>
                    <w:top w:val="single" w:color="auto" w:sz="4" w:space="0"/>
                    <w:left w:val="single" w:color="auto" w:sz="4" w:space="0"/>
                    <w:bottom w:val="single" w:color="auto" w:sz="4" w:space="0"/>
                    <w:right w:val="single" w:color="auto" w:sz="4" w:space="0"/>
                  </w:tcBorders>
                  <w:vAlign w:val="center"/>
                </w:tcPr>
                <w:p w14:paraId="0959E76E">
                  <w:pPr>
                    <w:ind w:left="-63" w:leftChars="-30" w:right="-63" w:rightChars="-3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减少29000</w:t>
                  </w:r>
                </w:p>
              </w:tc>
              <w:tc>
                <w:tcPr>
                  <w:tcW w:w="571" w:type="pct"/>
                  <w:tcBorders>
                    <w:top w:val="single" w:color="auto" w:sz="4" w:space="0"/>
                    <w:left w:val="single" w:color="auto" w:sz="4" w:space="0"/>
                    <w:bottom w:val="single" w:color="auto" w:sz="4" w:space="0"/>
                    <w:right w:val="single" w:color="auto" w:sz="4" w:space="0"/>
                  </w:tcBorders>
                  <w:vAlign w:val="center"/>
                </w:tcPr>
                <w:p w14:paraId="15DB4151">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固态团块状</w:t>
                  </w:r>
                </w:p>
              </w:tc>
              <w:tc>
                <w:tcPr>
                  <w:tcW w:w="479" w:type="pct"/>
                  <w:tcBorders>
                    <w:top w:val="single" w:color="auto" w:sz="4" w:space="0"/>
                    <w:left w:val="single" w:color="auto" w:sz="4" w:space="0"/>
                    <w:bottom w:val="single" w:color="auto" w:sz="4" w:space="0"/>
                    <w:right w:val="single" w:color="auto" w:sz="4" w:space="0"/>
                  </w:tcBorders>
                  <w:vAlign w:val="center"/>
                </w:tcPr>
                <w:p w14:paraId="42D45BEB">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配套矿山</w:t>
                  </w:r>
                </w:p>
              </w:tc>
              <w:tc>
                <w:tcPr>
                  <w:tcW w:w="658" w:type="pct"/>
                  <w:tcBorders>
                    <w:top w:val="single" w:color="auto" w:sz="4" w:space="0"/>
                    <w:left w:val="single" w:color="auto" w:sz="4" w:space="0"/>
                    <w:bottom w:val="single" w:color="auto" w:sz="4" w:space="0"/>
                    <w:right w:val="single" w:color="auto" w:sz="4" w:space="0"/>
                  </w:tcBorders>
                </w:tcPr>
                <w:p w14:paraId="47EA55FD">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汽车运输，封闭钢架结构堆场</w:t>
                  </w:r>
                </w:p>
              </w:tc>
            </w:tr>
            <w:tr w14:paraId="1D7EF5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321" w:type="pct"/>
                  <w:vMerge w:val="continue"/>
                  <w:tcBorders>
                    <w:top w:val="single" w:color="auto" w:sz="4" w:space="0"/>
                    <w:left w:val="single" w:color="auto" w:sz="4" w:space="0"/>
                    <w:bottom w:val="single" w:color="auto" w:sz="4" w:space="0"/>
                    <w:right w:val="single" w:color="auto" w:sz="4" w:space="0"/>
                  </w:tcBorders>
                  <w:vAlign w:val="center"/>
                </w:tcPr>
                <w:p w14:paraId="68FACD03">
                  <w:pPr>
                    <w:widowControl/>
                    <w:jc w:val="left"/>
                    <w:rPr>
                      <w:rFonts w:ascii="Times New Roman" w:hAnsi="Times New Roman" w:eastAsia="Times New Roman" w:cs="Times New Roman"/>
                      <w:color w:val="000000"/>
                      <w:kern w:val="0"/>
                      <w:szCs w:val="21"/>
                    </w:rPr>
                  </w:pPr>
                </w:p>
              </w:tc>
              <w:tc>
                <w:tcPr>
                  <w:tcW w:w="844" w:type="pct"/>
                  <w:gridSpan w:val="2"/>
                  <w:tcBorders>
                    <w:top w:val="single" w:color="auto" w:sz="4" w:space="0"/>
                    <w:left w:val="single" w:color="auto" w:sz="4" w:space="0"/>
                    <w:bottom w:val="single" w:color="auto" w:sz="4" w:space="0"/>
                    <w:right w:val="single" w:color="auto" w:sz="4" w:space="0"/>
                  </w:tcBorders>
                  <w:vAlign w:val="center"/>
                </w:tcPr>
                <w:p w14:paraId="4B299048">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燃煤</w:t>
                  </w:r>
                </w:p>
              </w:tc>
              <w:tc>
                <w:tcPr>
                  <w:tcW w:w="544" w:type="pct"/>
                  <w:tcBorders>
                    <w:top w:val="single" w:color="auto" w:sz="4" w:space="0"/>
                    <w:left w:val="single" w:color="auto" w:sz="4" w:space="0"/>
                    <w:bottom w:val="single" w:color="auto" w:sz="4" w:space="0"/>
                    <w:right w:val="single" w:color="auto" w:sz="4" w:space="0"/>
                  </w:tcBorders>
                  <w:vAlign w:val="center"/>
                </w:tcPr>
                <w:p w14:paraId="05096C3F">
                  <w:pPr>
                    <w:ind w:left="-105" w:leftChars="-50" w:right="-105" w:rightChars="-50"/>
                    <w:jc w:val="center"/>
                    <w:rPr>
                      <w:rFonts w:ascii="Times New Roman" w:hAnsi="Times New Roman" w:cs="Times New Roman"/>
                      <w:color w:val="000000"/>
                      <w:kern w:val="0"/>
                      <w:szCs w:val="21"/>
                    </w:rPr>
                  </w:pPr>
                  <w:r>
                    <w:rPr>
                      <w:rFonts w:ascii="Times New Roman" w:hAnsi="Times New Roman" w:cs="Times New Roman"/>
                      <w:color w:val="000000"/>
                      <w:kern w:val="0"/>
                      <w:szCs w:val="21"/>
                    </w:rPr>
                    <w:t>8000</w:t>
                  </w:r>
                </w:p>
              </w:tc>
              <w:tc>
                <w:tcPr>
                  <w:tcW w:w="746" w:type="pct"/>
                  <w:tcBorders>
                    <w:top w:val="single" w:color="auto" w:sz="4" w:space="0"/>
                    <w:left w:val="single" w:color="auto" w:sz="4" w:space="0"/>
                    <w:bottom w:val="single" w:color="auto" w:sz="4" w:space="0"/>
                    <w:right w:val="single" w:color="auto" w:sz="4" w:space="0"/>
                  </w:tcBorders>
                  <w:vAlign w:val="center"/>
                </w:tcPr>
                <w:p w14:paraId="5917223E">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8000</w:t>
                  </w:r>
                </w:p>
              </w:tc>
              <w:tc>
                <w:tcPr>
                  <w:tcW w:w="833" w:type="pct"/>
                  <w:tcBorders>
                    <w:top w:val="single" w:color="auto" w:sz="4" w:space="0"/>
                    <w:left w:val="single" w:color="auto" w:sz="4" w:space="0"/>
                    <w:bottom w:val="single" w:color="auto" w:sz="4" w:space="0"/>
                    <w:right w:val="single" w:color="auto" w:sz="4" w:space="0"/>
                  </w:tcBorders>
                  <w:vAlign w:val="center"/>
                </w:tcPr>
                <w:p w14:paraId="5A1FF50A">
                  <w:pPr>
                    <w:ind w:left="-63" w:leftChars="-30" w:right="-63" w:rightChars="-3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不变</w:t>
                  </w:r>
                </w:p>
              </w:tc>
              <w:tc>
                <w:tcPr>
                  <w:tcW w:w="571" w:type="pct"/>
                  <w:tcBorders>
                    <w:top w:val="single" w:color="auto" w:sz="4" w:space="0"/>
                    <w:left w:val="single" w:color="auto" w:sz="4" w:space="0"/>
                    <w:bottom w:val="single" w:color="auto" w:sz="4" w:space="0"/>
                    <w:right w:val="single" w:color="auto" w:sz="4" w:space="0"/>
                  </w:tcBorders>
                  <w:vAlign w:val="center"/>
                </w:tcPr>
                <w:p w14:paraId="588D8D41">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固态颗粒状</w:t>
                  </w:r>
                </w:p>
              </w:tc>
              <w:tc>
                <w:tcPr>
                  <w:tcW w:w="479" w:type="pct"/>
                  <w:tcBorders>
                    <w:top w:val="single" w:color="auto" w:sz="4" w:space="0"/>
                    <w:left w:val="single" w:color="auto" w:sz="4" w:space="0"/>
                    <w:bottom w:val="single" w:color="auto" w:sz="4" w:space="0"/>
                    <w:right w:val="single" w:color="auto" w:sz="4" w:space="0"/>
                  </w:tcBorders>
                  <w:vAlign w:val="center"/>
                </w:tcPr>
                <w:p w14:paraId="6B785AE2">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外购</w:t>
                  </w:r>
                </w:p>
              </w:tc>
              <w:tc>
                <w:tcPr>
                  <w:tcW w:w="658" w:type="pct"/>
                  <w:tcBorders>
                    <w:top w:val="single" w:color="auto" w:sz="4" w:space="0"/>
                    <w:left w:val="single" w:color="auto" w:sz="4" w:space="0"/>
                    <w:bottom w:val="single" w:color="auto" w:sz="4" w:space="0"/>
                    <w:right w:val="single" w:color="auto" w:sz="4" w:space="0"/>
                  </w:tcBorders>
                </w:tcPr>
                <w:p w14:paraId="1AE5BE4A">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汽车运输，封闭钢架结构堆场</w:t>
                  </w:r>
                </w:p>
              </w:tc>
            </w:tr>
            <w:tr w14:paraId="3B6D0A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321" w:type="pct"/>
                  <w:vMerge w:val="continue"/>
                  <w:tcBorders>
                    <w:top w:val="single" w:color="auto" w:sz="4" w:space="0"/>
                    <w:left w:val="single" w:color="auto" w:sz="4" w:space="0"/>
                    <w:bottom w:val="single" w:color="auto" w:sz="4" w:space="0"/>
                    <w:right w:val="single" w:color="auto" w:sz="4" w:space="0"/>
                  </w:tcBorders>
                  <w:vAlign w:val="center"/>
                </w:tcPr>
                <w:p w14:paraId="0A3D8398">
                  <w:pPr>
                    <w:widowControl/>
                    <w:jc w:val="left"/>
                    <w:rPr>
                      <w:rFonts w:ascii="Times New Roman" w:hAnsi="Times New Roman" w:eastAsia="Times New Roman" w:cs="Times New Roman"/>
                      <w:color w:val="000000"/>
                      <w:kern w:val="0"/>
                      <w:szCs w:val="21"/>
                    </w:rPr>
                  </w:pPr>
                </w:p>
              </w:tc>
              <w:tc>
                <w:tcPr>
                  <w:tcW w:w="844" w:type="pct"/>
                  <w:gridSpan w:val="2"/>
                  <w:tcBorders>
                    <w:top w:val="single" w:color="auto" w:sz="4" w:space="0"/>
                    <w:left w:val="single" w:color="auto" w:sz="4" w:space="0"/>
                    <w:bottom w:val="single" w:color="auto" w:sz="4" w:space="0"/>
                    <w:right w:val="single" w:color="auto" w:sz="4" w:space="0"/>
                  </w:tcBorders>
                  <w:vAlign w:val="center"/>
                </w:tcPr>
                <w:p w14:paraId="47B7DC08">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水基钻井废弃物</w:t>
                  </w:r>
                </w:p>
              </w:tc>
              <w:tc>
                <w:tcPr>
                  <w:tcW w:w="544" w:type="pct"/>
                  <w:tcBorders>
                    <w:top w:val="single" w:color="auto" w:sz="4" w:space="0"/>
                    <w:left w:val="single" w:color="auto" w:sz="4" w:space="0"/>
                    <w:bottom w:val="single" w:color="auto" w:sz="4" w:space="0"/>
                    <w:right w:val="single" w:color="auto" w:sz="4" w:space="0"/>
                  </w:tcBorders>
                  <w:vAlign w:val="center"/>
                </w:tcPr>
                <w:p w14:paraId="5604688A">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w:t>
                  </w:r>
                </w:p>
              </w:tc>
              <w:tc>
                <w:tcPr>
                  <w:tcW w:w="746" w:type="pct"/>
                  <w:tcBorders>
                    <w:top w:val="single" w:color="auto" w:sz="4" w:space="0"/>
                    <w:left w:val="single" w:color="auto" w:sz="4" w:space="0"/>
                    <w:bottom w:val="single" w:color="auto" w:sz="4" w:space="0"/>
                    <w:right w:val="single" w:color="auto" w:sz="4" w:space="0"/>
                  </w:tcBorders>
                  <w:vAlign w:val="center"/>
                </w:tcPr>
                <w:p w14:paraId="0CE93A8B">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14000（含水率为0）或21538（含水率为35%）</w:t>
                  </w:r>
                </w:p>
              </w:tc>
              <w:tc>
                <w:tcPr>
                  <w:tcW w:w="833" w:type="pct"/>
                  <w:tcBorders>
                    <w:top w:val="single" w:color="auto" w:sz="4" w:space="0"/>
                    <w:left w:val="single" w:color="auto" w:sz="4" w:space="0"/>
                    <w:bottom w:val="single" w:color="auto" w:sz="4" w:space="0"/>
                    <w:right w:val="single" w:color="auto" w:sz="4" w:space="0"/>
                  </w:tcBorders>
                  <w:vAlign w:val="center"/>
                </w:tcPr>
                <w:p w14:paraId="79043C36">
                  <w:pPr>
                    <w:ind w:left="-63" w:leftChars="-30" w:right="-63" w:rightChars="-30"/>
                    <w:jc w:val="center"/>
                    <w:rPr>
                      <w:rFonts w:ascii="Times New Roman" w:hAnsi="Times New Roman" w:eastAsia="宋体" w:cs="Times New Roman"/>
                      <w:color w:val="000000"/>
                      <w:kern w:val="0"/>
                      <w:szCs w:val="21"/>
                    </w:rPr>
                  </w:pPr>
                  <w:r>
                    <w:rPr>
                      <w:rFonts w:ascii="Times New Roman" w:hAnsi="Times New Roman" w:eastAsia="宋体" w:cs="Times New Roman"/>
                      <w:bCs/>
                      <w:color w:val="000000"/>
                      <w:kern w:val="0"/>
                      <w:szCs w:val="21"/>
                    </w:rPr>
                    <w:t>增加14000（</w:t>
                  </w:r>
                  <w:r>
                    <w:rPr>
                      <w:rFonts w:ascii="Times New Roman" w:hAnsi="Times New Roman" w:eastAsia="宋体" w:cs="Times New Roman"/>
                      <w:color w:val="000000"/>
                      <w:kern w:val="0"/>
                      <w:szCs w:val="21"/>
                    </w:rPr>
                    <w:t>含水率为0）或</w:t>
                  </w:r>
                  <w:r>
                    <w:rPr>
                      <w:rFonts w:ascii="Times New Roman" w:hAnsi="Times New Roman" w:eastAsia="宋体" w:cs="Times New Roman"/>
                      <w:bCs/>
                      <w:color w:val="000000"/>
                      <w:kern w:val="0"/>
                      <w:szCs w:val="21"/>
                    </w:rPr>
                    <w:t>21538</w:t>
                  </w:r>
                  <w:r>
                    <w:rPr>
                      <w:rFonts w:ascii="Times New Roman" w:hAnsi="Times New Roman" w:eastAsia="宋体" w:cs="Times New Roman"/>
                      <w:color w:val="000000"/>
                      <w:kern w:val="0"/>
                      <w:szCs w:val="21"/>
                    </w:rPr>
                    <w:t>（含水率为35%）</w:t>
                  </w:r>
                </w:p>
              </w:tc>
              <w:tc>
                <w:tcPr>
                  <w:tcW w:w="571" w:type="pct"/>
                  <w:tcBorders>
                    <w:top w:val="single" w:color="auto" w:sz="4" w:space="0"/>
                    <w:left w:val="single" w:color="auto" w:sz="4" w:space="0"/>
                    <w:bottom w:val="single" w:color="auto" w:sz="4" w:space="0"/>
                    <w:right w:val="single" w:color="auto" w:sz="4" w:space="0"/>
                  </w:tcBorders>
                  <w:vAlign w:val="center"/>
                </w:tcPr>
                <w:p w14:paraId="7187E2B6">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固态团块状</w:t>
                  </w:r>
                </w:p>
              </w:tc>
              <w:tc>
                <w:tcPr>
                  <w:tcW w:w="479" w:type="pct"/>
                  <w:tcBorders>
                    <w:top w:val="single" w:color="auto" w:sz="4" w:space="0"/>
                    <w:left w:val="single" w:color="auto" w:sz="4" w:space="0"/>
                    <w:bottom w:val="single" w:color="auto" w:sz="4" w:space="0"/>
                    <w:right w:val="single" w:color="auto" w:sz="4" w:space="0"/>
                  </w:tcBorders>
                  <w:vAlign w:val="center"/>
                </w:tcPr>
                <w:p w14:paraId="334C4EA1">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接受委托</w:t>
                  </w:r>
                </w:p>
              </w:tc>
              <w:tc>
                <w:tcPr>
                  <w:tcW w:w="658" w:type="pct"/>
                  <w:tcBorders>
                    <w:top w:val="single" w:color="auto" w:sz="4" w:space="0"/>
                    <w:left w:val="single" w:color="auto" w:sz="4" w:space="0"/>
                    <w:bottom w:val="single" w:color="auto" w:sz="4" w:space="0"/>
                    <w:right w:val="single" w:color="auto" w:sz="4" w:space="0"/>
                  </w:tcBorders>
                </w:tcPr>
                <w:p w14:paraId="06DAAD0A">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汽车运输，封闭钢架结构贮存间</w:t>
                  </w:r>
                </w:p>
              </w:tc>
            </w:tr>
            <w:tr w14:paraId="511C2D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321" w:type="pct"/>
                  <w:vMerge w:val="continue"/>
                  <w:tcBorders>
                    <w:top w:val="single" w:color="auto" w:sz="4" w:space="0"/>
                    <w:left w:val="single" w:color="auto" w:sz="4" w:space="0"/>
                    <w:bottom w:val="single" w:color="auto" w:sz="4" w:space="0"/>
                    <w:right w:val="single" w:color="auto" w:sz="4" w:space="0"/>
                  </w:tcBorders>
                  <w:vAlign w:val="center"/>
                </w:tcPr>
                <w:p w14:paraId="7BEBE2E2">
                  <w:pPr>
                    <w:widowControl/>
                    <w:jc w:val="left"/>
                    <w:rPr>
                      <w:rFonts w:ascii="Times New Roman" w:hAnsi="Times New Roman" w:eastAsia="Times New Roman" w:cs="Times New Roman"/>
                      <w:color w:val="000000"/>
                      <w:kern w:val="0"/>
                      <w:szCs w:val="21"/>
                    </w:rPr>
                  </w:pPr>
                </w:p>
              </w:tc>
              <w:tc>
                <w:tcPr>
                  <w:tcW w:w="844" w:type="pct"/>
                  <w:gridSpan w:val="2"/>
                  <w:tcBorders>
                    <w:top w:val="single" w:color="auto" w:sz="4" w:space="0"/>
                    <w:left w:val="single" w:color="auto" w:sz="4" w:space="0"/>
                    <w:bottom w:val="single" w:color="auto" w:sz="4" w:space="0"/>
                    <w:right w:val="single" w:color="auto" w:sz="4" w:space="0"/>
                  </w:tcBorders>
                  <w:vAlign w:val="center"/>
                </w:tcPr>
                <w:p w14:paraId="2884300D">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一般工业污泥</w:t>
                  </w:r>
                </w:p>
              </w:tc>
              <w:tc>
                <w:tcPr>
                  <w:tcW w:w="544" w:type="pct"/>
                  <w:tcBorders>
                    <w:top w:val="single" w:color="auto" w:sz="4" w:space="0"/>
                    <w:left w:val="single" w:color="auto" w:sz="4" w:space="0"/>
                    <w:bottom w:val="single" w:color="auto" w:sz="4" w:space="0"/>
                    <w:right w:val="single" w:color="auto" w:sz="4" w:space="0"/>
                  </w:tcBorders>
                  <w:vAlign w:val="center"/>
                </w:tcPr>
                <w:p w14:paraId="58F0ACC2">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w:t>
                  </w:r>
                </w:p>
              </w:tc>
              <w:tc>
                <w:tcPr>
                  <w:tcW w:w="746" w:type="pct"/>
                  <w:tcBorders>
                    <w:top w:val="single" w:color="auto" w:sz="4" w:space="0"/>
                    <w:left w:val="single" w:color="auto" w:sz="4" w:space="0"/>
                    <w:bottom w:val="single" w:color="auto" w:sz="4" w:space="0"/>
                    <w:right w:val="single" w:color="auto" w:sz="4" w:space="0"/>
                  </w:tcBorders>
                  <w:vAlign w:val="center"/>
                </w:tcPr>
                <w:p w14:paraId="5C0F1E10">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15000（含水率为0）或37500（含水率为60%）</w:t>
                  </w:r>
                </w:p>
              </w:tc>
              <w:tc>
                <w:tcPr>
                  <w:tcW w:w="833" w:type="pct"/>
                  <w:tcBorders>
                    <w:top w:val="single" w:color="auto" w:sz="4" w:space="0"/>
                    <w:left w:val="single" w:color="auto" w:sz="4" w:space="0"/>
                    <w:bottom w:val="single" w:color="auto" w:sz="4" w:space="0"/>
                    <w:right w:val="single" w:color="auto" w:sz="4" w:space="0"/>
                  </w:tcBorders>
                  <w:vAlign w:val="center"/>
                </w:tcPr>
                <w:p w14:paraId="177DBC8C">
                  <w:pPr>
                    <w:ind w:left="-63" w:leftChars="-30" w:right="-63" w:rightChars="-30"/>
                    <w:jc w:val="center"/>
                    <w:rPr>
                      <w:rFonts w:ascii="Times New Roman" w:hAnsi="Times New Roman" w:eastAsia="宋体" w:cs="Times New Roman"/>
                      <w:color w:val="000000"/>
                      <w:kern w:val="0"/>
                      <w:szCs w:val="21"/>
                    </w:rPr>
                  </w:pPr>
                  <w:r>
                    <w:rPr>
                      <w:rFonts w:ascii="Times New Roman" w:hAnsi="Times New Roman" w:eastAsia="宋体" w:cs="Times New Roman"/>
                      <w:bCs/>
                      <w:color w:val="000000"/>
                      <w:kern w:val="0"/>
                      <w:szCs w:val="21"/>
                    </w:rPr>
                    <w:t>增加15000</w:t>
                  </w:r>
                  <w:r>
                    <w:rPr>
                      <w:rFonts w:ascii="Times New Roman" w:hAnsi="Times New Roman" w:eastAsia="宋体" w:cs="Times New Roman"/>
                      <w:color w:val="000000"/>
                      <w:kern w:val="0"/>
                      <w:szCs w:val="21"/>
                    </w:rPr>
                    <w:t>（含水率为0）或</w:t>
                  </w:r>
                  <w:r>
                    <w:rPr>
                      <w:rFonts w:ascii="Times New Roman" w:hAnsi="Times New Roman" w:eastAsia="宋体" w:cs="Times New Roman"/>
                      <w:bCs/>
                      <w:color w:val="000000"/>
                      <w:kern w:val="0"/>
                      <w:szCs w:val="21"/>
                    </w:rPr>
                    <w:t>37500</w:t>
                  </w:r>
                  <w:r>
                    <w:rPr>
                      <w:rFonts w:ascii="Times New Roman" w:hAnsi="Times New Roman" w:eastAsia="宋体" w:cs="Times New Roman"/>
                      <w:color w:val="000000"/>
                      <w:kern w:val="0"/>
                      <w:szCs w:val="21"/>
                    </w:rPr>
                    <w:t>（含水率为60%）</w:t>
                  </w:r>
                </w:p>
              </w:tc>
              <w:tc>
                <w:tcPr>
                  <w:tcW w:w="571" w:type="pct"/>
                  <w:tcBorders>
                    <w:top w:val="single" w:color="auto" w:sz="4" w:space="0"/>
                    <w:left w:val="single" w:color="auto" w:sz="4" w:space="0"/>
                    <w:bottom w:val="single" w:color="auto" w:sz="4" w:space="0"/>
                    <w:right w:val="single" w:color="auto" w:sz="4" w:space="0"/>
                  </w:tcBorders>
                  <w:vAlign w:val="center"/>
                </w:tcPr>
                <w:p w14:paraId="2C9A8B08">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固态块状</w:t>
                  </w:r>
                </w:p>
              </w:tc>
              <w:tc>
                <w:tcPr>
                  <w:tcW w:w="479" w:type="pct"/>
                  <w:tcBorders>
                    <w:top w:val="single" w:color="auto" w:sz="4" w:space="0"/>
                    <w:left w:val="single" w:color="auto" w:sz="4" w:space="0"/>
                    <w:bottom w:val="single" w:color="auto" w:sz="4" w:space="0"/>
                    <w:right w:val="single" w:color="auto" w:sz="4" w:space="0"/>
                  </w:tcBorders>
                  <w:vAlign w:val="center"/>
                </w:tcPr>
                <w:p w14:paraId="11BE1D2F">
                  <w:pPr>
                    <w:ind w:left="-105" w:leftChars="-50" w:right="-105" w:rightChars="-50"/>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遂宁市自来水生产厂；</w:t>
                  </w:r>
                </w:p>
                <w:p w14:paraId="1605DCE3">
                  <w:pPr>
                    <w:ind w:left="-105" w:leftChars="-50" w:right="-105" w:rightChars="-50"/>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裕宁</w:t>
                  </w:r>
                </w:p>
                <w:p w14:paraId="1AA13383">
                  <w:pPr>
                    <w:ind w:left="-105" w:leftChars="-50" w:right="-105" w:rightChars="-50"/>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信利</w:t>
                  </w:r>
                </w:p>
                <w:p w14:paraId="0EC454CA">
                  <w:pPr>
                    <w:ind w:left="-105" w:leftChars="-50" w:right="-105" w:rightChars="-50"/>
                    <w:jc w:val="center"/>
                    <w:rPr>
                      <w:rFonts w:ascii="Times New Roman" w:hAnsi="Times New Roman" w:cs="Times New Roman"/>
                    </w:rPr>
                  </w:pPr>
                  <w:r>
                    <w:rPr>
                      <w:rFonts w:ascii="Times New Roman" w:hAnsi="Times New Roman" w:eastAsia="宋体" w:cs="Times New Roman"/>
                      <w:color w:val="FF0000"/>
                      <w:kern w:val="0"/>
                      <w:szCs w:val="21"/>
                    </w:rPr>
                    <w:t>东捷</w:t>
                  </w:r>
                </w:p>
              </w:tc>
              <w:tc>
                <w:tcPr>
                  <w:tcW w:w="658" w:type="pct"/>
                  <w:tcBorders>
                    <w:top w:val="single" w:color="auto" w:sz="4" w:space="0"/>
                    <w:left w:val="single" w:color="auto" w:sz="4" w:space="0"/>
                    <w:bottom w:val="single" w:color="auto" w:sz="4" w:space="0"/>
                    <w:right w:val="single" w:color="auto" w:sz="4" w:space="0"/>
                  </w:tcBorders>
                </w:tcPr>
                <w:p w14:paraId="4B5827A8">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汽车运输，封闭钢架结构贮存间</w:t>
                  </w:r>
                </w:p>
              </w:tc>
            </w:tr>
            <w:tr w14:paraId="78084B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321" w:type="pct"/>
                  <w:vMerge w:val="continue"/>
                  <w:tcBorders>
                    <w:top w:val="single" w:color="auto" w:sz="4" w:space="0"/>
                    <w:left w:val="single" w:color="auto" w:sz="4" w:space="0"/>
                    <w:bottom w:val="single" w:color="auto" w:sz="4" w:space="0"/>
                    <w:right w:val="single" w:color="auto" w:sz="4" w:space="0"/>
                  </w:tcBorders>
                  <w:vAlign w:val="center"/>
                </w:tcPr>
                <w:p w14:paraId="66E5B0EA">
                  <w:pPr>
                    <w:widowControl/>
                    <w:jc w:val="left"/>
                    <w:rPr>
                      <w:rFonts w:ascii="Times New Roman" w:hAnsi="Times New Roman" w:eastAsia="Times New Roman" w:cs="Times New Roman"/>
                      <w:color w:val="000000"/>
                      <w:kern w:val="0"/>
                      <w:szCs w:val="21"/>
                    </w:rPr>
                  </w:pPr>
                </w:p>
              </w:tc>
              <w:tc>
                <w:tcPr>
                  <w:tcW w:w="844" w:type="pct"/>
                  <w:gridSpan w:val="2"/>
                  <w:tcBorders>
                    <w:top w:val="single" w:color="auto" w:sz="4" w:space="0"/>
                    <w:left w:val="single" w:color="auto" w:sz="4" w:space="0"/>
                    <w:bottom w:val="single" w:color="auto" w:sz="4" w:space="0"/>
                    <w:right w:val="single" w:color="auto" w:sz="4" w:space="0"/>
                  </w:tcBorders>
                  <w:vAlign w:val="center"/>
                </w:tcPr>
                <w:p w14:paraId="440E7943">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片碱</w:t>
                  </w:r>
                </w:p>
              </w:tc>
              <w:tc>
                <w:tcPr>
                  <w:tcW w:w="544" w:type="pct"/>
                  <w:tcBorders>
                    <w:top w:val="single" w:color="auto" w:sz="4" w:space="0"/>
                    <w:left w:val="single" w:color="auto" w:sz="4" w:space="0"/>
                    <w:bottom w:val="single" w:color="auto" w:sz="4" w:space="0"/>
                    <w:right w:val="single" w:color="auto" w:sz="4" w:space="0"/>
                  </w:tcBorders>
                  <w:vAlign w:val="center"/>
                </w:tcPr>
                <w:p w14:paraId="44F54262">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50</w:t>
                  </w:r>
                </w:p>
              </w:tc>
              <w:tc>
                <w:tcPr>
                  <w:tcW w:w="746" w:type="pct"/>
                  <w:tcBorders>
                    <w:top w:val="single" w:color="auto" w:sz="4" w:space="0"/>
                    <w:left w:val="single" w:color="auto" w:sz="4" w:space="0"/>
                    <w:bottom w:val="single" w:color="auto" w:sz="4" w:space="0"/>
                    <w:right w:val="single" w:color="auto" w:sz="4" w:space="0"/>
                  </w:tcBorders>
                  <w:vAlign w:val="center"/>
                </w:tcPr>
                <w:p w14:paraId="2EB2B95E">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50</w:t>
                  </w:r>
                </w:p>
              </w:tc>
              <w:tc>
                <w:tcPr>
                  <w:tcW w:w="833" w:type="pct"/>
                  <w:tcBorders>
                    <w:top w:val="single" w:color="auto" w:sz="4" w:space="0"/>
                    <w:left w:val="single" w:color="auto" w:sz="4" w:space="0"/>
                    <w:bottom w:val="single" w:color="auto" w:sz="4" w:space="0"/>
                    <w:right w:val="single" w:color="auto" w:sz="4" w:space="0"/>
                  </w:tcBorders>
                  <w:vAlign w:val="center"/>
                </w:tcPr>
                <w:p w14:paraId="79FEA648">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w:t>
                  </w:r>
                </w:p>
              </w:tc>
              <w:tc>
                <w:tcPr>
                  <w:tcW w:w="571" w:type="pct"/>
                  <w:tcBorders>
                    <w:top w:val="single" w:color="auto" w:sz="4" w:space="0"/>
                    <w:left w:val="single" w:color="auto" w:sz="4" w:space="0"/>
                    <w:bottom w:val="single" w:color="auto" w:sz="4" w:space="0"/>
                    <w:right w:val="single" w:color="auto" w:sz="4" w:space="0"/>
                  </w:tcBorders>
                  <w:vAlign w:val="center"/>
                </w:tcPr>
                <w:p w14:paraId="68398E6E">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片状结晶</w:t>
                  </w:r>
                </w:p>
              </w:tc>
              <w:tc>
                <w:tcPr>
                  <w:tcW w:w="479" w:type="pct"/>
                  <w:tcBorders>
                    <w:top w:val="single" w:color="auto" w:sz="4" w:space="0"/>
                    <w:left w:val="single" w:color="auto" w:sz="4" w:space="0"/>
                    <w:bottom w:val="single" w:color="auto" w:sz="4" w:space="0"/>
                    <w:right w:val="single" w:color="auto" w:sz="4" w:space="0"/>
                  </w:tcBorders>
                  <w:vAlign w:val="center"/>
                </w:tcPr>
                <w:p w14:paraId="7C62BE5E">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外购</w:t>
                  </w:r>
                </w:p>
              </w:tc>
              <w:tc>
                <w:tcPr>
                  <w:tcW w:w="658" w:type="pct"/>
                  <w:vMerge w:val="restart"/>
                  <w:tcBorders>
                    <w:top w:val="single" w:color="auto" w:sz="4" w:space="0"/>
                    <w:left w:val="single" w:color="auto" w:sz="4" w:space="0"/>
                    <w:bottom w:val="single" w:color="auto" w:sz="4" w:space="0"/>
                    <w:right w:val="single" w:color="auto" w:sz="4" w:space="0"/>
                  </w:tcBorders>
                </w:tcPr>
                <w:p w14:paraId="3403AE94">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袋装，汽车运输，专门的储存室储存</w:t>
                  </w:r>
                </w:p>
              </w:tc>
            </w:tr>
            <w:tr w14:paraId="5C7E1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321" w:type="pct"/>
                  <w:vMerge w:val="continue"/>
                  <w:tcBorders>
                    <w:top w:val="single" w:color="auto" w:sz="4" w:space="0"/>
                    <w:left w:val="single" w:color="auto" w:sz="4" w:space="0"/>
                    <w:bottom w:val="single" w:color="auto" w:sz="4" w:space="0"/>
                    <w:right w:val="single" w:color="auto" w:sz="4" w:space="0"/>
                  </w:tcBorders>
                  <w:vAlign w:val="center"/>
                </w:tcPr>
                <w:p w14:paraId="05938521">
                  <w:pPr>
                    <w:widowControl/>
                    <w:jc w:val="left"/>
                    <w:rPr>
                      <w:rFonts w:ascii="Times New Roman" w:hAnsi="Times New Roman" w:eastAsia="Times New Roman" w:cs="Times New Roman"/>
                      <w:color w:val="000000"/>
                      <w:kern w:val="0"/>
                      <w:szCs w:val="21"/>
                    </w:rPr>
                  </w:pPr>
                </w:p>
              </w:tc>
              <w:tc>
                <w:tcPr>
                  <w:tcW w:w="844" w:type="pct"/>
                  <w:gridSpan w:val="2"/>
                  <w:tcBorders>
                    <w:top w:val="single" w:color="auto" w:sz="4" w:space="0"/>
                    <w:left w:val="single" w:color="auto" w:sz="4" w:space="0"/>
                    <w:bottom w:val="single" w:color="auto" w:sz="4" w:space="0"/>
                    <w:right w:val="single" w:color="auto" w:sz="4" w:space="0"/>
                  </w:tcBorders>
                  <w:vAlign w:val="center"/>
                </w:tcPr>
                <w:p w14:paraId="43E0410D">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生石灰</w:t>
                  </w:r>
                </w:p>
              </w:tc>
              <w:tc>
                <w:tcPr>
                  <w:tcW w:w="544" w:type="pct"/>
                  <w:tcBorders>
                    <w:top w:val="single" w:color="auto" w:sz="4" w:space="0"/>
                    <w:left w:val="single" w:color="auto" w:sz="4" w:space="0"/>
                    <w:bottom w:val="single" w:color="auto" w:sz="4" w:space="0"/>
                    <w:right w:val="single" w:color="auto" w:sz="4" w:space="0"/>
                  </w:tcBorders>
                  <w:vAlign w:val="center"/>
                </w:tcPr>
                <w:p w14:paraId="2BC8CA17">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50</w:t>
                  </w:r>
                </w:p>
              </w:tc>
              <w:tc>
                <w:tcPr>
                  <w:tcW w:w="746" w:type="pct"/>
                  <w:tcBorders>
                    <w:top w:val="single" w:color="auto" w:sz="4" w:space="0"/>
                    <w:left w:val="single" w:color="auto" w:sz="4" w:space="0"/>
                    <w:bottom w:val="single" w:color="auto" w:sz="4" w:space="0"/>
                    <w:right w:val="single" w:color="auto" w:sz="4" w:space="0"/>
                  </w:tcBorders>
                  <w:vAlign w:val="center"/>
                </w:tcPr>
                <w:p w14:paraId="41366858">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50</w:t>
                  </w:r>
                </w:p>
              </w:tc>
              <w:tc>
                <w:tcPr>
                  <w:tcW w:w="833" w:type="pct"/>
                  <w:tcBorders>
                    <w:top w:val="single" w:color="auto" w:sz="4" w:space="0"/>
                    <w:left w:val="single" w:color="auto" w:sz="4" w:space="0"/>
                    <w:bottom w:val="single" w:color="auto" w:sz="4" w:space="0"/>
                    <w:right w:val="single" w:color="auto" w:sz="4" w:space="0"/>
                  </w:tcBorders>
                  <w:vAlign w:val="center"/>
                </w:tcPr>
                <w:p w14:paraId="58893CC9">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w:t>
                  </w:r>
                </w:p>
              </w:tc>
              <w:tc>
                <w:tcPr>
                  <w:tcW w:w="571" w:type="pct"/>
                  <w:tcBorders>
                    <w:top w:val="single" w:color="auto" w:sz="4" w:space="0"/>
                    <w:left w:val="single" w:color="auto" w:sz="4" w:space="0"/>
                    <w:bottom w:val="single" w:color="auto" w:sz="4" w:space="0"/>
                    <w:right w:val="single" w:color="auto" w:sz="4" w:space="0"/>
                  </w:tcBorders>
                  <w:vAlign w:val="center"/>
                </w:tcPr>
                <w:p w14:paraId="399063EB">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粉末状</w:t>
                  </w:r>
                </w:p>
              </w:tc>
              <w:tc>
                <w:tcPr>
                  <w:tcW w:w="479" w:type="pct"/>
                  <w:tcBorders>
                    <w:top w:val="single" w:color="auto" w:sz="4" w:space="0"/>
                    <w:left w:val="single" w:color="auto" w:sz="4" w:space="0"/>
                    <w:bottom w:val="single" w:color="auto" w:sz="4" w:space="0"/>
                    <w:right w:val="single" w:color="auto" w:sz="4" w:space="0"/>
                  </w:tcBorders>
                  <w:vAlign w:val="center"/>
                </w:tcPr>
                <w:p w14:paraId="432A2BD0">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外购</w:t>
                  </w:r>
                </w:p>
              </w:tc>
              <w:tc>
                <w:tcPr>
                  <w:tcW w:w="658" w:type="pct"/>
                  <w:vMerge w:val="continue"/>
                  <w:tcBorders>
                    <w:top w:val="single" w:color="auto" w:sz="4" w:space="0"/>
                    <w:left w:val="single" w:color="auto" w:sz="4" w:space="0"/>
                    <w:bottom w:val="single" w:color="auto" w:sz="4" w:space="0"/>
                    <w:right w:val="single" w:color="auto" w:sz="4" w:space="0"/>
                  </w:tcBorders>
                  <w:vAlign w:val="center"/>
                </w:tcPr>
                <w:p w14:paraId="02CEAFC6">
                  <w:pPr>
                    <w:widowControl/>
                    <w:jc w:val="left"/>
                    <w:rPr>
                      <w:rFonts w:ascii="Times New Roman" w:hAnsi="Times New Roman" w:eastAsia="宋体" w:cs="Times New Roman"/>
                      <w:color w:val="000000"/>
                      <w:kern w:val="0"/>
                      <w:szCs w:val="21"/>
                    </w:rPr>
                  </w:pPr>
                </w:p>
              </w:tc>
            </w:tr>
            <w:tr w14:paraId="67F010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321" w:type="pct"/>
                  <w:tcBorders>
                    <w:top w:val="single" w:color="auto" w:sz="4" w:space="0"/>
                    <w:left w:val="single" w:color="auto" w:sz="4" w:space="0"/>
                    <w:bottom w:val="single" w:color="auto" w:sz="4" w:space="0"/>
                    <w:right w:val="single" w:color="auto" w:sz="4" w:space="0"/>
                  </w:tcBorders>
                  <w:vAlign w:val="center"/>
                </w:tcPr>
                <w:p w14:paraId="4DD45F38">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能耗</w:t>
                  </w:r>
                </w:p>
              </w:tc>
              <w:tc>
                <w:tcPr>
                  <w:tcW w:w="209" w:type="pct"/>
                  <w:tcBorders>
                    <w:top w:val="single" w:color="auto" w:sz="4" w:space="0"/>
                    <w:left w:val="single" w:color="auto" w:sz="4" w:space="0"/>
                    <w:bottom w:val="single" w:color="auto" w:sz="4" w:space="0"/>
                    <w:right w:val="single" w:color="auto" w:sz="4" w:space="0"/>
                  </w:tcBorders>
                  <w:vAlign w:val="center"/>
                </w:tcPr>
                <w:p w14:paraId="73C54B20">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电</w:t>
                  </w:r>
                </w:p>
              </w:tc>
              <w:tc>
                <w:tcPr>
                  <w:tcW w:w="635" w:type="pct"/>
                  <w:tcBorders>
                    <w:top w:val="single" w:color="auto" w:sz="4" w:space="0"/>
                    <w:left w:val="single" w:color="auto" w:sz="4" w:space="0"/>
                    <w:bottom w:val="single" w:color="auto" w:sz="4" w:space="0"/>
                    <w:right w:val="single" w:color="auto" w:sz="4" w:space="0"/>
                  </w:tcBorders>
                  <w:vAlign w:val="center"/>
                </w:tcPr>
                <w:p w14:paraId="314E6903">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w:t>
                  </w:r>
                  <w:r>
                    <w:rPr>
                      <w:rFonts w:ascii="Times New Roman" w:hAnsi="Times New Roman" w:eastAsia="Times New Roman" w:cs="Times New Roman"/>
                      <w:color w:val="000000"/>
                      <w:kern w:val="0"/>
                      <w:szCs w:val="21"/>
                    </w:rPr>
                    <w:t>Kwh/a</w:t>
                  </w:r>
                  <w:r>
                    <w:rPr>
                      <w:rFonts w:ascii="Times New Roman" w:hAnsi="Times New Roman" w:eastAsia="宋体" w:cs="Times New Roman"/>
                      <w:color w:val="000000"/>
                      <w:kern w:val="0"/>
                      <w:szCs w:val="21"/>
                    </w:rPr>
                    <w:t>）</w:t>
                  </w:r>
                </w:p>
              </w:tc>
              <w:tc>
                <w:tcPr>
                  <w:tcW w:w="544" w:type="pct"/>
                  <w:tcBorders>
                    <w:top w:val="single" w:color="auto" w:sz="4" w:space="0"/>
                    <w:left w:val="single" w:color="auto" w:sz="4" w:space="0"/>
                    <w:bottom w:val="single" w:color="auto" w:sz="4" w:space="0"/>
                    <w:right w:val="single" w:color="auto" w:sz="4" w:space="0"/>
                  </w:tcBorders>
                  <w:vAlign w:val="center"/>
                </w:tcPr>
                <w:p w14:paraId="44D981FD">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60000</w:t>
                  </w:r>
                </w:p>
              </w:tc>
              <w:tc>
                <w:tcPr>
                  <w:tcW w:w="746" w:type="pct"/>
                  <w:tcBorders>
                    <w:top w:val="single" w:color="auto" w:sz="4" w:space="0"/>
                    <w:left w:val="single" w:color="auto" w:sz="4" w:space="0"/>
                    <w:bottom w:val="single" w:color="auto" w:sz="4" w:space="0"/>
                    <w:right w:val="single" w:color="auto" w:sz="4" w:space="0"/>
                  </w:tcBorders>
                  <w:vAlign w:val="center"/>
                </w:tcPr>
                <w:p w14:paraId="5628C95E">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Times New Roman" w:cs="Times New Roman"/>
                      <w:color w:val="000000"/>
                      <w:kern w:val="0"/>
                      <w:szCs w:val="21"/>
                    </w:rPr>
                    <w:t>60000</w:t>
                  </w:r>
                </w:p>
              </w:tc>
              <w:tc>
                <w:tcPr>
                  <w:tcW w:w="833" w:type="pct"/>
                  <w:tcBorders>
                    <w:top w:val="single" w:color="auto" w:sz="4" w:space="0"/>
                    <w:left w:val="single" w:color="auto" w:sz="4" w:space="0"/>
                    <w:bottom w:val="single" w:color="auto" w:sz="4" w:space="0"/>
                    <w:right w:val="single" w:color="auto" w:sz="4" w:space="0"/>
                  </w:tcBorders>
                  <w:vAlign w:val="center"/>
                </w:tcPr>
                <w:p w14:paraId="24EED746">
                  <w:pPr>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w:t>
                  </w:r>
                </w:p>
              </w:tc>
              <w:tc>
                <w:tcPr>
                  <w:tcW w:w="571" w:type="pct"/>
                  <w:tcBorders>
                    <w:top w:val="single" w:color="auto" w:sz="4" w:space="0"/>
                    <w:left w:val="single" w:color="auto" w:sz="4" w:space="0"/>
                    <w:bottom w:val="single" w:color="auto" w:sz="4" w:space="0"/>
                    <w:right w:val="single" w:color="auto" w:sz="4" w:space="0"/>
                  </w:tcBorders>
                  <w:vAlign w:val="center"/>
                </w:tcPr>
                <w:p w14:paraId="7C1F26BB">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w:t>
                  </w:r>
                </w:p>
              </w:tc>
              <w:tc>
                <w:tcPr>
                  <w:tcW w:w="479" w:type="pct"/>
                  <w:tcBorders>
                    <w:top w:val="single" w:color="auto" w:sz="4" w:space="0"/>
                    <w:left w:val="single" w:color="auto" w:sz="4" w:space="0"/>
                    <w:bottom w:val="single" w:color="auto" w:sz="4" w:space="0"/>
                    <w:right w:val="single" w:color="auto" w:sz="4" w:space="0"/>
                  </w:tcBorders>
                  <w:vAlign w:val="center"/>
                </w:tcPr>
                <w:p w14:paraId="436B98FB">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当地电网</w:t>
                  </w:r>
                </w:p>
              </w:tc>
              <w:tc>
                <w:tcPr>
                  <w:tcW w:w="658" w:type="pct"/>
                  <w:tcBorders>
                    <w:top w:val="single" w:color="auto" w:sz="4" w:space="0"/>
                    <w:left w:val="single" w:color="auto" w:sz="4" w:space="0"/>
                    <w:bottom w:val="single" w:color="auto" w:sz="4" w:space="0"/>
                    <w:right w:val="single" w:color="auto" w:sz="4" w:space="0"/>
                  </w:tcBorders>
                </w:tcPr>
                <w:p w14:paraId="3A416C8D">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w:t>
                  </w:r>
                </w:p>
              </w:tc>
            </w:tr>
            <w:tr w14:paraId="0E44FF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321" w:type="pct"/>
                  <w:vMerge w:val="restart"/>
                  <w:tcBorders>
                    <w:top w:val="single" w:color="auto" w:sz="4" w:space="0"/>
                    <w:left w:val="single" w:color="auto" w:sz="4" w:space="0"/>
                    <w:bottom w:val="single" w:color="auto" w:sz="4" w:space="0"/>
                    <w:right w:val="single" w:color="auto" w:sz="4" w:space="0"/>
                  </w:tcBorders>
                  <w:vAlign w:val="center"/>
                </w:tcPr>
                <w:p w14:paraId="7C7067B2">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水量</w:t>
                  </w:r>
                </w:p>
              </w:tc>
              <w:tc>
                <w:tcPr>
                  <w:tcW w:w="844" w:type="pct"/>
                  <w:gridSpan w:val="2"/>
                  <w:tcBorders>
                    <w:top w:val="single" w:color="auto" w:sz="4" w:space="0"/>
                    <w:left w:val="single" w:color="auto" w:sz="4" w:space="0"/>
                    <w:bottom w:val="single" w:color="auto" w:sz="4" w:space="0"/>
                    <w:right w:val="single" w:color="auto" w:sz="4" w:space="0"/>
                  </w:tcBorders>
                  <w:vAlign w:val="center"/>
                </w:tcPr>
                <w:p w14:paraId="6C891251">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生产用水</w:t>
                  </w:r>
                  <w:r>
                    <w:rPr>
                      <w:rFonts w:ascii="Times New Roman" w:hAnsi="Times New Roman" w:eastAsia="Times New Roman" w:cs="Times New Roman"/>
                      <w:color w:val="000000"/>
                      <w:kern w:val="0"/>
                      <w:szCs w:val="21"/>
                    </w:rPr>
                    <w:t>(m</w:t>
                  </w:r>
                  <w:r>
                    <w:rPr>
                      <w:rFonts w:ascii="Times New Roman" w:hAnsi="Times New Roman" w:eastAsia="Times New Roman" w:cs="Times New Roman"/>
                      <w:color w:val="000000"/>
                      <w:kern w:val="0"/>
                      <w:szCs w:val="21"/>
                      <w:vertAlign w:val="superscript"/>
                    </w:rPr>
                    <w:t>3</w:t>
                  </w:r>
                  <w:r>
                    <w:rPr>
                      <w:rFonts w:ascii="Times New Roman" w:hAnsi="Times New Roman" w:eastAsia="Times New Roman" w:cs="Times New Roman"/>
                      <w:color w:val="000000"/>
                      <w:kern w:val="0"/>
                      <w:szCs w:val="21"/>
                    </w:rPr>
                    <w:t>/a)</w:t>
                  </w:r>
                </w:p>
              </w:tc>
              <w:tc>
                <w:tcPr>
                  <w:tcW w:w="544" w:type="pct"/>
                  <w:tcBorders>
                    <w:top w:val="single" w:color="auto" w:sz="4" w:space="0"/>
                    <w:left w:val="single" w:color="auto" w:sz="4" w:space="0"/>
                    <w:bottom w:val="single" w:color="auto" w:sz="4" w:space="0"/>
                    <w:right w:val="single" w:color="auto" w:sz="4" w:space="0"/>
                  </w:tcBorders>
                  <w:vAlign w:val="center"/>
                </w:tcPr>
                <w:p w14:paraId="737378C1">
                  <w:pPr>
                    <w:ind w:left="-105" w:leftChars="-50" w:right="-105" w:rightChars="-50"/>
                    <w:jc w:val="center"/>
                    <w:rPr>
                      <w:rFonts w:ascii="Times New Roman" w:hAnsi="Times New Roman" w:eastAsia="Times New Roman" w:cs="Times New Roman"/>
                      <w:kern w:val="0"/>
                      <w:szCs w:val="21"/>
                    </w:rPr>
                  </w:pPr>
                  <w:r>
                    <w:rPr>
                      <w:rFonts w:ascii="Times New Roman" w:hAnsi="Times New Roman" w:eastAsia="Times New Roman" w:cs="Times New Roman"/>
                      <w:kern w:val="0"/>
                      <w:szCs w:val="21"/>
                    </w:rPr>
                    <w:t>24670</w:t>
                  </w:r>
                </w:p>
              </w:tc>
              <w:tc>
                <w:tcPr>
                  <w:tcW w:w="746" w:type="pct"/>
                  <w:tcBorders>
                    <w:top w:val="single" w:color="auto" w:sz="4" w:space="0"/>
                    <w:left w:val="single" w:color="auto" w:sz="4" w:space="0"/>
                    <w:bottom w:val="single" w:color="auto" w:sz="4" w:space="0"/>
                    <w:right w:val="single" w:color="auto" w:sz="4" w:space="0"/>
                  </w:tcBorders>
                  <w:vAlign w:val="center"/>
                </w:tcPr>
                <w:p w14:paraId="692E6C60">
                  <w:pPr>
                    <w:ind w:left="-105" w:leftChars="-50" w:right="-105" w:rightChars="-50"/>
                    <w:jc w:val="center"/>
                    <w:rPr>
                      <w:rFonts w:ascii="Times New Roman" w:hAnsi="Times New Roman" w:eastAsia="宋体" w:cs="Times New Roman"/>
                      <w:kern w:val="0"/>
                      <w:szCs w:val="21"/>
                    </w:rPr>
                  </w:pPr>
                  <w:r>
                    <w:rPr>
                      <w:rFonts w:ascii="Times New Roman" w:hAnsi="Times New Roman" w:eastAsia="Times New Roman" w:cs="Times New Roman"/>
                      <w:kern w:val="0"/>
                      <w:szCs w:val="21"/>
                    </w:rPr>
                    <w:t>2000</w:t>
                  </w:r>
                </w:p>
              </w:tc>
              <w:tc>
                <w:tcPr>
                  <w:tcW w:w="833" w:type="pct"/>
                  <w:tcBorders>
                    <w:top w:val="single" w:color="auto" w:sz="4" w:space="0"/>
                    <w:left w:val="single" w:color="auto" w:sz="4" w:space="0"/>
                    <w:bottom w:val="single" w:color="auto" w:sz="4" w:space="0"/>
                    <w:right w:val="single" w:color="auto" w:sz="4" w:space="0"/>
                  </w:tcBorders>
                  <w:vAlign w:val="center"/>
                </w:tcPr>
                <w:p w14:paraId="777CFB56">
                  <w:pPr>
                    <w:jc w:val="center"/>
                    <w:rPr>
                      <w:rFonts w:ascii="Times New Roman" w:hAnsi="Times New Roman" w:eastAsia="宋体" w:cs="Times New Roman"/>
                      <w:kern w:val="0"/>
                      <w:szCs w:val="21"/>
                    </w:rPr>
                  </w:pPr>
                  <w:r>
                    <w:rPr>
                      <w:rFonts w:hint="eastAsia" w:ascii="Times New Roman" w:hAnsi="Times New Roman" w:eastAsia="宋体" w:cs="Times New Roman"/>
                      <w:kern w:val="0"/>
                      <w:szCs w:val="21"/>
                    </w:rPr>
                    <w:t>-</w:t>
                  </w:r>
                  <w:r>
                    <w:rPr>
                      <w:rFonts w:ascii="Times New Roman" w:hAnsi="Times New Roman" w:eastAsia="宋体" w:cs="Times New Roman"/>
                      <w:kern w:val="0"/>
                      <w:szCs w:val="21"/>
                    </w:rPr>
                    <w:t>22670</w:t>
                  </w:r>
                </w:p>
              </w:tc>
              <w:tc>
                <w:tcPr>
                  <w:tcW w:w="571" w:type="pct"/>
                  <w:tcBorders>
                    <w:top w:val="single" w:color="auto" w:sz="4" w:space="0"/>
                    <w:left w:val="single" w:color="auto" w:sz="4" w:space="0"/>
                    <w:bottom w:val="single" w:color="auto" w:sz="4" w:space="0"/>
                    <w:right w:val="single" w:color="auto" w:sz="4" w:space="0"/>
                  </w:tcBorders>
                  <w:vAlign w:val="center"/>
                </w:tcPr>
                <w:p w14:paraId="2FE1BE0E">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w:t>
                  </w:r>
                </w:p>
              </w:tc>
              <w:tc>
                <w:tcPr>
                  <w:tcW w:w="479" w:type="pct"/>
                  <w:vMerge w:val="restart"/>
                  <w:tcBorders>
                    <w:top w:val="single" w:color="auto" w:sz="4" w:space="0"/>
                    <w:left w:val="single" w:color="auto" w:sz="4" w:space="0"/>
                    <w:bottom w:val="single" w:color="auto" w:sz="4" w:space="0"/>
                    <w:right w:val="single" w:color="auto" w:sz="4" w:space="0"/>
                  </w:tcBorders>
                  <w:vAlign w:val="center"/>
                </w:tcPr>
                <w:p w14:paraId="32D4F3E1">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自建水井</w:t>
                  </w:r>
                  <w:r>
                    <w:rPr>
                      <w:rFonts w:ascii="Times New Roman" w:hAnsi="Times New Roman" w:eastAsia="Times New Roman" w:cs="Times New Roman"/>
                      <w:color w:val="000000"/>
                      <w:kern w:val="0"/>
                      <w:szCs w:val="21"/>
                    </w:rPr>
                    <w:t>1</w:t>
                  </w:r>
                  <w:r>
                    <w:rPr>
                      <w:rFonts w:ascii="Times New Roman" w:hAnsi="Times New Roman" w:eastAsia="宋体" w:cs="Times New Roman"/>
                      <w:color w:val="000000"/>
                      <w:kern w:val="0"/>
                      <w:szCs w:val="21"/>
                    </w:rPr>
                    <w:t>个</w:t>
                  </w:r>
                </w:p>
              </w:tc>
              <w:tc>
                <w:tcPr>
                  <w:tcW w:w="658" w:type="pct"/>
                  <w:tcBorders>
                    <w:top w:val="single" w:color="auto" w:sz="4" w:space="0"/>
                    <w:left w:val="single" w:color="auto" w:sz="4" w:space="0"/>
                    <w:bottom w:val="single" w:color="auto" w:sz="4" w:space="0"/>
                    <w:right w:val="single" w:color="auto" w:sz="4" w:space="0"/>
                  </w:tcBorders>
                </w:tcPr>
                <w:p w14:paraId="6BBDA42C">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w:t>
                  </w:r>
                </w:p>
              </w:tc>
            </w:tr>
            <w:tr w14:paraId="43CC38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321" w:type="pct"/>
                  <w:vMerge w:val="continue"/>
                  <w:tcBorders>
                    <w:top w:val="single" w:color="auto" w:sz="4" w:space="0"/>
                    <w:left w:val="single" w:color="auto" w:sz="4" w:space="0"/>
                    <w:bottom w:val="single" w:color="auto" w:sz="4" w:space="0"/>
                    <w:right w:val="single" w:color="auto" w:sz="4" w:space="0"/>
                  </w:tcBorders>
                  <w:vAlign w:val="center"/>
                </w:tcPr>
                <w:p w14:paraId="241249E8">
                  <w:pPr>
                    <w:widowControl/>
                    <w:jc w:val="left"/>
                    <w:rPr>
                      <w:rFonts w:ascii="Times New Roman" w:hAnsi="Times New Roman" w:eastAsia="Times New Roman" w:cs="Times New Roman"/>
                      <w:color w:val="000000"/>
                      <w:kern w:val="0"/>
                      <w:szCs w:val="21"/>
                    </w:rPr>
                  </w:pPr>
                </w:p>
              </w:tc>
              <w:tc>
                <w:tcPr>
                  <w:tcW w:w="844" w:type="pct"/>
                  <w:gridSpan w:val="2"/>
                  <w:tcBorders>
                    <w:top w:val="single" w:color="auto" w:sz="4" w:space="0"/>
                    <w:left w:val="single" w:color="auto" w:sz="4" w:space="0"/>
                    <w:bottom w:val="single" w:color="auto" w:sz="4" w:space="0"/>
                    <w:right w:val="single" w:color="auto" w:sz="4" w:space="0"/>
                  </w:tcBorders>
                  <w:vAlign w:val="center"/>
                </w:tcPr>
                <w:p w14:paraId="754B1E9A">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生活用水</w:t>
                  </w:r>
                  <w:r>
                    <w:rPr>
                      <w:rFonts w:ascii="Times New Roman" w:hAnsi="Times New Roman" w:eastAsia="Times New Roman" w:cs="Times New Roman"/>
                      <w:color w:val="000000"/>
                      <w:kern w:val="0"/>
                      <w:szCs w:val="21"/>
                    </w:rPr>
                    <w:t>(m</w:t>
                  </w:r>
                  <w:r>
                    <w:rPr>
                      <w:rFonts w:ascii="Times New Roman" w:hAnsi="Times New Roman" w:eastAsia="Times New Roman" w:cs="Times New Roman"/>
                      <w:color w:val="000000"/>
                      <w:kern w:val="0"/>
                      <w:szCs w:val="21"/>
                      <w:vertAlign w:val="superscript"/>
                    </w:rPr>
                    <w:t>3</w:t>
                  </w:r>
                  <w:r>
                    <w:rPr>
                      <w:rFonts w:ascii="Times New Roman" w:hAnsi="Times New Roman" w:eastAsia="Times New Roman" w:cs="Times New Roman"/>
                      <w:color w:val="000000"/>
                      <w:kern w:val="0"/>
                      <w:szCs w:val="21"/>
                    </w:rPr>
                    <w:t>/a)</w:t>
                  </w:r>
                </w:p>
              </w:tc>
              <w:tc>
                <w:tcPr>
                  <w:tcW w:w="544" w:type="pct"/>
                  <w:tcBorders>
                    <w:top w:val="single" w:color="auto" w:sz="4" w:space="0"/>
                    <w:left w:val="single" w:color="auto" w:sz="4" w:space="0"/>
                    <w:bottom w:val="single" w:color="auto" w:sz="4" w:space="0"/>
                    <w:right w:val="single" w:color="auto" w:sz="4" w:space="0"/>
                  </w:tcBorders>
                  <w:vAlign w:val="center"/>
                </w:tcPr>
                <w:p w14:paraId="1F3B370E">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1020</w:t>
                  </w:r>
                </w:p>
              </w:tc>
              <w:tc>
                <w:tcPr>
                  <w:tcW w:w="746" w:type="pct"/>
                  <w:tcBorders>
                    <w:top w:val="single" w:color="auto" w:sz="4" w:space="0"/>
                    <w:left w:val="single" w:color="auto" w:sz="4" w:space="0"/>
                    <w:bottom w:val="single" w:color="auto" w:sz="4" w:space="0"/>
                    <w:right w:val="single" w:color="auto" w:sz="4" w:space="0"/>
                  </w:tcBorders>
                  <w:vAlign w:val="center"/>
                </w:tcPr>
                <w:p w14:paraId="067163EC">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Times New Roman" w:cs="Times New Roman"/>
                      <w:color w:val="000000"/>
                      <w:kern w:val="0"/>
                      <w:szCs w:val="21"/>
                    </w:rPr>
                    <w:t>1020</w:t>
                  </w:r>
                </w:p>
              </w:tc>
              <w:tc>
                <w:tcPr>
                  <w:tcW w:w="833" w:type="pct"/>
                  <w:tcBorders>
                    <w:top w:val="single" w:color="auto" w:sz="4" w:space="0"/>
                    <w:left w:val="single" w:color="auto" w:sz="4" w:space="0"/>
                    <w:bottom w:val="single" w:color="auto" w:sz="4" w:space="0"/>
                    <w:right w:val="single" w:color="auto" w:sz="4" w:space="0"/>
                  </w:tcBorders>
                  <w:vAlign w:val="center"/>
                </w:tcPr>
                <w:p w14:paraId="1D3AB37C">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0</w:t>
                  </w:r>
                </w:p>
              </w:tc>
              <w:tc>
                <w:tcPr>
                  <w:tcW w:w="571" w:type="pct"/>
                  <w:tcBorders>
                    <w:top w:val="single" w:color="auto" w:sz="4" w:space="0"/>
                    <w:left w:val="single" w:color="auto" w:sz="4" w:space="0"/>
                    <w:bottom w:val="single" w:color="auto" w:sz="4" w:space="0"/>
                    <w:right w:val="single" w:color="auto" w:sz="4" w:space="0"/>
                  </w:tcBorders>
                  <w:vAlign w:val="center"/>
                </w:tcPr>
                <w:p w14:paraId="14FEA922">
                  <w:pPr>
                    <w:widowControl/>
                    <w:ind w:left="-105" w:leftChars="-50" w:right="-105" w:rightChars="-50"/>
                    <w:jc w:val="center"/>
                    <w:rPr>
                      <w:rFonts w:ascii="Times New Roman" w:hAnsi="Times New Roman" w:cs="Times New Roman"/>
                      <w:color w:val="000000"/>
                      <w:kern w:val="0"/>
                      <w:szCs w:val="21"/>
                    </w:rPr>
                  </w:pPr>
                  <w:r>
                    <w:rPr>
                      <w:rFonts w:ascii="Times New Roman" w:hAnsi="Times New Roman" w:cs="Times New Roman"/>
                      <w:color w:val="000000"/>
                      <w:kern w:val="0"/>
                      <w:szCs w:val="21"/>
                    </w:rPr>
                    <w:t>/</w:t>
                  </w:r>
                </w:p>
              </w:tc>
              <w:tc>
                <w:tcPr>
                  <w:tcW w:w="479" w:type="pct"/>
                  <w:vMerge w:val="continue"/>
                  <w:tcBorders>
                    <w:top w:val="single" w:color="auto" w:sz="4" w:space="0"/>
                    <w:left w:val="single" w:color="auto" w:sz="4" w:space="0"/>
                    <w:bottom w:val="single" w:color="auto" w:sz="4" w:space="0"/>
                    <w:right w:val="single" w:color="auto" w:sz="4" w:space="0"/>
                  </w:tcBorders>
                  <w:vAlign w:val="center"/>
                </w:tcPr>
                <w:p w14:paraId="6ED47344">
                  <w:pPr>
                    <w:widowControl/>
                    <w:jc w:val="left"/>
                    <w:rPr>
                      <w:rFonts w:ascii="Times New Roman" w:hAnsi="Times New Roman" w:eastAsia="Times New Roman" w:cs="Times New Roman"/>
                      <w:color w:val="000000"/>
                      <w:kern w:val="0"/>
                      <w:szCs w:val="21"/>
                    </w:rPr>
                  </w:pPr>
                </w:p>
              </w:tc>
              <w:tc>
                <w:tcPr>
                  <w:tcW w:w="658" w:type="pct"/>
                  <w:tcBorders>
                    <w:top w:val="single" w:color="auto" w:sz="4" w:space="0"/>
                    <w:left w:val="single" w:color="auto" w:sz="4" w:space="0"/>
                    <w:bottom w:val="single" w:color="auto" w:sz="4" w:space="0"/>
                    <w:right w:val="single" w:color="auto" w:sz="4" w:space="0"/>
                  </w:tcBorders>
                </w:tcPr>
                <w:p w14:paraId="2593CE37">
                  <w:pPr>
                    <w:widowControl/>
                    <w:jc w:val="center"/>
                    <w:rPr>
                      <w:rFonts w:ascii="Times New Roman" w:hAnsi="Times New Roman" w:cs="Times New Roman"/>
                      <w:color w:val="000000"/>
                      <w:kern w:val="0"/>
                      <w:szCs w:val="21"/>
                    </w:rPr>
                  </w:pPr>
                  <w:r>
                    <w:rPr>
                      <w:rFonts w:ascii="Times New Roman" w:hAnsi="Times New Roman" w:cs="Times New Roman"/>
                      <w:color w:val="000000"/>
                      <w:kern w:val="0"/>
                      <w:szCs w:val="21"/>
                    </w:rPr>
                    <w:t>/</w:t>
                  </w:r>
                </w:p>
              </w:tc>
            </w:tr>
          </w:tbl>
          <w:p w14:paraId="09483D3A">
            <w:pPr>
              <w:adjustRightInd w:val="0"/>
              <w:snapToGrid w:val="0"/>
              <w:spacing w:line="360" w:lineRule="auto"/>
              <w:rPr>
                <w:rFonts w:ascii="Times New Roman" w:hAnsi="Times New Roman" w:eastAsia="宋体" w:cs="Times New Roman"/>
                <w:color w:val="000000"/>
                <w:szCs w:val="21"/>
              </w:rPr>
            </w:pPr>
            <w:r>
              <w:rPr>
                <w:rFonts w:ascii="Times New Roman" w:hAnsi="Times New Roman" w:eastAsia="宋体" w:cs="Times New Roman"/>
                <w:color w:val="000000"/>
                <w:szCs w:val="21"/>
              </w:rPr>
              <w:t>备注：实际生产过程中，具体的添加比例会存在一定波动，为控制烧结页岩砖的产品质量，各类污染物掺烧比例不超过一定的限值比例。</w:t>
            </w:r>
          </w:p>
          <w:p w14:paraId="67E1D87C">
            <w:pPr>
              <w:adjustRightInd w:val="0"/>
              <w:snapToGrid w:val="0"/>
              <w:spacing w:line="360" w:lineRule="auto"/>
              <w:ind w:firstLine="420" w:firstLineChars="200"/>
              <w:rPr>
                <w:rFonts w:ascii="Times New Roman" w:hAnsi="Times New Roman" w:eastAsia="宋体" w:cs="Times New Roman"/>
                <w:color w:val="000000"/>
                <w:szCs w:val="21"/>
              </w:rPr>
            </w:pPr>
            <w:r>
              <w:rPr>
                <w:rFonts w:hint="eastAsia" w:ascii="宋体" w:hAnsi="宋体" w:eastAsia="宋体" w:cs="宋体"/>
                <w:color w:val="000000"/>
                <w:szCs w:val="21"/>
              </w:rPr>
              <w:t>①</w:t>
            </w:r>
            <w:r>
              <w:rPr>
                <w:rFonts w:ascii="Times New Roman" w:hAnsi="Times New Roman" w:eastAsia="宋体" w:cs="Times New Roman"/>
                <w:color w:val="000000"/>
                <w:szCs w:val="21"/>
              </w:rPr>
              <w:t>根据川内多家水基钻井废弃物掺烧制砖企业经验，水基钻井废弃物（干重）与制砖总原料的重量比≤30%。</w:t>
            </w:r>
          </w:p>
          <w:p w14:paraId="27A16A18">
            <w:pPr>
              <w:adjustRightInd w:val="0"/>
              <w:snapToGrid w:val="0"/>
              <w:spacing w:line="360" w:lineRule="auto"/>
              <w:ind w:firstLine="420" w:firstLineChars="200"/>
              <w:rPr>
                <w:rFonts w:ascii="Times New Roman" w:hAnsi="Times New Roman" w:eastAsia="宋体" w:cs="Times New Roman"/>
                <w:color w:val="000000"/>
                <w:szCs w:val="21"/>
              </w:rPr>
            </w:pPr>
            <w:r>
              <w:rPr>
                <w:rFonts w:hint="eastAsia" w:ascii="宋体" w:hAnsi="宋体" w:eastAsia="宋体" w:cs="宋体"/>
                <w:color w:val="000000"/>
                <w:szCs w:val="21"/>
              </w:rPr>
              <w:t>②</w:t>
            </w:r>
            <w:r>
              <w:rPr>
                <w:rFonts w:ascii="Times New Roman" w:hAnsi="Times New Roman" w:eastAsia="宋体" w:cs="Times New Roman"/>
                <w:color w:val="000000"/>
                <w:szCs w:val="21"/>
              </w:rPr>
              <w:t>一般工业污泥掺烧比例不大于《城镇污水处理厂污泥处置制砖用泥质》（GB/T 25031-2010）中“5 其他要求污泥（以干污泥计）与制砖总原料的重量比≤10%”。所有一般工业污泥原料均需为一般固体废物，不得接纳危险废物，掺烧比列≤10%。</w:t>
            </w:r>
          </w:p>
          <w:p w14:paraId="1864EBC0">
            <w:pPr>
              <w:adjustRightInd w:val="0"/>
              <w:snapToGrid w:val="0"/>
              <w:spacing w:line="360" w:lineRule="auto"/>
              <w:ind w:firstLine="420" w:firstLineChars="200"/>
              <w:rPr>
                <w:rFonts w:ascii="Times New Roman" w:hAnsi="Times New Roman" w:eastAsia="宋体" w:cs="Times New Roman"/>
                <w:color w:val="000000"/>
                <w:szCs w:val="21"/>
              </w:rPr>
            </w:pPr>
            <w:r>
              <w:rPr>
                <w:rFonts w:hint="eastAsia" w:ascii="宋体" w:hAnsi="宋体" w:eastAsia="宋体" w:cs="宋体"/>
                <w:color w:val="000000"/>
                <w:szCs w:val="21"/>
              </w:rPr>
              <w:t>③</w:t>
            </w:r>
            <w:r>
              <w:rPr>
                <w:rFonts w:ascii="Times New Roman" w:hAnsi="Times New Roman" w:eastAsia="宋体" w:cs="Times New Roman"/>
                <w:color w:val="000000"/>
                <w:szCs w:val="21"/>
              </w:rPr>
              <w:t>由于本项目掺烧固废均为无机固废，不考虑其热值。</w:t>
            </w:r>
          </w:p>
          <w:p w14:paraId="1D64333F">
            <w:pPr>
              <w:adjustRightInd w:val="0"/>
              <w:snapToGrid w:val="0"/>
              <w:spacing w:line="360" w:lineRule="auto"/>
              <w:ind w:firstLine="482" w:firstLineChars="200"/>
              <w:rPr>
                <w:rFonts w:ascii="Times New Roman" w:hAnsi="Times New Roman" w:eastAsia="宋体" w:cs="Times New Roman"/>
                <w:b/>
                <w:bCs/>
                <w:color w:val="000000"/>
                <w:sz w:val="24"/>
                <w:szCs w:val="24"/>
              </w:rPr>
            </w:pPr>
            <w:r>
              <w:rPr>
                <w:rFonts w:ascii="Times New Roman" w:hAnsi="Times New Roman" w:eastAsia="宋体" w:cs="Times New Roman"/>
                <w:b/>
                <w:bCs/>
                <w:color w:val="000000"/>
                <w:sz w:val="24"/>
                <w:szCs w:val="24"/>
              </w:rPr>
              <w:t>本项目替代原料固废类别</w:t>
            </w:r>
          </w:p>
          <w:p w14:paraId="7361C426">
            <w:pPr>
              <w:adjustRightInd w:val="0"/>
              <w:snapToGrid w:val="0"/>
              <w:spacing w:line="360" w:lineRule="auto"/>
              <w:ind w:firstLine="480" w:firstLineChars="200"/>
              <w:rPr>
                <w:rFonts w:ascii="Times New Roman" w:hAnsi="Times New Roman" w:eastAsia="宋体" w:cs="Times New Roman"/>
                <w:b/>
                <w:bCs/>
                <w:color w:val="000000"/>
                <w:sz w:val="24"/>
                <w:szCs w:val="24"/>
              </w:rPr>
            </w:pPr>
            <w:r>
              <w:rPr>
                <w:rFonts w:ascii="Times New Roman" w:hAnsi="Times New Roman" w:eastAsia="宋体" w:cs="Times New Roman"/>
                <w:color w:val="000000"/>
                <w:sz w:val="24"/>
                <w:szCs w:val="24"/>
              </w:rPr>
              <w:t>本项目掺烧固废为《固体废物分类目录（征求意见稿）》中明确的一般工业固体废物，按照该分类表本项目替代原料的代码名称见下表：</w:t>
            </w:r>
          </w:p>
          <w:p w14:paraId="3B8799BC">
            <w:pPr>
              <w:adjustRightInd w:val="0"/>
              <w:snapToGrid w:val="0"/>
              <w:jc w:val="center"/>
              <w:rPr>
                <w:rFonts w:ascii="Times New Roman" w:hAnsi="Times New Roman" w:eastAsia="宋体" w:cs="Times New Roman"/>
                <w:b/>
                <w:color w:val="000000"/>
                <w:szCs w:val="21"/>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17</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ascii="Times New Roman" w:hAnsi="Times New Roman" w:eastAsia="宋体" w:cs="Times New Roman"/>
                <w:b/>
                <w:color w:val="000000"/>
                <w:szCs w:val="21"/>
              </w:rPr>
              <w:t>本项目替代原料固废类别表</w:t>
            </w:r>
          </w:p>
          <w:tbl>
            <w:tblPr>
              <w:tblStyle w:val="2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3" w:type="dxa"/>
                <w:bottom w:w="0" w:type="dxa"/>
                <w:right w:w="23" w:type="dxa"/>
              </w:tblCellMar>
            </w:tblPr>
            <w:tblGrid>
              <w:gridCol w:w="807"/>
              <w:gridCol w:w="960"/>
              <w:gridCol w:w="897"/>
              <w:gridCol w:w="1026"/>
              <w:gridCol w:w="4123"/>
            </w:tblGrid>
            <w:tr w14:paraId="7722EF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113" w:hRule="atLeast"/>
                <w:tblHeader/>
                <w:jc w:val="center"/>
              </w:trPr>
              <w:tc>
                <w:tcPr>
                  <w:tcW w:w="0" w:type="auto"/>
                  <w:shd w:val="clear" w:color="auto" w:fill="auto"/>
                  <w:vAlign w:val="center"/>
                </w:tcPr>
                <w:p w14:paraId="69003F27">
                  <w:pPr>
                    <w:jc w:val="center"/>
                    <w:rPr>
                      <w:rFonts w:ascii="Times New Roman" w:hAnsi="Times New Roman" w:eastAsia="宋体" w:cs="Times New Roman"/>
                      <w:b/>
                      <w:color w:val="000000"/>
                    </w:rPr>
                  </w:pPr>
                  <w:r>
                    <w:rPr>
                      <w:rFonts w:ascii="Times New Roman" w:hAnsi="Times New Roman" w:eastAsia="宋体" w:cs="Times New Roman"/>
                      <w:b/>
                      <w:color w:val="000000"/>
                    </w:rPr>
                    <w:t>本项目替代原料</w:t>
                  </w:r>
                </w:p>
              </w:tc>
              <w:tc>
                <w:tcPr>
                  <w:tcW w:w="0" w:type="auto"/>
                  <w:shd w:val="clear" w:color="auto" w:fill="auto"/>
                  <w:vAlign w:val="center"/>
                </w:tcPr>
                <w:p w14:paraId="78FC2296">
                  <w:pPr>
                    <w:jc w:val="center"/>
                    <w:rPr>
                      <w:rFonts w:ascii="Times New Roman" w:hAnsi="Times New Roman" w:eastAsia="宋体" w:cs="Times New Roman"/>
                      <w:b/>
                      <w:color w:val="000000"/>
                    </w:rPr>
                  </w:pPr>
                  <w:r>
                    <w:rPr>
                      <w:rFonts w:ascii="Times New Roman" w:hAnsi="Times New Roman" w:eastAsia="宋体" w:cs="Times New Roman"/>
                      <w:b/>
                      <w:color w:val="000000"/>
                    </w:rPr>
                    <w:t>固废代码</w:t>
                  </w:r>
                </w:p>
              </w:tc>
              <w:tc>
                <w:tcPr>
                  <w:tcW w:w="0" w:type="auto"/>
                  <w:shd w:val="clear" w:color="auto" w:fill="auto"/>
                  <w:vAlign w:val="center"/>
                </w:tcPr>
                <w:p w14:paraId="7097124C">
                  <w:pPr>
                    <w:jc w:val="center"/>
                    <w:rPr>
                      <w:rFonts w:ascii="Times New Roman" w:hAnsi="Times New Roman" w:eastAsia="宋体" w:cs="Times New Roman"/>
                      <w:b/>
                      <w:color w:val="000000"/>
                    </w:rPr>
                  </w:pPr>
                  <w:r>
                    <w:rPr>
                      <w:rFonts w:ascii="Times New Roman" w:hAnsi="Times New Roman" w:eastAsia="宋体" w:cs="Times New Roman"/>
                      <w:b/>
                      <w:color w:val="000000"/>
                    </w:rPr>
                    <w:t>行业来源</w:t>
                  </w:r>
                </w:p>
              </w:tc>
              <w:tc>
                <w:tcPr>
                  <w:tcW w:w="0" w:type="auto"/>
                  <w:shd w:val="clear" w:color="auto" w:fill="auto"/>
                  <w:vAlign w:val="center"/>
                </w:tcPr>
                <w:p w14:paraId="6A8F7740">
                  <w:pPr>
                    <w:jc w:val="center"/>
                    <w:rPr>
                      <w:rFonts w:ascii="Times New Roman" w:hAnsi="Times New Roman" w:eastAsia="宋体" w:cs="Times New Roman"/>
                      <w:b/>
                      <w:color w:val="000000"/>
                    </w:rPr>
                  </w:pPr>
                  <w:r>
                    <w:rPr>
                      <w:rFonts w:ascii="Times New Roman" w:hAnsi="Times New Roman" w:eastAsia="宋体" w:cs="Times New Roman"/>
                      <w:b/>
                      <w:color w:val="000000"/>
                    </w:rPr>
                    <w:t>废物代码</w:t>
                  </w:r>
                </w:p>
              </w:tc>
              <w:tc>
                <w:tcPr>
                  <w:tcW w:w="0" w:type="auto"/>
                  <w:shd w:val="clear" w:color="auto" w:fill="auto"/>
                  <w:vAlign w:val="center"/>
                </w:tcPr>
                <w:p w14:paraId="0CC6285E">
                  <w:pPr>
                    <w:jc w:val="center"/>
                    <w:rPr>
                      <w:rFonts w:ascii="Times New Roman" w:hAnsi="Times New Roman" w:eastAsia="宋体" w:cs="Times New Roman"/>
                      <w:b/>
                      <w:color w:val="000000"/>
                    </w:rPr>
                  </w:pPr>
                  <w:r>
                    <w:rPr>
                      <w:rFonts w:ascii="Times New Roman" w:hAnsi="Times New Roman" w:eastAsia="宋体" w:cs="Times New Roman"/>
                      <w:b/>
                      <w:color w:val="000000"/>
                    </w:rPr>
                    <w:t>固体废物名称</w:t>
                  </w:r>
                </w:p>
              </w:tc>
            </w:tr>
            <w:tr w14:paraId="7010D2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113" w:hRule="atLeast"/>
                <w:tblHeader/>
                <w:jc w:val="center"/>
              </w:trPr>
              <w:tc>
                <w:tcPr>
                  <w:tcW w:w="0" w:type="auto"/>
                  <w:vMerge w:val="restart"/>
                  <w:shd w:val="clear" w:color="auto" w:fill="auto"/>
                  <w:vAlign w:val="center"/>
                </w:tcPr>
                <w:p w14:paraId="50439657">
                  <w:pPr>
                    <w:snapToGrid w:val="0"/>
                    <w:rPr>
                      <w:rFonts w:ascii="Times New Roman" w:hAnsi="Times New Roman" w:eastAsia="宋体" w:cs="Times New Roman"/>
                      <w:b/>
                      <w:color w:val="000000"/>
                    </w:rPr>
                  </w:pPr>
                  <w:r>
                    <w:rPr>
                      <w:rFonts w:ascii="Times New Roman" w:hAnsi="Times New Roman" w:eastAsia="宋体" w:cs="Times New Roman"/>
                      <w:color w:val="000000"/>
                    </w:rPr>
                    <w:t>水基钻井废弃物</w:t>
                  </w:r>
                </w:p>
              </w:tc>
              <w:tc>
                <w:tcPr>
                  <w:tcW w:w="0" w:type="auto"/>
                  <w:vMerge w:val="restart"/>
                  <w:shd w:val="clear" w:color="auto" w:fill="auto"/>
                  <w:vAlign w:val="center"/>
                </w:tcPr>
                <w:p w14:paraId="0ACBEF1E">
                  <w:pPr>
                    <w:snapToGrid w:val="0"/>
                    <w:jc w:val="left"/>
                    <w:rPr>
                      <w:rFonts w:ascii="Times New Roman" w:hAnsi="Times New Roman" w:eastAsia="宋体" w:cs="Times New Roman"/>
                      <w:color w:val="000000"/>
                    </w:rPr>
                  </w:pPr>
                  <w:r>
                    <w:rPr>
                      <w:rFonts w:ascii="Times New Roman" w:hAnsi="Times New Roman" w:eastAsia="宋体" w:cs="Times New Roman"/>
                      <w:color w:val="000000"/>
                    </w:rPr>
                    <w:t>SW12钻井岩屑</w:t>
                  </w:r>
                </w:p>
              </w:tc>
              <w:tc>
                <w:tcPr>
                  <w:tcW w:w="0" w:type="auto"/>
                  <w:vMerge w:val="restart"/>
                  <w:shd w:val="clear" w:color="auto" w:fill="auto"/>
                  <w:vAlign w:val="center"/>
                </w:tcPr>
                <w:p w14:paraId="49531623">
                  <w:pPr>
                    <w:snapToGrid w:val="0"/>
                    <w:jc w:val="left"/>
                    <w:rPr>
                      <w:rFonts w:ascii="Times New Roman" w:hAnsi="Times New Roman" w:eastAsia="宋体" w:cs="Times New Roman"/>
                      <w:color w:val="000000"/>
                    </w:rPr>
                  </w:pPr>
                  <w:r>
                    <w:rPr>
                      <w:rFonts w:ascii="Times New Roman" w:hAnsi="Times New Roman" w:eastAsia="宋体" w:cs="Times New Roman"/>
                      <w:color w:val="000000"/>
                    </w:rPr>
                    <w:t>天然气开采</w:t>
                  </w:r>
                </w:p>
              </w:tc>
              <w:tc>
                <w:tcPr>
                  <w:tcW w:w="0" w:type="auto"/>
                  <w:shd w:val="clear" w:color="auto" w:fill="auto"/>
                  <w:vAlign w:val="center"/>
                </w:tcPr>
                <w:p w14:paraId="605AA669">
                  <w:pPr>
                    <w:snapToGrid w:val="0"/>
                    <w:jc w:val="left"/>
                    <w:rPr>
                      <w:rFonts w:ascii="Times New Roman" w:hAnsi="Times New Roman" w:eastAsia="宋体" w:cs="Times New Roman"/>
                      <w:color w:val="000000"/>
                    </w:rPr>
                  </w:pPr>
                  <w:r>
                    <w:rPr>
                      <w:rFonts w:ascii="Times New Roman" w:hAnsi="Times New Roman" w:eastAsia="宋体" w:cs="Times New Roman"/>
                      <w:color w:val="000000"/>
                    </w:rPr>
                    <w:t>072-001-12</w:t>
                  </w:r>
                </w:p>
              </w:tc>
              <w:tc>
                <w:tcPr>
                  <w:tcW w:w="0" w:type="auto"/>
                  <w:shd w:val="clear" w:color="auto" w:fill="auto"/>
                  <w:vAlign w:val="center"/>
                </w:tcPr>
                <w:p w14:paraId="589148F9">
                  <w:pPr>
                    <w:snapToGrid w:val="0"/>
                    <w:jc w:val="left"/>
                    <w:rPr>
                      <w:rFonts w:ascii="Times New Roman" w:hAnsi="Times New Roman" w:eastAsia="宋体" w:cs="Times New Roman"/>
                      <w:color w:val="000000"/>
                    </w:rPr>
                  </w:pPr>
                  <w:r>
                    <w:rPr>
                      <w:rFonts w:ascii="Times New Roman" w:hAnsi="Times New Roman" w:eastAsia="宋体" w:cs="Times New Roman"/>
                      <w:color w:val="000000"/>
                    </w:rPr>
                    <w:t>水基钻井岩屑。天然气开采过程中地下岩石被钻头破碎后，随钻井液被带到地面上的含油岩屑。</w:t>
                  </w:r>
                </w:p>
              </w:tc>
            </w:tr>
            <w:tr w14:paraId="6E55BE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113" w:hRule="atLeast"/>
                <w:tblHeader/>
                <w:jc w:val="center"/>
              </w:trPr>
              <w:tc>
                <w:tcPr>
                  <w:tcW w:w="0" w:type="auto"/>
                  <w:vMerge w:val="continue"/>
                  <w:shd w:val="clear" w:color="auto" w:fill="auto"/>
                  <w:vAlign w:val="center"/>
                </w:tcPr>
                <w:p w14:paraId="366CF3E5">
                  <w:pPr>
                    <w:snapToGrid w:val="0"/>
                    <w:rPr>
                      <w:rFonts w:ascii="Times New Roman" w:hAnsi="Times New Roman" w:eastAsia="宋体" w:cs="Times New Roman"/>
                      <w:color w:val="000000"/>
                    </w:rPr>
                  </w:pPr>
                </w:p>
              </w:tc>
              <w:tc>
                <w:tcPr>
                  <w:tcW w:w="0" w:type="auto"/>
                  <w:vMerge w:val="continue"/>
                  <w:shd w:val="clear" w:color="auto" w:fill="auto"/>
                  <w:vAlign w:val="center"/>
                </w:tcPr>
                <w:p w14:paraId="05C11711">
                  <w:pPr>
                    <w:snapToGrid w:val="0"/>
                    <w:jc w:val="left"/>
                    <w:rPr>
                      <w:rFonts w:ascii="Times New Roman" w:hAnsi="Times New Roman" w:eastAsia="宋体" w:cs="Times New Roman"/>
                      <w:color w:val="000000"/>
                    </w:rPr>
                  </w:pPr>
                </w:p>
              </w:tc>
              <w:tc>
                <w:tcPr>
                  <w:tcW w:w="0" w:type="auto"/>
                  <w:vMerge w:val="continue"/>
                  <w:shd w:val="clear" w:color="auto" w:fill="auto"/>
                  <w:vAlign w:val="center"/>
                </w:tcPr>
                <w:p w14:paraId="510C4247">
                  <w:pPr>
                    <w:snapToGrid w:val="0"/>
                    <w:jc w:val="left"/>
                    <w:rPr>
                      <w:rFonts w:ascii="Times New Roman" w:hAnsi="Times New Roman" w:eastAsia="宋体" w:cs="Times New Roman"/>
                      <w:color w:val="000000"/>
                    </w:rPr>
                  </w:pPr>
                </w:p>
              </w:tc>
              <w:tc>
                <w:tcPr>
                  <w:tcW w:w="0" w:type="auto"/>
                  <w:shd w:val="clear" w:color="auto" w:fill="auto"/>
                  <w:vAlign w:val="center"/>
                </w:tcPr>
                <w:p w14:paraId="2A080C9E">
                  <w:pPr>
                    <w:snapToGrid w:val="0"/>
                    <w:jc w:val="left"/>
                    <w:rPr>
                      <w:rFonts w:ascii="Times New Roman" w:hAnsi="Times New Roman" w:eastAsia="宋体" w:cs="Times New Roman"/>
                      <w:color w:val="000000"/>
                    </w:rPr>
                  </w:pPr>
                  <w:r>
                    <w:rPr>
                      <w:rFonts w:ascii="Times New Roman" w:hAnsi="Times New Roman" w:eastAsia="宋体" w:cs="Times New Roman"/>
                      <w:color w:val="000000"/>
                    </w:rPr>
                    <w:t>072-003-12</w:t>
                  </w:r>
                </w:p>
              </w:tc>
              <w:tc>
                <w:tcPr>
                  <w:tcW w:w="0" w:type="auto"/>
                  <w:shd w:val="clear" w:color="auto" w:fill="auto"/>
                  <w:vAlign w:val="center"/>
                </w:tcPr>
                <w:p w14:paraId="102028B7">
                  <w:pPr>
                    <w:snapToGrid w:val="0"/>
                    <w:jc w:val="left"/>
                    <w:rPr>
                      <w:rFonts w:ascii="Times New Roman" w:hAnsi="Times New Roman" w:eastAsia="宋体" w:cs="Times New Roman"/>
                      <w:color w:val="000000"/>
                    </w:rPr>
                  </w:pPr>
                  <w:r>
                    <w:rPr>
                      <w:rFonts w:ascii="Times New Roman" w:hAnsi="Times New Roman" w:eastAsia="宋体" w:cs="Times New Roman"/>
                      <w:color w:val="000000"/>
                    </w:rPr>
                    <w:t>泥渣。天然气开采过程中除砂除泥器产生的、钻井液罐以及压井水泥罐的清掏泥渣。</w:t>
                  </w:r>
                </w:p>
              </w:tc>
            </w:tr>
            <w:tr w14:paraId="0E779F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113" w:hRule="atLeast"/>
                <w:jc w:val="center"/>
              </w:trPr>
              <w:tc>
                <w:tcPr>
                  <w:tcW w:w="0" w:type="auto"/>
                  <w:vMerge w:val="restart"/>
                  <w:vAlign w:val="center"/>
                </w:tcPr>
                <w:p w14:paraId="152C1B24">
                  <w:pPr>
                    <w:snapToGrid w:val="0"/>
                    <w:rPr>
                      <w:rFonts w:ascii="Times New Roman" w:hAnsi="Times New Roman" w:eastAsia="宋体" w:cs="Times New Roman"/>
                      <w:color w:val="000000"/>
                    </w:rPr>
                  </w:pPr>
                  <w:r>
                    <w:rPr>
                      <w:rFonts w:ascii="Times New Roman" w:hAnsi="Times New Roman" w:eastAsia="宋体" w:cs="Times New Roman"/>
                      <w:color w:val="000000"/>
                    </w:rPr>
                    <w:t>无机污泥</w:t>
                  </w:r>
                </w:p>
              </w:tc>
              <w:tc>
                <w:tcPr>
                  <w:tcW w:w="0" w:type="auto"/>
                  <w:vMerge w:val="restart"/>
                  <w:vAlign w:val="center"/>
                </w:tcPr>
                <w:p w14:paraId="3A735E5B">
                  <w:pPr>
                    <w:snapToGrid w:val="0"/>
                    <w:rPr>
                      <w:rFonts w:ascii="Times New Roman" w:hAnsi="Times New Roman" w:eastAsia="宋体" w:cs="Times New Roman"/>
                      <w:color w:val="000000"/>
                    </w:rPr>
                  </w:pPr>
                  <w:r>
                    <w:rPr>
                      <w:rFonts w:ascii="Times New Roman" w:hAnsi="Times New Roman" w:eastAsia="宋体" w:cs="Times New Roman"/>
                      <w:color w:val="000000"/>
                    </w:rPr>
                    <w:t>SW07污泥</w:t>
                  </w:r>
                </w:p>
              </w:tc>
              <w:tc>
                <w:tcPr>
                  <w:tcW w:w="0" w:type="auto"/>
                  <w:vAlign w:val="center"/>
                </w:tcPr>
                <w:p w14:paraId="363BE753">
                  <w:pPr>
                    <w:snapToGrid w:val="0"/>
                    <w:rPr>
                      <w:rFonts w:ascii="Times New Roman" w:hAnsi="Times New Roman" w:eastAsia="宋体" w:cs="Times New Roman"/>
                      <w:color w:val="000000"/>
                    </w:rPr>
                  </w:pPr>
                  <w:r>
                    <w:rPr>
                      <w:rFonts w:ascii="Times New Roman" w:hAnsi="Times New Roman" w:eastAsia="宋体" w:cs="Times New Roman"/>
                      <w:color w:val="000000"/>
                    </w:rPr>
                    <w:t>自来水生产和供应</w:t>
                  </w:r>
                </w:p>
              </w:tc>
              <w:tc>
                <w:tcPr>
                  <w:tcW w:w="0" w:type="auto"/>
                  <w:vAlign w:val="center"/>
                </w:tcPr>
                <w:p w14:paraId="5D553522">
                  <w:pPr>
                    <w:snapToGrid w:val="0"/>
                    <w:rPr>
                      <w:rFonts w:ascii="Times New Roman" w:hAnsi="Times New Roman" w:eastAsia="宋体" w:cs="Times New Roman"/>
                      <w:color w:val="000000"/>
                    </w:rPr>
                  </w:pPr>
                  <w:r>
                    <w:rPr>
                      <w:rFonts w:ascii="Times New Roman" w:hAnsi="Times New Roman" w:eastAsia="宋体" w:cs="Times New Roman"/>
                      <w:color w:val="000000"/>
                    </w:rPr>
                    <w:t>461-001-07</w:t>
                  </w:r>
                </w:p>
              </w:tc>
              <w:tc>
                <w:tcPr>
                  <w:tcW w:w="0" w:type="auto"/>
                  <w:vAlign w:val="center"/>
                </w:tcPr>
                <w:p w14:paraId="596B9000">
                  <w:pPr>
                    <w:snapToGrid w:val="0"/>
                    <w:rPr>
                      <w:rFonts w:ascii="Times New Roman" w:hAnsi="Times New Roman" w:eastAsia="宋体" w:cs="Times New Roman"/>
                      <w:color w:val="000000"/>
                    </w:rPr>
                  </w:pPr>
                  <w:r>
                    <w:rPr>
                      <w:rFonts w:ascii="Times New Roman" w:hAnsi="Times New Roman" w:eastAsia="宋体" w:cs="Times New Roman"/>
                      <w:color w:val="000000"/>
                    </w:rPr>
                    <w:t>给水沉淀池和滤池反冲洗排泥水经沉淀后形成的污泥</w:t>
                  </w:r>
                </w:p>
              </w:tc>
            </w:tr>
            <w:tr w14:paraId="49D599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113" w:hRule="atLeast"/>
                <w:jc w:val="center"/>
              </w:trPr>
              <w:tc>
                <w:tcPr>
                  <w:tcW w:w="0" w:type="auto"/>
                  <w:vMerge w:val="continue"/>
                  <w:vAlign w:val="center"/>
                </w:tcPr>
                <w:p w14:paraId="09B779A9">
                  <w:pPr>
                    <w:snapToGrid w:val="0"/>
                    <w:rPr>
                      <w:rFonts w:ascii="Times New Roman" w:hAnsi="Times New Roman" w:eastAsia="宋体" w:cs="Times New Roman"/>
                      <w:color w:val="000000"/>
                    </w:rPr>
                  </w:pPr>
                </w:p>
              </w:tc>
              <w:tc>
                <w:tcPr>
                  <w:tcW w:w="0" w:type="auto"/>
                  <w:vMerge w:val="continue"/>
                  <w:vAlign w:val="center"/>
                </w:tcPr>
                <w:p w14:paraId="695060B3">
                  <w:pPr>
                    <w:snapToGrid w:val="0"/>
                    <w:rPr>
                      <w:rFonts w:ascii="Times New Roman" w:hAnsi="Times New Roman" w:eastAsia="宋体" w:cs="Times New Roman"/>
                      <w:color w:val="000000"/>
                    </w:rPr>
                  </w:pPr>
                </w:p>
              </w:tc>
              <w:tc>
                <w:tcPr>
                  <w:tcW w:w="0" w:type="auto"/>
                  <w:vMerge w:val="restart"/>
                  <w:vAlign w:val="center"/>
                </w:tcPr>
                <w:p w14:paraId="59ED8D6E">
                  <w:pPr>
                    <w:snapToGrid w:val="0"/>
                    <w:rPr>
                      <w:rFonts w:ascii="Times New Roman" w:hAnsi="Times New Roman" w:eastAsia="宋体" w:cs="Times New Roman"/>
                      <w:color w:val="000000"/>
                    </w:rPr>
                  </w:pPr>
                  <w:r>
                    <w:rPr>
                      <w:rFonts w:ascii="Times New Roman" w:hAnsi="Times New Roman" w:eastAsia="宋体" w:cs="Times New Roman"/>
                      <w:color w:val="000000"/>
                    </w:rPr>
                    <w:t>非特定行业</w:t>
                  </w:r>
                </w:p>
              </w:tc>
              <w:tc>
                <w:tcPr>
                  <w:tcW w:w="0" w:type="auto"/>
                  <w:vAlign w:val="center"/>
                </w:tcPr>
                <w:p w14:paraId="71875772">
                  <w:pPr>
                    <w:snapToGrid w:val="0"/>
                    <w:rPr>
                      <w:rFonts w:ascii="Times New Roman" w:hAnsi="Times New Roman" w:eastAsia="宋体" w:cs="Times New Roman"/>
                      <w:color w:val="000000"/>
                    </w:rPr>
                  </w:pPr>
                  <w:r>
                    <w:rPr>
                      <w:rFonts w:ascii="Times New Roman" w:hAnsi="Times New Roman" w:eastAsia="宋体" w:cs="Times New Roman"/>
                      <w:color w:val="000000"/>
                    </w:rPr>
                    <w:t>900-002-07</w:t>
                  </w:r>
                </w:p>
              </w:tc>
              <w:tc>
                <w:tcPr>
                  <w:tcW w:w="0" w:type="auto"/>
                  <w:vAlign w:val="center"/>
                </w:tcPr>
                <w:p w14:paraId="0412D084">
                  <w:pPr>
                    <w:snapToGrid w:val="0"/>
                    <w:rPr>
                      <w:rFonts w:ascii="Times New Roman" w:hAnsi="Times New Roman" w:eastAsia="宋体" w:cs="Times New Roman"/>
                      <w:color w:val="000000"/>
                    </w:rPr>
                  </w:pPr>
                  <w:r>
                    <w:rPr>
                      <w:rFonts w:ascii="Times New Roman" w:hAnsi="Times New Roman" w:eastAsia="宋体" w:cs="Times New Roman"/>
                      <w:color w:val="000000"/>
                    </w:rPr>
                    <w:t>无机非金属工业生产行业废水处理产生的物化和生化污泥。</w:t>
                  </w:r>
                </w:p>
              </w:tc>
            </w:tr>
            <w:tr w14:paraId="1BCFCE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113" w:hRule="atLeast"/>
                <w:jc w:val="center"/>
              </w:trPr>
              <w:tc>
                <w:tcPr>
                  <w:tcW w:w="0" w:type="auto"/>
                  <w:vMerge w:val="continue"/>
                  <w:vAlign w:val="center"/>
                </w:tcPr>
                <w:p w14:paraId="5565CA09">
                  <w:pPr>
                    <w:snapToGrid w:val="0"/>
                    <w:rPr>
                      <w:rFonts w:ascii="Times New Roman" w:hAnsi="Times New Roman" w:eastAsia="宋体" w:cs="Times New Roman"/>
                      <w:color w:val="000000"/>
                    </w:rPr>
                  </w:pPr>
                </w:p>
              </w:tc>
              <w:tc>
                <w:tcPr>
                  <w:tcW w:w="0" w:type="auto"/>
                  <w:vMerge w:val="continue"/>
                  <w:vAlign w:val="center"/>
                </w:tcPr>
                <w:p w14:paraId="4BB43CE9">
                  <w:pPr>
                    <w:snapToGrid w:val="0"/>
                    <w:rPr>
                      <w:rFonts w:ascii="Times New Roman" w:hAnsi="Times New Roman" w:eastAsia="宋体" w:cs="Times New Roman"/>
                      <w:color w:val="000000"/>
                    </w:rPr>
                  </w:pPr>
                </w:p>
              </w:tc>
              <w:tc>
                <w:tcPr>
                  <w:tcW w:w="0" w:type="auto"/>
                  <w:vMerge w:val="continue"/>
                  <w:vAlign w:val="center"/>
                </w:tcPr>
                <w:p w14:paraId="04498D30">
                  <w:pPr>
                    <w:snapToGrid w:val="0"/>
                    <w:rPr>
                      <w:rFonts w:ascii="Times New Roman" w:hAnsi="Times New Roman" w:eastAsia="宋体" w:cs="Times New Roman"/>
                      <w:color w:val="000000"/>
                    </w:rPr>
                  </w:pPr>
                </w:p>
              </w:tc>
              <w:tc>
                <w:tcPr>
                  <w:tcW w:w="0" w:type="auto"/>
                  <w:vAlign w:val="center"/>
                </w:tcPr>
                <w:p w14:paraId="0BEFC296">
                  <w:pPr>
                    <w:snapToGrid w:val="0"/>
                    <w:rPr>
                      <w:rFonts w:ascii="Times New Roman" w:hAnsi="Times New Roman" w:eastAsia="宋体" w:cs="Times New Roman"/>
                      <w:color w:val="000000"/>
                    </w:rPr>
                  </w:pPr>
                  <w:r>
                    <w:rPr>
                      <w:rFonts w:ascii="Times New Roman" w:hAnsi="Times New Roman" w:eastAsia="宋体" w:cs="Times New Roman"/>
                      <w:color w:val="000000"/>
                    </w:rPr>
                    <w:t>900-099-07</w:t>
                  </w:r>
                </w:p>
              </w:tc>
              <w:tc>
                <w:tcPr>
                  <w:tcW w:w="0" w:type="auto"/>
                  <w:vAlign w:val="center"/>
                </w:tcPr>
                <w:p w14:paraId="6EF3565C">
                  <w:pPr>
                    <w:snapToGrid w:val="0"/>
                    <w:rPr>
                      <w:rFonts w:ascii="Times New Roman" w:hAnsi="Times New Roman" w:eastAsia="宋体" w:cs="Times New Roman"/>
                      <w:color w:val="000000"/>
                    </w:rPr>
                  </w:pPr>
                  <w:r>
                    <w:rPr>
                      <w:rFonts w:ascii="Times New Roman" w:hAnsi="Times New Roman" w:eastAsia="宋体" w:cs="Times New Roman"/>
                      <w:color w:val="000000"/>
                    </w:rPr>
                    <w:t>其他行业产生的废水处理污泥。</w:t>
                  </w:r>
                </w:p>
              </w:tc>
            </w:tr>
          </w:tbl>
          <w:p w14:paraId="599D6822">
            <w:pPr>
              <w:adjustRightInd w:val="0"/>
              <w:snapToGrid w:val="0"/>
              <w:spacing w:line="360" w:lineRule="auto"/>
              <w:ind w:firstLine="482" w:firstLineChars="200"/>
              <w:rPr>
                <w:rFonts w:ascii="Times New Roman" w:hAnsi="Times New Roman" w:eastAsia="宋体" w:cs="Times New Roman"/>
                <w:b/>
                <w:bCs/>
                <w:color w:val="000000"/>
                <w:sz w:val="24"/>
                <w:szCs w:val="24"/>
              </w:rPr>
            </w:pPr>
            <w:r>
              <w:rPr>
                <w:rFonts w:ascii="Times New Roman" w:hAnsi="Times New Roman" w:eastAsia="宋体" w:cs="Times New Roman"/>
                <w:b/>
                <w:bCs/>
                <w:color w:val="000000"/>
                <w:sz w:val="24"/>
                <w:szCs w:val="24"/>
              </w:rPr>
              <w:t>本项目主要原辅材料理化特性如下：</w:t>
            </w:r>
          </w:p>
          <w:p w14:paraId="6F8CFAF7">
            <w:pPr>
              <w:adjustRightInd w:val="0"/>
              <w:snapToGrid w:val="0"/>
              <w:spacing w:line="360" w:lineRule="auto"/>
              <w:ind w:firstLine="480" w:firstLineChars="200"/>
              <w:rPr>
                <w:rFonts w:ascii="Times New Roman" w:hAnsi="Times New Roman" w:eastAsia="宋体" w:cs="Times New Roman"/>
                <w:color w:val="000000"/>
                <w:sz w:val="24"/>
                <w:szCs w:val="24"/>
              </w:rPr>
            </w:pPr>
            <w:r>
              <w:rPr>
                <w:rFonts w:hint="eastAsia" w:ascii="宋体" w:hAnsi="宋体" w:eastAsia="宋体" w:cs="宋体"/>
                <w:color w:val="000000"/>
                <w:sz w:val="24"/>
                <w:szCs w:val="24"/>
              </w:rPr>
              <w:t>①</w:t>
            </w:r>
            <w:r>
              <w:rPr>
                <w:rFonts w:ascii="Times New Roman" w:hAnsi="Times New Roman" w:eastAsia="宋体" w:cs="Times New Roman"/>
                <w:color w:val="000000"/>
                <w:sz w:val="24"/>
                <w:szCs w:val="24"/>
              </w:rPr>
              <w:t>页岩</w:t>
            </w:r>
          </w:p>
          <w:p w14:paraId="53CCD248">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页岩是由粘土在地壳运动中挤压而形成的岩石。它是一种沉积岩，是固结较弱的粘土经过挤压、脱水、重结晶和胶结作用而形成的。由于它层理分明、易剥离而称为页岩。页岩一般为褐色、灰色或黑色，硬度不高，易破碎，容易加工成理想的制砖原料。本项目页岩外观色泽较一致，呈褐红色、灰红色。从开采断面观察，顶部底部页岩成分变化不大，未发现石灰岩透镜体存在，基本无其它有害杂质，废渣石化学成分稳定，自然含水率较低，品质均匀且易于风化，页岩原料的塑性指数适中。从生产线生产</w:t>
            </w:r>
            <w:r>
              <w:rPr>
                <w:rFonts w:hint="eastAsia" w:ascii="Times New Roman" w:hAnsi="Times New Roman" w:eastAsia="宋体" w:cs="Times New Roman"/>
                <w:color w:val="000000"/>
                <w:sz w:val="24"/>
                <w:szCs w:val="24"/>
                <w:lang w:eastAsia="zh-CN"/>
              </w:rPr>
              <w:t>的</w:t>
            </w:r>
            <w:r>
              <w:rPr>
                <w:rFonts w:ascii="Times New Roman" w:hAnsi="Times New Roman" w:eastAsia="宋体" w:cs="Times New Roman"/>
                <w:color w:val="000000"/>
                <w:sz w:val="24"/>
                <w:szCs w:val="24"/>
              </w:rPr>
              <w:t>页岩砖质量分析，该页岩矿山的页岩完全能满足本项目的生产要求，本项目页岩质量和储量有保障。</w:t>
            </w:r>
          </w:p>
          <w:p w14:paraId="5C992AD3">
            <w:pPr>
              <w:adjustRightInd w:val="0"/>
              <w:snapToGrid w:val="0"/>
              <w:spacing w:line="360" w:lineRule="auto"/>
              <w:ind w:firstLine="480" w:firstLineChars="200"/>
              <w:rPr>
                <w:rFonts w:ascii="Times New Roman" w:hAnsi="Times New Roman" w:eastAsia="宋体" w:cs="Times New Roman"/>
                <w:color w:val="000000"/>
                <w:sz w:val="24"/>
                <w:szCs w:val="24"/>
              </w:rPr>
            </w:pPr>
            <w:r>
              <w:rPr>
                <w:rFonts w:hint="eastAsia" w:ascii="宋体" w:hAnsi="宋体" w:eastAsia="宋体" w:cs="宋体"/>
                <w:color w:val="000000"/>
                <w:sz w:val="24"/>
                <w:szCs w:val="24"/>
              </w:rPr>
              <w:t>②</w:t>
            </w:r>
            <w:r>
              <w:rPr>
                <w:rFonts w:ascii="Times New Roman" w:hAnsi="Times New Roman" w:eastAsia="宋体" w:cs="Times New Roman"/>
                <w:color w:val="000000"/>
                <w:sz w:val="24"/>
                <w:szCs w:val="24"/>
              </w:rPr>
              <w:t>燃煤</w:t>
            </w:r>
          </w:p>
          <w:p w14:paraId="1C2C1425">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项目燃煤来自当地市场，产地为威远县，外购粒径为1-10mm，根据业主提供资料，燃煤测试报告数据见下表。</w:t>
            </w:r>
          </w:p>
          <w:p w14:paraId="2060C7D7">
            <w:pPr>
              <w:adjustRightInd w:val="0"/>
              <w:snapToGrid w:val="0"/>
              <w:ind w:firstLine="482"/>
              <w:jc w:val="center"/>
              <w:rPr>
                <w:rFonts w:ascii="Times New Roman" w:hAnsi="Times New Roman" w:eastAsia="宋体" w:cs="Times New Roman"/>
                <w:b/>
                <w:color w:val="000000"/>
                <w:szCs w:val="21"/>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18</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ascii="Times New Roman" w:hAnsi="Times New Roman" w:eastAsia="宋体" w:cs="Times New Roman"/>
                <w:b/>
                <w:color w:val="000000"/>
                <w:szCs w:val="21"/>
              </w:rPr>
              <w:t>项目燃煤工业分析化验报告单</w:t>
            </w:r>
          </w:p>
          <w:tbl>
            <w:tblPr>
              <w:tblStyle w:val="24"/>
              <w:tblW w:w="4998" w:type="pct"/>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1180"/>
              <w:gridCol w:w="1684"/>
              <w:gridCol w:w="1829"/>
              <w:gridCol w:w="1673"/>
              <w:gridCol w:w="1434"/>
            </w:tblGrid>
            <w:tr w14:paraId="3A4510F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316" w:hRule="atLeast"/>
                <w:jc w:val="center"/>
              </w:trPr>
              <w:tc>
                <w:tcPr>
                  <w:tcW w:w="756" w:type="pct"/>
                  <w:vAlign w:val="center"/>
                </w:tcPr>
                <w:p w14:paraId="54F1F96E">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水分（%）</w:t>
                  </w:r>
                </w:p>
              </w:tc>
              <w:tc>
                <w:tcPr>
                  <w:tcW w:w="1079" w:type="pct"/>
                  <w:vAlign w:val="center"/>
                </w:tcPr>
                <w:p w14:paraId="6F3260FE">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干基灰分（</w:t>
                  </w:r>
                  <w:r>
                    <w:rPr>
                      <w:rFonts w:ascii="Times New Roman" w:hAnsi="Times New Roman" w:eastAsia="Times New Roman" w:cs="Times New Roman"/>
                      <w:color w:val="000000"/>
                      <w:kern w:val="0"/>
                      <w:szCs w:val="21"/>
                    </w:rPr>
                    <w:t>%</w:t>
                  </w:r>
                  <w:r>
                    <w:rPr>
                      <w:rFonts w:ascii="Times New Roman" w:hAnsi="Times New Roman" w:eastAsia="宋体" w:cs="Times New Roman"/>
                      <w:color w:val="000000"/>
                      <w:kern w:val="0"/>
                      <w:szCs w:val="21"/>
                    </w:rPr>
                    <w:t>）</w:t>
                  </w:r>
                </w:p>
              </w:tc>
              <w:tc>
                <w:tcPr>
                  <w:tcW w:w="1172" w:type="pct"/>
                  <w:vAlign w:val="center"/>
                </w:tcPr>
                <w:p w14:paraId="3E5D9BF3">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干基挥发分（</w:t>
                  </w:r>
                  <w:r>
                    <w:rPr>
                      <w:rFonts w:ascii="Times New Roman" w:hAnsi="Times New Roman" w:eastAsia="Times New Roman" w:cs="Times New Roman"/>
                      <w:color w:val="000000"/>
                      <w:kern w:val="0"/>
                      <w:szCs w:val="21"/>
                    </w:rPr>
                    <w:t>%</w:t>
                  </w:r>
                  <w:r>
                    <w:rPr>
                      <w:rFonts w:ascii="Times New Roman" w:hAnsi="Times New Roman" w:eastAsia="宋体" w:cs="Times New Roman"/>
                      <w:color w:val="000000"/>
                      <w:kern w:val="0"/>
                      <w:szCs w:val="21"/>
                    </w:rPr>
                    <w:t>）</w:t>
                  </w:r>
                </w:p>
              </w:tc>
              <w:tc>
                <w:tcPr>
                  <w:tcW w:w="1072" w:type="pct"/>
                  <w:vAlign w:val="center"/>
                </w:tcPr>
                <w:p w14:paraId="4BE7D529">
                  <w:pPr>
                    <w:ind w:left="-105" w:leftChars="-50" w:right="-105" w:rightChars="-50"/>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发热量（</w:t>
                  </w:r>
                  <w:r>
                    <w:rPr>
                      <w:rFonts w:ascii="Times New Roman" w:hAnsi="Times New Roman" w:eastAsia="Times New Roman" w:cs="Times New Roman"/>
                      <w:color w:val="000000"/>
                      <w:kern w:val="0"/>
                      <w:szCs w:val="21"/>
                    </w:rPr>
                    <w:t>MJ/kg</w:t>
                  </w:r>
                  <w:r>
                    <w:rPr>
                      <w:rFonts w:ascii="Times New Roman" w:hAnsi="Times New Roman" w:eastAsia="宋体" w:cs="Times New Roman"/>
                      <w:color w:val="000000"/>
                      <w:kern w:val="0"/>
                      <w:szCs w:val="21"/>
                    </w:rPr>
                    <w:t>）</w:t>
                  </w:r>
                </w:p>
              </w:tc>
              <w:tc>
                <w:tcPr>
                  <w:tcW w:w="918" w:type="pct"/>
                  <w:vAlign w:val="center"/>
                </w:tcPr>
                <w:p w14:paraId="2DC59B5F">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干基全硫（</w:t>
                  </w:r>
                  <w:r>
                    <w:rPr>
                      <w:rFonts w:ascii="Times New Roman" w:hAnsi="Times New Roman" w:eastAsia="Times New Roman" w:cs="Times New Roman"/>
                      <w:color w:val="000000"/>
                      <w:kern w:val="0"/>
                      <w:szCs w:val="21"/>
                    </w:rPr>
                    <w:t>%</w:t>
                  </w:r>
                  <w:r>
                    <w:rPr>
                      <w:rFonts w:ascii="Times New Roman" w:hAnsi="Times New Roman" w:eastAsia="宋体" w:cs="Times New Roman"/>
                      <w:color w:val="000000"/>
                      <w:kern w:val="0"/>
                      <w:szCs w:val="21"/>
                    </w:rPr>
                    <w:t>）</w:t>
                  </w:r>
                </w:p>
              </w:tc>
            </w:tr>
            <w:tr w14:paraId="04433881">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64" w:hRule="atLeast"/>
                <w:jc w:val="center"/>
              </w:trPr>
              <w:tc>
                <w:tcPr>
                  <w:tcW w:w="756" w:type="pct"/>
                  <w:vAlign w:val="center"/>
                </w:tcPr>
                <w:p w14:paraId="40761FC2">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4.85</w:t>
                  </w:r>
                </w:p>
              </w:tc>
              <w:tc>
                <w:tcPr>
                  <w:tcW w:w="1079" w:type="pct"/>
                  <w:vAlign w:val="center"/>
                </w:tcPr>
                <w:p w14:paraId="70A7EE1F">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39.01</w:t>
                  </w:r>
                </w:p>
              </w:tc>
              <w:tc>
                <w:tcPr>
                  <w:tcW w:w="1172" w:type="pct"/>
                  <w:vAlign w:val="center"/>
                </w:tcPr>
                <w:p w14:paraId="5298FD13">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37.29</w:t>
                  </w:r>
                </w:p>
              </w:tc>
              <w:tc>
                <w:tcPr>
                  <w:tcW w:w="1072" w:type="pct"/>
                  <w:vAlign w:val="center"/>
                </w:tcPr>
                <w:p w14:paraId="739B3744">
                  <w:pPr>
                    <w:jc w:val="center"/>
                    <w:rPr>
                      <w:rFonts w:ascii="Times New Roman" w:hAnsi="Times New Roman" w:cs="Times New Roman"/>
                      <w:color w:val="000000"/>
                      <w:kern w:val="0"/>
                      <w:szCs w:val="21"/>
                    </w:rPr>
                  </w:pPr>
                  <w:r>
                    <w:rPr>
                      <w:rFonts w:ascii="Times New Roman" w:hAnsi="Times New Roman" w:cs="Times New Roman"/>
                      <w:color w:val="000000"/>
                      <w:kern w:val="0"/>
                      <w:szCs w:val="21"/>
                    </w:rPr>
                    <w:t>17.86</w:t>
                  </w:r>
                </w:p>
              </w:tc>
              <w:tc>
                <w:tcPr>
                  <w:tcW w:w="918" w:type="pct"/>
                  <w:vAlign w:val="center"/>
                </w:tcPr>
                <w:p w14:paraId="27CF0B3C">
                  <w:pPr>
                    <w:jc w:val="center"/>
                    <w:rPr>
                      <w:rFonts w:ascii="Times New Roman" w:hAnsi="Times New Roman" w:eastAsia="Times New Roman" w:cs="Times New Roman"/>
                      <w:color w:val="000000"/>
                      <w:kern w:val="0"/>
                      <w:szCs w:val="21"/>
                    </w:rPr>
                  </w:pPr>
                  <w:r>
                    <w:rPr>
                      <w:rFonts w:ascii="Times New Roman" w:hAnsi="Times New Roman" w:eastAsia="宋体" w:cs="Times New Roman"/>
                      <w:color w:val="000000"/>
                      <w:kern w:val="0"/>
                      <w:szCs w:val="21"/>
                    </w:rPr>
                    <w:t>0.53</w:t>
                  </w:r>
                  <w:r>
                    <w:rPr>
                      <w:rFonts w:ascii="Times New Roman" w:hAnsi="Times New Roman" w:eastAsia="Times New Roman" w:cs="Times New Roman"/>
                      <w:color w:val="000000"/>
                      <w:kern w:val="0"/>
                      <w:szCs w:val="21"/>
                    </w:rPr>
                    <w:softHyphen/>
                  </w:r>
                </w:p>
              </w:tc>
            </w:tr>
          </w:tbl>
          <w:p w14:paraId="0AA214D3">
            <w:pPr>
              <w:adjustRightInd w:val="0"/>
              <w:snapToGrid w:val="0"/>
              <w:spacing w:before="156" w:beforeLines="50" w:line="360" w:lineRule="auto"/>
              <w:ind w:firstLine="480" w:firstLineChars="200"/>
              <w:rPr>
                <w:rFonts w:ascii="Times New Roman" w:hAnsi="Times New Roman" w:eastAsia="宋体" w:cs="Times New Roman"/>
                <w:color w:val="000000"/>
                <w:sz w:val="24"/>
                <w:szCs w:val="24"/>
              </w:rPr>
            </w:pPr>
            <w:r>
              <w:rPr>
                <w:rFonts w:hint="eastAsia" w:ascii="宋体" w:hAnsi="宋体" w:eastAsia="宋体" w:cs="宋体"/>
                <w:color w:val="000000"/>
                <w:sz w:val="24"/>
                <w:szCs w:val="24"/>
              </w:rPr>
              <w:t>③</w:t>
            </w:r>
            <w:r>
              <w:rPr>
                <w:rFonts w:ascii="Times New Roman" w:hAnsi="Times New Roman" w:eastAsia="宋体" w:cs="Times New Roman"/>
                <w:color w:val="000000"/>
                <w:sz w:val="24"/>
                <w:szCs w:val="24"/>
              </w:rPr>
              <w:t>水基钻井废弃物</w:t>
            </w:r>
          </w:p>
          <w:p w14:paraId="16E5E45C">
            <w:pPr>
              <w:adjustRightInd w:val="0"/>
              <w:snapToGrid w:val="0"/>
              <w:spacing w:line="360" w:lineRule="auto"/>
              <w:ind w:firstLine="480" w:firstLineChars="200"/>
              <w:rPr>
                <w:rFonts w:ascii="Times New Roman" w:hAnsi="Times New Roman" w:eastAsia="宋体" w:cs="Times New Roman"/>
                <w:bCs/>
                <w:color w:val="000000"/>
                <w:sz w:val="24"/>
                <w:szCs w:val="24"/>
              </w:rPr>
            </w:pPr>
            <w:r>
              <w:rPr>
                <w:rFonts w:ascii="Times New Roman" w:hAnsi="Times New Roman" w:eastAsia="宋体" w:cs="Times New Roman"/>
                <w:color w:val="000000"/>
                <w:sz w:val="24"/>
                <w:szCs w:val="24"/>
              </w:rPr>
              <w:t>水基钻井废弃物是石油天然气勘探、开发过程中使用以水作为连续相的钻井液进行钻井作业产生的废弃</w:t>
            </w:r>
            <w:r>
              <w:rPr>
                <w:rFonts w:ascii="Times New Roman" w:hAnsi="Times New Roman" w:eastAsia="宋体" w:cs="Times New Roman"/>
                <w:bCs/>
                <w:color w:val="000000"/>
                <w:sz w:val="24"/>
                <w:szCs w:val="24"/>
              </w:rPr>
              <w:t>钻井液和钻屑。根据《危险废物排除管理清单（2021年版）》，</w:t>
            </w:r>
            <w:r>
              <w:rPr>
                <w:rFonts w:ascii="Times New Roman" w:hAnsi="Times New Roman" w:eastAsia="宋体" w:cs="Times New Roman"/>
                <w:color w:val="000000"/>
                <w:sz w:val="24"/>
                <w:szCs w:val="24"/>
              </w:rPr>
              <w:t>水基钻井废弃物</w:t>
            </w:r>
            <w:r>
              <w:rPr>
                <w:rFonts w:ascii="Times New Roman" w:hAnsi="Times New Roman" w:eastAsia="宋体" w:cs="Times New Roman"/>
                <w:bCs/>
                <w:color w:val="000000"/>
                <w:sz w:val="24"/>
                <w:szCs w:val="24"/>
              </w:rPr>
              <w:t>不属于危险废物，为</w:t>
            </w:r>
            <w:r>
              <w:rPr>
                <w:rFonts w:ascii="Times New Roman" w:hAnsi="Times New Roman" w:eastAsia="宋体" w:cs="Times New Roman"/>
                <w:color w:val="000000"/>
                <w:sz w:val="24"/>
                <w:szCs w:val="24"/>
              </w:rPr>
              <w:t>一般工业固体废物</w:t>
            </w:r>
            <w:r>
              <w:rPr>
                <w:rFonts w:ascii="Times New Roman" w:hAnsi="Times New Roman" w:eastAsia="宋体" w:cs="Times New Roman"/>
                <w:bCs/>
                <w:color w:val="000000"/>
                <w:sz w:val="24"/>
                <w:szCs w:val="24"/>
              </w:rPr>
              <w:t>。通常作业单位在钻井现场会对水基钻井废弃物进行收集预处理，常用预处理技术主要是化学-机械固液分离和机械物理固液分离技术。根据《陆上石油天然气开采水基钻井废弃物处理处置及资源化利用技术规范》（SY/T 7466-2020），固液分离后产生的固体废物含水率宜不大于60%且不呈流动态。经核实，目前水基钻井废弃物在井场完成固液分离后通常会在现场进行晾晒以进一步降低含水率，外运资源化利用的废弃物含水率在30%-50%之间。</w:t>
            </w:r>
          </w:p>
          <w:p w14:paraId="1C1689F9">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根据《利用海上油气田水基钻井废物制备烧结砖》（张忠亮, 金容旭, 张雪梅, 等 环境工程学报，2021,15(9): 3023-3031），水基钻井废弃物中的主要化学成分均在烧结砖适宜范围内，具备制备烧结砖的可行性。</w:t>
            </w:r>
          </w:p>
          <w:p w14:paraId="0BBA7BF8">
            <w:pPr>
              <w:snapToGrid w:val="0"/>
              <w:jc w:val="center"/>
              <w:rPr>
                <w:rFonts w:ascii="Times New Roman" w:hAnsi="Times New Roman" w:eastAsia="宋体" w:cs="Times New Roman"/>
                <w:b/>
                <w:bCs/>
                <w:color w:val="000000"/>
                <w:sz w:val="18"/>
                <w:szCs w:val="24"/>
              </w:rPr>
            </w:pPr>
            <w:bookmarkStart w:id="12" w:name="_Ref10942"/>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19</w:t>
            </w:r>
            <w:r>
              <w:rPr>
                <w:rFonts w:ascii="Times New Roman" w:hAnsi="Times New Roman" w:eastAsia="宋体" w:cs="Times New Roman"/>
                <w:b/>
                <w:color w:val="000000"/>
                <w:szCs w:val="24"/>
              </w:rPr>
              <w:fldChar w:fldCharType="end"/>
            </w:r>
            <w:bookmarkEnd w:id="12"/>
            <w:r>
              <w:rPr>
                <w:rFonts w:ascii="Times New Roman" w:hAnsi="Times New Roman" w:eastAsia="宋体" w:cs="Times New Roman"/>
                <w:b/>
                <w:color w:val="000000"/>
                <w:szCs w:val="24"/>
              </w:rPr>
              <w:t xml:space="preserve">  水基钻井废弃物中的主要化学成分   </w:t>
            </w:r>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4"/>
              <w:gridCol w:w="611"/>
              <w:gridCol w:w="642"/>
              <w:gridCol w:w="642"/>
              <w:gridCol w:w="611"/>
              <w:gridCol w:w="605"/>
              <w:gridCol w:w="594"/>
              <w:gridCol w:w="594"/>
              <w:gridCol w:w="611"/>
              <w:gridCol w:w="594"/>
              <w:gridCol w:w="594"/>
              <w:gridCol w:w="611"/>
            </w:tblGrid>
            <w:tr w14:paraId="6C0300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07" w:type="pct"/>
                  <w:vAlign w:val="center"/>
                </w:tcPr>
                <w:p w14:paraId="6BA3A447">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样品名称</w:t>
                  </w:r>
                </w:p>
              </w:tc>
              <w:tc>
                <w:tcPr>
                  <w:tcW w:w="391" w:type="pct"/>
                  <w:vAlign w:val="center"/>
                </w:tcPr>
                <w:p w14:paraId="6C1C14E8">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SiO</w:t>
                  </w:r>
                  <w:r>
                    <w:rPr>
                      <w:rFonts w:ascii="Times New Roman" w:hAnsi="Times New Roman" w:eastAsia="宋体" w:cs="Times New Roman"/>
                      <w:color w:val="000000"/>
                      <w:szCs w:val="21"/>
                      <w:vertAlign w:val="subscript"/>
                    </w:rPr>
                    <w:t>2</w:t>
                  </w:r>
                </w:p>
              </w:tc>
              <w:tc>
                <w:tcPr>
                  <w:tcW w:w="411" w:type="pct"/>
                  <w:vAlign w:val="center"/>
                </w:tcPr>
                <w:p w14:paraId="74EF993F">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Al</w:t>
                  </w:r>
                  <w:r>
                    <w:rPr>
                      <w:rFonts w:ascii="Times New Roman" w:hAnsi="Times New Roman" w:eastAsia="宋体" w:cs="Times New Roman"/>
                      <w:color w:val="000000"/>
                      <w:szCs w:val="21"/>
                      <w:vertAlign w:val="subscript"/>
                    </w:rPr>
                    <w:t>2</w:t>
                  </w:r>
                  <w:r>
                    <w:rPr>
                      <w:rFonts w:ascii="Times New Roman" w:hAnsi="Times New Roman" w:eastAsia="宋体" w:cs="Times New Roman"/>
                      <w:color w:val="000000"/>
                      <w:szCs w:val="21"/>
                    </w:rPr>
                    <w:t>O</w:t>
                  </w:r>
                  <w:r>
                    <w:rPr>
                      <w:rFonts w:ascii="Times New Roman" w:hAnsi="Times New Roman" w:eastAsia="宋体" w:cs="Times New Roman"/>
                      <w:color w:val="000000"/>
                      <w:szCs w:val="21"/>
                      <w:vertAlign w:val="subscript"/>
                    </w:rPr>
                    <w:t>3</w:t>
                  </w:r>
                </w:p>
              </w:tc>
              <w:tc>
                <w:tcPr>
                  <w:tcW w:w="411" w:type="pct"/>
                  <w:vAlign w:val="center"/>
                </w:tcPr>
                <w:p w14:paraId="2E57FD49">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Fe</w:t>
                  </w:r>
                  <w:r>
                    <w:rPr>
                      <w:rFonts w:ascii="Times New Roman" w:hAnsi="Times New Roman" w:eastAsia="宋体" w:cs="Times New Roman"/>
                      <w:color w:val="000000"/>
                      <w:szCs w:val="21"/>
                      <w:vertAlign w:val="subscript"/>
                    </w:rPr>
                    <w:t>2</w:t>
                  </w:r>
                  <w:r>
                    <w:rPr>
                      <w:rFonts w:ascii="Times New Roman" w:hAnsi="Times New Roman" w:eastAsia="宋体" w:cs="Times New Roman"/>
                      <w:color w:val="000000"/>
                      <w:szCs w:val="21"/>
                    </w:rPr>
                    <w:t>O</w:t>
                  </w:r>
                  <w:r>
                    <w:rPr>
                      <w:rFonts w:ascii="Times New Roman" w:hAnsi="Times New Roman" w:eastAsia="宋体" w:cs="Times New Roman"/>
                      <w:color w:val="000000"/>
                      <w:szCs w:val="21"/>
                      <w:vertAlign w:val="subscript"/>
                    </w:rPr>
                    <w:t>3</w:t>
                  </w:r>
                </w:p>
              </w:tc>
              <w:tc>
                <w:tcPr>
                  <w:tcW w:w="391" w:type="pct"/>
                  <w:vAlign w:val="center"/>
                </w:tcPr>
                <w:p w14:paraId="747701B9">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CaO</w:t>
                  </w:r>
                </w:p>
              </w:tc>
              <w:tc>
                <w:tcPr>
                  <w:tcW w:w="387" w:type="pct"/>
                  <w:vAlign w:val="center"/>
                </w:tcPr>
                <w:p w14:paraId="288CADA8">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Na</w:t>
                  </w:r>
                  <w:r>
                    <w:rPr>
                      <w:rFonts w:ascii="Times New Roman" w:hAnsi="Times New Roman" w:eastAsia="宋体" w:cs="Times New Roman"/>
                      <w:color w:val="000000"/>
                      <w:szCs w:val="21"/>
                      <w:vertAlign w:val="subscript"/>
                    </w:rPr>
                    <w:t>2</w:t>
                  </w:r>
                  <w:r>
                    <w:rPr>
                      <w:rFonts w:ascii="Times New Roman" w:hAnsi="Times New Roman" w:eastAsia="宋体" w:cs="Times New Roman"/>
                      <w:color w:val="000000"/>
                      <w:szCs w:val="21"/>
                    </w:rPr>
                    <w:t>O</w:t>
                  </w:r>
                </w:p>
              </w:tc>
              <w:tc>
                <w:tcPr>
                  <w:tcW w:w="380" w:type="pct"/>
                  <w:vAlign w:val="center"/>
                </w:tcPr>
                <w:p w14:paraId="240F87E7">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K</w:t>
                  </w:r>
                  <w:r>
                    <w:rPr>
                      <w:rFonts w:ascii="Times New Roman" w:hAnsi="Times New Roman" w:eastAsia="宋体" w:cs="Times New Roman"/>
                      <w:color w:val="000000"/>
                      <w:szCs w:val="21"/>
                      <w:vertAlign w:val="subscript"/>
                    </w:rPr>
                    <w:t>2</w:t>
                  </w:r>
                  <w:r>
                    <w:rPr>
                      <w:rFonts w:ascii="Times New Roman" w:hAnsi="Times New Roman" w:eastAsia="宋体" w:cs="Times New Roman"/>
                      <w:color w:val="000000"/>
                      <w:szCs w:val="21"/>
                    </w:rPr>
                    <w:t>O</w:t>
                  </w:r>
                </w:p>
              </w:tc>
              <w:tc>
                <w:tcPr>
                  <w:tcW w:w="380" w:type="pct"/>
                  <w:vAlign w:val="center"/>
                </w:tcPr>
                <w:p w14:paraId="009C62AC">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MgO</w:t>
                  </w:r>
                </w:p>
              </w:tc>
              <w:tc>
                <w:tcPr>
                  <w:tcW w:w="391" w:type="pct"/>
                  <w:vAlign w:val="center"/>
                </w:tcPr>
                <w:p w14:paraId="75A0095A">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BaO</w:t>
                  </w:r>
                </w:p>
              </w:tc>
              <w:tc>
                <w:tcPr>
                  <w:tcW w:w="380" w:type="pct"/>
                  <w:vAlign w:val="center"/>
                </w:tcPr>
                <w:p w14:paraId="54619D4C">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SO</w:t>
                  </w:r>
                  <w:r>
                    <w:rPr>
                      <w:rFonts w:ascii="Times New Roman" w:hAnsi="Times New Roman" w:eastAsia="宋体" w:cs="Times New Roman"/>
                      <w:color w:val="000000"/>
                      <w:szCs w:val="21"/>
                      <w:vertAlign w:val="subscript"/>
                    </w:rPr>
                    <w:t>3</w:t>
                  </w:r>
                </w:p>
              </w:tc>
              <w:tc>
                <w:tcPr>
                  <w:tcW w:w="380" w:type="pct"/>
                  <w:vAlign w:val="center"/>
                </w:tcPr>
                <w:p w14:paraId="64E087C8">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Cl</w:t>
                  </w:r>
                </w:p>
              </w:tc>
              <w:tc>
                <w:tcPr>
                  <w:tcW w:w="391" w:type="pct"/>
                  <w:vAlign w:val="center"/>
                </w:tcPr>
                <w:p w14:paraId="51EBCDDA">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LOI</w:t>
                  </w:r>
                </w:p>
              </w:tc>
            </w:tr>
            <w:tr w14:paraId="5F0922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07" w:type="pct"/>
                  <w:vAlign w:val="center"/>
                </w:tcPr>
                <w:p w14:paraId="195DC4DA">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海上水</w:t>
                  </w:r>
                </w:p>
                <w:p w14:paraId="25892F7B">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基钻屑</w:t>
                  </w:r>
                </w:p>
              </w:tc>
              <w:tc>
                <w:tcPr>
                  <w:tcW w:w="391" w:type="pct"/>
                  <w:vAlign w:val="center"/>
                </w:tcPr>
                <w:p w14:paraId="5926F31A">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53.42</w:t>
                  </w:r>
                </w:p>
              </w:tc>
              <w:tc>
                <w:tcPr>
                  <w:tcW w:w="411" w:type="pct"/>
                  <w:vAlign w:val="center"/>
                </w:tcPr>
                <w:p w14:paraId="2E953DB1">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15.33</w:t>
                  </w:r>
                </w:p>
              </w:tc>
              <w:tc>
                <w:tcPr>
                  <w:tcW w:w="411" w:type="pct"/>
                  <w:vAlign w:val="center"/>
                </w:tcPr>
                <w:p w14:paraId="5ED6F8D6">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7.89</w:t>
                  </w:r>
                </w:p>
              </w:tc>
              <w:tc>
                <w:tcPr>
                  <w:tcW w:w="391" w:type="pct"/>
                  <w:vAlign w:val="center"/>
                </w:tcPr>
                <w:p w14:paraId="1C8E10B9">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4.72</w:t>
                  </w:r>
                </w:p>
              </w:tc>
              <w:tc>
                <w:tcPr>
                  <w:tcW w:w="387" w:type="pct"/>
                  <w:vAlign w:val="center"/>
                </w:tcPr>
                <w:p w14:paraId="37D64166">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4.15</w:t>
                  </w:r>
                </w:p>
              </w:tc>
              <w:tc>
                <w:tcPr>
                  <w:tcW w:w="380" w:type="pct"/>
                  <w:vAlign w:val="center"/>
                </w:tcPr>
                <w:p w14:paraId="0AD93813">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3.22</w:t>
                  </w:r>
                </w:p>
              </w:tc>
              <w:tc>
                <w:tcPr>
                  <w:tcW w:w="380" w:type="pct"/>
                  <w:vAlign w:val="center"/>
                </w:tcPr>
                <w:p w14:paraId="564CCCF8">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2.22</w:t>
                  </w:r>
                </w:p>
              </w:tc>
              <w:tc>
                <w:tcPr>
                  <w:tcW w:w="391" w:type="pct"/>
                  <w:vAlign w:val="center"/>
                </w:tcPr>
                <w:p w14:paraId="5F542F0E">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1.88</w:t>
                  </w:r>
                </w:p>
              </w:tc>
              <w:tc>
                <w:tcPr>
                  <w:tcW w:w="380" w:type="pct"/>
                  <w:vAlign w:val="center"/>
                </w:tcPr>
                <w:p w14:paraId="011515F2">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0.94</w:t>
                  </w:r>
                </w:p>
              </w:tc>
              <w:tc>
                <w:tcPr>
                  <w:tcW w:w="380" w:type="pct"/>
                  <w:vAlign w:val="center"/>
                </w:tcPr>
                <w:p w14:paraId="7A80F78C">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2.45</w:t>
                  </w:r>
                </w:p>
              </w:tc>
              <w:tc>
                <w:tcPr>
                  <w:tcW w:w="391" w:type="pct"/>
                  <w:vAlign w:val="center"/>
                </w:tcPr>
                <w:p w14:paraId="6728E469">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22.10</w:t>
                  </w:r>
                </w:p>
              </w:tc>
            </w:tr>
            <w:tr w14:paraId="169094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07" w:type="pct"/>
                  <w:vAlign w:val="center"/>
                </w:tcPr>
                <w:p w14:paraId="1A47DC5D">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陆上水</w:t>
                  </w:r>
                </w:p>
                <w:p w14:paraId="05E2A932">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基钻屑</w:t>
                  </w:r>
                </w:p>
              </w:tc>
              <w:tc>
                <w:tcPr>
                  <w:tcW w:w="391" w:type="pct"/>
                  <w:vAlign w:val="center"/>
                </w:tcPr>
                <w:p w14:paraId="43B6199E">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29.94</w:t>
                  </w:r>
                </w:p>
              </w:tc>
              <w:tc>
                <w:tcPr>
                  <w:tcW w:w="411" w:type="pct"/>
                  <w:vAlign w:val="center"/>
                </w:tcPr>
                <w:p w14:paraId="74B3941B">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10.10</w:t>
                  </w:r>
                </w:p>
              </w:tc>
              <w:tc>
                <w:tcPr>
                  <w:tcW w:w="411" w:type="pct"/>
                  <w:vAlign w:val="center"/>
                </w:tcPr>
                <w:p w14:paraId="6DF664FF">
                  <w:pPr>
                    <w:ind w:left="-105" w:leftChars="-50" w:right="-105" w:rightChars="-50"/>
                    <w:jc w:val="center"/>
                    <w:rPr>
                      <w:rFonts w:ascii="Times New Roman" w:hAnsi="Times New Roman" w:eastAsia="宋体" w:cs="Times New Roman"/>
                      <w:color w:val="000000"/>
                      <w:szCs w:val="24"/>
                    </w:rPr>
                  </w:pPr>
                  <w:r>
                    <w:rPr>
                      <w:rFonts w:ascii="Times New Roman" w:hAnsi="Times New Roman" w:eastAsia="宋体" w:cs="Times New Roman"/>
                      <w:color w:val="000000"/>
                      <w:szCs w:val="24"/>
                    </w:rPr>
                    <w:t>5.32</w:t>
                  </w:r>
                </w:p>
              </w:tc>
              <w:tc>
                <w:tcPr>
                  <w:tcW w:w="391" w:type="pct"/>
                  <w:vAlign w:val="center"/>
                </w:tcPr>
                <w:p w14:paraId="3AC05BFA">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19.30</w:t>
                  </w:r>
                </w:p>
              </w:tc>
              <w:tc>
                <w:tcPr>
                  <w:tcW w:w="387" w:type="pct"/>
                  <w:vAlign w:val="center"/>
                </w:tcPr>
                <w:p w14:paraId="11E499FD">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0.27</w:t>
                  </w:r>
                </w:p>
              </w:tc>
              <w:tc>
                <w:tcPr>
                  <w:tcW w:w="380" w:type="pct"/>
                  <w:vAlign w:val="center"/>
                </w:tcPr>
                <w:p w14:paraId="7AE8AF43">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1.02</w:t>
                  </w:r>
                </w:p>
              </w:tc>
              <w:tc>
                <w:tcPr>
                  <w:tcW w:w="380" w:type="pct"/>
                  <w:vAlign w:val="center"/>
                </w:tcPr>
                <w:p w14:paraId="0B0E5D80">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1.54</w:t>
                  </w:r>
                </w:p>
              </w:tc>
              <w:tc>
                <w:tcPr>
                  <w:tcW w:w="391" w:type="pct"/>
                  <w:vAlign w:val="center"/>
                </w:tcPr>
                <w:p w14:paraId="0567B79B">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12.40</w:t>
                  </w:r>
                </w:p>
              </w:tc>
              <w:tc>
                <w:tcPr>
                  <w:tcW w:w="380" w:type="pct"/>
                  <w:vAlign w:val="center"/>
                </w:tcPr>
                <w:p w14:paraId="3E41E00A">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6.90</w:t>
                  </w:r>
                </w:p>
              </w:tc>
              <w:tc>
                <w:tcPr>
                  <w:tcW w:w="380" w:type="pct"/>
                  <w:vAlign w:val="center"/>
                </w:tcPr>
                <w:p w14:paraId="3336AAB8">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c>
                <w:tcPr>
                  <w:tcW w:w="391" w:type="pct"/>
                  <w:vAlign w:val="center"/>
                </w:tcPr>
                <w:p w14:paraId="08FAA715">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15.60</w:t>
                  </w:r>
                </w:p>
              </w:tc>
            </w:tr>
            <w:tr w14:paraId="27E044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07" w:type="pct"/>
                  <w:vAlign w:val="center"/>
                </w:tcPr>
                <w:p w14:paraId="771EB8B1">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页岩</w:t>
                  </w:r>
                </w:p>
              </w:tc>
              <w:tc>
                <w:tcPr>
                  <w:tcW w:w="391" w:type="pct"/>
                  <w:vAlign w:val="center"/>
                </w:tcPr>
                <w:p w14:paraId="5D86E446">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61.00</w:t>
                  </w:r>
                </w:p>
              </w:tc>
              <w:tc>
                <w:tcPr>
                  <w:tcW w:w="411" w:type="pct"/>
                  <w:vAlign w:val="center"/>
                </w:tcPr>
                <w:p w14:paraId="54CF0155">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17.90</w:t>
                  </w:r>
                </w:p>
              </w:tc>
              <w:tc>
                <w:tcPr>
                  <w:tcW w:w="411" w:type="pct"/>
                  <w:vAlign w:val="center"/>
                </w:tcPr>
                <w:p w14:paraId="6A8BFCF5">
                  <w:pPr>
                    <w:ind w:left="-105" w:leftChars="-50" w:right="-105" w:rightChars="-50"/>
                    <w:jc w:val="center"/>
                    <w:rPr>
                      <w:rFonts w:ascii="Times New Roman" w:hAnsi="Times New Roman" w:eastAsia="宋体" w:cs="Times New Roman"/>
                      <w:color w:val="000000"/>
                      <w:szCs w:val="24"/>
                    </w:rPr>
                  </w:pPr>
                  <w:r>
                    <w:rPr>
                      <w:rFonts w:ascii="Times New Roman" w:hAnsi="Times New Roman" w:eastAsia="宋体" w:cs="Times New Roman"/>
                      <w:color w:val="000000"/>
                      <w:szCs w:val="24"/>
                    </w:rPr>
                    <w:t>6.30</w:t>
                  </w:r>
                </w:p>
              </w:tc>
              <w:tc>
                <w:tcPr>
                  <w:tcW w:w="391" w:type="pct"/>
                  <w:vAlign w:val="center"/>
                </w:tcPr>
                <w:p w14:paraId="448053CA">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5.40</w:t>
                  </w:r>
                </w:p>
              </w:tc>
              <w:tc>
                <w:tcPr>
                  <w:tcW w:w="387" w:type="pct"/>
                  <w:vAlign w:val="center"/>
                </w:tcPr>
                <w:p w14:paraId="0A97544D">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1.40</w:t>
                  </w:r>
                </w:p>
              </w:tc>
              <w:tc>
                <w:tcPr>
                  <w:tcW w:w="380" w:type="pct"/>
                  <w:vAlign w:val="center"/>
                </w:tcPr>
                <w:p w14:paraId="444266D6">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3.40</w:t>
                  </w:r>
                </w:p>
              </w:tc>
              <w:tc>
                <w:tcPr>
                  <w:tcW w:w="380" w:type="pct"/>
                  <w:vAlign w:val="center"/>
                </w:tcPr>
                <w:p w14:paraId="2D9CD334">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3.20</w:t>
                  </w:r>
                </w:p>
              </w:tc>
              <w:tc>
                <w:tcPr>
                  <w:tcW w:w="391" w:type="pct"/>
                  <w:vAlign w:val="center"/>
                </w:tcPr>
                <w:p w14:paraId="3917E3CB">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c>
                <w:tcPr>
                  <w:tcW w:w="380" w:type="pct"/>
                  <w:vAlign w:val="center"/>
                </w:tcPr>
                <w:p w14:paraId="13471729">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0.14</w:t>
                  </w:r>
                </w:p>
              </w:tc>
              <w:tc>
                <w:tcPr>
                  <w:tcW w:w="380" w:type="pct"/>
                  <w:vAlign w:val="center"/>
                </w:tcPr>
                <w:p w14:paraId="01B27888">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c>
                <w:tcPr>
                  <w:tcW w:w="391" w:type="pct"/>
                  <w:vAlign w:val="center"/>
                </w:tcPr>
                <w:p w14:paraId="38CF4936">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6.80</w:t>
                  </w:r>
                </w:p>
              </w:tc>
            </w:tr>
          </w:tbl>
          <w:p w14:paraId="73895EEE">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另根据《页岩气钻井水基岩屑成分分析及其烧结砖可行性研究》（王廷洪、王晗、李和君，四川大地山河环保工程有限责任公司），川南某页岩气田钻井水基岩屑样品与宜宾地区某砖厂页岩主要化学成分对比如下表。</w:t>
            </w:r>
          </w:p>
          <w:p w14:paraId="6252333D">
            <w:pPr>
              <w:snapToGrid w:val="0"/>
              <w:jc w:val="center"/>
              <w:rPr>
                <w:rFonts w:ascii="Times New Roman" w:hAnsi="Times New Roman" w:eastAsia="宋体" w:cs="Times New Roman"/>
                <w:b/>
                <w:bCs/>
                <w:color w:val="000000"/>
                <w:szCs w:val="24"/>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20</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化学成分分析结果</w:t>
            </w:r>
          </w:p>
          <w:tbl>
            <w:tblPr>
              <w:tblStyle w:val="2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53"/>
              <w:gridCol w:w="957"/>
              <w:gridCol w:w="786"/>
              <w:gridCol w:w="889"/>
              <w:gridCol w:w="889"/>
              <w:gridCol w:w="728"/>
              <w:gridCol w:w="776"/>
              <w:gridCol w:w="835"/>
            </w:tblGrid>
            <w:tr w14:paraId="7A6C11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0" w:type="auto"/>
                  <w:vAlign w:val="center"/>
                </w:tcPr>
                <w:p w14:paraId="72B2FB70">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样品名称</w:t>
                  </w:r>
                </w:p>
              </w:tc>
              <w:tc>
                <w:tcPr>
                  <w:tcW w:w="0" w:type="auto"/>
                  <w:vAlign w:val="center"/>
                </w:tcPr>
                <w:p w14:paraId="31E210CD">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烧失量%</w:t>
                  </w:r>
                </w:p>
              </w:tc>
              <w:tc>
                <w:tcPr>
                  <w:tcW w:w="0" w:type="auto"/>
                  <w:vAlign w:val="center"/>
                </w:tcPr>
                <w:p w14:paraId="0ACE8949">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SiO</w:t>
                  </w:r>
                  <w:r>
                    <w:rPr>
                      <w:rFonts w:ascii="Times New Roman" w:hAnsi="Times New Roman" w:eastAsia="宋体" w:cs="Times New Roman"/>
                      <w:color w:val="000000"/>
                      <w:szCs w:val="21"/>
                      <w:vertAlign w:val="subscript"/>
                    </w:rPr>
                    <w:t>2</w:t>
                  </w:r>
                  <w:r>
                    <w:rPr>
                      <w:rFonts w:ascii="Times New Roman" w:hAnsi="Times New Roman" w:eastAsia="宋体" w:cs="Times New Roman"/>
                      <w:color w:val="000000"/>
                      <w:szCs w:val="21"/>
                    </w:rPr>
                    <w:t>%</w:t>
                  </w:r>
                </w:p>
              </w:tc>
              <w:tc>
                <w:tcPr>
                  <w:tcW w:w="0" w:type="auto"/>
                  <w:vAlign w:val="center"/>
                </w:tcPr>
                <w:p w14:paraId="04C0D574">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Fe</w:t>
                  </w:r>
                  <w:r>
                    <w:rPr>
                      <w:rFonts w:ascii="Times New Roman" w:hAnsi="Times New Roman" w:eastAsia="宋体" w:cs="Times New Roman"/>
                      <w:color w:val="000000"/>
                      <w:szCs w:val="21"/>
                      <w:vertAlign w:val="subscript"/>
                    </w:rPr>
                    <w:t>2</w:t>
                  </w:r>
                  <w:r>
                    <w:rPr>
                      <w:rFonts w:ascii="Times New Roman" w:hAnsi="Times New Roman" w:eastAsia="宋体" w:cs="Times New Roman"/>
                      <w:color w:val="000000"/>
                      <w:szCs w:val="21"/>
                    </w:rPr>
                    <w:t>O</w:t>
                  </w:r>
                  <w:r>
                    <w:rPr>
                      <w:rFonts w:ascii="Times New Roman" w:hAnsi="Times New Roman" w:eastAsia="宋体" w:cs="Times New Roman"/>
                      <w:color w:val="000000"/>
                      <w:szCs w:val="21"/>
                      <w:vertAlign w:val="subscript"/>
                    </w:rPr>
                    <w:t>3</w:t>
                  </w:r>
                  <w:r>
                    <w:rPr>
                      <w:rFonts w:ascii="Times New Roman" w:hAnsi="Times New Roman" w:eastAsia="宋体" w:cs="Times New Roman"/>
                      <w:color w:val="000000"/>
                      <w:szCs w:val="21"/>
                    </w:rPr>
                    <w:t>%</w:t>
                  </w:r>
                </w:p>
              </w:tc>
              <w:tc>
                <w:tcPr>
                  <w:tcW w:w="0" w:type="auto"/>
                  <w:vAlign w:val="center"/>
                </w:tcPr>
                <w:p w14:paraId="1B5C7505">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Al</w:t>
                  </w:r>
                  <w:r>
                    <w:rPr>
                      <w:rFonts w:ascii="Times New Roman" w:hAnsi="Times New Roman" w:eastAsia="宋体" w:cs="Times New Roman"/>
                      <w:color w:val="000000"/>
                      <w:szCs w:val="21"/>
                      <w:vertAlign w:val="subscript"/>
                    </w:rPr>
                    <w:t>2</w:t>
                  </w:r>
                  <w:r>
                    <w:rPr>
                      <w:rFonts w:ascii="Times New Roman" w:hAnsi="Times New Roman" w:eastAsia="宋体" w:cs="Times New Roman"/>
                      <w:color w:val="000000"/>
                      <w:szCs w:val="21"/>
                    </w:rPr>
                    <w:t>O</w:t>
                  </w:r>
                  <w:r>
                    <w:rPr>
                      <w:rFonts w:ascii="Times New Roman" w:hAnsi="Times New Roman" w:eastAsia="宋体" w:cs="Times New Roman"/>
                      <w:color w:val="000000"/>
                      <w:szCs w:val="21"/>
                      <w:vertAlign w:val="subscript"/>
                    </w:rPr>
                    <w:t>3</w:t>
                  </w:r>
                  <w:r>
                    <w:rPr>
                      <w:rFonts w:ascii="Times New Roman" w:hAnsi="Times New Roman" w:eastAsia="宋体" w:cs="Times New Roman"/>
                      <w:color w:val="000000"/>
                      <w:szCs w:val="21"/>
                    </w:rPr>
                    <w:t>%</w:t>
                  </w:r>
                </w:p>
              </w:tc>
              <w:tc>
                <w:tcPr>
                  <w:tcW w:w="0" w:type="auto"/>
                  <w:vAlign w:val="center"/>
                </w:tcPr>
                <w:p w14:paraId="1E10A7B4">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SO</w:t>
                  </w:r>
                  <w:r>
                    <w:rPr>
                      <w:rFonts w:ascii="Times New Roman" w:hAnsi="Times New Roman" w:eastAsia="宋体" w:cs="Times New Roman"/>
                      <w:color w:val="000000"/>
                      <w:szCs w:val="21"/>
                      <w:vertAlign w:val="subscript"/>
                    </w:rPr>
                    <w:t>3</w:t>
                  </w:r>
                  <w:r>
                    <w:rPr>
                      <w:rFonts w:ascii="Times New Roman" w:hAnsi="Times New Roman" w:eastAsia="宋体" w:cs="Times New Roman"/>
                      <w:color w:val="000000"/>
                      <w:szCs w:val="21"/>
                    </w:rPr>
                    <w:t>%</w:t>
                  </w:r>
                </w:p>
              </w:tc>
              <w:tc>
                <w:tcPr>
                  <w:tcW w:w="0" w:type="auto"/>
                  <w:vAlign w:val="center"/>
                </w:tcPr>
                <w:p w14:paraId="53559BA9">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CaO%</w:t>
                  </w:r>
                </w:p>
              </w:tc>
              <w:tc>
                <w:tcPr>
                  <w:tcW w:w="0" w:type="auto"/>
                  <w:vAlign w:val="center"/>
                </w:tcPr>
                <w:p w14:paraId="5E50D3D0">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MgO%</w:t>
                  </w:r>
                </w:p>
              </w:tc>
            </w:tr>
            <w:tr w14:paraId="5DE403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0" w:type="auto"/>
                  <w:vAlign w:val="center"/>
                </w:tcPr>
                <w:p w14:paraId="720107C3">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宜宾地区某砖厂页岩</w:t>
                  </w:r>
                </w:p>
              </w:tc>
              <w:tc>
                <w:tcPr>
                  <w:tcW w:w="0" w:type="auto"/>
                  <w:vAlign w:val="center"/>
                </w:tcPr>
                <w:p w14:paraId="3E6919CE">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8.30</w:t>
                  </w:r>
                </w:p>
              </w:tc>
              <w:tc>
                <w:tcPr>
                  <w:tcW w:w="0" w:type="auto"/>
                  <w:vAlign w:val="center"/>
                </w:tcPr>
                <w:p w14:paraId="278E2D6C">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59.31</w:t>
                  </w:r>
                </w:p>
              </w:tc>
              <w:tc>
                <w:tcPr>
                  <w:tcW w:w="0" w:type="auto"/>
                  <w:vAlign w:val="center"/>
                </w:tcPr>
                <w:p w14:paraId="64BF139D">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7.5</w:t>
                  </w:r>
                </w:p>
              </w:tc>
              <w:tc>
                <w:tcPr>
                  <w:tcW w:w="0" w:type="auto"/>
                  <w:vAlign w:val="center"/>
                </w:tcPr>
                <w:p w14:paraId="0CC4A0D4">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12.72</w:t>
                  </w:r>
                </w:p>
              </w:tc>
              <w:tc>
                <w:tcPr>
                  <w:tcW w:w="0" w:type="auto"/>
                  <w:vAlign w:val="center"/>
                </w:tcPr>
                <w:p w14:paraId="5BCB9AB7">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3.83</w:t>
                  </w:r>
                </w:p>
              </w:tc>
              <w:tc>
                <w:tcPr>
                  <w:tcW w:w="0" w:type="auto"/>
                  <w:vAlign w:val="center"/>
                </w:tcPr>
                <w:p w14:paraId="61456DE1">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6.29</w:t>
                  </w:r>
                </w:p>
              </w:tc>
              <w:tc>
                <w:tcPr>
                  <w:tcW w:w="0" w:type="auto"/>
                  <w:vAlign w:val="center"/>
                </w:tcPr>
                <w:p w14:paraId="36C51D1F">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2.05</w:t>
                  </w:r>
                </w:p>
              </w:tc>
            </w:tr>
            <w:tr w14:paraId="217300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0" w:type="auto"/>
                  <w:vAlign w:val="center"/>
                </w:tcPr>
                <w:p w14:paraId="1F0D57CA">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水基固化体</w:t>
                  </w:r>
                </w:p>
              </w:tc>
              <w:tc>
                <w:tcPr>
                  <w:tcW w:w="0" w:type="auto"/>
                  <w:vAlign w:val="center"/>
                </w:tcPr>
                <w:p w14:paraId="5C37F482">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16.85</w:t>
                  </w:r>
                </w:p>
              </w:tc>
              <w:tc>
                <w:tcPr>
                  <w:tcW w:w="0" w:type="auto"/>
                  <w:vAlign w:val="center"/>
                </w:tcPr>
                <w:p w14:paraId="64B6FAAB">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46.58</w:t>
                  </w:r>
                </w:p>
              </w:tc>
              <w:tc>
                <w:tcPr>
                  <w:tcW w:w="0" w:type="auto"/>
                  <w:vAlign w:val="center"/>
                </w:tcPr>
                <w:p w14:paraId="10A7E8C2">
                  <w:pPr>
                    <w:jc w:val="center"/>
                    <w:rPr>
                      <w:rFonts w:ascii="Times New Roman" w:hAnsi="Times New Roman" w:eastAsia="宋体" w:cs="Times New Roman"/>
                      <w:color w:val="000000"/>
                      <w:szCs w:val="24"/>
                    </w:rPr>
                  </w:pPr>
                  <w:r>
                    <w:rPr>
                      <w:rFonts w:ascii="Times New Roman" w:hAnsi="Times New Roman" w:eastAsia="宋体" w:cs="Times New Roman"/>
                      <w:color w:val="000000"/>
                      <w:szCs w:val="24"/>
                    </w:rPr>
                    <w:t>3.45</w:t>
                  </w:r>
                </w:p>
              </w:tc>
              <w:tc>
                <w:tcPr>
                  <w:tcW w:w="0" w:type="auto"/>
                  <w:vAlign w:val="center"/>
                </w:tcPr>
                <w:p w14:paraId="47C80CAD">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6.41</w:t>
                  </w:r>
                </w:p>
              </w:tc>
              <w:tc>
                <w:tcPr>
                  <w:tcW w:w="0" w:type="auto"/>
                  <w:vAlign w:val="center"/>
                </w:tcPr>
                <w:p w14:paraId="5E713FDF">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5.61</w:t>
                  </w:r>
                </w:p>
              </w:tc>
              <w:tc>
                <w:tcPr>
                  <w:tcW w:w="0" w:type="auto"/>
                  <w:vAlign w:val="center"/>
                </w:tcPr>
                <w:p w14:paraId="03C0A390">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2.63</w:t>
                  </w:r>
                </w:p>
              </w:tc>
              <w:tc>
                <w:tcPr>
                  <w:tcW w:w="0" w:type="auto"/>
                  <w:vAlign w:val="center"/>
                </w:tcPr>
                <w:p w14:paraId="6D19992C">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1.05</w:t>
                  </w:r>
                </w:p>
              </w:tc>
            </w:tr>
            <w:tr w14:paraId="12813F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0" w:type="auto"/>
                  <w:vAlign w:val="center"/>
                </w:tcPr>
                <w:p w14:paraId="6937C68F">
                  <w:pPr>
                    <w:jc w:val="center"/>
                    <w:rPr>
                      <w:rFonts w:ascii="Times New Roman" w:hAnsi="Times New Roman" w:eastAsia="宋体" w:cs="Times New Roman"/>
                      <w:color w:val="000000"/>
                      <w:szCs w:val="21"/>
                    </w:rPr>
                  </w:pPr>
                  <w:r>
                    <w:rPr>
                      <w:rFonts w:hint="eastAsia" w:ascii="宋体" w:hAnsi="宋体" w:eastAsia="宋体" w:cs="宋体"/>
                      <w:color w:val="000000"/>
                      <w:szCs w:val="21"/>
                    </w:rPr>
                    <w:t>※</w:t>
                  </w:r>
                  <w:r>
                    <w:rPr>
                      <w:rFonts w:ascii="Times New Roman" w:hAnsi="Times New Roman" w:eastAsia="宋体" w:cs="Times New Roman"/>
                      <w:color w:val="000000"/>
                      <w:szCs w:val="21"/>
                    </w:rPr>
                    <w:t>烧结砖原料成分要求</w:t>
                  </w:r>
                </w:p>
              </w:tc>
              <w:tc>
                <w:tcPr>
                  <w:tcW w:w="0" w:type="auto"/>
                  <w:vAlign w:val="center"/>
                </w:tcPr>
                <w:p w14:paraId="4A570EA5">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3-~5</w:t>
                  </w:r>
                </w:p>
              </w:tc>
              <w:tc>
                <w:tcPr>
                  <w:tcW w:w="0" w:type="auto"/>
                  <w:vAlign w:val="center"/>
                </w:tcPr>
                <w:p w14:paraId="5169F587">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55~70</w:t>
                  </w:r>
                </w:p>
              </w:tc>
              <w:tc>
                <w:tcPr>
                  <w:tcW w:w="0" w:type="auto"/>
                  <w:vAlign w:val="center"/>
                </w:tcPr>
                <w:p w14:paraId="4755F98B">
                  <w:pPr>
                    <w:jc w:val="center"/>
                    <w:rPr>
                      <w:rFonts w:ascii="Times New Roman" w:hAnsi="Times New Roman" w:eastAsia="宋体" w:cs="Times New Roman"/>
                      <w:color w:val="000000"/>
                      <w:szCs w:val="24"/>
                    </w:rPr>
                  </w:pPr>
                  <w:r>
                    <w:rPr>
                      <w:rFonts w:ascii="Times New Roman" w:hAnsi="Times New Roman" w:eastAsia="宋体" w:cs="Times New Roman"/>
                      <w:color w:val="000000"/>
                      <w:szCs w:val="24"/>
                    </w:rPr>
                    <w:t>3~10</w:t>
                  </w:r>
                </w:p>
              </w:tc>
              <w:tc>
                <w:tcPr>
                  <w:tcW w:w="0" w:type="auto"/>
                  <w:vAlign w:val="center"/>
                </w:tcPr>
                <w:p w14:paraId="31580F8D">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10~20</w:t>
                  </w:r>
                </w:p>
              </w:tc>
              <w:tc>
                <w:tcPr>
                  <w:tcW w:w="0" w:type="auto"/>
                  <w:vAlign w:val="center"/>
                </w:tcPr>
                <w:p w14:paraId="743A997E">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0~8</w:t>
                  </w:r>
                </w:p>
              </w:tc>
              <w:tc>
                <w:tcPr>
                  <w:tcW w:w="0" w:type="auto"/>
                  <w:vAlign w:val="center"/>
                </w:tcPr>
                <w:p w14:paraId="3D953E51">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0~10</w:t>
                  </w:r>
                </w:p>
              </w:tc>
              <w:tc>
                <w:tcPr>
                  <w:tcW w:w="0" w:type="auto"/>
                  <w:vAlign w:val="center"/>
                </w:tcPr>
                <w:p w14:paraId="52DEA74E">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0~3</w:t>
                  </w:r>
                </w:p>
              </w:tc>
            </w:tr>
          </w:tbl>
          <w:p w14:paraId="1D7F5398">
            <w:pPr>
              <w:snapToGrid w:val="0"/>
              <w:spacing w:before="156" w:beforeLines="50"/>
              <w:ind w:right="482"/>
              <w:jc w:val="right"/>
              <w:rPr>
                <w:rFonts w:ascii="Times New Roman" w:hAnsi="Times New Roman" w:eastAsia="宋体" w:cs="Times New Roman"/>
                <w:b/>
                <w:bCs/>
                <w:color w:val="000000"/>
                <w:szCs w:val="24"/>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21</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重金属元素分析                   mg/kg</w:t>
            </w:r>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10"/>
              <w:gridCol w:w="633"/>
              <w:gridCol w:w="633"/>
              <w:gridCol w:w="634"/>
              <w:gridCol w:w="633"/>
              <w:gridCol w:w="634"/>
              <w:gridCol w:w="633"/>
              <w:gridCol w:w="634"/>
              <w:gridCol w:w="633"/>
              <w:gridCol w:w="636"/>
            </w:tblGrid>
            <w:tr w14:paraId="6D7E71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 w:hRule="atLeast"/>
                <w:jc w:val="center"/>
              </w:trPr>
              <w:tc>
                <w:tcPr>
                  <w:tcW w:w="1350" w:type="pct"/>
                  <w:vAlign w:val="center"/>
                </w:tcPr>
                <w:p w14:paraId="700FB719">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项目</w:t>
                  </w:r>
                </w:p>
              </w:tc>
              <w:tc>
                <w:tcPr>
                  <w:tcW w:w="405" w:type="pct"/>
                  <w:vAlign w:val="center"/>
                </w:tcPr>
                <w:p w14:paraId="458B2691">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镉</w:t>
                  </w:r>
                </w:p>
              </w:tc>
              <w:tc>
                <w:tcPr>
                  <w:tcW w:w="405" w:type="pct"/>
                  <w:vAlign w:val="center"/>
                </w:tcPr>
                <w:p w14:paraId="2D86A799">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汞</w:t>
                  </w:r>
                </w:p>
              </w:tc>
              <w:tc>
                <w:tcPr>
                  <w:tcW w:w="406" w:type="pct"/>
                  <w:vAlign w:val="center"/>
                </w:tcPr>
                <w:p w14:paraId="116B94E5">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铅</w:t>
                  </w:r>
                </w:p>
              </w:tc>
              <w:tc>
                <w:tcPr>
                  <w:tcW w:w="405" w:type="pct"/>
                  <w:vAlign w:val="center"/>
                </w:tcPr>
                <w:p w14:paraId="729857C8">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铬</w:t>
                  </w:r>
                </w:p>
              </w:tc>
              <w:tc>
                <w:tcPr>
                  <w:tcW w:w="406" w:type="pct"/>
                  <w:vAlign w:val="center"/>
                </w:tcPr>
                <w:p w14:paraId="496FB5A5">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砷</w:t>
                  </w:r>
                </w:p>
              </w:tc>
              <w:tc>
                <w:tcPr>
                  <w:tcW w:w="405" w:type="pct"/>
                  <w:vAlign w:val="center"/>
                </w:tcPr>
                <w:p w14:paraId="6A587BB4">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锌</w:t>
                  </w:r>
                </w:p>
              </w:tc>
              <w:tc>
                <w:tcPr>
                  <w:tcW w:w="406" w:type="pct"/>
                  <w:vAlign w:val="center"/>
                </w:tcPr>
                <w:p w14:paraId="67186BAA">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镍</w:t>
                  </w:r>
                </w:p>
              </w:tc>
              <w:tc>
                <w:tcPr>
                  <w:tcW w:w="405" w:type="pct"/>
                  <w:vAlign w:val="center"/>
                </w:tcPr>
                <w:p w14:paraId="028EF2B3">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铜</w:t>
                  </w:r>
                </w:p>
              </w:tc>
              <w:tc>
                <w:tcPr>
                  <w:tcW w:w="408" w:type="pct"/>
                  <w:vAlign w:val="center"/>
                </w:tcPr>
                <w:p w14:paraId="1E5D9CFE">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硼</w:t>
                  </w:r>
                </w:p>
              </w:tc>
            </w:tr>
            <w:tr w14:paraId="2FD079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350" w:type="pct"/>
                  <w:vAlign w:val="center"/>
                </w:tcPr>
                <w:p w14:paraId="357AB876">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水基钻井固化体</w:t>
                  </w:r>
                </w:p>
              </w:tc>
              <w:tc>
                <w:tcPr>
                  <w:tcW w:w="405" w:type="pct"/>
                  <w:vAlign w:val="center"/>
                </w:tcPr>
                <w:p w14:paraId="57B72B7D">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0.3</w:t>
                  </w:r>
                </w:p>
              </w:tc>
              <w:tc>
                <w:tcPr>
                  <w:tcW w:w="405" w:type="pct"/>
                  <w:vAlign w:val="center"/>
                </w:tcPr>
                <w:p w14:paraId="040127B7">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0.27</w:t>
                  </w:r>
                </w:p>
              </w:tc>
              <w:tc>
                <w:tcPr>
                  <w:tcW w:w="406" w:type="pct"/>
                  <w:vAlign w:val="center"/>
                </w:tcPr>
                <w:p w14:paraId="2F90467B">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43</w:t>
                  </w:r>
                </w:p>
              </w:tc>
              <w:tc>
                <w:tcPr>
                  <w:tcW w:w="405" w:type="pct"/>
                  <w:vAlign w:val="center"/>
                </w:tcPr>
                <w:p w14:paraId="1F87D62F">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36</w:t>
                  </w:r>
                </w:p>
              </w:tc>
              <w:tc>
                <w:tcPr>
                  <w:tcW w:w="406" w:type="pct"/>
                  <w:vAlign w:val="center"/>
                </w:tcPr>
                <w:p w14:paraId="6FE0FD8A">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3.2</w:t>
                  </w:r>
                </w:p>
              </w:tc>
              <w:tc>
                <w:tcPr>
                  <w:tcW w:w="405" w:type="pct"/>
                  <w:vAlign w:val="center"/>
                </w:tcPr>
                <w:p w14:paraId="07EAC1EC">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234</w:t>
                  </w:r>
                </w:p>
              </w:tc>
              <w:tc>
                <w:tcPr>
                  <w:tcW w:w="406" w:type="pct"/>
                  <w:vAlign w:val="center"/>
                </w:tcPr>
                <w:p w14:paraId="38E9FD1F">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40</w:t>
                  </w:r>
                </w:p>
              </w:tc>
              <w:tc>
                <w:tcPr>
                  <w:tcW w:w="405" w:type="pct"/>
                  <w:vAlign w:val="center"/>
                </w:tcPr>
                <w:p w14:paraId="7DEF003B">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40</w:t>
                  </w:r>
                </w:p>
              </w:tc>
              <w:tc>
                <w:tcPr>
                  <w:tcW w:w="408" w:type="pct"/>
                  <w:vAlign w:val="center"/>
                </w:tcPr>
                <w:p w14:paraId="7B8DE08A">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1.2</w:t>
                  </w:r>
                </w:p>
              </w:tc>
            </w:tr>
          </w:tbl>
          <w:p w14:paraId="30221420">
            <w:pPr>
              <w:snapToGrid w:val="0"/>
              <w:spacing w:before="156" w:beforeLines="50"/>
              <w:jc w:val="center"/>
              <w:rPr>
                <w:rFonts w:ascii="Times New Roman" w:hAnsi="Times New Roman" w:eastAsia="宋体" w:cs="Times New Roman"/>
                <w:b/>
                <w:bCs/>
                <w:color w:val="000000"/>
                <w:szCs w:val="24"/>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22</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核素分析</w:t>
            </w:r>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27"/>
              <w:gridCol w:w="1602"/>
              <w:gridCol w:w="1602"/>
              <w:gridCol w:w="1466"/>
              <w:gridCol w:w="897"/>
              <w:gridCol w:w="1419"/>
            </w:tblGrid>
            <w:tr w14:paraId="4AD8FB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530" w:type="pct"/>
                  <w:vAlign w:val="center"/>
                </w:tcPr>
                <w:p w14:paraId="20374513">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项目</w:t>
                  </w:r>
                </w:p>
              </w:tc>
              <w:tc>
                <w:tcPr>
                  <w:tcW w:w="1025" w:type="pct"/>
                  <w:vAlign w:val="center"/>
                </w:tcPr>
                <w:p w14:paraId="71F9AEE7">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核素镭-226</w:t>
                  </w:r>
                </w:p>
              </w:tc>
              <w:tc>
                <w:tcPr>
                  <w:tcW w:w="1025" w:type="pct"/>
                  <w:vAlign w:val="center"/>
                </w:tcPr>
                <w:p w14:paraId="1A2F6C3A">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核素钍-232</w:t>
                  </w:r>
                </w:p>
              </w:tc>
              <w:tc>
                <w:tcPr>
                  <w:tcW w:w="938" w:type="pct"/>
                  <w:vAlign w:val="center"/>
                </w:tcPr>
                <w:p w14:paraId="3B1D84BB">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核素钾-40</w:t>
                  </w:r>
                </w:p>
              </w:tc>
              <w:tc>
                <w:tcPr>
                  <w:tcW w:w="574" w:type="pct"/>
                  <w:vAlign w:val="center"/>
                </w:tcPr>
                <w:p w14:paraId="50F8B66E">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I</w:t>
                  </w:r>
                  <w:r>
                    <w:rPr>
                      <w:rFonts w:ascii="Times New Roman" w:hAnsi="Times New Roman" w:eastAsia="宋体" w:cs="Times New Roman"/>
                      <w:color w:val="000000"/>
                      <w:szCs w:val="21"/>
                      <w:vertAlign w:val="subscript"/>
                    </w:rPr>
                    <w:t>Ra</w:t>
                  </w:r>
                </w:p>
              </w:tc>
              <w:tc>
                <w:tcPr>
                  <w:tcW w:w="909" w:type="pct"/>
                  <w:vAlign w:val="center"/>
                </w:tcPr>
                <w:p w14:paraId="66FC43AC">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I</w:t>
                  </w:r>
                  <w:r>
                    <w:rPr>
                      <w:rFonts w:ascii="Times New Roman" w:hAnsi="Times New Roman" w:eastAsia="宋体" w:cs="Times New Roman"/>
                      <w:color w:val="000000"/>
                      <w:szCs w:val="21"/>
                      <w:vertAlign w:val="subscript"/>
                    </w:rPr>
                    <w:t>r</w:t>
                  </w:r>
                </w:p>
              </w:tc>
            </w:tr>
            <w:tr w14:paraId="4C69E7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18" w:type="pct"/>
                  <w:gridSpan w:val="4"/>
                  <w:vAlign w:val="center"/>
                </w:tcPr>
                <w:p w14:paraId="0EC4D612">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含量</w:t>
                  </w:r>
                </w:p>
              </w:tc>
              <w:tc>
                <w:tcPr>
                  <w:tcW w:w="574" w:type="pct"/>
                  <w:vAlign w:val="center"/>
                </w:tcPr>
                <w:p w14:paraId="2CEB3F37">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0.19</w:t>
                  </w:r>
                </w:p>
              </w:tc>
              <w:tc>
                <w:tcPr>
                  <w:tcW w:w="909" w:type="pct"/>
                  <w:vAlign w:val="center"/>
                </w:tcPr>
                <w:p w14:paraId="08F437F7">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0.37</w:t>
                  </w:r>
                </w:p>
              </w:tc>
            </w:tr>
            <w:tr w14:paraId="4E1530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518" w:type="pct"/>
                  <w:gridSpan w:val="4"/>
                  <w:vAlign w:val="center"/>
                </w:tcPr>
                <w:p w14:paraId="5845C128">
                  <w:pPr>
                    <w:jc w:val="center"/>
                    <w:rPr>
                      <w:rFonts w:ascii="Times New Roman" w:hAnsi="Times New Roman" w:eastAsia="宋体" w:cs="Times New Roman"/>
                      <w:color w:val="000000"/>
                      <w:szCs w:val="24"/>
                    </w:rPr>
                  </w:pPr>
                  <w:r>
                    <w:rPr>
                      <w:rFonts w:ascii="Times New Roman" w:hAnsi="Times New Roman" w:eastAsia="宋体" w:cs="Times New Roman"/>
                      <w:color w:val="000000"/>
                      <w:szCs w:val="24"/>
                    </w:rPr>
                    <w:t>GB6566-2001（建筑材料放射性核素限量）</w:t>
                  </w:r>
                </w:p>
              </w:tc>
              <w:tc>
                <w:tcPr>
                  <w:tcW w:w="574" w:type="pct"/>
                  <w:vAlign w:val="center"/>
                </w:tcPr>
                <w:p w14:paraId="5F791C99">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＜1.0</w:t>
                  </w:r>
                </w:p>
              </w:tc>
              <w:tc>
                <w:tcPr>
                  <w:tcW w:w="909" w:type="pct"/>
                  <w:vAlign w:val="center"/>
                </w:tcPr>
                <w:p w14:paraId="6F261876">
                  <w:pPr>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＜1.3(1.0)</w:t>
                  </w:r>
                </w:p>
              </w:tc>
            </w:tr>
          </w:tbl>
          <w:p w14:paraId="29614508">
            <w:pPr>
              <w:adjustRightInd w:val="0"/>
              <w:snapToGrid w:val="0"/>
              <w:spacing w:before="156" w:beforeLines="50" w:line="360" w:lineRule="auto"/>
              <w:ind w:firstLine="480" w:firstLineChars="200"/>
              <w:rPr>
                <w:rFonts w:ascii="Times New Roman" w:hAnsi="Times New Roman" w:eastAsia="宋体" w:cs="Times New Roman"/>
                <w:color w:val="000000"/>
                <w:sz w:val="24"/>
                <w:szCs w:val="24"/>
              </w:rPr>
            </w:pPr>
            <w:r>
              <w:rPr>
                <w:rFonts w:hint="eastAsia" w:ascii="宋体" w:hAnsi="宋体" w:eastAsia="宋体" w:cs="宋体"/>
                <w:color w:val="000000"/>
                <w:sz w:val="24"/>
                <w:szCs w:val="24"/>
              </w:rPr>
              <w:t>④</w:t>
            </w:r>
            <w:r>
              <w:rPr>
                <w:rFonts w:ascii="Times New Roman" w:hAnsi="Times New Roman" w:eastAsia="宋体" w:cs="Times New Roman"/>
                <w:color w:val="000000"/>
                <w:sz w:val="24"/>
                <w:szCs w:val="24"/>
              </w:rPr>
              <w:t>无机工业污泥</w:t>
            </w:r>
          </w:p>
          <w:p w14:paraId="0BFE2580">
            <w:pPr>
              <w:adjustRightInd w:val="0"/>
              <w:snapToGrid w:val="0"/>
              <w:spacing w:line="360" w:lineRule="auto"/>
              <w:ind w:firstLine="480" w:firstLineChars="200"/>
              <w:rPr>
                <w:rFonts w:ascii="Times New Roman" w:hAnsi="Times New Roman" w:eastAsia="宋体" w:cs="Times New Roman"/>
                <w:b/>
                <w:color w:val="000000"/>
                <w:sz w:val="24"/>
                <w:szCs w:val="24"/>
              </w:rPr>
            </w:pPr>
            <w:r>
              <w:rPr>
                <w:rFonts w:ascii="Times New Roman" w:hAnsi="Times New Roman" w:eastAsia="宋体" w:cs="Times New Roman"/>
                <w:bCs/>
                <w:color w:val="000000"/>
                <w:sz w:val="24"/>
                <w:szCs w:val="24"/>
              </w:rPr>
              <w:t>本项目拟接受的无机污泥为</w:t>
            </w:r>
            <w:r>
              <w:rPr>
                <w:rFonts w:ascii="Times New Roman" w:hAnsi="Times New Roman" w:eastAsia="宋体" w:cs="Times New Roman"/>
                <w:bCs/>
                <w:color w:val="FF0000"/>
                <w:sz w:val="24"/>
                <w:szCs w:val="24"/>
              </w:rPr>
              <w:t>遂宁市</w:t>
            </w:r>
            <w:r>
              <w:rPr>
                <w:rFonts w:ascii="Times New Roman" w:hAnsi="Times New Roman" w:eastAsia="宋体" w:cs="Times New Roman"/>
                <w:color w:val="FF0000"/>
                <w:sz w:val="24"/>
                <w:szCs w:val="24"/>
              </w:rPr>
              <w:t>自来水生产沉淀池和滤池反冲洗排泥水经沉淀后形成的污泥、四川裕宁新能源材料有限公司污泥、信利（仁寿）高端显示科技有限公司污泥、四川东捷污水处理有限公司污泥。</w:t>
            </w:r>
          </w:p>
          <w:p w14:paraId="0E833F76">
            <w:pPr>
              <w:adjustRightInd w:val="0"/>
              <w:snapToGrid w:val="0"/>
              <w:spacing w:line="360" w:lineRule="auto"/>
              <w:ind w:firstLine="480" w:firstLineChars="200"/>
              <w:rPr>
                <w:rFonts w:ascii="Times New Roman" w:hAnsi="Times New Roman" w:eastAsia="宋体" w:cs="Times New Roman"/>
                <w:bCs/>
                <w:color w:val="000000"/>
                <w:sz w:val="24"/>
                <w:szCs w:val="24"/>
              </w:rPr>
            </w:pPr>
            <w:r>
              <w:rPr>
                <w:rFonts w:ascii="Times New Roman" w:hAnsi="Times New Roman" w:eastAsia="宋体" w:cs="Times New Roman"/>
                <w:bCs/>
                <w:color w:val="000000"/>
                <w:sz w:val="24"/>
                <w:szCs w:val="24"/>
              </w:rPr>
              <w:t>本次评价取本项目拟接纳的裕宁、信利、东捷的无机工业污泥泥质进行分析。通过检测，其全量检测结果如下：</w:t>
            </w:r>
          </w:p>
          <w:p w14:paraId="5B4461BC">
            <w:pPr>
              <w:adjustRightInd w:val="0"/>
              <w:snapToGrid w:val="0"/>
              <w:jc w:val="center"/>
              <w:rPr>
                <w:rFonts w:ascii="Times New Roman" w:hAnsi="Times New Roman" w:eastAsia="宋体" w:cs="Times New Roman"/>
                <w:bCs/>
                <w:color w:val="000000"/>
                <w:sz w:val="24"/>
                <w:szCs w:val="24"/>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23</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无机工业污泥成分检测结果</w:t>
            </w:r>
          </w:p>
          <w:tbl>
            <w:tblPr>
              <w:tblStyle w:val="24"/>
              <w:tblW w:w="5000" w:type="pct"/>
              <w:jc w:val="center"/>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autofit"/>
              <w:tblCellMar>
                <w:top w:w="0" w:type="dxa"/>
                <w:left w:w="108" w:type="dxa"/>
                <w:bottom w:w="0" w:type="dxa"/>
                <w:right w:w="108" w:type="dxa"/>
              </w:tblCellMar>
            </w:tblPr>
            <w:tblGrid>
              <w:gridCol w:w="1412"/>
              <w:gridCol w:w="1077"/>
              <w:gridCol w:w="1211"/>
              <w:gridCol w:w="1481"/>
              <w:gridCol w:w="1211"/>
              <w:gridCol w:w="1411"/>
            </w:tblGrid>
            <w:tr w14:paraId="1A6E024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 w:hRule="atLeast"/>
                <w:jc w:val="center"/>
              </w:trPr>
              <w:tc>
                <w:tcPr>
                  <w:tcW w:w="905" w:type="pct"/>
                  <w:vMerge w:val="restart"/>
                  <w:vAlign w:val="center"/>
                </w:tcPr>
                <w:p w14:paraId="3F1518E8">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指标</w:t>
                  </w:r>
                </w:p>
              </w:tc>
              <w:tc>
                <w:tcPr>
                  <w:tcW w:w="690" w:type="pct"/>
                  <w:vMerge w:val="restart"/>
                  <w:vAlign w:val="center"/>
                </w:tcPr>
                <w:p w14:paraId="29030274">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单位</w:t>
                  </w:r>
                </w:p>
              </w:tc>
              <w:tc>
                <w:tcPr>
                  <w:tcW w:w="2501" w:type="pct"/>
                  <w:gridSpan w:val="3"/>
                  <w:vAlign w:val="center"/>
                </w:tcPr>
                <w:p w14:paraId="5FC649C3">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污泥样品名称</w:t>
                  </w:r>
                </w:p>
              </w:tc>
              <w:tc>
                <w:tcPr>
                  <w:tcW w:w="904" w:type="pct"/>
                  <w:vMerge w:val="restart"/>
                  <w:vAlign w:val="center"/>
                </w:tcPr>
                <w:p w14:paraId="044EF89D">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标准值</w:t>
                  </w:r>
                </w:p>
              </w:tc>
            </w:tr>
            <w:tr w14:paraId="36EAE09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 w:hRule="atLeast"/>
                <w:jc w:val="center"/>
              </w:trPr>
              <w:tc>
                <w:tcPr>
                  <w:tcW w:w="905" w:type="pct"/>
                  <w:vMerge w:val="continue"/>
                  <w:vAlign w:val="center"/>
                </w:tcPr>
                <w:p w14:paraId="19383EF0">
                  <w:pPr>
                    <w:ind w:left="-105" w:leftChars="-50" w:right="-105" w:rightChars="-50"/>
                    <w:jc w:val="center"/>
                    <w:rPr>
                      <w:rFonts w:ascii="Times New Roman" w:hAnsi="Times New Roman" w:eastAsia="宋体" w:cs="Times New Roman"/>
                      <w:color w:val="000000"/>
                      <w:kern w:val="0"/>
                      <w:szCs w:val="21"/>
                    </w:rPr>
                  </w:pPr>
                </w:p>
              </w:tc>
              <w:tc>
                <w:tcPr>
                  <w:tcW w:w="690" w:type="pct"/>
                  <w:vMerge w:val="continue"/>
                  <w:vAlign w:val="center"/>
                </w:tcPr>
                <w:p w14:paraId="270AA223">
                  <w:pPr>
                    <w:ind w:left="-105" w:leftChars="-50" w:right="-105" w:rightChars="-50"/>
                    <w:jc w:val="center"/>
                    <w:rPr>
                      <w:rFonts w:ascii="Times New Roman" w:hAnsi="Times New Roman" w:eastAsia="宋体" w:cs="Times New Roman"/>
                      <w:color w:val="000000"/>
                      <w:kern w:val="0"/>
                      <w:szCs w:val="21"/>
                    </w:rPr>
                  </w:pPr>
                </w:p>
              </w:tc>
              <w:tc>
                <w:tcPr>
                  <w:tcW w:w="776" w:type="pct"/>
                  <w:vAlign w:val="center"/>
                </w:tcPr>
                <w:p w14:paraId="0985ADDC">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裕宁污泥</w:t>
                  </w:r>
                </w:p>
              </w:tc>
              <w:tc>
                <w:tcPr>
                  <w:tcW w:w="949" w:type="pct"/>
                  <w:vAlign w:val="center"/>
                </w:tcPr>
                <w:p w14:paraId="576BF89F">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信利污泥</w:t>
                  </w:r>
                </w:p>
              </w:tc>
              <w:tc>
                <w:tcPr>
                  <w:tcW w:w="776" w:type="pct"/>
                  <w:vAlign w:val="center"/>
                </w:tcPr>
                <w:p w14:paraId="4765EB51">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东捷污泥</w:t>
                  </w:r>
                </w:p>
              </w:tc>
              <w:tc>
                <w:tcPr>
                  <w:tcW w:w="904" w:type="pct"/>
                  <w:vMerge w:val="continue"/>
                  <w:vAlign w:val="center"/>
                </w:tcPr>
                <w:p w14:paraId="1DEDBDC1">
                  <w:pPr>
                    <w:ind w:left="-105" w:leftChars="-50" w:right="-105" w:rightChars="-50"/>
                    <w:jc w:val="center"/>
                    <w:rPr>
                      <w:rFonts w:ascii="Times New Roman" w:hAnsi="Times New Roman" w:eastAsia="宋体" w:cs="Times New Roman"/>
                      <w:color w:val="000000"/>
                      <w:kern w:val="0"/>
                      <w:szCs w:val="21"/>
                    </w:rPr>
                  </w:pPr>
                </w:p>
              </w:tc>
            </w:tr>
            <w:tr w14:paraId="17C4955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 w:hRule="atLeast"/>
                <w:jc w:val="center"/>
              </w:trPr>
              <w:tc>
                <w:tcPr>
                  <w:tcW w:w="905" w:type="pct"/>
                  <w:vAlign w:val="center"/>
                </w:tcPr>
                <w:p w14:paraId="0E6264BF">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腐蚀性</w:t>
                  </w:r>
                </w:p>
              </w:tc>
              <w:tc>
                <w:tcPr>
                  <w:tcW w:w="690" w:type="pct"/>
                  <w:vAlign w:val="center"/>
                </w:tcPr>
                <w:p w14:paraId="4E26B2F9">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无量纲</w:t>
                  </w:r>
                </w:p>
              </w:tc>
              <w:tc>
                <w:tcPr>
                  <w:tcW w:w="776" w:type="pct"/>
                  <w:vAlign w:val="center"/>
                </w:tcPr>
                <w:p w14:paraId="03DA69BC">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9.91</w:t>
                  </w:r>
                </w:p>
              </w:tc>
              <w:tc>
                <w:tcPr>
                  <w:tcW w:w="949" w:type="pct"/>
                  <w:vAlign w:val="center"/>
                </w:tcPr>
                <w:p w14:paraId="0AD74CC2">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6.89</w:t>
                  </w:r>
                </w:p>
              </w:tc>
              <w:tc>
                <w:tcPr>
                  <w:tcW w:w="776" w:type="pct"/>
                  <w:vAlign w:val="center"/>
                </w:tcPr>
                <w:p w14:paraId="752D97B7">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6.94</w:t>
                  </w:r>
                </w:p>
              </w:tc>
              <w:tc>
                <w:tcPr>
                  <w:tcW w:w="904" w:type="pct"/>
                  <w:vAlign w:val="center"/>
                </w:tcPr>
                <w:p w14:paraId="488E03BB">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5~10</w:t>
                  </w:r>
                </w:p>
              </w:tc>
            </w:tr>
            <w:tr w14:paraId="681EA6D5">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 w:hRule="atLeast"/>
                <w:jc w:val="center"/>
              </w:trPr>
              <w:tc>
                <w:tcPr>
                  <w:tcW w:w="905" w:type="pct"/>
                  <w:vAlign w:val="center"/>
                </w:tcPr>
                <w:p w14:paraId="1DC8B7A0">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出厂含水率</w:t>
                  </w:r>
                </w:p>
              </w:tc>
              <w:tc>
                <w:tcPr>
                  <w:tcW w:w="690" w:type="pct"/>
                  <w:vAlign w:val="center"/>
                </w:tcPr>
                <w:p w14:paraId="30688A31">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b/>
                      <w:bCs/>
                      <w:color w:val="000000"/>
                      <w:szCs w:val="21"/>
                    </w:rPr>
                    <w:t>%</w:t>
                  </w:r>
                </w:p>
              </w:tc>
              <w:tc>
                <w:tcPr>
                  <w:tcW w:w="776" w:type="pct"/>
                  <w:vAlign w:val="center"/>
                </w:tcPr>
                <w:p w14:paraId="134B50BE">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63.6</w:t>
                  </w:r>
                </w:p>
              </w:tc>
              <w:tc>
                <w:tcPr>
                  <w:tcW w:w="949" w:type="pct"/>
                  <w:vAlign w:val="center"/>
                </w:tcPr>
                <w:p w14:paraId="23863801">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66.0</w:t>
                  </w:r>
                </w:p>
              </w:tc>
              <w:tc>
                <w:tcPr>
                  <w:tcW w:w="776" w:type="pct"/>
                  <w:vAlign w:val="center"/>
                </w:tcPr>
                <w:p w14:paraId="2CFA7DDE">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50.2</w:t>
                  </w:r>
                </w:p>
              </w:tc>
              <w:tc>
                <w:tcPr>
                  <w:tcW w:w="904" w:type="pct"/>
                  <w:vAlign w:val="center"/>
                </w:tcPr>
                <w:p w14:paraId="67F600A1">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r>
            <w:tr w14:paraId="19D3179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 w:hRule="atLeast"/>
                <w:jc w:val="center"/>
              </w:trPr>
              <w:tc>
                <w:tcPr>
                  <w:tcW w:w="905" w:type="pct"/>
                  <w:vAlign w:val="center"/>
                </w:tcPr>
                <w:p w14:paraId="443453F8">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总汞</w:t>
                  </w:r>
                </w:p>
              </w:tc>
              <w:tc>
                <w:tcPr>
                  <w:tcW w:w="690" w:type="pct"/>
                  <w:vAlign w:val="center"/>
                </w:tcPr>
                <w:p w14:paraId="5B55DEEB">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mg/kg</w:t>
                  </w:r>
                </w:p>
              </w:tc>
              <w:tc>
                <w:tcPr>
                  <w:tcW w:w="776" w:type="pct"/>
                  <w:vAlign w:val="center"/>
                </w:tcPr>
                <w:p w14:paraId="42FF8D8D">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0.208</w:t>
                  </w:r>
                </w:p>
              </w:tc>
              <w:tc>
                <w:tcPr>
                  <w:tcW w:w="949" w:type="pct"/>
                  <w:vAlign w:val="center"/>
                </w:tcPr>
                <w:p w14:paraId="76817D02">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2.22</w:t>
                  </w:r>
                </w:p>
              </w:tc>
              <w:tc>
                <w:tcPr>
                  <w:tcW w:w="776" w:type="pct"/>
                  <w:vAlign w:val="center"/>
                </w:tcPr>
                <w:p w14:paraId="1BE59509">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 xml:space="preserve">0.230 </w:t>
                  </w:r>
                </w:p>
              </w:tc>
              <w:tc>
                <w:tcPr>
                  <w:tcW w:w="904" w:type="pct"/>
                  <w:vAlign w:val="center"/>
                </w:tcPr>
                <w:p w14:paraId="5888D89E">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&lt;5</w:t>
                  </w:r>
                </w:p>
              </w:tc>
            </w:tr>
            <w:tr w14:paraId="0A9A1E9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 w:hRule="atLeast"/>
                <w:jc w:val="center"/>
              </w:trPr>
              <w:tc>
                <w:tcPr>
                  <w:tcW w:w="905" w:type="pct"/>
                  <w:vAlign w:val="center"/>
                </w:tcPr>
                <w:p w14:paraId="622E1607">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总砷</w:t>
                  </w:r>
                </w:p>
              </w:tc>
              <w:tc>
                <w:tcPr>
                  <w:tcW w:w="690" w:type="pct"/>
                  <w:vAlign w:val="center"/>
                </w:tcPr>
                <w:p w14:paraId="1D0D5616">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mg/kg</w:t>
                  </w:r>
                </w:p>
              </w:tc>
              <w:tc>
                <w:tcPr>
                  <w:tcW w:w="776" w:type="pct"/>
                  <w:vAlign w:val="center"/>
                </w:tcPr>
                <w:p w14:paraId="76D64558">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9.36</w:t>
                  </w:r>
                </w:p>
              </w:tc>
              <w:tc>
                <w:tcPr>
                  <w:tcW w:w="949" w:type="pct"/>
                  <w:vAlign w:val="center"/>
                </w:tcPr>
                <w:p w14:paraId="0F61BDA1">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11.4</w:t>
                  </w:r>
                </w:p>
              </w:tc>
              <w:tc>
                <w:tcPr>
                  <w:tcW w:w="776" w:type="pct"/>
                  <w:vAlign w:val="center"/>
                </w:tcPr>
                <w:p w14:paraId="3E7C7F3E">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6.3</w:t>
                  </w:r>
                </w:p>
              </w:tc>
              <w:tc>
                <w:tcPr>
                  <w:tcW w:w="904" w:type="pct"/>
                  <w:vAlign w:val="center"/>
                </w:tcPr>
                <w:p w14:paraId="1C526402">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rPr>
                    <w:t>&lt;75</w:t>
                  </w:r>
                </w:p>
              </w:tc>
            </w:tr>
            <w:tr w14:paraId="6523C610">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 w:hRule="atLeast"/>
                <w:jc w:val="center"/>
              </w:trPr>
              <w:tc>
                <w:tcPr>
                  <w:tcW w:w="905" w:type="pct"/>
                  <w:vAlign w:val="center"/>
                </w:tcPr>
                <w:p w14:paraId="360EC0B4">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总锌</w:t>
                  </w:r>
                </w:p>
              </w:tc>
              <w:tc>
                <w:tcPr>
                  <w:tcW w:w="690" w:type="pct"/>
                  <w:vAlign w:val="center"/>
                </w:tcPr>
                <w:p w14:paraId="53CFBEC9">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mg/kg</w:t>
                  </w:r>
                </w:p>
              </w:tc>
              <w:tc>
                <w:tcPr>
                  <w:tcW w:w="776" w:type="pct"/>
                  <w:vAlign w:val="center"/>
                </w:tcPr>
                <w:p w14:paraId="2C473B1A">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275</w:t>
                  </w:r>
                </w:p>
              </w:tc>
              <w:tc>
                <w:tcPr>
                  <w:tcW w:w="949" w:type="pct"/>
                  <w:vAlign w:val="center"/>
                </w:tcPr>
                <w:p w14:paraId="776DD3D2">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80.8</w:t>
                  </w:r>
                </w:p>
              </w:tc>
              <w:tc>
                <w:tcPr>
                  <w:tcW w:w="776" w:type="pct"/>
                  <w:vAlign w:val="center"/>
                </w:tcPr>
                <w:p w14:paraId="7E852F9E">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41.4</w:t>
                  </w:r>
                </w:p>
              </w:tc>
              <w:tc>
                <w:tcPr>
                  <w:tcW w:w="904" w:type="pct"/>
                  <w:vAlign w:val="center"/>
                </w:tcPr>
                <w:p w14:paraId="0F706B57">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rPr>
                    <w:t>&lt;4000</w:t>
                  </w:r>
                </w:p>
              </w:tc>
            </w:tr>
            <w:tr w14:paraId="4B3D1CC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 w:hRule="atLeast"/>
                <w:jc w:val="center"/>
              </w:trPr>
              <w:tc>
                <w:tcPr>
                  <w:tcW w:w="905" w:type="pct"/>
                  <w:vAlign w:val="center"/>
                </w:tcPr>
                <w:p w14:paraId="22EA16AE">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总铅</w:t>
                  </w:r>
                </w:p>
              </w:tc>
              <w:tc>
                <w:tcPr>
                  <w:tcW w:w="690" w:type="pct"/>
                  <w:vAlign w:val="center"/>
                </w:tcPr>
                <w:p w14:paraId="14B18572">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mg/kg</w:t>
                  </w:r>
                </w:p>
              </w:tc>
              <w:tc>
                <w:tcPr>
                  <w:tcW w:w="776" w:type="pct"/>
                  <w:vAlign w:val="center"/>
                </w:tcPr>
                <w:p w14:paraId="2DAFC2F4">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4.0</w:t>
                  </w:r>
                </w:p>
              </w:tc>
              <w:tc>
                <w:tcPr>
                  <w:tcW w:w="949" w:type="pct"/>
                  <w:vAlign w:val="center"/>
                </w:tcPr>
                <w:p w14:paraId="289D264E">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12.6</w:t>
                  </w:r>
                </w:p>
              </w:tc>
              <w:tc>
                <w:tcPr>
                  <w:tcW w:w="776" w:type="pct"/>
                  <w:vAlign w:val="center"/>
                </w:tcPr>
                <w:p w14:paraId="37D09959">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10.9</w:t>
                  </w:r>
                </w:p>
              </w:tc>
              <w:tc>
                <w:tcPr>
                  <w:tcW w:w="904" w:type="pct"/>
                  <w:vAlign w:val="center"/>
                </w:tcPr>
                <w:p w14:paraId="17D7F506">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rPr>
                    <w:t>&lt;300</w:t>
                  </w:r>
                </w:p>
              </w:tc>
            </w:tr>
            <w:tr w14:paraId="6126DE45">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 w:hRule="atLeast"/>
                <w:jc w:val="center"/>
              </w:trPr>
              <w:tc>
                <w:tcPr>
                  <w:tcW w:w="905" w:type="pct"/>
                  <w:vAlign w:val="center"/>
                </w:tcPr>
                <w:p w14:paraId="3D7653C1">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总镍</w:t>
                  </w:r>
                </w:p>
              </w:tc>
              <w:tc>
                <w:tcPr>
                  <w:tcW w:w="690" w:type="pct"/>
                  <w:vAlign w:val="center"/>
                </w:tcPr>
                <w:p w14:paraId="1A5B8662">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mg/kg</w:t>
                  </w:r>
                </w:p>
              </w:tc>
              <w:tc>
                <w:tcPr>
                  <w:tcW w:w="776" w:type="pct"/>
                  <w:vAlign w:val="center"/>
                </w:tcPr>
                <w:p w14:paraId="16C3AA32">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188</w:t>
                  </w:r>
                </w:p>
              </w:tc>
              <w:tc>
                <w:tcPr>
                  <w:tcW w:w="949" w:type="pct"/>
                  <w:vAlign w:val="center"/>
                </w:tcPr>
                <w:p w14:paraId="04DD13CB">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63.8</w:t>
                  </w:r>
                </w:p>
              </w:tc>
              <w:tc>
                <w:tcPr>
                  <w:tcW w:w="776" w:type="pct"/>
                  <w:vAlign w:val="center"/>
                </w:tcPr>
                <w:p w14:paraId="0198781B">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9.2</w:t>
                  </w:r>
                </w:p>
              </w:tc>
              <w:tc>
                <w:tcPr>
                  <w:tcW w:w="904" w:type="pct"/>
                  <w:vAlign w:val="center"/>
                </w:tcPr>
                <w:p w14:paraId="422F4231">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rPr>
                    <w:t>&lt;200</w:t>
                  </w:r>
                </w:p>
              </w:tc>
            </w:tr>
            <w:tr w14:paraId="1D00FB19">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 w:hRule="atLeast"/>
                <w:jc w:val="center"/>
              </w:trPr>
              <w:tc>
                <w:tcPr>
                  <w:tcW w:w="905" w:type="pct"/>
                  <w:vAlign w:val="center"/>
                </w:tcPr>
                <w:p w14:paraId="3D0ACE3E">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总铜</w:t>
                  </w:r>
                </w:p>
              </w:tc>
              <w:tc>
                <w:tcPr>
                  <w:tcW w:w="690" w:type="pct"/>
                  <w:vAlign w:val="center"/>
                </w:tcPr>
                <w:p w14:paraId="4CBD2F40">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mg/kg</w:t>
                  </w:r>
                </w:p>
              </w:tc>
              <w:tc>
                <w:tcPr>
                  <w:tcW w:w="776" w:type="pct"/>
                  <w:vAlign w:val="center"/>
                </w:tcPr>
                <w:p w14:paraId="558EB63F">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未检出</w:t>
                  </w:r>
                </w:p>
              </w:tc>
              <w:tc>
                <w:tcPr>
                  <w:tcW w:w="949" w:type="pct"/>
                  <w:vAlign w:val="center"/>
                </w:tcPr>
                <w:p w14:paraId="224170C1">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334</w:t>
                  </w:r>
                </w:p>
              </w:tc>
              <w:tc>
                <w:tcPr>
                  <w:tcW w:w="776" w:type="pct"/>
                  <w:vAlign w:val="center"/>
                </w:tcPr>
                <w:p w14:paraId="45AEF3D3">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5.6</w:t>
                  </w:r>
                </w:p>
              </w:tc>
              <w:tc>
                <w:tcPr>
                  <w:tcW w:w="904" w:type="pct"/>
                  <w:vAlign w:val="center"/>
                </w:tcPr>
                <w:p w14:paraId="4D5CB953">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rPr>
                    <w:t>&lt;1500</w:t>
                  </w:r>
                </w:p>
              </w:tc>
            </w:tr>
            <w:tr w14:paraId="7F18FD35">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 w:hRule="atLeast"/>
                <w:jc w:val="center"/>
              </w:trPr>
              <w:tc>
                <w:tcPr>
                  <w:tcW w:w="905" w:type="pct"/>
                  <w:vAlign w:val="center"/>
                </w:tcPr>
                <w:p w14:paraId="4E23FECB">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总铬</w:t>
                  </w:r>
                </w:p>
              </w:tc>
              <w:tc>
                <w:tcPr>
                  <w:tcW w:w="690" w:type="pct"/>
                  <w:vAlign w:val="center"/>
                </w:tcPr>
                <w:p w14:paraId="58595202">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mg/kg</w:t>
                  </w:r>
                </w:p>
              </w:tc>
              <w:tc>
                <w:tcPr>
                  <w:tcW w:w="776" w:type="pct"/>
                  <w:vAlign w:val="center"/>
                </w:tcPr>
                <w:p w14:paraId="62905C47">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143</w:t>
                  </w:r>
                </w:p>
              </w:tc>
              <w:tc>
                <w:tcPr>
                  <w:tcW w:w="949" w:type="pct"/>
                  <w:vAlign w:val="center"/>
                </w:tcPr>
                <w:p w14:paraId="0280BF3A">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176</w:t>
                  </w:r>
                </w:p>
              </w:tc>
              <w:tc>
                <w:tcPr>
                  <w:tcW w:w="776" w:type="pct"/>
                  <w:vAlign w:val="center"/>
                </w:tcPr>
                <w:p w14:paraId="4FA2AE01">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89.4</w:t>
                  </w:r>
                </w:p>
              </w:tc>
              <w:tc>
                <w:tcPr>
                  <w:tcW w:w="904" w:type="pct"/>
                  <w:vAlign w:val="center"/>
                </w:tcPr>
                <w:p w14:paraId="4D630E75">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rPr>
                    <w:t>&lt;1000</w:t>
                  </w:r>
                </w:p>
              </w:tc>
            </w:tr>
            <w:tr w14:paraId="67ADC9B9">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 w:hRule="atLeast"/>
                <w:jc w:val="center"/>
              </w:trPr>
              <w:tc>
                <w:tcPr>
                  <w:tcW w:w="905" w:type="pct"/>
                  <w:vAlign w:val="center"/>
                </w:tcPr>
                <w:p w14:paraId="1CB2E0A7">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总镉</w:t>
                  </w:r>
                </w:p>
              </w:tc>
              <w:tc>
                <w:tcPr>
                  <w:tcW w:w="690" w:type="pct"/>
                  <w:vAlign w:val="center"/>
                </w:tcPr>
                <w:p w14:paraId="72AE014B">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mg/kg</w:t>
                  </w:r>
                </w:p>
              </w:tc>
              <w:tc>
                <w:tcPr>
                  <w:tcW w:w="776" w:type="pct"/>
                  <w:vAlign w:val="center"/>
                </w:tcPr>
                <w:p w14:paraId="693522B8">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未检出</w:t>
                  </w:r>
                </w:p>
              </w:tc>
              <w:tc>
                <w:tcPr>
                  <w:tcW w:w="949" w:type="pct"/>
                  <w:vAlign w:val="center"/>
                </w:tcPr>
                <w:p w14:paraId="2E7238F8">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0.2</w:t>
                  </w:r>
                </w:p>
              </w:tc>
              <w:tc>
                <w:tcPr>
                  <w:tcW w:w="776" w:type="pct"/>
                  <w:vAlign w:val="center"/>
                </w:tcPr>
                <w:p w14:paraId="0C283607">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未检出</w:t>
                  </w:r>
                </w:p>
              </w:tc>
              <w:tc>
                <w:tcPr>
                  <w:tcW w:w="904" w:type="pct"/>
                  <w:vAlign w:val="center"/>
                </w:tcPr>
                <w:p w14:paraId="7FA2E4DC">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rPr>
                    <w:t>&lt;20</w:t>
                  </w:r>
                </w:p>
              </w:tc>
            </w:tr>
            <w:tr w14:paraId="519ACEFE">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 w:hRule="atLeast"/>
                <w:jc w:val="center"/>
              </w:trPr>
              <w:tc>
                <w:tcPr>
                  <w:tcW w:w="905" w:type="pct"/>
                  <w:vAlign w:val="center"/>
                </w:tcPr>
                <w:p w14:paraId="2442D4C1">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氟</w:t>
                  </w:r>
                </w:p>
              </w:tc>
              <w:tc>
                <w:tcPr>
                  <w:tcW w:w="690" w:type="pct"/>
                  <w:vAlign w:val="center"/>
                </w:tcPr>
                <w:p w14:paraId="53DDA747">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mg/kg</w:t>
                  </w:r>
                </w:p>
              </w:tc>
              <w:tc>
                <w:tcPr>
                  <w:tcW w:w="776" w:type="pct"/>
                  <w:vAlign w:val="center"/>
                </w:tcPr>
                <w:p w14:paraId="62EBA15D">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1.77×10</w:t>
                  </w:r>
                  <w:r>
                    <w:rPr>
                      <w:rFonts w:ascii="Times New Roman" w:hAnsi="Times New Roman" w:eastAsia="宋体" w:cs="Times New Roman"/>
                      <w:color w:val="000000"/>
                      <w:szCs w:val="21"/>
                      <w:vertAlign w:val="superscript"/>
                    </w:rPr>
                    <w:t>3</w:t>
                  </w:r>
                </w:p>
              </w:tc>
              <w:tc>
                <w:tcPr>
                  <w:tcW w:w="949" w:type="pct"/>
                  <w:vAlign w:val="center"/>
                </w:tcPr>
                <w:p w14:paraId="2BA55595">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1.32×10</w:t>
                  </w:r>
                  <w:r>
                    <w:rPr>
                      <w:rFonts w:ascii="Times New Roman" w:hAnsi="Times New Roman" w:eastAsia="宋体" w:cs="Times New Roman"/>
                      <w:color w:val="000000"/>
                      <w:szCs w:val="21"/>
                      <w:vertAlign w:val="superscript"/>
                    </w:rPr>
                    <w:t>3</w:t>
                  </w:r>
                </w:p>
              </w:tc>
              <w:tc>
                <w:tcPr>
                  <w:tcW w:w="776" w:type="pct"/>
                  <w:vAlign w:val="center"/>
                </w:tcPr>
                <w:p w14:paraId="552A5564">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1.11×10</w:t>
                  </w:r>
                  <w:r>
                    <w:rPr>
                      <w:rFonts w:ascii="Times New Roman" w:hAnsi="Times New Roman" w:eastAsia="宋体" w:cs="Times New Roman"/>
                      <w:color w:val="000000"/>
                      <w:szCs w:val="21"/>
                      <w:vertAlign w:val="superscript"/>
                    </w:rPr>
                    <w:t>3</w:t>
                  </w:r>
                </w:p>
              </w:tc>
              <w:tc>
                <w:tcPr>
                  <w:tcW w:w="904" w:type="pct"/>
                  <w:vAlign w:val="center"/>
                </w:tcPr>
                <w:p w14:paraId="6BB8F352">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r>
            <w:tr w14:paraId="6B3D637A">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 w:hRule="atLeast"/>
                <w:jc w:val="center"/>
              </w:trPr>
              <w:tc>
                <w:tcPr>
                  <w:tcW w:w="905" w:type="pct"/>
                  <w:vAlign w:val="center"/>
                </w:tcPr>
                <w:p w14:paraId="05B235CD">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氯化物</w:t>
                  </w:r>
                </w:p>
              </w:tc>
              <w:tc>
                <w:tcPr>
                  <w:tcW w:w="690" w:type="pct"/>
                  <w:vAlign w:val="center"/>
                </w:tcPr>
                <w:p w14:paraId="69E1C0A6">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g/kg</w:t>
                  </w:r>
                </w:p>
              </w:tc>
              <w:tc>
                <w:tcPr>
                  <w:tcW w:w="776" w:type="pct"/>
                  <w:vAlign w:val="center"/>
                </w:tcPr>
                <w:p w14:paraId="59B40206">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1.36</w:t>
                  </w:r>
                </w:p>
              </w:tc>
              <w:tc>
                <w:tcPr>
                  <w:tcW w:w="949" w:type="pct"/>
                  <w:vAlign w:val="center"/>
                </w:tcPr>
                <w:p w14:paraId="1C6949B6">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1.62</w:t>
                  </w:r>
                </w:p>
              </w:tc>
              <w:tc>
                <w:tcPr>
                  <w:tcW w:w="776" w:type="pct"/>
                  <w:vAlign w:val="center"/>
                </w:tcPr>
                <w:p w14:paraId="3BD4ECCA">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10.1</w:t>
                  </w:r>
                </w:p>
              </w:tc>
              <w:tc>
                <w:tcPr>
                  <w:tcW w:w="904" w:type="pct"/>
                  <w:vAlign w:val="center"/>
                </w:tcPr>
                <w:p w14:paraId="2E7E57DA">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r>
            <w:tr w14:paraId="2D9DC18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 w:hRule="atLeast"/>
                <w:jc w:val="center"/>
              </w:trPr>
              <w:tc>
                <w:tcPr>
                  <w:tcW w:w="905" w:type="pct"/>
                  <w:vAlign w:val="center"/>
                </w:tcPr>
                <w:p w14:paraId="42C75FBD">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矿物油</w:t>
                  </w:r>
                </w:p>
              </w:tc>
              <w:tc>
                <w:tcPr>
                  <w:tcW w:w="690" w:type="pct"/>
                  <w:vAlign w:val="center"/>
                </w:tcPr>
                <w:p w14:paraId="3A27AA5C">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mg/kg</w:t>
                  </w:r>
                </w:p>
              </w:tc>
              <w:tc>
                <w:tcPr>
                  <w:tcW w:w="776" w:type="pct"/>
                  <w:vAlign w:val="center"/>
                </w:tcPr>
                <w:p w14:paraId="6D1FEF23">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559</w:t>
                  </w:r>
                </w:p>
              </w:tc>
              <w:tc>
                <w:tcPr>
                  <w:tcW w:w="949" w:type="pct"/>
                  <w:vAlign w:val="center"/>
                </w:tcPr>
                <w:p w14:paraId="28685C27">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594</w:t>
                  </w:r>
                </w:p>
              </w:tc>
              <w:tc>
                <w:tcPr>
                  <w:tcW w:w="776" w:type="pct"/>
                  <w:vAlign w:val="center"/>
                </w:tcPr>
                <w:p w14:paraId="1E86CD93">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420</w:t>
                  </w:r>
                </w:p>
              </w:tc>
              <w:tc>
                <w:tcPr>
                  <w:tcW w:w="904" w:type="pct"/>
                  <w:vAlign w:val="center"/>
                </w:tcPr>
                <w:p w14:paraId="232F8E76">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szCs w:val="21"/>
                    </w:rPr>
                    <w:t>/</w:t>
                  </w:r>
                </w:p>
              </w:tc>
            </w:tr>
            <w:tr w14:paraId="6D658335">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 w:hRule="atLeast"/>
                <w:jc w:val="center"/>
              </w:trPr>
              <w:tc>
                <w:tcPr>
                  <w:tcW w:w="905" w:type="pct"/>
                  <w:vAlign w:val="center"/>
                </w:tcPr>
                <w:p w14:paraId="127A370F">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挥发酚</w:t>
                  </w:r>
                </w:p>
              </w:tc>
              <w:tc>
                <w:tcPr>
                  <w:tcW w:w="690" w:type="pct"/>
                  <w:vAlign w:val="center"/>
                </w:tcPr>
                <w:p w14:paraId="65C6595F">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mg/kg</w:t>
                  </w:r>
                </w:p>
              </w:tc>
              <w:tc>
                <w:tcPr>
                  <w:tcW w:w="776" w:type="pct"/>
                  <w:vAlign w:val="center"/>
                </w:tcPr>
                <w:p w14:paraId="11B57326">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0.022</w:t>
                  </w:r>
                </w:p>
              </w:tc>
              <w:tc>
                <w:tcPr>
                  <w:tcW w:w="949" w:type="pct"/>
                  <w:vAlign w:val="center"/>
                </w:tcPr>
                <w:p w14:paraId="1DDB0215">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0.007</w:t>
                  </w:r>
                </w:p>
              </w:tc>
              <w:tc>
                <w:tcPr>
                  <w:tcW w:w="776" w:type="pct"/>
                  <w:vAlign w:val="center"/>
                </w:tcPr>
                <w:p w14:paraId="6AB829A8">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0.013</w:t>
                  </w:r>
                </w:p>
              </w:tc>
              <w:tc>
                <w:tcPr>
                  <w:tcW w:w="904" w:type="pct"/>
                  <w:vAlign w:val="center"/>
                </w:tcPr>
                <w:p w14:paraId="448C4177">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&lt;40</w:t>
                  </w:r>
                </w:p>
              </w:tc>
            </w:tr>
            <w:tr w14:paraId="6D85A324">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 w:hRule="atLeast"/>
                <w:jc w:val="center"/>
              </w:trPr>
              <w:tc>
                <w:tcPr>
                  <w:tcW w:w="905" w:type="pct"/>
                  <w:vAlign w:val="center"/>
                </w:tcPr>
                <w:p w14:paraId="7150D2B4">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总氰化物</w:t>
                  </w:r>
                </w:p>
              </w:tc>
              <w:tc>
                <w:tcPr>
                  <w:tcW w:w="690" w:type="pct"/>
                  <w:vAlign w:val="center"/>
                </w:tcPr>
                <w:p w14:paraId="11D095BB">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mg/kg</w:t>
                  </w:r>
                </w:p>
              </w:tc>
              <w:tc>
                <w:tcPr>
                  <w:tcW w:w="776" w:type="pct"/>
                  <w:vAlign w:val="center"/>
                </w:tcPr>
                <w:p w14:paraId="750995CD">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0.06</w:t>
                  </w:r>
                </w:p>
              </w:tc>
              <w:tc>
                <w:tcPr>
                  <w:tcW w:w="949" w:type="pct"/>
                  <w:vAlign w:val="center"/>
                </w:tcPr>
                <w:p w14:paraId="2FE1CE53">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0.011</w:t>
                  </w:r>
                </w:p>
              </w:tc>
              <w:tc>
                <w:tcPr>
                  <w:tcW w:w="776" w:type="pct"/>
                  <w:vAlign w:val="center"/>
                </w:tcPr>
                <w:p w14:paraId="37F65537">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0.08</w:t>
                  </w:r>
                </w:p>
              </w:tc>
              <w:tc>
                <w:tcPr>
                  <w:tcW w:w="904" w:type="pct"/>
                  <w:vAlign w:val="center"/>
                </w:tcPr>
                <w:p w14:paraId="6ED1C235">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&lt;10</w:t>
                  </w:r>
                </w:p>
              </w:tc>
            </w:tr>
            <w:tr w14:paraId="24D35217">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 w:hRule="atLeast"/>
                <w:jc w:val="center"/>
              </w:trPr>
              <w:tc>
                <w:tcPr>
                  <w:tcW w:w="905" w:type="pct"/>
                  <w:vAlign w:val="center"/>
                </w:tcPr>
                <w:p w14:paraId="7C37B055">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粪大肠菌群值</w:t>
                  </w:r>
                </w:p>
              </w:tc>
              <w:tc>
                <w:tcPr>
                  <w:tcW w:w="690" w:type="pct"/>
                  <w:vAlign w:val="center"/>
                </w:tcPr>
                <w:p w14:paraId="604CCBD0">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个/g</w:t>
                  </w:r>
                </w:p>
              </w:tc>
              <w:tc>
                <w:tcPr>
                  <w:tcW w:w="776" w:type="pct"/>
                  <w:vAlign w:val="center"/>
                </w:tcPr>
                <w:p w14:paraId="52EAC18D">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1.4×10</w:t>
                  </w:r>
                  <w:r>
                    <w:rPr>
                      <w:rFonts w:ascii="Times New Roman" w:hAnsi="Times New Roman" w:eastAsia="宋体" w:cs="Times New Roman"/>
                      <w:color w:val="000000"/>
                      <w:szCs w:val="21"/>
                      <w:vertAlign w:val="superscript"/>
                    </w:rPr>
                    <w:t>2</w:t>
                  </w:r>
                </w:p>
              </w:tc>
              <w:tc>
                <w:tcPr>
                  <w:tcW w:w="949" w:type="pct"/>
                  <w:vAlign w:val="center"/>
                </w:tcPr>
                <w:p w14:paraId="059CAD12">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1.0×10</w:t>
                  </w:r>
                  <w:r>
                    <w:rPr>
                      <w:rFonts w:ascii="Times New Roman" w:hAnsi="Times New Roman" w:eastAsia="宋体" w:cs="Times New Roman"/>
                      <w:color w:val="000000"/>
                      <w:szCs w:val="21"/>
                      <w:vertAlign w:val="superscript"/>
                    </w:rPr>
                    <w:t>2</w:t>
                  </w:r>
                </w:p>
              </w:tc>
              <w:tc>
                <w:tcPr>
                  <w:tcW w:w="776" w:type="pct"/>
                  <w:vAlign w:val="center"/>
                </w:tcPr>
                <w:p w14:paraId="50CB0887">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60</w:t>
                  </w:r>
                </w:p>
              </w:tc>
              <w:tc>
                <w:tcPr>
                  <w:tcW w:w="904" w:type="pct"/>
                  <w:vAlign w:val="center"/>
                </w:tcPr>
                <w:p w14:paraId="4D6A152F">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rPr>
                    <w:t>&gt;0.01</w:t>
                  </w:r>
                </w:p>
              </w:tc>
            </w:tr>
            <w:tr w14:paraId="1593E69D">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CellMar>
                  <w:top w:w="0" w:type="dxa"/>
                  <w:left w:w="108" w:type="dxa"/>
                  <w:bottom w:w="0" w:type="dxa"/>
                  <w:right w:w="108" w:type="dxa"/>
                </w:tblCellMar>
              </w:tblPrEx>
              <w:trPr>
                <w:trHeight w:val="113" w:hRule="atLeast"/>
                <w:jc w:val="center"/>
              </w:trPr>
              <w:tc>
                <w:tcPr>
                  <w:tcW w:w="905" w:type="pct"/>
                  <w:vAlign w:val="center"/>
                </w:tcPr>
                <w:p w14:paraId="45C8D148">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蠕虫卵死亡率</w:t>
                  </w:r>
                </w:p>
              </w:tc>
              <w:tc>
                <w:tcPr>
                  <w:tcW w:w="690" w:type="pct"/>
                  <w:vAlign w:val="center"/>
                </w:tcPr>
                <w:p w14:paraId="11786347">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w:t>
                  </w:r>
                </w:p>
              </w:tc>
              <w:tc>
                <w:tcPr>
                  <w:tcW w:w="776" w:type="pct"/>
                  <w:vAlign w:val="center"/>
                </w:tcPr>
                <w:p w14:paraId="4EEE5099">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100</w:t>
                  </w:r>
                </w:p>
              </w:tc>
              <w:tc>
                <w:tcPr>
                  <w:tcW w:w="949" w:type="pct"/>
                  <w:vAlign w:val="center"/>
                </w:tcPr>
                <w:p w14:paraId="4FAC82FF">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100</w:t>
                  </w:r>
                </w:p>
              </w:tc>
              <w:tc>
                <w:tcPr>
                  <w:tcW w:w="776" w:type="pct"/>
                  <w:vAlign w:val="center"/>
                </w:tcPr>
                <w:p w14:paraId="4F005714">
                  <w:pPr>
                    <w:ind w:left="-105" w:leftChars="-50" w:right="-105" w:rightChars="-50"/>
                    <w:jc w:val="center"/>
                    <w:rPr>
                      <w:rFonts w:ascii="Times New Roman" w:hAnsi="Times New Roman" w:eastAsia="宋体" w:cs="Times New Roman"/>
                      <w:color w:val="000000"/>
                      <w:kern w:val="0"/>
                      <w:szCs w:val="21"/>
                    </w:rPr>
                  </w:pPr>
                  <w:r>
                    <w:rPr>
                      <w:rFonts w:ascii="Times New Roman" w:hAnsi="Times New Roman" w:eastAsia="宋体" w:cs="Times New Roman"/>
                      <w:color w:val="000000"/>
                      <w:szCs w:val="21"/>
                    </w:rPr>
                    <w:t>100</w:t>
                  </w:r>
                </w:p>
              </w:tc>
              <w:tc>
                <w:tcPr>
                  <w:tcW w:w="904" w:type="pct"/>
                  <w:vAlign w:val="center"/>
                </w:tcPr>
                <w:p w14:paraId="7FCEB3C0">
                  <w:pPr>
                    <w:ind w:left="-105" w:leftChars="-50" w:right="-105" w:rightChars="-50"/>
                    <w:jc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rPr>
                    <w:t>&gt;95%</w:t>
                  </w:r>
                </w:p>
              </w:tc>
            </w:tr>
          </w:tbl>
          <w:p w14:paraId="7B0DFC41">
            <w:pPr>
              <w:adjustRightInd w:val="0"/>
              <w:snapToGrid w:val="0"/>
              <w:spacing w:line="360" w:lineRule="auto"/>
              <w:ind w:firstLine="48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根据检测结果表明，本项目拟接纳的裕宁、信利、东捷污泥泥质满足《城镇污水处理厂污泥处置制砖用泥质》（GB/T25031-2010）中相关限值要求。</w:t>
            </w:r>
          </w:p>
          <w:p w14:paraId="3751380D">
            <w:pPr>
              <w:adjustRightInd w:val="0"/>
              <w:snapToGrid w:val="0"/>
              <w:spacing w:line="360" w:lineRule="auto"/>
              <w:ind w:firstLine="48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四川裕宁新能源材料有限公司污水处理站压滤污泥主要来源于原料中的硫酸亚铁中的SO4</w:t>
            </w:r>
            <w:r>
              <w:rPr>
                <w:rFonts w:ascii="Times New Roman" w:hAnsi="Times New Roman" w:eastAsia="宋体" w:cs="Times New Roman"/>
                <w:color w:val="000000"/>
                <w:sz w:val="24"/>
                <w:szCs w:val="24"/>
                <w:vertAlign w:val="superscript"/>
              </w:rPr>
              <w:t>2-</w:t>
            </w:r>
            <w:r>
              <w:rPr>
                <w:rFonts w:ascii="Times New Roman" w:hAnsi="Times New Roman" w:eastAsia="宋体" w:cs="Times New Roman"/>
                <w:color w:val="000000"/>
                <w:sz w:val="24"/>
                <w:szCs w:val="24"/>
              </w:rPr>
              <w:t>、中和沉淀时添加Ca</w:t>
            </w:r>
            <w:r>
              <w:rPr>
                <w:rFonts w:ascii="Times New Roman" w:hAnsi="Times New Roman" w:eastAsia="宋体" w:cs="Times New Roman"/>
                <w:color w:val="000000"/>
                <w:sz w:val="24"/>
                <w:szCs w:val="24"/>
                <w:vertAlign w:val="superscript"/>
              </w:rPr>
              <w:t>2+</w:t>
            </w:r>
            <w:r>
              <w:rPr>
                <w:rFonts w:ascii="Times New Roman" w:hAnsi="Times New Roman" w:eastAsia="宋体" w:cs="Times New Roman"/>
                <w:color w:val="000000"/>
                <w:sz w:val="24"/>
                <w:szCs w:val="24"/>
              </w:rPr>
              <w:t>等，污泥中主要成分为硫酸钙、沉淀的废水中悬浮物等。</w:t>
            </w:r>
          </w:p>
          <w:p w14:paraId="111804DC">
            <w:pPr>
              <w:adjustRightInd w:val="0"/>
              <w:snapToGrid w:val="0"/>
              <w:spacing w:line="360" w:lineRule="auto"/>
              <w:ind w:firstLine="48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信利（仁寿）高端显示科技有限公司产生的污泥为含氟废水处理系统，通过絮凝沉淀法，向废水中投加过量CaCl</w:t>
            </w:r>
            <w:r>
              <w:rPr>
                <w:rFonts w:ascii="Times New Roman" w:hAnsi="Times New Roman" w:eastAsia="宋体" w:cs="Times New Roman"/>
                <w:color w:val="000000"/>
                <w:sz w:val="24"/>
                <w:szCs w:val="24"/>
                <w:vertAlign w:val="subscript"/>
              </w:rPr>
              <w:t>2</w:t>
            </w:r>
            <w:r>
              <w:rPr>
                <w:rFonts w:ascii="Times New Roman" w:hAnsi="Times New Roman" w:eastAsia="宋体" w:cs="Times New Roman"/>
                <w:color w:val="000000"/>
                <w:sz w:val="24"/>
                <w:szCs w:val="24"/>
              </w:rPr>
              <w:t>与废水中F</w:t>
            </w:r>
            <w:r>
              <w:rPr>
                <w:rFonts w:ascii="Times New Roman" w:hAnsi="Times New Roman" w:eastAsia="宋体" w:cs="Times New Roman"/>
                <w:color w:val="000000"/>
                <w:sz w:val="24"/>
                <w:szCs w:val="24"/>
                <w:vertAlign w:val="superscript"/>
              </w:rPr>
              <w:t>-</w:t>
            </w:r>
            <w:r>
              <w:rPr>
                <w:rFonts w:ascii="Times New Roman" w:hAnsi="Times New Roman" w:eastAsia="宋体" w:cs="Times New Roman"/>
                <w:color w:val="000000"/>
                <w:sz w:val="24"/>
                <w:szCs w:val="24"/>
              </w:rPr>
              <w:t>生成CaF</w:t>
            </w:r>
            <w:r>
              <w:rPr>
                <w:rFonts w:ascii="Times New Roman" w:hAnsi="Times New Roman" w:eastAsia="宋体" w:cs="Times New Roman"/>
                <w:color w:val="000000"/>
                <w:sz w:val="24"/>
                <w:szCs w:val="24"/>
                <w:vertAlign w:val="subscript"/>
              </w:rPr>
              <w:t>2</w:t>
            </w:r>
            <w:r>
              <w:rPr>
                <w:rFonts w:ascii="Times New Roman" w:hAnsi="Times New Roman" w:eastAsia="宋体" w:cs="Times New Roman"/>
                <w:color w:val="000000"/>
                <w:sz w:val="24"/>
                <w:szCs w:val="24"/>
              </w:rPr>
              <w:t>沉淀，污泥中的成分主要为CaF</w:t>
            </w:r>
            <w:r>
              <w:rPr>
                <w:rFonts w:ascii="Times New Roman" w:hAnsi="Times New Roman" w:eastAsia="宋体" w:cs="Times New Roman"/>
                <w:color w:val="000000"/>
                <w:sz w:val="24"/>
                <w:szCs w:val="24"/>
                <w:vertAlign w:val="subscript"/>
              </w:rPr>
              <w:t>2</w:t>
            </w:r>
            <w:r>
              <w:rPr>
                <w:rFonts w:ascii="Times New Roman" w:hAnsi="Times New Roman" w:eastAsia="宋体" w:cs="Times New Roman"/>
                <w:color w:val="000000"/>
                <w:sz w:val="24"/>
                <w:szCs w:val="24"/>
              </w:rPr>
              <w:t>沉淀、CaSiF</w:t>
            </w:r>
            <w:r>
              <w:rPr>
                <w:rFonts w:ascii="Times New Roman" w:hAnsi="Times New Roman" w:eastAsia="宋体" w:cs="Times New Roman"/>
                <w:color w:val="000000"/>
                <w:sz w:val="24"/>
                <w:szCs w:val="24"/>
                <w:vertAlign w:val="subscript"/>
              </w:rPr>
              <w:t>2</w:t>
            </w:r>
            <w:r>
              <w:rPr>
                <w:rFonts w:ascii="Times New Roman" w:hAnsi="Times New Roman" w:eastAsia="宋体" w:cs="Times New Roman"/>
                <w:color w:val="000000"/>
                <w:sz w:val="24"/>
                <w:szCs w:val="24"/>
              </w:rPr>
              <w:t>沉淀、沉淀的废水中悬浮物等。</w:t>
            </w:r>
          </w:p>
          <w:p w14:paraId="2F32A64D">
            <w:pPr>
              <w:adjustRightInd w:val="0"/>
              <w:snapToGrid w:val="0"/>
              <w:spacing w:line="360" w:lineRule="auto"/>
              <w:ind w:firstLine="48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四川东捷污水处理有限公司处理水基钻井废水过程产生的水基钻井污泥，主要成分与水基钻井废弃物成分相近。</w:t>
            </w:r>
          </w:p>
          <w:p w14:paraId="0FC9FFB8">
            <w:pPr>
              <w:adjustRightInd w:val="0"/>
              <w:snapToGrid w:val="0"/>
              <w:spacing w:line="360" w:lineRule="auto"/>
              <w:ind w:firstLine="480" w:firstLineChars="200"/>
              <w:rPr>
                <w:rFonts w:ascii="Times New Roman" w:hAnsi="Times New Roman" w:cs="Times New Roman"/>
              </w:rPr>
            </w:pPr>
            <w:r>
              <w:rPr>
                <w:rFonts w:ascii="Times New Roman" w:hAnsi="Times New Roman" w:eastAsia="宋体" w:cs="Times New Roman"/>
                <w:bCs/>
                <w:color w:val="000000"/>
                <w:sz w:val="24"/>
                <w:szCs w:val="24"/>
              </w:rPr>
              <w:t>同时本项目拟接纳的遂宁市自来水生产污泥主要含泥沙、杂质</w:t>
            </w:r>
            <w:r>
              <w:rPr>
                <w:rFonts w:hint="eastAsia" w:ascii="Times New Roman" w:hAnsi="Times New Roman" w:eastAsia="宋体" w:cs="Times New Roman"/>
                <w:bCs/>
                <w:color w:val="000000"/>
                <w:sz w:val="24"/>
                <w:szCs w:val="24"/>
                <w:lang w:eastAsia="zh-CN"/>
              </w:rPr>
              <w:t>以及</w:t>
            </w:r>
            <w:r>
              <w:rPr>
                <w:rFonts w:ascii="Times New Roman" w:hAnsi="Times New Roman" w:eastAsia="宋体" w:cs="Times New Roman"/>
                <w:bCs/>
                <w:color w:val="000000"/>
                <w:sz w:val="24"/>
                <w:szCs w:val="24"/>
              </w:rPr>
              <w:t>在水处理过程中添加的各种絮凝剂成分。</w:t>
            </w:r>
          </w:p>
          <w:p w14:paraId="549EF926">
            <w:pPr>
              <w:adjustRightInd w:val="0"/>
              <w:snapToGrid w:val="0"/>
              <w:spacing w:line="360" w:lineRule="auto"/>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6、项目掺烧固废来源</w:t>
            </w:r>
          </w:p>
          <w:p w14:paraId="32C241DE">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水基钻井废弃物主要来源于川西探区天然气井钻井过程产生的水基钻井废弃物，开采单位在钻井现场会对水基钻井废弃物完成固液分离后，通常会在现场进行晾晒以进一步降低含水率，外运资源化利用的废弃物含水率在30%-50%之间。本项目不接纳油基钻井废弃物。</w:t>
            </w:r>
          </w:p>
          <w:p w14:paraId="5292E974">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无机工业污泥来源于四川裕宁新能源材料有限公司、信利（仁寿）高端显示科技有限公司、四川东捷污水处理有限公司以及遂宁市自来水生产污泥。</w:t>
            </w:r>
          </w:p>
          <w:p w14:paraId="01EC2317">
            <w:pPr>
              <w:adjustRightInd w:val="0"/>
              <w:snapToGrid w:val="0"/>
              <w:spacing w:line="360" w:lineRule="auto"/>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7、固体废物入场利用要求</w:t>
            </w:r>
          </w:p>
          <w:p w14:paraId="54E8F91E">
            <w:pPr>
              <w:adjustRightInd w:val="0"/>
              <w:snapToGrid w:val="0"/>
              <w:spacing w:line="360" w:lineRule="auto"/>
              <w:ind w:firstLine="482" w:firstLineChars="200"/>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（1）准入评估流程</w:t>
            </w:r>
          </w:p>
          <w:p w14:paraId="181B42A6">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本项目应当建立一般固废管理台账，详细记录一般固废入场量、处理处置量及其去向等情况，定期向所在地县级以上地方生态环境部门报告。参照危险废物管理，建立一般固废转移联单制度。</w:t>
            </w:r>
          </w:p>
          <w:p w14:paraId="0D32BF4B">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A、建设单位在与一般固废产生企业</w:t>
            </w:r>
            <w:r>
              <w:rPr>
                <w:rFonts w:ascii="Times New Roman" w:hAnsi="Times New Roman" w:eastAsia="宋体" w:cs="Times New Roman"/>
                <w:color w:val="FF0000"/>
                <w:sz w:val="24"/>
                <w:szCs w:val="24"/>
              </w:rPr>
              <w:t>（</w:t>
            </w:r>
            <w:r>
              <w:rPr>
                <w:rFonts w:ascii="Times New Roman" w:hAnsi="Times New Roman" w:eastAsia="宋体" w:cs="Times New Roman"/>
                <w:color w:val="FF0000"/>
                <w:sz w:val="24"/>
                <w:szCs w:val="20"/>
              </w:rPr>
              <w:t>水基钻井废弃物产废单位</w:t>
            </w:r>
            <w:r>
              <w:rPr>
                <w:rFonts w:ascii="Times New Roman" w:hAnsi="Times New Roman" w:eastAsia="宋体" w:cs="Times New Roman"/>
                <w:color w:val="FF0000"/>
                <w:sz w:val="24"/>
                <w:szCs w:val="24"/>
              </w:rPr>
              <w:t>、裕宁、信利、东捷、自来水厂）</w:t>
            </w:r>
            <w:r>
              <w:rPr>
                <w:rFonts w:ascii="Times New Roman" w:hAnsi="Times New Roman" w:eastAsia="宋体" w:cs="Times New Roman"/>
                <w:color w:val="000000"/>
                <w:sz w:val="24"/>
                <w:szCs w:val="24"/>
              </w:rPr>
              <w:t>签订处置合同及一般固废运输到处置厂区之前，首先需要一般固废提供单位明确废物的污染因子及特性，并提供有资质单位出具的一般固废的成分分析报告。在初步判断可以入厂处置的基础上，建设单位还应对一般固废进行取样及特性分析，以保证一般固废处置过程不影响页岩砖生产过程和操作运行安全，确保烟气排放达标。</w:t>
            </w:r>
          </w:p>
          <w:p w14:paraId="68759C30">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B、在对</w:t>
            </w:r>
            <w:r>
              <w:rPr>
                <w:rFonts w:ascii="Times New Roman" w:hAnsi="Times New Roman" w:eastAsia="宋体" w:cs="Times New Roman"/>
                <w:color w:val="000000"/>
                <w:sz w:val="24"/>
                <w:szCs w:val="20"/>
              </w:rPr>
              <w:t>水基钻井废弃物、</w:t>
            </w:r>
            <w:r>
              <w:rPr>
                <w:rFonts w:ascii="Times New Roman" w:hAnsi="Times New Roman" w:eastAsia="宋体" w:cs="Times New Roman"/>
                <w:color w:val="000000"/>
                <w:sz w:val="24"/>
                <w:szCs w:val="24"/>
              </w:rPr>
              <w:t>无机污泥</w:t>
            </w:r>
            <w:r>
              <w:rPr>
                <w:rFonts w:ascii="Times New Roman" w:hAnsi="Times New Roman" w:eastAsia="宋体" w:cs="Times New Roman"/>
                <w:color w:val="000000"/>
                <w:sz w:val="24"/>
                <w:szCs w:val="20"/>
              </w:rPr>
              <w:t>（</w:t>
            </w:r>
            <w:r>
              <w:rPr>
                <w:rFonts w:ascii="Times New Roman" w:hAnsi="Times New Roman" w:eastAsia="宋体" w:cs="Times New Roman"/>
                <w:color w:val="000000"/>
                <w:sz w:val="24"/>
                <w:szCs w:val="24"/>
              </w:rPr>
              <w:t>裕宁、信利、东捷、自来水厂</w:t>
            </w:r>
            <w:r>
              <w:rPr>
                <w:rFonts w:ascii="Times New Roman" w:hAnsi="Times New Roman" w:eastAsia="宋体" w:cs="Times New Roman"/>
                <w:color w:val="000000"/>
                <w:sz w:val="24"/>
                <w:szCs w:val="20"/>
              </w:rPr>
              <w:t>）</w:t>
            </w:r>
            <w:r>
              <w:rPr>
                <w:rFonts w:ascii="Times New Roman" w:hAnsi="Times New Roman" w:eastAsia="宋体" w:cs="Times New Roman"/>
                <w:color w:val="000000"/>
                <w:sz w:val="24"/>
                <w:szCs w:val="24"/>
              </w:rPr>
              <w:t>进行取样和特性分析前，应该对废物产生过程进行调查分析，在此基础上制定取样分析方案；对于同一产废单位同一生产工艺产生的不同批次废物，在生产工艺操作参数未改变的前提下，可以仅对首批次废物进行采样分析，其后产生的废物采样分析在制定处置方案时进行。</w:t>
            </w:r>
          </w:p>
          <w:p w14:paraId="4FFDF468">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C、进场后的</w:t>
            </w:r>
            <w:r>
              <w:rPr>
                <w:rFonts w:ascii="Times New Roman" w:hAnsi="Times New Roman" w:eastAsia="宋体" w:cs="Times New Roman"/>
                <w:color w:val="000000"/>
                <w:sz w:val="24"/>
                <w:szCs w:val="20"/>
              </w:rPr>
              <w:t>水基钻井废弃物、</w:t>
            </w:r>
            <w:r>
              <w:rPr>
                <w:rFonts w:ascii="Times New Roman" w:hAnsi="Times New Roman" w:eastAsia="宋体" w:cs="Times New Roman"/>
                <w:color w:val="000000"/>
                <w:sz w:val="24"/>
                <w:szCs w:val="24"/>
              </w:rPr>
              <w:t>无机污泥</w:t>
            </w:r>
            <w:r>
              <w:rPr>
                <w:rFonts w:ascii="Times New Roman" w:hAnsi="Times New Roman" w:eastAsia="宋体" w:cs="Times New Roman"/>
                <w:color w:val="000000"/>
                <w:sz w:val="24"/>
                <w:szCs w:val="20"/>
              </w:rPr>
              <w:t>（</w:t>
            </w:r>
            <w:r>
              <w:rPr>
                <w:rFonts w:ascii="Times New Roman" w:hAnsi="Times New Roman" w:eastAsia="宋体" w:cs="Times New Roman"/>
                <w:color w:val="000000"/>
                <w:sz w:val="24"/>
                <w:szCs w:val="24"/>
              </w:rPr>
              <w:t>裕宁、信利、东捷、自来水厂</w:t>
            </w:r>
            <w:r>
              <w:rPr>
                <w:rFonts w:ascii="Times New Roman" w:hAnsi="Times New Roman" w:eastAsia="宋体" w:cs="Times New Roman"/>
                <w:color w:val="000000"/>
                <w:sz w:val="24"/>
                <w:szCs w:val="20"/>
              </w:rPr>
              <w:t>）</w:t>
            </w:r>
            <w:r>
              <w:rPr>
                <w:rFonts w:ascii="Times New Roman" w:hAnsi="Times New Roman" w:eastAsia="宋体" w:cs="Times New Roman"/>
                <w:color w:val="000000"/>
                <w:sz w:val="24"/>
                <w:szCs w:val="24"/>
              </w:rPr>
              <w:t>一般固废暂存待检区，经检测合格后方可转运至合格区；对入厂前一般固废采集分析的样品，经双方确认后封装保存，用于事故和纠纷的调查。备份样品应该保存到停止处置该种废物之后。如果在保存期间备份样品的特性发生变化，应更换备份样品，保证备份样品特性与所处置一般固废特性一致。</w:t>
            </w:r>
          </w:p>
          <w:p w14:paraId="50B0E5CE">
            <w:pPr>
              <w:adjustRightInd w:val="0"/>
              <w:snapToGrid w:val="0"/>
              <w:spacing w:line="360" w:lineRule="auto"/>
              <w:ind w:firstLine="482" w:firstLineChars="200"/>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（2）入场质量控制</w:t>
            </w:r>
          </w:p>
          <w:p w14:paraId="3095E0B4">
            <w:pPr>
              <w:adjustRightInd w:val="0"/>
              <w:snapToGrid w:val="0"/>
              <w:spacing w:line="360" w:lineRule="auto"/>
              <w:ind w:firstLine="482" w:firstLineChars="200"/>
              <w:rPr>
                <w:rFonts w:ascii="Times New Roman" w:hAnsi="Times New Roman" w:eastAsia="宋体" w:cs="Times New Roman"/>
                <w:color w:val="000000"/>
                <w:sz w:val="24"/>
                <w:szCs w:val="24"/>
              </w:rPr>
            </w:pPr>
            <w:r>
              <w:rPr>
                <w:rFonts w:ascii="Times New Roman" w:hAnsi="Times New Roman" w:eastAsia="宋体" w:cs="Times New Roman"/>
                <w:b/>
                <w:color w:val="000000"/>
                <w:sz w:val="24"/>
                <w:szCs w:val="24"/>
              </w:rPr>
              <w:t>监测频次要求：</w:t>
            </w:r>
            <w:r>
              <w:rPr>
                <w:rFonts w:ascii="Times New Roman" w:hAnsi="Times New Roman" w:eastAsia="宋体" w:cs="Times New Roman"/>
                <w:color w:val="000000"/>
                <w:sz w:val="24"/>
                <w:szCs w:val="24"/>
              </w:rPr>
              <w:t>本项目接纳的</w:t>
            </w:r>
            <w:r>
              <w:rPr>
                <w:rFonts w:ascii="Times New Roman" w:hAnsi="Times New Roman" w:eastAsia="宋体" w:cs="Times New Roman"/>
                <w:color w:val="000000"/>
                <w:sz w:val="24"/>
                <w:szCs w:val="20"/>
              </w:rPr>
              <w:t>水基钻井废弃物、</w:t>
            </w:r>
            <w:r>
              <w:rPr>
                <w:rFonts w:ascii="Times New Roman" w:hAnsi="Times New Roman" w:eastAsia="宋体" w:cs="Times New Roman"/>
                <w:color w:val="000000"/>
                <w:sz w:val="24"/>
                <w:szCs w:val="24"/>
              </w:rPr>
              <w:t>无机污泥</w:t>
            </w:r>
            <w:r>
              <w:rPr>
                <w:rFonts w:ascii="Times New Roman" w:hAnsi="Times New Roman" w:eastAsia="宋体" w:cs="Times New Roman"/>
                <w:color w:val="000000"/>
                <w:sz w:val="24"/>
                <w:szCs w:val="20"/>
              </w:rPr>
              <w:t>（</w:t>
            </w:r>
            <w:r>
              <w:rPr>
                <w:rFonts w:ascii="Times New Roman" w:hAnsi="Times New Roman" w:eastAsia="宋体" w:cs="Times New Roman"/>
                <w:color w:val="000000"/>
                <w:sz w:val="24"/>
                <w:szCs w:val="24"/>
              </w:rPr>
              <w:t>裕宁、信利、东捷、自来水厂</w:t>
            </w:r>
            <w:r>
              <w:rPr>
                <w:rFonts w:ascii="Times New Roman" w:hAnsi="Times New Roman" w:eastAsia="宋体" w:cs="Times New Roman"/>
                <w:color w:val="000000"/>
                <w:sz w:val="24"/>
                <w:szCs w:val="20"/>
              </w:rPr>
              <w:t>）</w:t>
            </w:r>
            <w:r>
              <w:rPr>
                <w:rFonts w:ascii="Times New Roman" w:hAnsi="Times New Roman" w:eastAsia="宋体" w:cs="Times New Roman"/>
                <w:color w:val="000000"/>
                <w:sz w:val="24"/>
                <w:szCs w:val="24"/>
              </w:rPr>
              <w:t>须为一般工业固废，若经鉴别危险废物的，本项目不予接收。建设单位还应委托资质单位对入厂的固废进行取样分析，固废入厂后当天进行采样，并在第2天出具检测结果，确保及时能够判断污泥特性是否满足入厂要求。本项目通过利用</w:t>
            </w:r>
            <w:r>
              <w:rPr>
                <w:rFonts w:ascii="Times New Roman" w:hAnsi="Times New Roman" w:eastAsia="宋体" w:cs="Times New Roman"/>
                <w:color w:val="000000"/>
                <w:sz w:val="24"/>
                <w:szCs w:val="20"/>
              </w:rPr>
              <w:t>水基钻井废弃物、</w:t>
            </w:r>
            <w:r>
              <w:rPr>
                <w:rFonts w:ascii="Times New Roman" w:hAnsi="Times New Roman" w:eastAsia="宋体" w:cs="Times New Roman"/>
                <w:color w:val="000000"/>
                <w:sz w:val="24"/>
                <w:szCs w:val="24"/>
              </w:rPr>
              <w:t>无机污泥</w:t>
            </w:r>
            <w:r>
              <w:rPr>
                <w:rFonts w:ascii="Times New Roman" w:hAnsi="Times New Roman" w:eastAsia="宋体" w:cs="Times New Roman"/>
                <w:color w:val="000000"/>
                <w:sz w:val="24"/>
                <w:szCs w:val="20"/>
              </w:rPr>
              <w:t>（</w:t>
            </w:r>
            <w:r>
              <w:rPr>
                <w:rFonts w:ascii="Times New Roman" w:hAnsi="Times New Roman" w:eastAsia="宋体" w:cs="Times New Roman"/>
                <w:color w:val="000000"/>
                <w:sz w:val="24"/>
                <w:szCs w:val="24"/>
              </w:rPr>
              <w:t>裕宁、信利、东捷、自来水厂</w:t>
            </w:r>
            <w:r>
              <w:rPr>
                <w:rFonts w:ascii="Times New Roman" w:hAnsi="Times New Roman" w:eastAsia="宋体" w:cs="Times New Roman"/>
                <w:color w:val="000000"/>
                <w:sz w:val="24"/>
                <w:szCs w:val="20"/>
              </w:rPr>
              <w:t>）</w:t>
            </w:r>
            <w:r>
              <w:rPr>
                <w:rFonts w:ascii="Times New Roman" w:hAnsi="Times New Roman" w:eastAsia="宋体" w:cs="Times New Roman"/>
                <w:color w:val="000000"/>
                <w:sz w:val="24"/>
                <w:szCs w:val="24"/>
              </w:rPr>
              <w:t>替代部分页岩焙烧页岩砖，属于固体废物建材利用。参照《固体废物再生利用污染防治技术导则》（HJ1091-2020）“8 监测”中关于“固体废物再生利用”监测频次相关要求，本次环评对进场固废提出以下建议监测频次要求：</w:t>
            </w:r>
          </w:p>
          <w:p w14:paraId="5CF91AED">
            <w:pPr>
              <w:adjustRightInd w:val="0"/>
              <w:snapToGrid w:val="0"/>
              <w:spacing w:line="360" w:lineRule="auto"/>
              <w:ind w:firstLine="480" w:firstLineChars="200"/>
              <w:rPr>
                <w:rFonts w:ascii="Times New Roman" w:hAnsi="Times New Roman" w:eastAsia="宋体" w:cs="Times New Roman"/>
                <w:color w:val="000000"/>
                <w:sz w:val="24"/>
                <w:szCs w:val="24"/>
              </w:rPr>
            </w:pPr>
            <w:r>
              <w:rPr>
                <w:rFonts w:hint="eastAsia" w:ascii="宋体" w:hAnsi="宋体" w:eastAsia="宋体" w:cs="宋体"/>
                <w:color w:val="000000"/>
                <w:sz w:val="24"/>
                <w:szCs w:val="24"/>
              </w:rPr>
              <w:t>①</w:t>
            </w:r>
            <w:r>
              <w:rPr>
                <w:rFonts w:ascii="Times New Roman" w:hAnsi="Times New Roman" w:eastAsia="宋体" w:cs="Times New Roman"/>
                <w:color w:val="000000"/>
                <w:sz w:val="24"/>
                <w:szCs w:val="24"/>
              </w:rPr>
              <w:t>当首次再生利用除危险废物外的某种固体废物时，针对再生利用产品中的特征污染物监测频次不低于每周3次；</w:t>
            </w:r>
          </w:p>
          <w:p w14:paraId="40EF583C">
            <w:pPr>
              <w:adjustRightInd w:val="0"/>
              <w:snapToGrid w:val="0"/>
              <w:spacing w:line="360" w:lineRule="auto"/>
              <w:ind w:firstLine="480" w:firstLineChars="200"/>
              <w:rPr>
                <w:rFonts w:ascii="Times New Roman" w:hAnsi="Times New Roman" w:eastAsia="宋体" w:cs="Times New Roman"/>
                <w:color w:val="000000"/>
                <w:sz w:val="24"/>
                <w:szCs w:val="24"/>
              </w:rPr>
            </w:pPr>
            <w:r>
              <w:rPr>
                <w:rFonts w:hint="eastAsia" w:ascii="宋体" w:hAnsi="宋体" w:eastAsia="宋体" w:cs="宋体"/>
                <w:color w:val="000000"/>
                <w:sz w:val="24"/>
                <w:szCs w:val="24"/>
              </w:rPr>
              <w:t>②</w:t>
            </w:r>
            <w:r>
              <w:rPr>
                <w:rFonts w:ascii="Times New Roman" w:hAnsi="Times New Roman" w:eastAsia="宋体" w:cs="Times New Roman"/>
                <w:color w:val="000000"/>
                <w:sz w:val="24"/>
                <w:szCs w:val="24"/>
              </w:rPr>
              <w:t>连续二周监测结果均不超出环境风险评价结果时，在该废物来源及投加量稳定的前提下，频次可减为每月1次；</w:t>
            </w:r>
          </w:p>
          <w:p w14:paraId="60A5DAED">
            <w:pPr>
              <w:adjustRightInd w:val="0"/>
              <w:snapToGrid w:val="0"/>
              <w:spacing w:line="360" w:lineRule="auto"/>
              <w:ind w:firstLine="480" w:firstLineChars="200"/>
              <w:rPr>
                <w:rFonts w:ascii="Times New Roman" w:hAnsi="Times New Roman" w:eastAsia="宋体" w:cs="Times New Roman"/>
                <w:color w:val="000000"/>
                <w:sz w:val="24"/>
                <w:szCs w:val="24"/>
              </w:rPr>
            </w:pPr>
            <w:r>
              <w:rPr>
                <w:rFonts w:hint="eastAsia" w:ascii="宋体" w:hAnsi="宋体" w:eastAsia="宋体" w:cs="宋体"/>
                <w:color w:val="000000"/>
                <w:sz w:val="24"/>
                <w:szCs w:val="24"/>
              </w:rPr>
              <w:t>③</w:t>
            </w:r>
            <w:r>
              <w:rPr>
                <w:rFonts w:ascii="Times New Roman" w:hAnsi="Times New Roman" w:eastAsia="宋体" w:cs="Times New Roman"/>
                <w:color w:val="000000"/>
                <w:sz w:val="24"/>
                <w:szCs w:val="24"/>
              </w:rPr>
              <w:t>连续三个月监测结果均不超出环境风险评价结果时，频次可减为每年1次；若在此期间监测结果出现异常或固体废物来源发生变化或再生利用中断超过半年以上，则监测频次重新调整为不低于每周3次，依次重复。</w:t>
            </w:r>
          </w:p>
          <w:p w14:paraId="5410DB24">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通过上述操作，可确保所收集的固废与实际相符。本项目固废来源属比较固定的厂家，在其工艺或进水水质及固废产生工艺未发生明显改变的前提下，在前期多次进行成分分析的基础上，后期可适当降低采样分析频次。</w:t>
            </w:r>
          </w:p>
          <w:p w14:paraId="1E4E82A4">
            <w:pPr>
              <w:adjustRightInd w:val="0"/>
              <w:snapToGrid w:val="0"/>
              <w:spacing w:line="360" w:lineRule="auto"/>
              <w:ind w:firstLine="482" w:firstLineChars="200"/>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监测指标要求：</w:t>
            </w:r>
          </w:p>
          <w:p w14:paraId="41472E6E">
            <w:pPr>
              <w:adjustRightInd w:val="0"/>
              <w:snapToGrid w:val="0"/>
              <w:spacing w:line="360" w:lineRule="auto"/>
              <w:ind w:firstLine="480" w:firstLineChars="200"/>
              <w:rPr>
                <w:rFonts w:ascii="Times New Roman" w:hAnsi="Times New Roman" w:eastAsia="宋体" w:cs="Times New Roman"/>
                <w:color w:val="000000"/>
                <w:sz w:val="24"/>
                <w:szCs w:val="24"/>
              </w:rPr>
            </w:pPr>
            <w:r>
              <w:rPr>
                <w:rFonts w:hint="eastAsia" w:ascii="宋体" w:hAnsi="宋体" w:eastAsia="宋体" w:cs="宋体"/>
                <w:color w:val="000000"/>
                <w:sz w:val="24"/>
                <w:szCs w:val="24"/>
              </w:rPr>
              <w:t>①</w:t>
            </w:r>
            <w:r>
              <w:rPr>
                <w:rFonts w:ascii="Times New Roman" w:hAnsi="Times New Roman" w:eastAsia="宋体" w:cs="Times New Roman"/>
                <w:color w:val="000000"/>
                <w:sz w:val="24"/>
                <w:szCs w:val="24"/>
              </w:rPr>
              <w:t>浸出液限值</w:t>
            </w:r>
          </w:p>
          <w:p w14:paraId="2C648C73">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按照《固体废物浸出毒性浸出方法（GB5096）》规定方法进行浸出试验而获得的浸出液中，任何一种污染物的浓度均未超过《污水综合排放标准（GB8978）》最高允许排放浓度，且pH值在6至9范围之内。</w:t>
            </w:r>
          </w:p>
          <w:p w14:paraId="4D5BFA02">
            <w:pPr>
              <w:adjustRightInd w:val="0"/>
              <w:snapToGrid w:val="0"/>
              <w:spacing w:line="360" w:lineRule="auto"/>
              <w:ind w:firstLine="480" w:firstLineChars="200"/>
              <w:rPr>
                <w:rFonts w:ascii="Times New Roman" w:hAnsi="Times New Roman" w:eastAsia="宋体" w:cs="Times New Roman"/>
                <w:color w:val="000000"/>
                <w:sz w:val="24"/>
                <w:szCs w:val="24"/>
              </w:rPr>
            </w:pPr>
            <w:r>
              <w:rPr>
                <w:rFonts w:hint="eastAsia" w:ascii="宋体" w:hAnsi="宋体" w:eastAsia="宋体" w:cs="宋体"/>
                <w:color w:val="000000"/>
                <w:sz w:val="24"/>
                <w:szCs w:val="24"/>
              </w:rPr>
              <w:t>②</w:t>
            </w:r>
            <w:r>
              <w:rPr>
                <w:rFonts w:ascii="Times New Roman" w:hAnsi="Times New Roman" w:eastAsia="宋体" w:cs="Times New Roman"/>
                <w:color w:val="000000"/>
                <w:sz w:val="24"/>
                <w:szCs w:val="24"/>
              </w:rPr>
              <w:t>质量限值要求</w:t>
            </w:r>
          </w:p>
          <w:p w14:paraId="17BDB4EC">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参照《城镇污水处理厂污泥处理处置技术指南</w:t>
            </w:r>
            <w:r>
              <w:rPr>
                <w:rFonts w:hint="eastAsia" w:ascii="Times New Roman" w:hAnsi="Times New Roman" w:eastAsia="宋体" w:cs="Times New Roman"/>
                <w:color w:val="000000"/>
                <w:sz w:val="24"/>
                <w:szCs w:val="24"/>
                <w:lang w:eastAsia="zh-CN"/>
              </w:rPr>
              <w:t>（试行）》</w:t>
            </w:r>
            <w:r>
              <w:rPr>
                <w:rFonts w:ascii="Times New Roman" w:hAnsi="Times New Roman" w:eastAsia="宋体" w:cs="Times New Roman"/>
                <w:color w:val="000000"/>
                <w:sz w:val="24"/>
                <w:szCs w:val="24"/>
              </w:rPr>
              <w:t>（2011年3月），为有效控制二次污染物，污泥泥质需满足《城镇污水处理厂污泥处置制砖用泥质》（GB/T25031-2010）等有关泥质标准对进厂污泥进行控制，具体要求如下：</w:t>
            </w:r>
          </w:p>
          <w:p w14:paraId="5C29A4E6">
            <w:pPr>
              <w:snapToGrid w:val="0"/>
              <w:jc w:val="center"/>
              <w:rPr>
                <w:rFonts w:ascii="Times New Roman" w:hAnsi="Times New Roman" w:eastAsia="宋体" w:cs="Times New Roman"/>
                <w:b/>
                <w:bCs/>
                <w:color w:val="000000"/>
                <w:sz w:val="24"/>
                <w:szCs w:val="24"/>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24</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ascii="Times New Roman" w:hAnsi="Times New Roman" w:eastAsia="宋体" w:cs="Times New Roman"/>
                <w:b/>
                <w:bCs/>
                <w:color w:val="000000"/>
                <w:szCs w:val="21"/>
              </w:rPr>
              <w:t>直接用于制砖时的污泥质量要求</w:t>
            </w:r>
          </w:p>
          <w:tbl>
            <w:tblPr>
              <w:tblStyle w:val="2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31"/>
              <w:gridCol w:w="2345"/>
              <w:gridCol w:w="2367"/>
              <w:gridCol w:w="2370"/>
            </w:tblGrid>
            <w:tr w14:paraId="631680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68" w:type="pct"/>
                  <w:vAlign w:val="center"/>
                </w:tcPr>
                <w:p w14:paraId="08CD73AA">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序号</w:t>
                  </w:r>
                </w:p>
              </w:tc>
              <w:tc>
                <w:tcPr>
                  <w:tcW w:w="1501" w:type="pct"/>
                  <w:vAlign w:val="center"/>
                </w:tcPr>
                <w:p w14:paraId="032A9E01">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控制项目</w:t>
                  </w:r>
                </w:p>
              </w:tc>
              <w:tc>
                <w:tcPr>
                  <w:tcW w:w="3031" w:type="pct"/>
                  <w:gridSpan w:val="2"/>
                  <w:vAlign w:val="center"/>
                </w:tcPr>
                <w:p w14:paraId="19255B2D">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限值（mg/kg 干污泥）</w:t>
                  </w:r>
                </w:p>
              </w:tc>
            </w:tr>
            <w:tr w14:paraId="3A1291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68" w:type="pct"/>
                  <w:vAlign w:val="center"/>
                </w:tcPr>
                <w:p w14:paraId="63FB757B">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w:t>
                  </w:r>
                </w:p>
              </w:tc>
              <w:tc>
                <w:tcPr>
                  <w:tcW w:w="1501" w:type="pct"/>
                  <w:vAlign w:val="center"/>
                </w:tcPr>
                <w:p w14:paraId="3ABA7451">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pH值</w:t>
                  </w:r>
                </w:p>
              </w:tc>
              <w:tc>
                <w:tcPr>
                  <w:tcW w:w="3031" w:type="pct"/>
                  <w:gridSpan w:val="2"/>
                  <w:vAlign w:val="center"/>
                </w:tcPr>
                <w:p w14:paraId="0ECA090C">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5~10</w:t>
                  </w:r>
                </w:p>
              </w:tc>
            </w:tr>
            <w:tr w14:paraId="56C3E3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68" w:type="pct"/>
                  <w:vAlign w:val="center"/>
                </w:tcPr>
                <w:p w14:paraId="281C3A9E">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2</w:t>
                  </w:r>
                </w:p>
              </w:tc>
              <w:tc>
                <w:tcPr>
                  <w:tcW w:w="1501" w:type="pct"/>
                  <w:vAlign w:val="center"/>
                </w:tcPr>
                <w:p w14:paraId="0D9F6B04">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烧失量</w:t>
                  </w:r>
                </w:p>
              </w:tc>
              <w:tc>
                <w:tcPr>
                  <w:tcW w:w="3031" w:type="pct"/>
                  <w:gridSpan w:val="2"/>
                  <w:vAlign w:val="center"/>
                </w:tcPr>
                <w:p w14:paraId="3DF2F98E">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≤50%</w:t>
                  </w:r>
                </w:p>
              </w:tc>
            </w:tr>
            <w:tr w14:paraId="042497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68" w:type="pct"/>
                  <w:vAlign w:val="center"/>
                </w:tcPr>
                <w:p w14:paraId="0DB9E446">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3</w:t>
                  </w:r>
                </w:p>
              </w:tc>
              <w:tc>
                <w:tcPr>
                  <w:tcW w:w="1501" w:type="pct"/>
                  <w:vAlign w:val="center"/>
                </w:tcPr>
                <w:p w14:paraId="5369DE77">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放射性核素</w:t>
                  </w:r>
                </w:p>
              </w:tc>
              <w:tc>
                <w:tcPr>
                  <w:tcW w:w="1515" w:type="pct"/>
                  <w:vAlign w:val="center"/>
                </w:tcPr>
                <w:p w14:paraId="1A855A06">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I</w:t>
                  </w:r>
                  <w:r>
                    <w:rPr>
                      <w:rFonts w:ascii="Times New Roman" w:hAnsi="Times New Roman" w:eastAsia="宋体" w:cs="Times New Roman"/>
                      <w:color w:val="000000"/>
                      <w:kern w:val="0"/>
                      <w:szCs w:val="21"/>
                      <w:vertAlign w:val="subscript"/>
                    </w:rPr>
                    <w:t>Rd</w:t>
                  </w:r>
                  <w:r>
                    <w:rPr>
                      <w:rFonts w:ascii="Times New Roman" w:hAnsi="Times New Roman" w:eastAsia="宋体" w:cs="Times New Roman"/>
                      <w:color w:val="000000"/>
                      <w:kern w:val="0"/>
                      <w:szCs w:val="21"/>
                    </w:rPr>
                    <w:t>≤1.0</w:t>
                  </w:r>
                </w:p>
              </w:tc>
              <w:tc>
                <w:tcPr>
                  <w:tcW w:w="1516" w:type="pct"/>
                  <w:vAlign w:val="center"/>
                </w:tcPr>
                <w:p w14:paraId="6DE3615D">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I</w:t>
                  </w:r>
                  <w:r>
                    <w:rPr>
                      <w:rFonts w:ascii="Times New Roman" w:hAnsi="Times New Roman" w:eastAsia="宋体" w:cs="Times New Roman"/>
                      <w:color w:val="000000"/>
                      <w:kern w:val="0"/>
                      <w:szCs w:val="21"/>
                      <w:vertAlign w:val="subscript"/>
                    </w:rPr>
                    <w:t>r</w:t>
                  </w:r>
                  <w:r>
                    <w:rPr>
                      <w:rFonts w:ascii="Times New Roman" w:hAnsi="Times New Roman" w:eastAsia="宋体" w:cs="Times New Roman"/>
                      <w:color w:val="000000"/>
                      <w:kern w:val="0"/>
                      <w:szCs w:val="21"/>
                    </w:rPr>
                    <w:t>≤1.0</w:t>
                  </w:r>
                </w:p>
              </w:tc>
            </w:tr>
            <w:tr w14:paraId="55F7D0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68" w:type="pct"/>
                  <w:vAlign w:val="center"/>
                </w:tcPr>
                <w:p w14:paraId="2EE04F8A">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4</w:t>
                  </w:r>
                </w:p>
              </w:tc>
              <w:tc>
                <w:tcPr>
                  <w:tcW w:w="1501" w:type="pct"/>
                  <w:vAlign w:val="center"/>
                </w:tcPr>
                <w:p w14:paraId="250B4D5C">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总镉</w:t>
                  </w:r>
                </w:p>
              </w:tc>
              <w:tc>
                <w:tcPr>
                  <w:tcW w:w="3031" w:type="pct"/>
                  <w:gridSpan w:val="2"/>
                  <w:vAlign w:val="center"/>
                </w:tcPr>
                <w:p w14:paraId="17B7C07F">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&lt;20</w:t>
                  </w:r>
                </w:p>
              </w:tc>
            </w:tr>
            <w:tr w14:paraId="4957EA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68" w:type="pct"/>
                  <w:vAlign w:val="center"/>
                </w:tcPr>
                <w:p w14:paraId="7E463C54">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5</w:t>
                  </w:r>
                </w:p>
              </w:tc>
              <w:tc>
                <w:tcPr>
                  <w:tcW w:w="1501" w:type="pct"/>
                  <w:vAlign w:val="center"/>
                </w:tcPr>
                <w:p w14:paraId="17E4ED98">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总汞</w:t>
                  </w:r>
                </w:p>
              </w:tc>
              <w:tc>
                <w:tcPr>
                  <w:tcW w:w="3031" w:type="pct"/>
                  <w:gridSpan w:val="2"/>
                  <w:vAlign w:val="center"/>
                </w:tcPr>
                <w:p w14:paraId="051C655E">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&lt;5</w:t>
                  </w:r>
                </w:p>
              </w:tc>
            </w:tr>
            <w:tr w14:paraId="70040E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68" w:type="pct"/>
                  <w:vAlign w:val="center"/>
                </w:tcPr>
                <w:p w14:paraId="7D309402">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6</w:t>
                  </w:r>
                </w:p>
              </w:tc>
              <w:tc>
                <w:tcPr>
                  <w:tcW w:w="1501" w:type="pct"/>
                  <w:vAlign w:val="center"/>
                </w:tcPr>
                <w:p w14:paraId="4FA9D9CB">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总铅</w:t>
                  </w:r>
                </w:p>
              </w:tc>
              <w:tc>
                <w:tcPr>
                  <w:tcW w:w="3031" w:type="pct"/>
                  <w:gridSpan w:val="2"/>
                  <w:vAlign w:val="center"/>
                </w:tcPr>
                <w:p w14:paraId="38BD12C8">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&lt;300</w:t>
                  </w:r>
                </w:p>
              </w:tc>
            </w:tr>
            <w:tr w14:paraId="55A5FF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68" w:type="pct"/>
                  <w:vAlign w:val="center"/>
                </w:tcPr>
                <w:p w14:paraId="4E877202">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7</w:t>
                  </w:r>
                </w:p>
              </w:tc>
              <w:tc>
                <w:tcPr>
                  <w:tcW w:w="1501" w:type="pct"/>
                  <w:vAlign w:val="center"/>
                </w:tcPr>
                <w:p w14:paraId="32494823">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总铬</w:t>
                  </w:r>
                </w:p>
              </w:tc>
              <w:tc>
                <w:tcPr>
                  <w:tcW w:w="3031" w:type="pct"/>
                  <w:gridSpan w:val="2"/>
                  <w:vAlign w:val="center"/>
                </w:tcPr>
                <w:p w14:paraId="2C445BD0">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&lt;1000</w:t>
                  </w:r>
                </w:p>
              </w:tc>
            </w:tr>
            <w:tr w14:paraId="756291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68" w:type="pct"/>
                  <w:vAlign w:val="center"/>
                </w:tcPr>
                <w:p w14:paraId="6A1D4957">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8</w:t>
                  </w:r>
                </w:p>
              </w:tc>
              <w:tc>
                <w:tcPr>
                  <w:tcW w:w="1501" w:type="pct"/>
                  <w:vAlign w:val="center"/>
                </w:tcPr>
                <w:p w14:paraId="594F28BC">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总砷</w:t>
                  </w:r>
                </w:p>
              </w:tc>
              <w:tc>
                <w:tcPr>
                  <w:tcW w:w="3031" w:type="pct"/>
                  <w:gridSpan w:val="2"/>
                  <w:vAlign w:val="center"/>
                </w:tcPr>
                <w:p w14:paraId="1DC42BD6">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&lt;75</w:t>
                  </w:r>
                </w:p>
              </w:tc>
            </w:tr>
            <w:tr w14:paraId="0A74F5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68" w:type="pct"/>
                  <w:vAlign w:val="center"/>
                </w:tcPr>
                <w:p w14:paraId="42DD8008">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9</w:t>
                  </w:r>
                </w:p>
              </w:tc>
              <w:tc>
                <w:tcPr>
                  <w:tcW w:w="1501" w:type="pct"/>
                  <w:vAlign w:val="center"/>
                </w:tcPr>
                <w:p w14:paraId="6C954D78">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总镍</w:t>
                  </w:r>
                </w:p>
              </w:tc>
              <w:tc>
                <w:tcPr>
                  <w:tcW w:w="3031" w:type="pct"/>
                  <w:gridSpan w:val="2"/>
                  <w:vAlign w:val="center"/>
                </w:tcPr>
                <w:p w14:paraId="7F33C749">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&lt;200</w:t>
                  </w:r>
                </w:p>
              </w:tc>
            </w:tr>
            <w:tr w14:paraId="54D08C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68" w:type="pct"/>
                  <w:vAlign w:val="center"/>
                </w:tcPr>
                <w:p w14:paraId="5E1509A0">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10</w:t>
                  </w:r>
                </w:p>
              </w:tc>
              <w:tc>
                <w:tcPr>
                  <w:tcW w:w="1501" w:type="pct"/>
                  <w:vAlign w:val="center"/>
                </w:tcPr>
                <w:p w14:paraId="36A9D79E">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总锌</w:t>
                  </w:r>
                </w:p>
              </w:tc>
              <w:tc>
                <w:tcPr>
                  <w:tcW w:w="3031" w:type="pct"/>
                  <w:gridSpan w:val="2"/>
                  <w:vAlign w:val="center"/>
                </w:tcPr>
                <w:p w14:paraId="548C9174">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&lt;4000</w:t>
                  </w:r>
                </w:p>
              </w:tc>
            </w:tr>
            <w:tr w14:paraId="333892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68" w:type="pct"/>
                  <w:vAlign w:val="center"/>
                </w:tcPr>
                <w:p w14:paraId="7C5A083E">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11</w:t>
                  </w:r>
                </w:p>
              </w:tc>
              <w:tc>
                <w:tcPr>
                  <w:tcW w:w="1501" w:type="pct"/>
                  <w:vAlign w:val="center"/>
                </w:tcPr>
                <w:p w14:paraId="09B0CD59">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总铜</w:t>
                  </w:r>
                </w:p>
              </w:tc>
              <w:tc>
                <w:tcPr>
                  <w:tcW w:w="3031" w:type="pct"/>
                  <w:gridSpan w:val="2"/>
                  <w:vAlign w:val="center"/>
                </w:tcPr>
                <w:p w14:paraId="0FE43B04">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&lt;1500</w:t>
                  </w:r>
                </w:p>
              </w:tc>
            </w:tr>
            <w:tr w14:paraId="77B65F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68" w:type="pct"/>
                  <w:vAlign w:val="center"/>
                </w:tcPr>
                <w:p w14:paraId="591FF4F0">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12</w:t>
                  </w:r>
                </w:p>
              </w:tc>
              <w:tc>
                <w:tcPr>
                  <w:tcW w:w="1501" w:type="pct"/>
                  <w:vAlign w:val="center"/>
                </w:tcPr>
                <w:p w14:paraId="6379F667">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矿物油</w:t>
                  </w:r>
                </w:p>
              </w:tc>
              <w:tc>
                <w:tcPr>
                  <w:tcW w:w="3031" w:type="pct"/>
                  <w:gridSpan w:val="2"/>
                  <w:vAlign w:val="center"/>
                </w:tcPr>
                <w:p w14:paraId="5C8AFBF6">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&lt;3000</w:t>
                  </w:r>
                </w:p>
              </w:tc>
            </w:tr>
            <w:tr w14:paraId="7CAAA1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68" w:type="pct"/>
                  <w:vAlign w:val="center"/>
                </w:tcPr>
                <w:p w14:paraId="47A645FB">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13</w:t>
                  </w:r>
                </w:p>
              </w:tc>
              <w:tc>
                <w:tcPr>
                  <w:tcW w:w="1501" w:type="pct"/>
                  <w:vAlign w:val="center"/>
                </w:tcPr>
                <w:p w14:paraId="089D7661">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挥发酚</w:t>
                  </w:r>
                </w:p>
              </w:tc>
              <w:tc>
                <w:tcPr>
                  <w:tcW w:w="3031" w:type="pct"/>
                  <w:gridSpan w:val="2"/>
                  <w:vAlign w:val="center"/>
                </w:tcPr>
                <w:p w14:paraId="0962E848">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&lt;40</w:t>
                  </w:r>
                </w:p>
              </w:tc>
            </w:tr>
            <w:tr w14:paraId="05871B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68" w:type="pct"/>
                  <w:vAlign w:val="center"/>
                </w:tcPr>
                <w:p w14:paraId="453875F5">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14</w:t>
                  </w:r>
                </w:p>
              </w:tc>
              <w:tc>
                <w:tcPr>
                  <w:tcW w:w="1501" w:type="pct"/>
                  <w:vAlign w:val="center"/>
                </w:tcPr>
                <w:p w14:paraId="646CE2A2">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总氰化物</w:t>
                  </w:r>
                </w:p>
              </w:tc>
              <w:tc>
                <w:tcPr>
                  <w:tcW w:w="3031" w:type="pct"/>
                  <w:gridSpan w:val="2"/>
                  <w:vAlign w:val="center"/>
                </w:tcPr>
                <w:p w14:paraId="58621BE8">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&lt;10</w:t>
                  </w:r>
                </w:p>
              </w:tc>
            </w:tr>
            <w:tr w14:paraId="44FEFA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68" w:type="pct"/>
                  <w:vAlign w:val="center"/>
                </w:tcPr>
                <w:p w14:paraId="2EED9041">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15</w:t>
                  </w:r>
                </w:p>
              </w:tc>
              <w:tc>
                <w:tcPr>
                  <w:tcW w:w="1501" w:type="pct"/>
                  <w:vAlign w:val="center"/>
                </w:tcPr>
                <w:p w14:paraId="27299385">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粪大肠菌群菌值</w:t>
                  </w:r>
                </w:p>
              </w:tc>
              <w:tc>
                <w:tcPr>
                  <w:tcW w:w="3031" w:type="pct"/>
                  <w:gridSpan w:val="2"/>
                  <w:vAlign w:val="center"/>
                </w:tcPr>
                <w:p w14:paraId="2C080F91">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&gt;0.01</w:t>
                  </w:r>
                </w:p>
              </w:tc>
            </w:tr>
            <w:tr w14:paraId="3AA5F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68" w:type="pct"/>
                  <w:vAlign w:val="center"/>
                </w:tcPr>
                <w:p w14:paraId="5BD68AB5">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16</w:t>
                  </w:r>
                </w:p>
              </w:tc>
              <w:tc>
                <w:tcPr>
                  <w:tcW w:w="1501" w:type="pct"/>
                  <w:vAlign w:val="center"/>
                </w:tcPr>
                <w:p w14:paraId="754D20B6">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蠕虫卵死亡率</w:t>
                  </w:r>
                </w:p>
              </w:tc>
              <w:tc>
                <w:tcPr>
                  <w:tcW w:w="3031" w:type="pct"/>
                  <w:gridSpan w:val="2"/>
                  <w:vAlign w:val="center"/>
                </w:tcPr>
                <w:p w14:paraId="5015EF01">
                  <w:pPr>
                    <w:kinsoku w:val="0"/>
                    <w:overflowPunct w:val="0"/>
                    <w:autoSpaceDE w:val="0"/>
                    <w:autoSpaceDN w:val="0"/>
                    <w:adjustRightInd w:val="0"/>
                    <w:jc w:val="center"/>
                    <w:rPr>
                      <w:rFonts w:ascii="Times New Roman" w:hAnsi="Times New Roman" w:eastAsia="宋体" w:cs="Times New Roman"/>
                      <w:color w:val="000000"/>
                      <w:kern w:val="0"/>
                      <w:szCs w:val="21"/>
                    </w:rPr>
                  </w:pPr>
                  <w:r>
                    <w:rPr>
                      <w:rFonts w:ascii="Times New Roman" w:hAnsi="Times New Roman" w:eastAsia="宋体" w:cs="Times New Roman"/>
                      <w:color w:val="000000"/>
                      <w:kern w:val="0"/>
                      <w:szCs w:val="21"/>
                    </w:rPr>
                    <w:t>&gt;95%</w:t>
                  </w:r>
                </w:p>
              </w:tc>
            </w:tr>
          </w:tbl>
          <w:p w14:paraId="33B62275">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环评要求：建设单位已承诺营运期综合利用</w:t>
            </w:r>
            <w:r>
              <w:rPr>
                <w:rFonts w:ascii="Times New Roman" w:hAnsi="Times New Roman" w:eastAsia="宋体" w:cs="Times New Roman"/>
                <w:color w:val="000000"/>
                <w:sz w:val="24"/>
                <w:szCs w:val="20"/>
              </w:rPr>
              <w:t>水基钻井废弃物、</w:t>
            </w:r>
            <w:r>
              <w:rPr>
                <w:rFonts w:ascii="Times New Roman" w:hAnsi="Times New Roman" w:eastAsia="宋体" w:cs="Times New Roman"/>
                <w:color w:val="000000"/>
                <w:sz w:val="24"/>
                <w:szCs w:val="24"/>
              </w:rPr>
              <w:t>无机工业污泥</w:t>
            </w:r>
            <w:r>
              <w:rPr>
                <w:rFonts w:ascii="Times New Roman" w:hAnsi="Times New Roman" w:eastAsia="宋体" w:cs="Times New Roman"/>
                <w:color w:val="000000"/>
                <w:sz w:val="24"/>
                <w:szCs w:val="20"/>
              </w:rPr>
              <w:t>（</w:t>
            </w:r>
            <w:r>
              <w:rPr>
                <w:rFonts w:ascii="Times New Roman" w:hAnsi="Times New Roman" w:eastAsia="宋体" w:cs="Times New Roman"/>
                <w:color w:val="000000"/>
                <w:sz w:val="24"/>
                <w:szCs w:val="24"/>
              </w:rPr>
              <w:t>裕宁、信利、东捷、自来水厂</w:t>
            </w:r>
            <w:r>
              <w:rPr>
                <w:rFonts w:ascii="Times New Roman" w:hAnsi="Times New Roman" w:eastAsia="宋体" w:cs="Times New Roman"/>
                <w:color w:val="000000"/>
                <w:sz w:val="24"/>
                <w:szCs w:val="20"/>
              </w:rPr>
              <w:t>）</w:t>
            </w:r>
            <w:r>
              <w:rPr>
                <w:rFonts w:ascii="Times New Roman" w:hAnsi="Times New Roman" w:eastAsia="宋体" w:cs="Times New Roman"/>
                <w:color w:val="000000"/>
                <w:sz w:val="24"/>
                <w:szCs w:val="24"/>
              </w:rPr>
              <w:t>为一般固废，且不得处置危险废物，同时本项目掺烧水基钻井废弃物、无机工业污泥</w:t>
            </w:r>
            <w:r>
              <w:rPr>
                <w:rFonts w:ascii="Times New Roman" w:hAnsi="Times New Roman" w:eastAsia="宋体" w:cs="Times New Roman"/>
                <w:color w:val="000000"/>
                <w:sz w:val="24"/>
                <w:szCs w:val="20"/>
              </w:rPr>
              <w:t>（</w:t>
            </w:r>
            <w:r>
              <w:rPr>
                <w:rFonts w:ascii="Times New Roman" w:hAnsi="Times New Roman" w:eastAsia="宋体" w:cs="Times New Roman"/>
                <w:color w:val="000000"/>
                <w:sz w:val="24"/>
                <w:szCs w:val="24"/>
              </w:rPr>
              <w:t>裕宁、信利、东捷、自来水厂</w:t>
            </w:r>
            <w:r>
              <w:rPr>
                <w:rFonts w:ascii="Times New Roman" w:hAnsi="Times New Roman" w:eastAsia="宋体" w:cs="Times New Roman"/>
                <w:color w:val="000000"/>
                <w:sz w:val="24"/>
                <w:szCs w:val="20"/>
              </w:rPr>
              <w:t>）</w:t>
            </w:r>
            <w:r>
              <w:rPr>
                <w:rFonts w:ascii="Times New Roman" w:hAnsi="Times New Roman" w:eastAsia="宋体" w:cs="Times New Roman"/>
                <w:color w:val="000000"/>
                <w:sz w:val="24"/>
                <w:szCs w:val="24"/>
              </w:rPr>
              <w:t>等一般工业固废应满足《城镇污水处理厂污泥处置制砖用泥质》（GB/T25031-2010）中相应标准限值（入场检测不包括污泥含水率指标）。</w:t>
            </w:r>
          </w:p>
          <w:p w14:paraId="7E528070">
            <w:pPr>
              <w:spacing w:line="360" w:lineRule="auto"/>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8、一般工业固废贮运工程</w:t>
            </w:r>
          </w:p>
          <w:p w14:paraId="3263BD1E">
            <w:pPr>
              <w:spacing w:line="360" w:lineRule="auto"/>
              <w:ind w:firstLine="482" w:firstLineChars="200"/>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（1）运输方式</w:t>
            </w:r>
          </w:p>
          <w:p w14:paraId="2F2935D1">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u w:val="single"/>
              </w:rPr>
              <w:t>采用陆路方式，通</w:t>
            </w:r>
            <w:r>
              <w:rPr>
                <w:rFonts w:ascii="Times New Roman" w:hAnsi="Times New Roman" w:eastAsia="宋体" w:cs="Times New Roman"/>
                <w:color w:val="FF0000"/>
                <w:sz w:val="24"/>
                <w:szCs w:val="24"/>
                <w:u w:val="single"/>
              </w:rPr>
              <w:t>过一般工业固废产生单位配置的专用运输车运输，对运输车辆采用GPS系统进行跟踪管理，对固废的运输过程可进行实时定位，固废转运责任主体为一般工业固废产生单位，固废转运需在环保局进行备案。</w:t>
            </w:r>
            <w:r>
              <w:rPr>
                <w:rFonts w:ascii="Times New Roman" w:hAnsi="Times New Roman" w:eastAsia="宋体" w:cs="Times New Roman"/>
                <w:color w:val="000000"/>
                <w:sz w:val="24"/>
                <w:szCs w:val="24"/>
              </w:rPr>
              <w:t>对含水率较高的一般工业污泥，运输车为专用密闭运输车，由电液控制系统控制后仓门开启和锁紧密封，并具备自卸功能。运输过程中一般工业污泥装载在密闭储罐中，不会在运输过程中造成</w:t>
            </w:r>
            <w:r>
              <w:rPr>
                <w:rFonts w:hint="eastAsia" w:ascii="Times New Roman" w:hAnsi="Times New Roman" w:eastAsia="宋体" w:cs="Times New Roman"/>
                <w:color w:val="000000"/>
                <w:sz w:val="24"/>
                <w:szCs w:val="24"/>
                <w:lang w:eastAsia="zh-CN"/>
              </w:rPr>
              <w:t>泄漏</w:t>
            </w:r>
            <w:r>
              <w:rPr>
                <w:rFonts w:ascii="Times New Roman" w:hAnsi="Times New Roman" w:eastAsia="宋体" w:cs="Times New Roman"/>
                <w:color w:val="000000"/>
                <w:sz w:val="24"/>
                <w:szCs w:val="24"/>
              </w:rPr>
              <w:t>、渗漏和抛洒，同时确保运输过程中不会产生异味。由于一般工业污泥运输和卸料后均为密闭状态，不会对运输路线及周边产生不利影响。</w:t>
            </w:r>
          </w:p>
          <w:p w14:paraId="12A37DF9">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含水率较低的水基岩屑废弃物要求均应选择专用车辆运输，严格按照货物运输的管理规定进行运输，减少运输过程中的撒漏等二次污染和可能造成的环境风险。</w:t>
            </w:r>
          </w:p>
          <w:p w14:paraId="01C45399">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本项目仅对进场的一般</w:t>
            </w:r>
            <w:bookmarkStart w:id="13" w:name="责任划分"/>
            <w:r>
              <w:rPr>
                <w:rFonts w:ascii="Times New Roman" w:hAnsi="Times New Roman" w:eastAsia="宋体" w:cs="Times New Roman"/>
                <w:color w:val="000000"/>
                <w:sz w:val="24"/>
                <w:szCs w:val="24"/>
              </w:rPr>
              <w:t>工业固废</w:t>
            </w:r>
            <w:bookmarkEnd w:id="13"/>
            <w:r>
              <w:rPr>
                <w:rFonts w:ascii="Times New Roman" w:hAnsi="Times New Roman" w:eastAsia="宋体" w:cs="Times New Roman"/>
                <w:color w:val="000000"/>
                <w:sz w:val="24"/>
                <w:szCs w:val="24"/>
              </w:rPr>
              <w:t>进行综合利用，不涉及一般工业固废的运输，一般工业固废运输过程环保责任主体为各一般工业固废委托协同处置单位。为确保所接纳固废为一般工业固废，本次评价提出如下要求：</w:t>
            </w:r>
          </w:p>
          <w:p w14:paraId="6761C00B">
            <w:pPr>
              <w:spacing w:line="360" w:lineRule="auto"/>
              <w:ind w:firstLine="480" w:firstLineChars="200"/>
              <w:rPr>
                <w:rFonts w:ascii="Times New Roman" w:hAnsi="Times New Roman" w:eastAsia="宋体" w:cs="Times New Roman"/>
                <w:color w:val="000000"/>
                <w:sz w:val="24"/>
                <w:szCs w:val="24"/>
              </w:rPr>
            </w:pPr>
            <w:r>
              <w:rPr>
                <w:rFonts w:hint="eastAsia" w:ascii="宋体" w:hAnsi="宋体" w:eastAsia="宋体" w:cs="宋体"/>
                <w:color w:val="000000"/>
                <w:sz w:val="24"/>
                <w:szCs w:val="24"/>
              </w:rPr>
              <w:t>①</w:t>
            </w:r>
            <w:r>
              <w:rPr>
                <w:rFonts w:ascii="Times New Roman" w:hAnsi="Times New Roman" w:eastAsia="宋体" w:cs="Times New Roman"/>
                <w:color w:val="000000"/>
                <w:sz w:val="24"/>
                <w:szCs w:val="24"/>
              </w:rPr>
              <w:t>委托单位应明确该批次固废为一般工业固废，在出厂前相关负责人进行签字确认；</w:t>
            </w:r>
          </w:p>
          <w:p w14:paraId="54C3450E">
            <w:pPr>
              <w:spacing w:line="360" w:lineRule="auto"/>
              <w:ind w:firstLine="480" w:firstLineChars="200"/>
              <w:rPr>
                <w:rFonts w:ascii="Times New Roman" w:hAnsi="Times New Roman" w:eastAsia="宋体" w:cs="Times New Roman"/>
                <w:color w:val="000000"/>
                <w:sz w:val="24"/>
                <w:szCs w:val="24"/>
              </w:rPr>
            </w:pPr>
            <w:r>
              <w:rPr>
                <w:rFonts w:hint="eastAsia" w:ascii="宋体" w:hAnsi="宋体" w:eastAsia="宋体" w:cs="宋体"/>
                <w:color w:val="000000"/>
                <w:sz w:val="24"/>
                <w:szCs w:val="24"/>
              </w:rPr>
              <w:t>②</w:t>
            </w:r>
            <w:r>
              <w:rPr>
                <w:rFonts w:ascii="Times New Roman" w:hAnsi="Times New Roman" w:eastAsia="宋体" w:cs="Times New Roman"/>
                <w:color w:val="000000"/>
                <w:sz w:val="24"/>
                <w:szCs w:val="24"/>
              </w:rPr>
              <w:t>委托单位应出具固废的鉴定报告，明确属于一般工业固废；</w:t>
            </w:r>
          </w:p>
          <w:p w14:paraId="297241B2">
            <w:pPr>
              <w:spacing w:line="360" w:lineRule="auto"/>
              <w:ind w:firstLine="482" w:firstLineChars="200"/>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（2）运输路线要求</w:t>
            </w:r>
          </w:p>
          <w:p w14:paraId="668C8AB9">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运输原则上应尽量避开人员密集区、饮用水源保护区，避开交通拥堵道路，车速适中，并选用路线短、对沿路影响小的运输路线，尽可能减少经过河流水系的次数，避免在运途中产生二次污染。运输时需配备专职人员，并制定合理的运输计划和应急预案，统筹安排运输车辆，优化车辆运输路线。</w:t>
            </w:r>
          </w:p>
          <w:p w14:paraId="149926EE">
            <w:pPr>
              <w:spacing w:line="360" w:lineRule="auto"/>
              <w:ind w:firstLine="482" w:firstLineChars="200"/>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（3）贮存</w:t>
            </w:r>
          </w:p>
          <w:p w14:paraId="0F321B7C">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本项目接纳的水基钻井废弃物</w:t>
            </w:r>
            <w:r>
              <w:rPr>
                <w:rFonts w:ascii="Times New Roman" w:hAnsi="Times New Roman" w:eastAsia="宋体" w:cs="Times New Roman"/>
                <w:bCs/>
                <w:color w:val="000000"/>
                <w:sz w:val="24"/>
                <w:szCs w:val="24"/>
              </w:rPr>
              <w:t>含水率在30%-50%之间，无机工业污泥</w:t>
            </w:r>
            <w:r>
              <w:rPr>
                <w:rFonts w:ascii="Times New Roman" w:hAnsi="Times New Roman" w:eastAsia="宋体" w:cs="Times New Roman"/>
                <w:color w:val="000000"/>
                <w:sz w:val="24"/>
                <w:szCs w:val="24"/>
              </w:rPr>
              <w:t>含水率在50%-65%左右，均呈固态，且具有一定硬度，后通过专用车辆运输至本项目贮存间内进行暂存。本项目在接纳一般工业固废时，需进行入场登记，建立一般固废管理台账，详细记录一般固废入场量、处理处置量及其去向等情况，定期向所在地县级以上地方生态环境部门报告。本项目拟在制砖车间西侧处设置1处约150m</w:t>
            </w:r>
            <w:r>
              <w:rPr>
                <w:rFonts w:ascii="Times New Roman" w:hAnsi="Times New Roman" w:eastAsia="宋体" w:cs="Times New Roman"/>
                <w:color w:val="000000"/>
                <w:sz w:val="24"/>
                <w:szCs w:val="24"/>
                <w:vertAlign w:val="superscript"/>
              </w:rPr>
              <w:t>2</w:t>
            </w:r>
            <w:r>
              <w:rPr>
                <w:rFonts w:ascii="Times New Roman" w:hAnsi="Times New Roman" w:eastAsia="宋体" w:cs="Times New Roman"/>
                <w:color w:val="000000"/>
                <w:sz w:val="24"/>
                <w:szCs w:val="24"/>
              </w:rPr>
              <w:t>的一般固废贮存间，设置为密闭彩钢结构厂房，各类固废设置单独隔间分别存储，用于一般工业固废的贮存与晾干，贮存周期控制在10天内（项目贮存周期5天）。贮存间采取重点防渗，设置导流沟及渗滤液收集池，满足防扬撒、防渗漏、防腐蚀要求。贮存间旁侧设置1个卸料台和配套手动推拉门，当运输车辆驶入时，关闭推拉门进行卸料，卸料结束后车辆驶出，关闭推拉门，确保贮存间随时处于密闭状态。</w:t>
            </w:r>
          </w:p>
          <w:p w14:paraId="66A267AB">
            <w:pPr>
              <w:rPr>
                <w:rFonts w:ascii="Times New Roman" w:hAnsi="Times New Roman" w:eastAsia="宋体" w:cs="Times New Roman"/>
                <w:b/>
                <w:color w:val="000000"/>
                <w:sz w:val="24"/>
                <w:szCs w:val="24"/>
              </w:rPr>
            </w:pPr>
            <w:r>
              <w:rPr>
                <w:rFonts w:ascii="Times New Roman" w:hAnsi="Times New Roman" w:eastAsia="宋体" w:cs="Times New Roman"/>
                <w:b/>
                <w:color w:val="000000"/>
                <w:sz w:val="16"/>
                <w:szCs w:val="18"/>
              </w:rPr>
              <w:drawing>
                <wp:inline distT="0" distB="0" distL="0" distR="0">
                  <wp:extent cx="1583690" cy="1594485"/>
                  <wp:effectExtent l="0" t="0" r="0" b="571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1584000" cy="1594486"/>
                          </a:xfrm>
                          <a:prstGeom prst="rect">
                            <a:avLst/>
                          </a:prstGeom>
                          <a:noFill/>
                          <a:ln>
                            <a:noFill/>
                          </a:ln>
                        </pic:spPr>
                      </pic:pic>
                    </a:graphicData>
                  </a:graphic>
                </wp:inline>
              </w:drawing>
            </w:r>
            <w:r>
              <w:rPr>
                <w:rFonts w:ascii="Times New Roman" w:hAnsi="Times New Roman" w:eastAsia="宋体" w:cs="Times New Roman"/>
                <w:b/>
                <w:color w:val="000000"/>
                <w:sz w:val="16"/>
                <w:szCs w:val="18"/>
              </w:rPr>
              <w:t xml:space="preserve"> </w:t>
            </w:r>
            <w:r>
              <w:rPr>
                <w:rFonts w:ascii="Times New Roman" w:hAnsi="Times New Roman" w:eastAsia="宋体" w:cs="Times New Roman"/>
                <w:b/>
                <w:color w:val="000000"/>
                <w:sz w:val="16"/>
                <w:szCs w:val="18"/>
              </w:rPr>
              <w:drawing>
                <wp:inline distT="0" distB="0" distL="0" distR="0">
                  <wp:extent cx="1547495" cy="1713230"/>
                  <wp:effectExtent l="0" t="0" r="0" b="127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15" cstate="print">
                            <a:extLst>
                              <a:ext uri="{28A0092B-C50C-407E-A947-70E740481C1C}">
                                <a14:useLocalDpi xmlns:a14="http://schemas.microsoft.com/office/drawing/2010/main" val="0"/>
                              </a:ext>
                            </a:extLst>
                          </a:blip>
                          <a:srcRect t="28105" r="40266" b="22308"/>
                          <a:stretch>
                            <a:fillRect/>
                          </a:stretch>
                        </pic:blipFill>
                        <pic:spPr>
                          <a:xfrm>
                            <a:off x="0" y="0"/>
                            <a:ext cx="1548000" cy="1713740"/>
                          </a:xfrm>
                          <a:prstGeom prst="rect">
                            <a:avLst/>
                          </a:prstGeom>
                          <a:ln>
                            <a:noFill/>
                          </a:ln>
                        </pic:spPr>
                      </pic:pic>
                    </a:graphicData>
                  </a:graphic>
                </wp:inline>
              </w:drawing>
            </w:r>
            <w:r>
              <w:rPr>
                <w:rFonts w:ascii="Times New Roman" w:hAnsi="Times New Roman" w:eastAsia="宋体" w:cs="Times New Roman"/>
                <w:b/>
                <w:color w:val="000000"/>
                <w:sz w:val="16"/>
                <w:szCs w:val="18"/>
              </w:rPr>
              <w:t xml:space="preserve"> </w:t>
            </w:r>
            <w:r>
              <w:rPr>
                <w:rFonts w:ascii="Times New Roman" w:hAnsi="Times New Roman" w:eastAsia="宋体" w:cs="Times New Roman"/>
                <w:b/>
                <w:color w:val="000000"/>
                <w:sz w:val="24"/>
                <w:szCs w:val="24"/>
              </w:rPr>
              <w:drawing>
                <wp:inline distT="0" distB="0" distL="0" distR="0">
                  <wp:extent cx="1583690" cy="1661795"/>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1584000" cy="1661995"/>
                          </a:xfrm>
                          <a:prstGeom prst="rect">
                            <a:avLst/>
                          </a:prstGeom>
                          <a:noFill/>
                          <a:ln>
                            <a:noFill/>
                          </a:ln>
                        </pic:spPr>
                      </pic:pic>
                    </a:graphicData>
                  </a:graphic>
                </wp:inline>
              </w:drawing>
            </w:r>
          </w:p>
          <w:p w14:paraId="4A0FE0EC">
            <w:pPr>
              <w:ind w:firstLine="181" w:firstLineChars="100"/>
              <w:rPr>
                <w:rFonts w:ascii="Times New Roman" w:hAnsi="Times New Roman" w:eastAsia="宋体" w:cs="Times New Roman"/>
                <w:b/>
                <w:color w:val="000000"/>
                <w:sz w:val="18"/>
                <w:szCs w:val="24"/>
              </w:rPr>
            </w:pPr>
            <w:r>
              <w:rPr>
                <w:rFonts w:ascii="Times New Roman" w:hAnsi="Times New Roman" w:eastAsia="宋体" w:cs="Times New Roman"/>
                <w:b/>
                <w:color w:val="000000"/>
                <w:sz w:val="18"/>
                <w:szCs w:val="24"/>
              </w:rPr>
              <w:t xml:space="preserve">裕宁污泥（65%含水率）    </w:t>
            </w:r>
            <w:r>
              <w:rPr>
                <w:rFonts w:hint="eastAsia" w:ascii="Times New Roman" w:hAnsi="Times New Roman" w:eastAsia="宋体" w:cs="Times New Roman"/>
                <w:b/>
                <w:color w:val="000000"/>
                <w:sz w:val="18"/>
                <w:szCs w:val="24"/>
              </w:rPr>
              <w:t>信利</w:t>
            </w:r>
            <w:r>
              <w:rPr>
                <w:rFonts w:ascii="Times New Roman" w:hAnsi="Times New Roman" w:eastAsia="宋体" w:cs="Times New Roman"/>
                <w:b/>
                <w:color w:val="000000"/>
                <w:sz w:val="18"/>
                <w:szCs w:val="24"/>
              </w:rPr>
              <w:t>含氟污泥（65%含水率）  东捷水基污泥（含水率约50%）</w:t>
            </w:r>
          </w:p>
          <w:p w14:paraId="499DBA5A">
            <w:pPr>
              <w:jc w:val="center"/>
              <w:rPr>
                <w:rFonts w:ascii="Times New Roman" w:hAnsi="Times New Roman" w:eastAsia="宋体" w:cs="Times New Roman"/>
                <w:b/>
                <w:color w:val="000000"/>
                <w:szCs w:val="24"/>
              </w:rPr>
            </w:pPr>
            <w:r>
              <w:rPr>
                <w:rFonts w:ascii="Times New Roman" w:hAnsi="Times New Roman" w:eastAsia="宋体" w:cs="Times New Roman"/>
                <w:b/>
                <w:color w:val="000000"/>
                <w:sz w:val="18"/>
                <w:szCs w:val="24"/>
              </w:rPr>
              <w:t>图2-1 污泥照片</w:t>
            </w:r>
          </w:p>
          <w:p w14:paraId="579A5B22">
            <w:pPr>
              <w:spacing w:line="360" w:lineRule="auto"/>
              <w:ind w:firstLine="482" w:firstLineChars="200"/>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（4）进料方式</w:t>
            </w:r>
          </w:p>
          <w:p w14:paraId="13B743F9">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进场固废经贮存间分类暂存后，由装载机人工铲装至螺旋输送机料斗，由螺旋输送机输送至破碎机进料口。</w:t>
            </w:r>
          </w:p>
          <w:p w14:paraId="4735E9B8">
            <w:pPr>
              <w:spacing w:line="360" w:lineRule="auto"/>
              <w:ind w:firstLine="482" w:firstLineChars="200"/>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（5）厂内输送</w:t>
            </w:r>
          </w:p>
          <w:p w14:paraId="48D81057">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A、一般工业固废在厂内输送时，应采取必要的措施防止废物的扬尘、泄漏。</w:t>
            </w:r>
          </w:p>
          <w:p w14:paraId="05DB5C0C">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B、由于</w:t>
            </w:r>
            <w:r>
              <w:rPr>
                <w:rFonts w:ascii="Times New Roman" w:hAnsi="Times New Roman" w:eastAsia="宋体" w:cs="Times New Roman"/>
                <w:color w:val="000000"/>
                <w:sz w:val="24"/>
                <w:szCs w:val="24"/>
                <w:lang w:val="en-GB"/>
              </w:rPr>
              <w:t>水基钻井废弃物、无机工业污泥等</w:t>
            </w:r>
            <w:r>
              <w:rPr>
                <w:rFonts w:ascii="Times New Roman" w:hAnsi="Times New Roman" w:eastAsia="宋体" w:cs="Times New Roman"/>
                <w:color w:val="000000"/>
                <w:sz w:val="24"/>
                <w:szCs w:val="24"/>
              </w:rPr>
              <w:t>一般工业固废呈固态，污泥运输车辆无需清洗。</w:t>
            </w:r>
            <w:bookmarkStart w:id="40" w:name="_GoBack"/>
            <w:bookmarkEnd w:id="40"/>
          </w:p>
          <w:p w14:paraId="6B5A3FC3">
            <w:pPr>
              <w:spacing w:line="360" w:lineRule="auto"/>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9、公用工程</w:t>
            </w:r>
          </w:p>
          <w:p w14:paraId="13290F74">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（1）给水工程</w:t>
            </w:r>
          </w:p>
          <w:p w14:paraId="70A5704D">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水源为地下水，厂区已建水井一座，位于场地南侧外约155m处。</w:t>
            </w:r>
          </w:p>
          <w:p w14:paraId="7380B0FE">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color w:val="000000"/>
                <w:sz w:val="24"/>
                <w:szCs w:val="24"/>
              </w:rPr>
              <w:t>项目用水主要为原料堆场洒水降尘用水、生产用水（一次混料用水、二次搅拌用水）、真空泵循环冷却用水、湿式脱硫塔用水、生活用水、餐饮用水以及绿化用水。生产区建蓄水池一座，容积为200m</w:t>
            </w:r>
            <w:r>
              <w:rPr>
                <w:rFonts w:ascii="Times New Roman" w:hAnsi="Times New Roman" w:eastAsia="宋体" w:cs="Times New Roman"/>
                <w:color w:val="000000"/>
                <w:sz w:val="24"/>
                <w:szCs w:val="24"/>
                <w:vertAlign w:val="superscript"/>
              </w:rPr>
              <w:t>3</w:t>
            </w:r>
            <w:r>
              <w:rPr>
                <w:rFonts w:ascii="Times New Roman" w:hAnsi="Times New Roman" w:eastAsia="宋体" w:cs="Times New Roman"/>
                <w:color w:val="000000"/>
                <w:sz w:val="24"/>
                <w:szCs w:val="24"/>
              </w:rPr>
              <w:t>；生活区储水池效容积7.0m</w:t>
            </w:r>
            <w:r>
              <w:rPr>
                <w:rFonts w:ascii="Times New Roman" w:hAnsi="Times New Roman" w:eastAsia="宋体" w:cs="Times New Roman"/>
                <w:color w:val="000000"/>
                <w:sz w:val="24"/>
                <w:szCs w:val="24"/>
                <w:vertAlign w:val="superscript"/>
              </w:rPr>
              <w:t>3</w:t>
            </w:r>
            <w:r>
              <w:rPr>
                <w:rFonts w:ascii="Times New Roman" w:hAnsi="Times New Roman" w:eastAsia="宋体" w:cs="Times New Roman"/>
                <w:color w:val="000000"/>
                <w:sz w:val="24"/>
                <w:szCs w:val="24"/>
              </w:rPr>
              <w:t>。</w:t>
            </w:r>
          </w:p>
          <w:p w14:paraId="539E999B">
            <w:pPr>
              <w:spacing w:line="360" w:lineRule="auto"/>
              <w:ind w:firstLine="480" w:firstLineChars="200"/>
              <w:rPr>
                <w:rFonts w:ascii="Times New Roman" w:hAnsi="Times New Roman" w:eastAsia="宋体" w:cs="Times New Roman"/>
                <w:color w:val="000000"/>
                <w:sz w:val="24"/>
                <w:szCs w:val="24"/>
              </w:rPr>
            </w:pPr>
            <w:r>
              <w:rPr>
                <w:rFonts w:hint="eastAsia" w:ascii="Times New Roman" w:hAnsi="Times New Roman" w:eastAsia="宋体" w:cs="Times New Roman"/>
                <w:sz w:val="24"/>
                <w:szCs w:val="24"/>
              </w:rPr>
              <w:t>根据</w:t>
            </w:r>
            <w:r>
              <w:rPr>
                <w:rFonts w:ascii="Times New Roman" w:hAnsi="Times New Roman" w:eastAsia="宋体" w:cs="Times New Roman"/>
                <w:sz w:val="24"/>
                <w:szCs w:val="24"/>
              </w:rPr>
              <w:t>建设单位控制参数，</w:t>
            </w:r>
            <w:r>
              <w:rPr>
                <w:rFonts w:hint="eastAsia" w:ascii="Times New Roman" w:hAnsi="Times New Roman" w:eastAsia="宋体" w:cs="Times New Roman"/>
                <w:sz w:val="24"/>
                <w:szCs w:val="24"/>
              </w:rPr>
              <w:t>砖胚含水控制参数为</w:t>
            </w:r>
            <w:r>
              <w:rPr>
                <w:rFonts w:ascii="Times New Roman" w:hAnsi="Times New Roman" w:eastAsia="宋体" w:cs="Times New Roman"/>
                <w:sz w:val="24"/>
                <w:szCs w:val="24"/>
              </w:rPr>
              <w:t>18%</w:t>
            </w:r>
            <w:r>
              <w:rPr>
                <w:rFonts w:hint="eastAsia" w:ascii="Times New Roman" w:hAnsi="Times New Roman" w:eastAsia="宋体" w:cs="Times New Roman"/>
                <w:sz w:val="24"/>
                <w:szCs w:val="24"/>
              </w:rPr>
              <w:t>。根据</w:t>
            </w:r>
            <w:r>
              <w:rPr>
                <w:rFonts w:ascii="Times New Roman" w:hAnsi="Times New Roman" w:eastAsia="宋体" w:cs="Times New Roman"/>
                <w:sz w:val="24"/>
                <w:szCs w:val="24"/>
              </w:rPr>
              <w:t>四川裕宁新能源材料有限公司污泥、信利（仁寿）高端显示科技有限公司污泥、四川东捷污水处理有限公司污泥</w:t>
            </w:r>
            <w:r>
              <w:rPr>
                <w:rFonts w:hint="eastAsia" w:ascii="Times New Roman" w:hAnsi="Times New Roman" w:eastAsia="宋体" w:cs="Times New Roman"/>
                <w:sz w:val="24"/>
                <w:szCs w:val="24"/>
              </w:rPr>
              <w:t>、</w:t>
            </w:r>
            <w:r>
              <w:rPr>
                <w:rFonts w:ascii="Times New Roman" w:hAnsi="Times New Roman" w:eastAsia="宋体" w:cs="Times New Roman"/>
                <w:sz w:val="24"/>
                <w:szCs w:val="24"/>
              </w:rPr>
              <w:t>低硫煤</w:t>
            </w:r>
            <w:r>
              <w:rPr>
                <w:rFonts w:hint="eastAsia" w:ascii="Times New Roman" w:hAnsi="Times New Roman" w:eastAsia="宋体" w:cs="Times New Roman"/>
                <w:sz w:val="24"/>
                <w:szCs w:val="24"/>
              </w:rPr>
              <w:t>及</w:t>
            </w:r>
            <w:r>
              <w:rPr>
                <w:rFonts w:ascii="Times New Roman" w:hAnsi="Times New Roman" w:eastAsia="宋体" w:cs="Times New Roman"/>
                <w:sz w:val="24"/>
                <w:szCs w:val="24"/>
              </w:rPr>
              <w:t>页岩检测报告</w:t>
            </w:r>
            <w:r>
              <w:rPr>
                <w:rFonts w:hint="eastAsia" w:ascii="Times New Roman" w:hAnsi="Times New Roman" w:eastAsia="宋体" w:cs="Times New Roman"/>
                <w:sz w:val="24"/>
                <w:szCs w:val="24"/>
              </w:rPr>
              <w:t>（附件13），项目</w:t>
            </w:r>
            <w:r>
              <w:rPr>
                <w:rFonts w:ascii="Times New Roman" w:hAnsi="Times New Roman" w:eastAsia="宋体" w:cs="Times New Roman"/>
                <w:sz w:val="24"/>
                <w:szCs w:val="24"/>
              </w:rPr>
              <w:t>一般工业</w:t>
            </w:r>
            <w:r>
              <w:rPr>
                <w:rFonts w:hint="eastAsia" w:ascii="Times New Roman" w:hAnsi="Times New Roman" w:eastAsia="宋体" w:cs="Times New Roman"/>
                <w:sz w:val="24"/>
                <w:szCs w:val="24"/>
              </w:rPr>
              <w:t>污泥含水率</w:t>
            </w:r>
            <w:r>
              <w:rPr>
                <w:rFonts w:ascii="Times New Roman" w:hAnsi="Times New Roman" w:eastAsia="宋体" w:cs="Times New Roman"/>
                <w:sz w:val="24"/>
                <w:szCs w:val="24"/>
              </w:rPr>
              <w:t>在</w:t>
            </w:r>
            <w:r>
              <w:rPr>
                <w:rFonts w:hint="eastAsia" w:ascii="Times New Roman" w:hAnsi="Times New Roman" w:eastAsia="宋体" w:cs="Times New Roman"/>
                <w:sz w:val="24"/>
                <w:szCs w:val="24"/>
              </w:rPr>
              <w:t>50.2</w:t>
            </w:r>
            <w:r>
              <w:rPr>
                <w:rFonts w:ascii="Times New Roman" w:hAnsi="Times New Roman" w:eastAsia="宋体" w:cs="Times New Roman"/>
                <w:sz w:val="24"/>
                <w:szCs w:val="24"/>
              </w:rPr>
              <w:t>-66%</w:t>
            </w:r>
            <w:r>
              <w:rPr>
                <w:rFonts w:hint="eastAsia" w:ascii="Times New Roman" w:hAnsi="Times New Roman" w:eastAsia="宋体" w:cs="Times New Roman"/>
                <w:sz w:val="24"/>
                <w:szCs w:val="24"/>
              </w:rPr>
              <w:t>，</w:t>
            </w:r>
            <w:r>
              <w:rPr>
                <w:rFonts w:ascii="Times New Roman" w:hAnsi="Times New Roman" w:eastAsia="宋体" w:cs="Times New Roman"/>
                <w:sz w:val="24"/>
                <w:szCs w:val="24"/>
              </w:rPr>
              <w:t>评价</w:t>
            </w:r>
            <w:r>
              <w:rPr>
                <w:rFonts w:hint="eastAsia" w:ascii="Times New Roman" w:hAnsi="Times New Roman" w:eastAsia="宋体" w:cs="Times New Roman"/>
                <w:sz w:val="24"/>
                <w:szCs w:val="24"/>
              </w:rPr>
              <w:t>取60</w:t>
            </w:r>
            <w:r>
              <w:rPr>
                <w:rFonts w:ascii="Times New Roman" w:hAnsi="Times New Roman" w:eastAsia="宋体" w:cs="Times New Roman"/>
                <w:sz w:val="24"/>
                <w:szCs w:val="24"/>
              </w:rPr>
              <w:t>%</w:t>
            </w:r>
            <w:r>
              <w:rPr>
                <w:rFonts w:hint="eastAsia" w:ascii="Times New Roman" w:hAnsi="Times New Roman" w:eastAsia="宋体" w:cs="Times New Roman"/>
                <w:sz w:val="24"/>
                <w:szCs w:val="24"/>
              </w:rPr>
              <w:t>含水率；页岩</w:t>
            </w:r>
            <w:r>
              <w:rPr>
                <w:rFonts w:ascii="Times New Roman" w:hAnsi="Times New Roman" w:eastAsia="宋体" w:cs="Times New Roman"/>
                <w:sz w:val="24"/>
                <w:szCs w:val="24"/>
              </w:rPr>
              <w:t>含水率</w:t>
            </w:r>
            <w:r>
              <w:rPr>
                <w:rFonts w:hint="eastAsia" w:ascii="Times New Roman" w:hAnsi="Times New Roman" w:eastAsia="宋体" w:cs="Times New Roman"/>
                <w:sz w:val="24"/>
                <w:szCs w:val="24"/>
              </w:rPr>
              <w:t>6.6</w:t>
            </w:r>
            <w:r>
              <w:rPr>
                <w:rFonts w:ascii="Times New Roman" w:hAnsi="Times New Roman" w:eastAsia="宋体" w:cs="Times New Roman"/>
                <w:sz w:val="24"/>
                <w:szCs w:val="24"/>
              </w:rPr>
              <w:t>%、低硫煤含水率</w:t>
            </w:r>
            <w:r>
              <w:rPr>
                <w:rFonts w:hint="eastAsia" w:ascii="Times New Roman" w:hAnsi="Times New Roman" w:eastAsia="宋体" w:cs="Times New Roman"/>
                <w:sz w:val="24"/>
                <w:szCs w:val="24"/>
              </w:rPr>
              <w:t>3.1</w:t>
            </w:r>
            <w:r>
              <w:rPr>
                <w:rFonts w:ascii="Times New Roman" w:hAnsi="Times New Roman" w:eastAsia="宋体" w:cs="Times New Roman"/>
                <w:sz w:val="24"/>
                <w:szCs w:val="24"/>
              </w:rPr>
              <w:t>%</w:t>
            </w:r>
            <w:r>
              <w:rPr>
                <w:rFonts w:hint="eastAsia" w:ascii="Times New Roman" w:hAnsi="Times New Roman" w:eastAsia="宋体" w:cs="Times New Roman"/>
                <w:sz w:val="24"/>
                <w:szCs w:val="24"/>
              </w:rPr>
              <w:t>。水基钻井废弃物含水率30</w:t>
            </w:r>
            <w:r>
              <w:rPr>
                <w:rFonts w:ascii="Times New Roman" w:hAnsi="Times New Roman" w:eastAsia="宋体" w:cs="Times New Roman"/>
                <w:sz w:val="24"/>
                <w:szCs w:val="24"/>
              </w:rPr>
              <w:t>-50%，评价</w:t>
            </w:r>
            <w:r>
              <w:rPr>
                <w:rFonts w:hint="eastAsia" w:ascii="Times New Roman" w:hAnsi="Times New Roman" w:eastAsia="宋体" w:cs="Times New Roman"/>
                <w:sz w:val="24"/>
                <w:szCs w:val="24"/>
              </w:rPr>
              <w:t>取35</w:t>
            </w:r>
            <w:r>
              <w:rPr>
                <w:rFonts w:ascii="Times New Roman" w:hAnsi="Times New Roman" w:eastAsia="宋体" w:cs="Times New Roman"/>
                <w:sz w:val="24"/>
                <w:szCs w:val="24"/>
              </w:rPr>
              <w:t>%。</w:t>
            </w:r>
            <w:r>
              <w:rPr>
                <w:rFonts w:hint="eastAsia" w:ascii="Times New Roman" w:hAnsi="Times New Roman" w:eastAsia="宋体" w:cs="Times New Roman"/>
                <w:sz w:val="24"/>
                <w:szCs w:val="24"/>
              </w:rPr>
              <w:t>则</w:t>
            </w:r>
            <w:r>
              <w:rPr>
                <w:rFonts w:ascii="Times New Roman" w:hAnsi="Times New Roman" w:eastAsia="宋体" w:cs="Times New Roman"/>
                <w:sz w:val="24"/>
                <w:szCs w:val="24"/>
              </w:rPr>
              <w:t>项目</w:t>
            </w:r>
            <w:r>
              <w:rPr>
                <w:rFonts w:hint="eastAsia" w:ascii="Times New Roman" w:hAnsi="Times New Roman" w:eastAsia="宋体" w:cs="Times New Roman"/>
                <w:sz w:val="24"/>
                <w:szCs w:val="24"/>
              </w:rPr>
              <w:t>建成后</w:t>
            </w:r>
            <w:r>
              <w:rPr>
                <w:rFonts w:ascii="Times New Roman" w:hAnsi="Times New Roman" w:eastAsia="宋体" w:cs="Times New Roman"/>
                <w:sz w:val="24"/>
                <w:szCs w:val="24"/>
              </w:rPr>
              <w:t>，</w:t>
            </w:r>
            <w:r>
              <w:rPr>
                <w:rFonts w:hint="eastAsia" w:ascii="Times New Roman" w:hAnsi="Times New Roman" w:eastAsia="宋体" w:cs="Times New Roman"/>
                <w:sz w:val="24"/>
                <w:szCs w:val="24"/>
              </w:rPr>
              <w:t>生产用水量为</w:t>
            </w:r>
            <w:r>
              <w:rPr>
                <w:rFonts w:ascii="Times New Roman" w:hAnsi="Times New Roman" w:eastAsia="宋体" w:cs="Times New Roman"/>
                <w:sz w:val="24"/>
                <w:szCs w:val="24"/>
              </w:rPr>
              <w:t>981m</w:t>
            </w:r>
            <w:r>
              <w:rPr>
                <w:rFonts w:ascii="Times New Roman" w:hAnsi="Times New Roman" w:eastAsia="宋体" w:cs="Times New Roman"/>
                <w:sz w:val="24"/>
                <w:szCs w:val="24"/>
                <w:vertAlign w:val="superscript"/>
              </w:rPr>
              <w:t>3</w:t>
            </w:r>
            <w:r>
              <w:rPr>
                <w:rFonts w:ascii="Times New Roman" w:hAnsi="Times New Roman" w:eastAsia="宋体" w:cs="Times New Roman"/>
                <w:sz w:val="24"/>
                <w:szCs w:val="24"/>
              </w:rPr>
              <w:t>/a。</w:t>
            </w:r>
            <w:r>
              <w:rPr>
                <w:rFonts w:hint="eastAsia" w:ascii="Times New Roman" w:hAnsi="Times New Roman" w:eastAsia="宋体" w:cs="Times New Roman"/>
                <w:sz w:val="24"/>
                <w:szCs w:val="24"/>
              </w:rPr>
              <w:t>其余用水</w:t>
            </w:r>
            <w:r>
              <w:rPr>
                <w:rFonts w:ascii="Times New Roman" w:hAnsi="Times New Roman" w:eastAsia="宋体" w:cs="Times New Roman"/>
                <w:sz w:val="24"/>
                <w:szCs w:val="24"/>
              </w:rPr>
              <w:t>包</w:t>
            </w:r>
            <w:r>
              <w:rPr>
                <w:rFonts w:ascii="Times New Roman" w:hAnsi="Times New Roman" w:eastAsia="宋体" w:cs="Times New Roman"/>
                <w:color w:val="000000"/>
                <w:sz w:val="24"/>
                <w:szCs w:val="24"/>
              </w:rPr>
              <w:t>括</w:t>
            </w:r>
            <w:r>
              <w:rPr>
                <w:rFonts w:hint="eastAsia" w:ascii="Times New Roman" w:hAnsi="Times New Roman" w:eastAsia="宋体" w:cs="Times New Roman"/>
                <w:color w:val="000000"/>
                <w:sz w:val="24"/>
                <w:szCs w:val="24"/>
              </w:rPr>
              <w:t>原料拌合用水</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一般固废</w:t>
            </w:r>
            <w:r>
              <w:rPr>
                <w:rFonts w:ascii="Times New Roman" w:hAnsi="Times New Roman" w:eastAsia="宋体" w:cs="Times New Roman"/>
                <w:color w:val="000000"/>
                <w:sz w:val="24"/>
                <w:szCs w:val="24"/>
              </w:rPr>
              <w:t>喷淋</w:t>
            </w:r>
            <w:r>
              <w:rPr>
                <w:rFonts w:hint="eastAsia" w:ascii="Times New Roman" w:hAnsi="Times New Roman" w:eastAsia="宋体" w:cs="Times New Roman"/>
                <w:color w:val="000000"/>
                <w:sz w:val="24"/>
                <w:szCs w:val="24"/>
              </w:rPr>
              <w:t>用水</w:t>
            </w:r>
            <w:r>
              <w:rPr>
                <w:rFonts w:ascii="Times New Roman" w:hAnsi="Times New Roman" w:eastAsia="宋体" w:cs="Times New Roman"/>
                <w:color w:val="000000"/>
                <w:sz w:val="24"/>
                <w:szCs w:val="24"/>
              </w:rPr>
              <w:t>、真空泵循环冷却</w:t>
            </w:r>
            <w:r>
              <w:rPr>
                <w:rFonts w:hint="eastAsia" w:ascii="Times New Roman" w:hAnsi="Times New Roman" w:eastAsia="宋体" w:cs="Times New Roman"/>
                <w:color w:val="000000"/>
                <w:sz w:val="24"/>
                <w:szCs w:val="24"/>
              </w:rPr>
              <w:t>补水</w:t>
            </w:r>
            <w:r>
              <w:rPr>
                <w:rFonts w:ascii="Times New Roman" w:hAnsi="Times New Roman" w:eastAsia="宋体" w:cs="Times New Roman"/>
                <w:color w:val="000000"/>
                <w:sz w:val="24"/>
                <w:szCs w:val="24"/>
              </w:rPr>
              <w:t>、</w:t>
            </w:r>
            <w:r>
              <w:rPr>
                <w:rFonts w:hint="eastAsia" w:ascii="Times New Roman" w:hAnsi="Times New Roman" w:eastAsia="宋体" w:cs="Times New Roman"/>
                <w:color w:val="000000"/>
                <w:sz w:val="24"/>
                <w:szCs w:val="24"/>
              </w:rPr>
              <w:t>脱硫塔用水。</w:t>
            </w:r>
          </w:p>
          <w:p w14:paraId="3D91BC8B">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（2）排水工程</w:t>
            </w:r>
          </w:p>
          <w:p w14:paraId="273803AA">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项目生产用水包括一次混料用水和二次搅拌用水，将全部进入砖坯，最终经高温蒸发进入大气，不排水；真空泵需进行间接水冷却降温，配套设有循环水池一个，有效容积3.0m</w:t>
            </w:r>
            <w:r>
              <w:rPr>
                <w:rFonts w:ascii="Times New Roman" w:hAnsi="Times New Roman" w:eastAsia="宋体" w:cs="Times New Roman"/>
                <w:color w:val="000000"/>
                <w:sz w:val="24"/>
                <w:szCs w:val="24"/>
                <w:vertAlign w:val="superscript"/>
              </w:rPr>
              <w:t>3</w:t>
            </w:r>
            <w:r>
              <w:rPr>
                <w:rFonts w:ascii="Times New Roman" w:hAnsi="Times New Roman" w:eastAsia="宋体" w:cs="Times New Roman"/>
                <w:color w:val="000000"/>
                <w:sz w:val="24"/>
                <w:szCs w:val="24"/>
              </w:rPr>
              <w:t>，间接冷却水蒸发损耗，需定期进行补水，且不排水；湿式脱硫塔循环水设循环水池，废水经沉淀后将回用，不排水；</w:t>
            </w:r>
          </w:p>
          <w:p w14:paraId="699CB84B">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项目排水主要为生活污水，项目所在地尚无市政污水管网，废水经已建容积5m</w:t>
            </w:r>
            <w:r>
              <w:rPr>
                <w:rFonts w:ascii="Times New Roman" w:hAnsi="Times New Roman" w:eastAsia="宋体" w:cs="Times New Roman"/>
                <w:color w:val="000000"/>
                <w:sz w:val="24"/>
                <w:szCs w:val="24"/>
                <w:vertAlign w:val="superscript"/>
              </w:rPr>
              <w:t>3</w:t>
            </w:r>
            <w:r>
              <w:rPr>
                <w:rFonts w:ascii="Times New Roman" w:hAnsi="Times New Roman" w:eastAsia="宋体" w:cs="Times New Roman"/>
                <w:color w:val="000000"/>
                <w:sz w:val="24"/>
                <w:szCs w:val="24"/>
              </w:rPr>
              <w:t>预处理池处理后，可用于厂区绿化，不外排。</w:t>
            </w:r>
          </w:p>
          <w:p w14:paraId="4F8A8A12">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（3）供电工程</w:t>
            </w:r>
          </w:p>
          <w:p w14:paraId="5FC28E79">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由横山镇供电网引入，场地西侧设独立变配电房一间，建筑面积约100m</w:t>
            </w:r>
            <w:r>
              <w:rPr>
                <w:rFonts w:ascii="Times New Roman" w:hAnsi="Times New Roman" w:eastAsia="宋体" w:cs="Times New Roman"/>
                <w:color w:val="000000"/>
                <w:sz w:val="24"/>
                <w:szCs w:val="24"/>
                <w:vertAlign w:val="superscript"/>
              </w:rPr>
              <w:t>2</w:t>
            </w:r>
            <w:r>
              <w:rPr>
                <w:rFonts w:ascii="Times New Roman" w:hAnsi="Times New Roman" w:eastAsia="宋体" w:cs="Times New Roman"/>
                <w:color w:val="000000"/>
                <w:sz w:val="24"/>
                <w:szCs w:val="24"/>
              </w:rPr>
              <w:t>，变压器容量800KVA，对场内设备进行供电。</w:t>
            </w:r>
          </w:p>
          <w:p w14:paraId="3EC1FFAB">
            <w:pPr>
              <w:spacing w:line="360" w:lineRule="auto"/>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11、厂区平面布置</w:t>
            </w:r>
          </w:p>
          <w:p w14:paraId="5E0584CC">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本项目用地呈不规则长方形，整个厂区分为：生产区、办公区及生活区。办公生活区（包括办公、职工宿舍）位于厂区南侧的入口处附近，生活区为厂区西侧。生产区（包括原料粉碎、搅拌、挤砖工艺）布置于隧道窑北侧，靠近采掘区，缩短了物料转运距离，生产流程更为紧凑。隧道窑位于厂区中部，便于坯砖的装入和成品砖的运出，也缩短了烟气余热用于烘干室的距离，可充分利用余热降低能耗；码场位于厂区南侧，利于成品出窑和运输；厂区东南面设置出口靠近进场公路处，便于产品的运出。</w:t>
            </w:r>
          </w:p>
          <w:p w14:paraId="25DD1003">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从总图布置分析，总平面布置合理、紧凑，便于生产和管理，粉碎车间布置于隧道窑的北面，一是可避免产生的粉尘、噪声对外环境的影响；二是可减轻对外环境的</w:t>
            </w:r>
            <w:r>
              <w:rPr>
                <w:rFonts w:hint="eastAsia" w:ascii="Times New Roman" w:hAnsi="Times New Roman" w:eastAsia="宋体" w:cs="Times New Roman"/>
                <w:color w:val="000000"/>
                <w:sz w:val="24"/>
                <w:szCs w:val="24"/>
                <w:lang w:eastAsia="zh-CN"/>
              </w:rPr>
              <w:t>安全隐患</w:t>
            </w:r>
            <w:r>
              <w:rPr>
                <w:rFonts w:ascii="Times New Roman" w:hAnsi="Times New Roman" w:eastAsia="宋体" w:cs="Times New Roman"/>
                <w:color w:val="000000"/>
                <w:sz w:val="24"/>
                <w:szCs w:val="24"/>
              </w:rPr>
              <w:t>。因此，评价分析认为，该项目总图布置合理。</w:t>
            </w:r>
          </w:p>
        </w:tc>
      </w:tr>
      <w:tr w14:paraId="6E3DD9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78" w:hRule="atLeast"/>
          <w:jc w:val="center"/>
        </w:trPr>
        <w:tc>
          <w:tcPr>
            <w:tcW w:w="562" w:type="dxa"/>
            <w:shd w:val="clear" w:color="auto" w:fill="FEFEFE"/>
            <w:vAlign w:val="center"/>
          </w:tcPr>
          <w:p w14:paraId="13F26753">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工艺流程和产排污环节</w:t>
            </w:r>
          </w:p>
        </w:tc>
        <w:tc>
          <w:tcPr>
            <w:tcW w:w="8364" w:type="dxa"/>
            <w:shd w:val="clear" w:color="auto" w:fill="FEFEFE"/>
            <w:vAlign w:val="center"/>
          </w:tcPr>
          <w:p w14:paraId="66FA61BE">
            <w:pPr>
              <w:adjustRightInd w:val="0"/>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一、施工期工艺流程及产排污</w:t>
            </w:r>
          </w:p>
          <w:p w14:paraId="6330BC9A">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本项目施工期主要为水基钻井废弃物、无机工业污泥贮存间的建设，施工作业内容主要包含场地平整、基础工程、主体工程，施工期间将产生噪声、生活污水、生活垃圾、建筑垃圾等。</w:t>
            </w:r>
          </w:p>
          <w:p w14:paraId="550E07FB">
            <w:pP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mc:AlternateContent>
                <mc:Choice Requires="wpc">
                  <w:drawing>
                    <wp:inline distT="0" distB="0" distL="0" distR="0">
                      <wp:extent cx="4781550" cy="958850"/>
                      <wp:effectExtent l="0" t="0" r="0" b="0"/>
                      <wp:docPr id="28" name="画布 8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12" name="矩形 71"/>
                              <wps:cNvSpPr>
                                <a:spLocks noChangeArrowheads="1"/>
                              </wps:cNvSpPr>
                              <wps:spPr bwMode="auto">
                                <a:xfrm>
                                  <a:off x="308035" y="592455"/>
                                  <a:ext cx="1043940" cy="280035"/>
                                </a:xfrm>
                                <a:prstGeom prst="rect">
                                  <a:avLst/>
                                </a:prstGeom>
                                <a:noFill/>
                                <a:ln w="15875">
                                  <a:solidFill>
                                    <a:srgbClr val="000000"/>
                                  </a:solidFill>
                                  <a:miter lim="800000"/>
                                </a:ln>
                              </wps:spPr>
                              <wps:txbx>
                                <w:txbxContent>
                                  <w:p w14:paraId="5BBD7F0D">
                                    <w:pPr>
                                      <w:snapToGrid w:val="0"/>
                                      <w:jc w:val="center"/>
                                      <w:rPr>
                                        <w:szCs w:val="21"/>
                                      </w:rPr>
                                    </w:pPr>
                                    <w:r>
                                      <w:rPr>
                                        <w:rFonts w:hint="eastAsia"/>
                                        <w:szCs w:val="21"/>
                                      </w:rPr>
                                      <w:t>场地平整</w:t>
                                    </w:r>
                                  </w:p>
                                </w:txbxContent>
                              </wps:txbx>
                              <wps:bodyPr rot="0" vert="horz" wrap="square" lIns="0" tIns="0" rIns="0" bIns="0" anchor="t" anchorCtr="0" upright="1">
                                <a:noAutofit/>
                              </wps:bodyPr>
                            </wps:wsp>
                            <wps:wsp>
                              <wps:cNvPr id="13" name="矩形 72"/>
                              <wps:cNvSpPr>
                                <a:spLocks noChangeArrowheads="1"/>
                              </wps:cNvSpPr>
                              <wps:spPr bwMode="auto">
                                <a:xfrm>
                                  <a:off x="1675122" y="591137"/>
                                  <a:ext cx="784201" cy="271217"/>
                                </a:xfrm>
                                <a:prstGeom prst="rect">
                                  <a:avLst/>
                                </a:prstGeom>
                                <a:noFill/>
                                <a:ln w="15875">
                                  <a:solidFill>
                                    <a:srgbClr val="000000"/>
                                  </a:solidFill>
                                  <a:miter lim="800000"/>
                                </a:ln>
                              </wps:spPr>
                              <wps:txbx>
                                <w:txbxContent>
                                  <w:p w14:paraId="70F4224C">
                                    <w:pPr>
                                      <w:snapToGrid w:val="0"/>
                                      <w:jc w:val="center"/>
                                      <w:rPr>
                                        <w:szCs w:val="21"/>
                                      </w:rPr>
                                    </w:pPr>
                                    <w:r>
                                      <w:rPr>
                                        <w:rFonts w:hint="eastAsia"/>
                                        <w:szCs w:val="21"/>
                                      </w:rPr>
                                      <w:t>基础工程</w:t>
                                    </w:r>
                                  </w:p>
                                </w:txbxContent>
                              </wps:txbx>
                              <wps:bodyPr rot="0" vert="horz" wrap="square" lIns="0" tIns="0" rIns="0" bIns="0" anchor="t" anchorCtr="0" upright="1">
                                <a:noAutofit/>
                              </wps:bodyPr>
                            </wps:wsp>
                            <wps:wsp>
                              <wps:cNvPr id="14" name="矩形 73"/>
                              <wps:cNvSpPr>
                                <a:spLocks noChangeArrowheads="1"/>
                              </wps:cNvSpPr>
                              <wps:spPr bwMode="auto">
                                <a:xfrm>
                                  <a:off x="3950324" y="584237"/>
                                  <a:ext cx="783601" cy="270517"/>
                                </a:xfrm>
                                <a:prstGeom prst="rect">
                                  <a:avLst/>
                                </a:prstGeom>
                                <a:noFill/>
                                <a:ln w="15875">
                                  <a:solidFill>
                                    <a:srgbClr val="000000"/>
                                  </a:solidFill>
                                  <a:miter lim="800000"/>
                                </a:ln>
                              </wps:spPr>
                              <wps:txbx>
                                <w:txbxContent>
                                  <w:p w14:paraId="5F31C65D">
                                    <w:pPr>
                                      <w:snapToGrid w:val="0"/>
                                      <w:jc w:val="center"/>
                                      <w:rPr>
                                        <w:szCs w:val="21"/>
                                      </w:rPr>
                                    </w:pPr>
                                    <w:r>
                                      <w:rPr>
                                        <w:rFonts w:hint="eastAsia"/>
                                        <w:szCs w:val="21"/>
                                      </w:rPr>
                                      <w:t>工程验收</w:t>
                                    </w:r>
                                  </w:p>
                                </w:txbxContent>
                              </wps:txbx>
                              <wps:bodyPr rot="0" vert="horz" wrap="square" lIns="90000" tIns="0" rIns="90000" bIns="0" anchor="t" anchorCtr="0" upright="1">
                                <a:noAutofit/>
                              </wps:bodyPr>
                            </wps:wsp>
                            <wps:wsp>
                              <wps:cNvPr id="16" name="直接箭头连接符 74"/>
                              <wps:cNvCnPr>
                                <a:cxnSpLocks noChangeShapeType="1"/>
                              </wps:cNvCnPr>
                              <wps:spPr bwMode="auto">
                                <a:xfrm>
                                  <a:off x="3577623" y="718845"/>
                                  <a:ext cx="372700" cy="600"/>
                                </a:xfrm>
                                <a:prstGeom prst="straightConnector1">
                                  <a:avLst/>
                                </a:prstGeom>
                                <a:noFill/>
                                <a:ln w="9525">
                                  <a:solidFill>
                                    <a:srgbClr val="000000"/>
                                  </a:solidFill>
                                  <a:round/>
                                  <a:tailEnd type="triangle" w="med" len="med"/>
                                </a:ln>
                              </wps:spPr>
                              <wps:bodyPr/>
                            </wps:wsp>
                            <wps:wsp>
                              <wps:cNvPr id="17" name="直接箭头连接符 75"/>
                              <wps:cNvCnPr>
                                <a:cxnSpLocks noChangeShapeType="1"/>
                              </wps:cNvCnPr>
                              <wps:spPr bwMode="auto">
                                <a:xfrm flipV="1">
                                  <a:off x="2111422" y="307319"/>
                                  <a:ext cx="1200" cy="288318"/>
                                </a:xfrm>
                                <a:prstGeom prst="straightConnector1">
                                  <a:avLst/>
                                </a:prstGeom>
                                <a:noFill/>
                                <a:ln w="9525">
                                  <a:solidFill>
                                    <a:srgbClr val="000000"/>
                                  </a:solidFill>
                                  <a:prstDash val="dash"/>
                                  <a:round/>
                                  <a:tailEnd type="triangle" w="med" len="med"/>
                                </a:ln>
                              </wps:spPr>
                              <wps:bodyPr/>
                            </wps:wsp>
                            <wps:wsp>
                              <wps:cNvPr id="18" name="直接箭头连接符 76"/>
                              <wps:cNvCnPr>
                                <a:cxnSpLocks noChangeShapeType="1"/>
                              </wps:cNvCnPr>
                              <wps:spPr bwMode="auto">
                                <a:xfrm flipV="1">
                                  <a:off x="2469522" y="717545"/>
                                  <a:ext cx="323900" cy="1300"/>
                                </a:xfrm>
                                <a:prstGeom prst="straightConnector1">
                                  <a:avLst/>
                                </a:prstGeom>
                                <a:noFill/>
                                <a:ln w="9525">
                                  <a:solidFill>
                                    <a:srgbClr val="000000"/>
                                  </a:solidFill>
                                  <a:round/>
                                  <a:tailEnd type="triangle" w="med" len="med"/>
                                </a:ln>
                              </wps:spPr>
                              <wps:bodyPr/>
                            </wps:wsp>
                            <wps:wsp>
                              <wps:cNvPr id="19" name="矩形 77"/>
                              <wps:cNvSpPr>
                                <a:spLocks noChangeArrowheads="1"/>
                              </wps:cNvSpPr>
                              <wps:spPr bwMode="auto">
                                <a:xfrm>
                                  <a:off x="2793423" y="595638"/>
                                  <a:ext cx="784201" cy="271117"/>
                                </a:xfrm>
                                <a:prstGeom prst="rect">
                                  <a:avLst/>
                                </a:prstGeom>
                                <a:noFill/>
                                <a:ln w="15875">
                                  <a:solidFill>
                                    <a:srgbClr val="000000"/>
                                  </a:solidFill>
                                  <a:miter lim="800000"/>
                                </a:ln>
                              </wps:spPr>
                              <wps:txbx>
                                <w:txbxContent>
                                  <w:p w14:paraId="46F1D08F">
                                    <w:pPr>
                                      <w:snapToGrid w:val="0"/>
                                      <w:jc w:val="center"/>
                                      <w:rPr>
                                        <w:szCs w:val="21"/>
                                      </w:rPr>
                                    </w:pPr>
                                    <w:r>
                                      <w:rPr>
                                        <w:rFonts w:hint="eastAsia"/>
                                        <w:szCs w:val="21"/>
                                      </w:rPr>
                                      <w:t>主体工程</w:t>
                                    </w:r>
                                  </w:p>
                                </w:txbxContent>
                              </wps:txbx>
                              <wps:bodyPr rot="0" vert="horz" wrap="square" lIns="91440" tIns="0" rIns="91440" bIns="0" anchor="t" anchorCtr="0" upright="1">
                                <a:noAutofit/>
                              </wps:bodyPr>
                            </wps:wsp>
                            <wps:wsp>
                              <wps:cNvPr id="20" name="直接箭头连接符 78"/>
                              <wps:cNvCnPr>
                                <a:cxnSpLocks noChangeShapeType="1"/>
                              </wps:cNvCnPr>
                              <wps:spPr bwMode="auto">
                                <a:xfrm flipV="1">
                                  <a:off x="1351321" y="719445"/>
                                  <a:ext cx="323800" cy="1300"/>
                                </a:xfrm>
                                <a:prstGeom prst="straightConnector1">
                                  <a:avLst/>
                                </a:prstGeom>
                                <a:noFill/>
                                <a:ln w="9525">
                                  <a:solidFill>
                                    <a:srgbClr val="000000"/>
                                  </a:solidFill>
                                  <a:round/>
                                  <a:tailEnd type="triangle" w="med" len="med"/>
                                </a:ln>
                              </wps:spPr>
                              <wps:bodyPr/>
                            </wps:wsp>
                            <wps:wsp>
                              <wps:cNvPr id="21" name="直接箭头连接符 79"/>
                              <wps:cNvCnPr>
                                <a:cxnSpLocks noChangeShapeType="1"/>
                              </wps:cNvCnPr>
                              <wps:spPr bwMode="auto">
                                <a:xfrm flipV="1">
                                  <a:off x="833121" y="302819"/>
                                  <a:ext cx="1300" cy="288318"/>
                                </a:xfrm>
                                <a:prstGeom prst="straightConnector1">
                                  <a:avLst/>
                                </a:prstGeom>
                                <a:noFill/>
                                <a:ln w="9525">
                                  <a:solidFill>
                                    <a:srgbClr val="000000"/>
                                  </a:solidFill>
                                  <a:prstDash val="dash"/>
                                  <a:round/>
                                  <a:tailEnd type="triangle" w="med" len="med"/>
                                </a:ln>
                              </wps:spPr>
                              <wps:bodyPr/>
                            </wps:wsp>
                            <wps:wsp>
                              <wps:cNvPr id="22" name="矩形 80"/>
                              <wps:cNvSpPr>
                                <a:spLocks noChangeArrowheads="1"/>
                              </wps:cNvSpPr>
                              <wps:spPr bwMode="auto">
                                <a:xfrm>
                                  <a:off x="581021" y="0"/>
                                  <a:ext cx="2796603" cy="307319"/>
                                </a:xfrm>
                                <a:prstGeom prst="rect">
                                  <a:avLst/>
                                </a:prstGeom>
                                <a:noFill/>
                                <a:ln w="15875">
                                  <a:solidFill>
                                    <a:srgbClr val="000000"/>
                                  </a:solidFill>
                                  <a:prstDash val="dash"/>
                                  <a:miter lim="800000"/>
                                </a:ln>
                              </wps:spPr>
                              <wps:txbx>
                                <w:txbxContent>
                                  <w:p w14:paraId="5753B729">
                                    <w:pPr>
                                      <w:adjustRightInd w:val="0"/>
                                      <w:snapToGrid w:val="0"/>
                                      <w:jc w:val="center"/>
                                      <w:rPr>
                                        <w:szCs w:val="21"/>
                                      </w:rPr>
                                    </w:pPr>
                                    <w:r>
                                      <w:rPr>
                                        <w:rFonts w:hint="eastAsia"/>
                                        <w:szCs w:val="21"/>
                                      </w:rPr>
                                      <w:t>噪声、固废、粉尘、废水等</w:t>
                                    </w:r>
                                  </w:p>
                                </w:txbxContent>
                              </wps:txbx>
                              <wps:bodyPr rot="0" vert="horz" wrap="square" lIns="91440" tIns="45720" rIns="91440" bIns="45720" anchor="t" anchorCtr="0" upright="1">
                                <a:noAutofit/>
                              </wps:bodyPr>
                            </wps:wsp>
                            <wps:wsp>
                              <wps:cNvPr id="23" name="直接箭头连接符 81"/>
                              <wps:cNvCnPr>
                                <a:cxnSpLocks noChangeShapeType="1"/>
                              </wps:cNvCnPr>
                              <wps:spPr bwMode="auto">
                                <a:xfrm flipV="1">
                                  <a:off x="3155323" y="302819"/>
                                  <a:ext cx="1300" cy="288318"/>
                                </a:xfrm>
                                <a:prstGeom prst="straightConnector1">
                                  <a:avLst/>
                                </a:prstGeom>
                                <a:noFill/>
                                <a:ln w="9525">
                                  <a:solidFill>
                                    <a:srgbClr val="000000"/>
                                  </a:solidFill>
                                  <a:prstDash val="dash"/>
                                  <a:round/>
                                  <a:tailEnd type="triangle" w="med" len="med"/>
                                </a:ln>
                              </wps:spPr>
                              <wps:bodyPr/>
                            </wps:wsp>
                          </wpc:wpc>
                        </a:graphicData>
                      </a:graphic>
                    </wp:inline>
                  </w:drawing>
                </mc:Choice>
                <mc:Fallback>
                  <w:pict>
                    <v:group id="画布 82" o:spid="_x0000_s1026" o:spt="203" style="height:75.5pt;width:376.5pt;" coordsize="4781550,958850" editas="canvas" o:gfxdata="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">
                      <o:lock v:ext="edit" aspectratio="f"/>
                      <v:shape id="画布 82" o:spid="_x0000_s1026" style="position:absolute;left:0;top:0;height:958850;width:4781550;" filled="f" stroked="f" coordsize="21600,21600" o:gfxdata="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">
                        <v:fill on="f" focussize="0,0"/>
                        <v:stroke on="f"/>
                        <v:imagedata o:title=""/>
                        <o:lock v:ext="edit" aspectratio="t"/>
                      </v:shape>
                      <v:rect id="矩形 71" o:spid="_x0000_s1026" o:spt="1" style="position:absolute;left:308035;top:592455;height:280035;width:1043940;" filled="f" stroked="t" coordsize="21600,21600" o:gfxdata="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CE05kH1AAAAAUBAAAPAAAAAAAAAAEAIAAAACIAAABkcnMvZG93bnJldi54&#10;bWxQSwECFAAUAAAACACHTuJAdtj7lDcCAABOBAAADgAAAAAAAAABACAAAAAjAQAAZHJzL2Uyb0Rv&#10;Yy54bWxQSwUGAAAAAAYABgBZAQAAzAUAAAAA&#10;">
                        <v:fill on="f" focussize="0,0"/>
                        <v:stroke weight="1.25pt" color="#000000" miterlimit="8" joinstyle="miter"/>
                        <v:imagedata o:title=""/>
                        <o:lock v:ext="edit" aspectratio="f"/>
                        <v:textbox inset="0mm,0mm,0mm,0mm">
                          <w:txbxContent>
                            <w:p w14:paraId="5BBD7F0D">
                              <w:pPr>
                                <w:snapToGrid w:val="0"/>
                                <w:jc w:val="center"/>
                                <w:rPr>
                                  <w:szCs w:val="21"/>
                                </w:rPr>
                              </w:pPr>
                              <w:r>
                                <w:rPr>
                                  <w:rFonts w:hint="eastAsia"/>
                                  <w:szCs w:val="21"/>
                                </w:rPr>
                                <w:t>场地平整</w:t>
                              </w:r>
                            </w:p>
                          </w:txbxContent>
                        </v:textbox>
                      </v:rect>
                      <v:rect id="矩形 72" o:spid="_x0000_s1026" o:spt="1" style="position:absolute;left:1675122;top:591137;height:271217;width:784201;" filled="f" stroked="t" coordsize="21600,21600" o:gfxdata="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hNOZB9QAAAAFAQAADwAAAAAAAAABACAAAAAiAAAAZHJzL2Rvd25yZXYu&#10;eG1sUEsBAhQAFAAAAAgAh07iQL9RiQM4AgAATgQAAA4AAAAAAAAAAQAgAAAAIwEAAGRycy9lMm9E&#10;b2MueG1sUEsFBgAAAAAGAAYAWQEAAM0FAAAAAA==&#10;">
                        <v:fill on="f" focussize="0,0"/>
                        <v:stroke weight="1.25pt" color="#000000" miterlimit="8" joinstyle="miter"/>
                        <v:imagedata o:title=""/>
                        <o:lock v:ext="edit" aspectratio="f"/>
                        <v:textbox inset="0mm,0mm,0mm,0mm">
                          <w:txbxContent>
                            <w:p w14:paraId="70F4224C">
                              <w:pPr>
                                <w:snapToGrid w:val="0"/>
                                <w:jc w:val="center"/>
                                <w:rPr>
                                  <w:szCs w:val="21"/>
                                </w:rPr>
                              </w:pPr>
                              <w:r>
                                <w:rPr>
                                  <w:rFonts w:hint="eastAsia"/>
                                  <w:szCs w:val="21"/>
                                </w:rPr>
                                <w:t>基础工程</w:t>
                              </w:r>
                            </w:p>
                          </w:txbxContent>
                        </v:textbox>
                      </v:rect>
                      <v:rect id="矩形 73" o:spid="_x0000_s1026" o:spt="1" style="position:absolute;left:3950324;top:584237;height:270517;width:783601;" filled="f" stroked="t" coordsize="21600,21600" o:gfxdata="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xcKsQ0wAAAAUBAAAPAAAAAAAAAAEAIAAAACIAAABkcnMvZG93&#10;bnJldi54bWxQSwECFAAUAAAACACHTuJAcifj+T4CAABWBAAADgAAAAAAAAABACAAAAAiAQAAZHJz&#10;L2Uyb0RvYy54bWxQSwUGAAAAAAYABgBZAQAA0gUAAAAA&#10;">
                        <v:fill on="f" focussize="0,0"/>
                        <v:stroke weight="1.25pt" color="#000000" miterlimit="8" joinstyle="miter"/>
                        <v:imagedata o:title=""/>
                        <o:lock v:ext="edit" aspectratio="f"/>
                        <v:textbox inset="2.5mm,0mm,2.5mm,0mm">
                          <w:txbxContent>
                            <w:p w14:paraId="5F31C65D">
                              <w:pPr>
                                <w:snapToGrid w:val="0"/>
                                <w:jc w:val="center"/>
                                <w:rPr>
                                  <w:szCs w:val="21"/>
                                </w:rPr>
                              </w:pPr>
                              <w:r>
                                <w:rPr>
                                  <w:rFonts w:hint="eastAsia"/>
                                  <w:szCs w:val="21"/>
                                </w:rPr>
                                <w:t>工程验收</w:t>
                              </w:r>
                            </w:p>
                          </w:txbxContent>
                        </v:textbox>
                      </v:rect>
                      <v:shape id="直接箭头连接符 74" o:spid="_x0000_s1026" o:spt="32" type="#_x0000_t32" style="position:absolute;left:3577623;top:718845;height:600;width:372700;" filled="f" stroked="t" coordsize="21600,21600" o:gfxdata="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OoAEw9YAAAAF&#10;AQAADwAAAAAAAAABACAAAAAiAAAAZHJzL2Rvd25yZXYueG1sUEsBAhQAFAAAAAgAh07iQLL0hzge&#10;AgAA+gMAAA4AAAAAAAAAAQAgAAAAJQEAAGRycy9lMm9Eb2MueG1sUEsFBgAAAAAGAAYAWQEAALUF&#10;AAAAAA==&#10;">
                        <v:fill on="f" focussize="0,0"/>
                        <v:stroke color="#000000" joinstyle="round" endarrow="block"/>
                        <v:imagedata o:title=""/>
                        <o:lock v:ext="edit" aspectratio="f"/>
                      </v:shape>
                      <v:shape id="直接箭头连接符 75" o:spid="_x0000_s1026" o:spt="32" type="#_x0000_t32" style="position:absolute;left:2111422;top:307319;flip:y;height:288318;width:1200;" filled="f" stroked="t" coordsize="21600,21600" o:gfxdata="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hyWda0AAAAAUBAAAPAAAAAAAAAAEAIAAAACIAAABkcnMvZG93bnJldi54bWxQSwECFAAUAAAA&#10;CACHTuJAKZghEy8CAAAdBAAADgAAAAAAAAABACAAAAAfAQAAZHJzL2Uyb0RvYy54bWxQSwUGAAAA&#10;AAYABgBZAQAAwAUAAAAA&#10;">
                        <v:fill on="f" focussize="0,0"/>
                        <v:stroke color="#000000" joinstyle="round" dashstyle="dash" endarrow="block"/>
                        <v:imagedata o:title=""/>
                        <o:lock v:ext="edit" aspectratio="f"/>
                      </v:shape>
                      <v:shape id="直接箭头连接符 76" o:spid="_x0000_s1026" o:spt="32" type="#_x0000_t32" style="position:absolute;left:2469522;top:717545;flip:y;height:1300;width:323900;" filled="f" stroked="t" coordsize="21600,21600" o:gfxdata="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Chws&#10;vdUAAAAFAQAADwAAAAAAAAABACAAAAAiAAAAZHJzL2Rvd25yZXYueG1sUEsBAhQAFAAAAAgAh07i&#10;QHCumbklAgAABQQAAA4AAAAAAAAAAQAgAAAAJAEAAGRycy9lMm9Eb2MueG1sUEsFBgAAAAAGAAYA&#10;WQEAALsFAAAAAA==&#10;">
                        <v:fill on="f" focussize="0,0"/>
                        <v:stroke color="#000000" joinstyle="round" endarrow="block"/>
                        <v:imagedata o:title=""/>
                        <o:lock v:ext="edit" aspectratio="f"/>
                      </v:shape>
                      <v:rect id="矩形 77" o:spid="_x0000_s1026" o:spt="1" style="position:absolute;left:2793423;top:595638;height:271117;width:784201;" filled="f" stroked="t" coordsize="21600,21600" o:gfxdata="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">
                        <v:fill on="f" focussize="0,0"/>
                        <v:stroke weight="1.25pt" color="#000000" miterlimit="8" joinstyle="miter"/>
                        <v:imagedata o:title=""/>
                        <o:lock v:ext="edit" aspectratio="f"/>
                        <v:textbox inset="2.54mm,0mm,2.54mm,0mm">
                          <w:txbxContent>
                            <w:p w14:paraId="46F1D08F">
                              <w:pPr>
                                <w:snapToGrid w:val="0"/>
                                <w:jc w:val="center"/>
                                <w:rPr>
                                  <w:szCs w:val="21"/>
                                </w:rPr>
                              </w:pPr>
                              <w:r>
                                <w:rPr>
                                  <w:rFonts w:hint="eastAsia"/>
                                  <w:szCs w:val="21"/>
                                </w:rPr>
                                <w:t>主体工程</w:t>
                              </w:r>
                            </w:p>
                          </w:txbxContent>
                        </v:textbox>
                      </v:rect>
                      <v:shape id="直接箭头连接符 78" o:spid="_x0000_s1026" o:spt="32" type="#_x0000_t32" style="position:absolute;left:1351321;top:719445;flip:y;height:1300;width:323800;" filled="f" stroked="t" coordsize="21600,21600" o:gfxdata="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Chws&#10;vdUAAAAFAQAADwAAAAAAAAABACAAAAAiAAAAZHJzL2Rvd25yZXYueG1sUEsBAhQAFAAAAAgAh07i&#10;QMhftyQlAgAABQQAAA4AAAAAAAAAAQAgAAAAJAEAAGRycy9lMm9Eb2MueG1sUEsFBgAAAAAGAAYA&#10;WQEAALsFAAAAAA==&#10;">
                        <v:fill on="f" focussize="0,0"/>
                        <v:stroke color="#000000" joinstyle="round" endarrow="block"/>
                        <v:imagedata o:title=""/>
                        <o:lock v:ext="edit" aspectratio="f"/>
                      </v:shape>
                      <v:shape id="直接箭头连接符 79" o:spid="_x0000_s1026" o:spt="32" type="#_x0000_t32" style="position:absolute;left:833121;top:302819;flip:y;height:288318;width:1300;" filled="f" stroked="t" coordsize="21600,21600" o:gfxdata="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GHJZ1rQAAAABQEAAA8AAAAAAAAAAQAgAAAAIgAAAGRycy9kb3ducmV2LnhtbFBLAQIUABQAAAAI&#10;AIdO4kDeMEZPLgIAABwEAAAOAAAAAAAAAAEAIAAAAB8BAABkcnMvZTJvRG9jLnhtbFBLBQYAAAAA&#10;BgAGAFkBAAC/BQAAAAA=&#10;">
                        <v:fill on="f" focussize="0,0"/>
                        <v:stroke color="#000000" joinstyle="round" dashstyle="dash" endarrow="block"/>
                        <v:imagedata o:title=""/>
                        <o:lock v:ext="edit" aspectratio="f"/>
                      </v:shape>
                      <v:rect id="矩形 80" o:spid="_x0000_s1026" o:spt="1" style="position:absolute;left:581021;top:0;height:307319;width:2796603;" filled="f" stroked="t" coordsize="21600,21600" o:gfxdata="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6IwPINEAAAAFAQAADwAAAAAAAAABACAAAAAiAAAA&#10;ZHJzL2Rvd25yZXYueG1sUEsBAhQAFAAAAAgAh07iQHoZWdxHAgAAcQQAAA4AAAAAAAAAAQAgAAAA&#10;IAEAAGRycy9lMm9Eb2MueG1sUEsFBgAAAAAGAAYAWQEAANkFAAAAAA==&#10;">
                        <v:fill on="f" focussize="0,0"/>
                        <v:stroke weight="1.25pt" color="#000000" miterlimit="8" joinstyle="miter" dashstyle="dash"/>
                        <v:imagedata o:title=""/>
                        <o:lock v:ext="edit" aspectratio="f"/>
                        <v:textbox>
                          <w:txbxContent>
                            <w:p w14:paraId="5753B729">
                              <w:pPr>
                                <w:adjustRightInd w:val="0"/>
                                <w:snapToGrid w:val="0"/>
                                <w:jc w:val="center"/>
                                <w:rPr>
                                  <w:szCs w:val="21"/>
                                </w:rPr>
                              </w:pPr>
                              <w:r>
                                <w:rPr>
                                  <w:rFonts w:hint="eastAsia"/>
                                  <w:szCs w:val="21"/>
                                </w:rPr>
                                <w:t>噪声、固废、粉尘、废水等</w:t>
                              </w:r>
                            </w:p>
                          </w:txbxContent>
                        </v:textbox>
                      </v:rect>
                      <v:shape id="直接箭头连接符 81" o:spid="_x0000_s1026" o:spt="32" type="#_x0000_t32" style="position:absolute;left:3155323;top:302819;flip:y;height:288318;width:1300;" filled="f" stroked="t" coordsize="21600,21600" o:gfxdata="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YclnWtAAAAAFAQAADwAAAAAAAAABACAAAAAiAAAAZHJzL2Rvd25yZXYueG1sUEsBAhQAFAAAAAgA&#10;h07iQA0Ph5AtAgAAHQQAAA4AAAAAAAAAAQAgAAAAHwEAAGRycy9lMm9Eb2MueG1sUEsFBgAAAAAG&#10;AAYAWQEAAL4FAAAAAA==&#10;">
                        <v:fill on="f" focussize="0,0"/>
                        <v:stroke color="#000000" joinstyle="round" dashstyle="dash" endarrow="block"/>
                        <v:imagedata o:title=""/>
                        <o:lock v:ext="edit" aspectratio="f"/>
                      </v:shape>
                      <w10:wrap type="none"/>
                      <w10:anchorlock/>
                    </v:group>
                  </w:pict>
                </mc:Fallback>
              </mc:AlternateContent>
            </w:r>
          </w:p>
          <w:p w14:paraId="7AD8FB04">
            <w:pPr>
              <w:adjustRightInd w:val="0"/>
              <w:snapToGrid w:val="0"/>
              <w:spacing w:line="360" w:lineRule="auto"/>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图2-2  施工期工艺流程及产排污环节示意图</w:t>
            </w:r>
          </w:p>
          <w:p w14:paraId="5713B3BF">
            <w:pPr>
              <w:adjustRightInd w:val="0"/>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二、营运期工艺流程及产排污</w:t>
            </w:r>
          </w:p>
          <w:p w14:paraId="33623E00">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项目改造前后生产工艺不变，生产规模也未发生变化。改造后仅原料发生变化，部分采用</w:t>
            </w:r>
            <w:r>
              <w:rPr>
                <w:rFonts w:ascii="Times New Roman" w:hAnsi="Times New Roman" w:eastAsia="宋体" w:cs="Times New Roman"/>
                <w:color w:val="000000" w:themeColor="text1"/>
                <w:sz w:val="24"/>
                <w:szCs w:val="24"/>
                <w:lang w:val="en-GB"/>
                <w14:textFill>
                  <w14:solidFill>
                    <w14:schemeClr w14:val="tx1"/>
                  </w14:solidFill>
                </w14:textFill>
              </w:rPr>
              <w:t>水基钻井废弃物、无机工业污泥等一般工业固废</w:t>
            </w:r>
            <w:r>
              <w:rPr>
                <w:rFonts w:ascii="Times New Roman" w:hAnsi="Times New Roman" w:eastAsia="宋体" w:cs="Times New Roman"/>
                <w:color w:val="000000" w:themeColor="text1"/>
                <w:sz w:val="24"/>
                <w:szCs w:val="24"/>
                <w14:textFill>
                  <w14:solidFill>
                    <w14:schemeClr w14:val="tx1"/>
                  </w14:solidFill>
                </w14:textFill>
              </w:rPr>
              <w:t>等替代部分页岩原材进行制砖。</w:t>
            </w:r>
            <w:r>
              <w:rPr>
                <w:rFonts w:ascii="Times New Roman" w:hAnsi="Times New Roman" w:eastAsia="宋体" w:cs="Times New Roman"/>
                <w:color w:val="000000" w:themeColor="text1"/>
                <w:sz w:val="24"/>
                <w:szCs w:val="24"/>
                <w:u w:val="single"/>
                <w14:textFill>
                  <w14:solidFill>
                    <w14:schemeClr w14:val="tx1"/>
                  </w14:solidFill>
                </w14:textFill>
              </w:rPr>
              <w:t>各类一般工业固废分别掺烧，不混合添加。</w:t>
            </w:r>
          </w:p>
          <w:p w14:paraId="7B9D19C5">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营运期工艺流程如下：</w:t>
            </w:r>
          </w:p>
          <w:p w14:paraId="3FD9EADB">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①</w:t>
            </w:r>
            <w:r>
              <w:rPr>
                <w:rFonts w:ascii="Times New Roman" w:hAnsi="Times New Roman" w:eastAsia="宋体" w:cs="Times New Roman"/>
                <w:color w:val="000000" w:themeColor="text1"/>
                <w:sz w:val="24"/>
                <w:szCs w:val="24"/>
                <w14:textFill>
                  <w14:solidFill>
                    <w14:schemeClr w14:val="tx1"/>
                  </w14:solidFill>
                </w14:textFill>
              </w:rPr>
              <w:t>破碎、筛分</w:t>
            </w:r>
          </w:p>
          <w:p w14:paraId="759FCE16">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页岩、各类一般工业固废储存在项目原料堆场、贮存间，进料采用装载机运输至箱式给料机经皮带输送进入颚式破碎机，对大颗粒原料进行破碎，破碎后的细料通过胶带输送机进入下一工序。</w:t>
            </w:r>
          </w:p>
          <w:p w14:paraId="71DB0AA7">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外购原煤通过粉料运输车输送到场内，外购粒径在1-10mm之间，通过配煤系统按比例添加，混合料进入锤式破碎机进行二次破碎，破碎后颗粒料经胶带输送机输送进入回转筛进行筛分，控制粒度＜2mm，筛上物经胶带输送机返回锤式破碎机继续破碎，筛下物经胶带输送机进入下一工序。</w:t>
            </w:r>
          </w:p>
          <w:p w14:paraId="01789F6B">
            <w:pPr>
              <w:adjustRightInd w:val="0"/>
              <w:snapToGrid w:val="0"/>
              <w:spacing w:line="360" w:lineRule="auto"/>
              <w:ind w:firstLine="480" w:firstLineChars="200"/>
              <w:rPr>
                <w:rFonts w:ascii="Times New Roman" w:hAnsi="Times New Roman" w:eastAsia="宋体" w:cs="Times New Roman"/>
                <w:color w:val="000000" w:themeColor="text1"/>
                <w:sz w:val="24"/>
                <w:szCs w:val="24"/>
                <w:u w:val="single"/>
                <w14:textFill>
                  <w14:solidFill>
                    <w14:schemeClr w14:val="tx1"/>
                  </w14:solidFill>
                </w14:textFill>
              </w:rPr>
            </w:pPr>
            <w:r>
              <w:rPr>
                <w:rFonts w:ascii="Times New Roman" w:hAnsi="Times New Roman" w:eastAsia="宋体" w:cs="Times New Roman"/>
                <w:color w:val="000000" w:themeColor="text1"/>
                <w:sz w:val="24"/>
                <w:szCs w:val="24"/>
                <w:u w:val="single"/>
                <w14:textFill>
                  <w14:solidFill>
                    <w14:schemeClr w14:val="tx1"/>
                  </w14:solidFill>
                </w14:textFill>
              </w:rPr>
              <w:t>该工序产生的污染物主要为粉尘、噪声。</w:t>
            </w:r>
          </w:p>
          <w:p w14:paraId="69EA6A25">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②</w:t>
            </w:r>
            <w:r>
              <w:rPr>
                <w:rFonts w:ascii="Times New Roman" w:hAnsi="Times New Roman" w:eastAsia="宋体" w:cs="Times New Roman"/>
                <w:color w:val="000000" w:themeColor="text1"/>
                <w:sz w:val="24"/>
                <w:szCs w:val="24"/>
                <w14:textFill>
                  <w14:solidFill>
                    <w14:schemeClr w14:val="tx1"/>
                  </w14:solidFill>
                </w14:textFill>
              </w:rPr>
              <w:t>搅拌、陈化</w:t>
            </w:r>
          </w:p>
          <w:p w14:paraId="54B25F2A">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经过筛分之后的物料经计量后由管道输送至双轴搅拌机，通过自动配水系统加水，搅拌混匀，由胶带输送机送到陈化库进行陈化处理，并使原料保证48小时以上陈化时间。使原料中的水分有足够的时间充分迁移，湿润粉料中的每一个颗粒，并且进一步提高原料的均匀性，从而改善泥料的物理性能，保证成型、干燥和焙烧等工序的技术要求，提高产品质量。经过陈化处理的物料经胶带输送机输送至双轴强力拌机，进行二次搅拌，使混合料性能满足成型需要。</w:t>
            </w:r>
          </w:p>
          <w:p w14:paraId="6ED0E469">
            <w:pPr>
              <w:adjustRightInd w:val="0"/>
              <w:snapToGrid w:val="0"/>
              <w:spacing w:line="360" w:lineRule="auto"/>
              <w:ind w:firstLine="480" w:firstLineChars="200"/>
              <w:rPr>
                <w:rFonts w:ascii="Times New Roman" w:hAnsi="Times New Roman" w:eastAsia="宋体" w:cs="Times New Roman"/>
                <w:color w:val="000000" w:themeColor="text1"/>
                <w:sz w:val="24"/>
                <w:szCs w:val="24"/>
                <w:u w:val="single"/>
                <w14:textFill>
                  <w14:solidFill>
                    <w14:schemeClr w14:val="tx1"/>
                  </w14:solidFill>
                </w14:textFill>
              </w:rPr>
            </w:pPr>
            <w:r>
              <w:rPr>
                <w:rFonts w:ascii="Times New Roman" w:hAnsi="Times New Roman" w:eastAsia="宋体" w:cs="Times New Roman"/>
                <w:color w:val="000000" w:themeColor="text1"/>
                <w:sz w:val="24"/>
                <w:szCs w:val="24"/>
                <w:u w:val="single"/>
                <w14:textFill>
                  <w14:solidFill>
                    <w14:schemeClr w14:val="tx1"/>
                  </w14:solidFill>
                </w14:textFill>
              </w:rPr>
              <w:t>该工序产生的污染物主要为噪声。</w:t>
            </w:r>
          </w:p>
          <w:p w14:paraId="1CC2CCB1">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③</w:t>
            </w:r>
            <w:r>
              <w:rPr>
                <w:rFonts w:ascii="Times New Roman" w:hAnsi="Times New Roman" w:eastAsia="宋体" w:cs="Times New Roman"/>
                <w:color w:val="000000" w:themeColor="text1"/>
                <w:sz w:val="24"/>
                <w:szCs w:val="24"/>
                <w14:textFill>
                  <w14:solidFill>
                    <w14:schemeClr w14:val="tx1"/>
                  </w14:solidFill>
                </w14:textFill>
              </w:rPr>
              <w:t>挤出与切坯</w:t>
            </w:r>
          </w:p>
          <w:p w14:paraId="6FA6B4BE">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经过二次搅拌的混合料进入三级真空挤出机挤出成型泥条，经自动切坯机切割成所需尺寸的砖坯，不合格砖坯返回二次搅拌工序，合格砖坯进入下一工序。</w:t>
            </w:r>
          </w:p>
          <w:p w14:paraId="45380C87">
            <w:pPr>
              <w:adjustRightInd w:val="0"/>
              <w:snapToGrid w:val="0"/>
              <w:spacing w:line="360" w:lineRule="auto"/>
              <w:ind w:firstLine="480" w:firstLineChars="200"/>
              <w:rPr>
                <w:rFonts w:ascii="Times New Roman" w:hAnsi="Times New Roman" w:eastAsia="宋体" w:cs="Times New Roman"/>
                <w:color w:val="000000" w:themeColor="text1"/>
                <w:sz w:val="24"/>
                <w:szCs w:val="24"/>
                <w:u w:val="single"/>
                <w14:textFill>
                  <w14:solidFill>
                    <w14:schemeClr w14:val="tx1"/>
                  </w14:solidFill>
                </w14:textFill>
              </w:rPr>
            </w:pPr>
            <w:r>
              <w:rPr>
                <w:rFonts w:ascii="Times New Roman" w:hAnsi="Times New Roman" w:eastAsia="宋体" w:cs="Times New Roman"/>
                <w:color w:val="000000" w:themeColor="text1"/>
                <w:sz w:val="24"/>
                <w:szCs w:val="24"/>
                <w:u w:val="single"/>
                <w14:textFill>
                  <w14:solidFill>
                    <w14:schemeClr w14:val="tx1"/>
                  </w14:solidFill>
                </w14:textFill>
              </w:rPr>
              <w:t>该工序产生的污染物主要为噪声、废泥条。</w:t>
            </w:r>
          </w:p>
          <w:p w14:paraId="0765AD29">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④</w:t>
            </w:r>
            <w:r>
              <w:rPr>
                <w:rFonts w:ascii="Times New Roman" w:hAnsi="Times New Roman" w:eastAsia="宋体" w:cs="Times New Roman"/>
                <w:color w:val="000000" w:themeColor="text1"/>
                <w:sz w:val="24"/>
                <w:szCs w:val="24"/>
                <w14:textFill>
                  <w14:solidFill>
                    <w14:schemeClr w14:val="tx1"/>
                  </w14:solidFill>
                </w14:textFill>
              </w:rPr>
              <w:t>焙烧</w:t>
            </w:r>
          </w:p>
          <w:p w14:paraId="295A0C3C">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本项目采用一次码烧隧道窑工艺，砖坯经轨道进入烘干窑（300-600</w:t>
            </w:r>
            <w:r>
              <w:rPr>
                <w:rFonts w:hint="eastAsia" w:ascii="宋体" w:hAnsi="宋体" w:eastAsia="宋体" w:cs="宋体"/>
                <w:color w:val="000000" w:themeColor="text1"/>
                <w:sz w:val="24"/>
                <w:szCs w:val="24"/>
                <w14:textFill>
                  <w14:solidFill>
                    <w14:schemeClr w14:val="tx1"/>
                  </w14:solidFill>
                </w14:textFill>
              </w:rPr>
              <w:t>℃</w:t>
            </w:r>
            <w:r>
              <w:rPr>
                <w:rFonts w:ascii="Times New Roman" w:hAnsi="Times New Roman" w:eastAsia="宋体" w:cs="Times New Roman"/>
                <w:color w:val="000000" w:themeColor="text1"/>
                <w:sz w:val="24"/>
                <w:szCs w:val="24"/>
                <w14:textFill>
                  <w14:solidFill>
                    <w14:schemeClr w14:val="tx1"/>
                  </w14:solidFill>
                </w14:textFill>
              </w:rPr>
              <w:t>），干燥后随窑车直接进入烧成带烧制。一般隧道窑焙烧炉温分三段：预热段、烧成段、冷却段。</w:t>
            </w:r>
          </w:p>
          <w:p w14:paraId="2115478B">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预热段：300-600</w:t>
            </w:r>
            <w:r>
              <w:rPr>
                <w:rFonts w:hint="eastAsia" w:ascii="宋体" w:hAnsi="宋体" w:eastAsia="宋体" w:cs="宋体"/>
                <w:color w:val="000000" w:themeColor="text1"/>
                <w:sz w:val="24"/>
                <w:szCs w:val="24"/>
                <w14:textFill>
                  <w14:solidFill>
                    <w14:schemeClr w14:val="tx1"/>
                  </w14:solidFill>
                </w14:textFill>
              </w:rPr>
              <w:t>℃</w:t>
            </w:r>
            <w:r>
              <w:rPr>
                <w:rFonts w:ascii="Times New Roman" w:hAnsi="Times New Roman" w:eastAsia="宋体" w:cs="Times New Roman"/>
                <w:color w:val="000000" w:themeColor="text1"/>
                <w:sz w:val="24"/>
                <w:szCs w:val="24"/>
                <w14:textFill>
                  <w14:solidFill>
                    <w14:schemeClr w14:val="tx1"/>
                  </w14:solidFill>
                </w14:textFill>
              </w:rPr>
              <w:t>，隧道窑焙烧窑内燃烧产生的高温烟气在隧道窑顶引风机的作用下，沿着隧道向烘干窑方向流动，同时逐步地预热进入窑内的制品，这一段构成了预热段。主要污染物为砖坯燃烧产生的高温烟气中所含的SO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和烟尘等。</w:t>
            </w:r>
          </w:p>
          <w:p w14:paraId="0BF4A53B">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烧成段：900-1000</w:t>
            </w:r>
            <w:r>
              <w:rPr>
                <w:rFonts w:hint="eastAsia" w:ascii="宋体" w:hAnsi="宋体" w:eastAsia="宋体" w:cs="宋体"/>
                <w:color w:val="000000" w:themeColor="text1"/>
                <w:sz w:val="24"/>
                <w:szCs w:val="24"/>
                <w14:textFill>
                  <w14:solidFill>
                    <w14:schemeClr w14:val="tx1"/>
                  </w14:solidFill>
                </w14:textFill>
              </w:rPr>
              <w:t>℃</w:t>
            </w:r>
            <w:r>
              <w:rPr>
                <w:rFonts w:ascii="Times New Roman" w:hAnsi="Times New Roman" w:eastAsia="宋体" w:cs="Times New Roman"/>
                <w:color w:val="000000" w:themeColor="text1"/>
                <w:sz w:val="24"/>
                <w:szCs w:val="24"/>
                <w14:textFill>
                  <w14:solidFill>
                    <w14:schemeClr w14:val="tx1"/>
                  </w14:solidFill>
                </w14:textFill>
              </w:rPr>
              <w:t>，燃烧设备设在隧道窑焙烧窑的中部两侧，构成了固定的高温带——烧成段。砖坯为内燃砖，当经过干燥的砖坯随窑车进入烧成段时，就利用砖坯自身所含煤热值继续燃烧，之后不再另行供热，烧成周期应在33小时左右。砖坯自身燃烧过程产生主要污染物为S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和烟尘等。</w:t>
            </w:r>
          </w:p>
          <w:p w14:paraId="5A41EB21">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冷却段：600-800</w:t>
            </w:r>
            <w:r>
              <w:rPr>
                <w:rFonts w:hint="eastAsia" w:ascii="宋体" w:hAnsi="宋体" w:eastAsia="宋体" w:cs="宋体"/>
                <w:color w:val="000000" w:themeColor="text1"/>
                <w:sz w:val="24"/>
                <w:szCs w:val="24"/>
                <w14:textFill>
                  <w14:solidFill>
                    <w14:schemeClr w14:val="tx1"/>
                  </w14:solidFill>
                </w14:textFill>
              </w:rPr>
              <w:t>℃</w:t>
            </w:r>
            <w:r>
              <w:rPr>
                <w:rFonts w:ascii="Times New Roman" w:hAnsi="Times New Roman" w:eastAsia="宋体" w:cs="Times New Roman"/>
                <w:color w:val="000000" w:themeColor="text1"/>
                <w:sz w:val="24"/>
                <w:szCs w:val="24"/>
                <w14:textFill>
                  <w14:solidFill>
                    <w14:schemeClr w14:val="tx1"/>
                  </w14:solidFill>
                </w14:textFill>
              </w:rPr>
              <w:t>，在隧道窑的窑尾股入冷风，冷却隧道窑内后一段的制品，鼓入的冷风流经制品而被加热后，再抽出送入干燥窑作为干燥生坯的热源，这一段便构成了隧道窑的冷却段。冷却段主要污染物为SO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和烟尘等。</w:t>
            </w:r>
          </w:p>
          <w:p w14:paraId="2DD5B42D">
            <w:pPr>
              <w:adjustRightInd w:val="0"/>
              <w:snapToGrid w:val="0"/>
              <w:spacing w:line="360" w:lineRule="auto"/>
              <w:ind w:firstLine="480" w:firstLineChars="200"/>
              <w:rPr>
                <w:rFonts w:ascii="Times New Roman" w:hAnsi="Times New Roman" w:eastAsia="宋体" w:cs="Times New Roman"/>
                <w:color w:val="000000" w:themeColor="text1"/>
                <w:sz w:val="24"/>
                <w:szCs w:val="24"/>
                <w:u w:val="single"/>
                <w14:textFill>
                  <w14:solidFill>
                    <w14:schemeClr w14:val="tx1"/>
                  </w14:solidFill>
                </w14:textFill>
              </w:rPr>
            </w:pPr>
            <w:r>
              <w:rPr>
                <w:rFonts w:ascii="Times New Roman" w:hAnsi="Times New Roman" w:eastAsia="宋体" w:cs="Times New Roman"/>
                <w:color w:val="000000" w:themeColor="text1"/>
                <w:sz w:val="24"/>
                <w:szCs w:val="24"/>
                <w:u w:val="single"/>
                <w14:textFill>
                  <w14:solidFill>
                    <w14:schemeClr w14:val="tx1"/>
                  </w14:solidFill>
                </w14:textFill>
              </w:rPr>
              <w:t>该工序产生的污染物主要为烟尘、SO</w:t>
            </w:r>
            <w:r>
              <w:rPr>
                <w:rFonts w:ascii="Times New Roman" w:hAnsi="Times New Roman" w:eastAsia="宋体" w:cs="Times New Roman"/>
                <w:color w:val="000000" w:themeColor="text1"/>
                <w:sz w:val="24"/>
                <w:szCs w:val="24"/>
                <w:u w:val="single"/>
                <w:vertAlign w:val="subscript"/>
                <w14:textFill>
                  <w14:solidFill>
                    <w14:schemeClr w14:val="tx1"/>
                  </w14:solidFill>
                </w14:textFill>
              </w:rPr>
              <w:t>2</w:t>
            </w:r>
            <w:r>
              <w:rPr>
                <w:rFonts w:ascii="Times New Roman" w:hAnsi="Times New Roman" w:eastAsia="宋体" w:cs="Times New Roman"/>
                <w:color w:val="000000" w:themeColor="text1"/>
                <w:sz w:val="24"/>
                <w:szCs w:val="24"/>
                <w:u w:val="single"/>
                <w14:textFill>
                  <w14:solidFill>
                    <w14:schemeClr w14:val="tx1"/>
                  </w14:solidFill>
                </w14:textFill>
              </w:rPr>
              <w:t>、NOx、氟化物、重金属、二噁英等。</w:t>
            </w:r>
          </w:p>
          <w:p w14:paraId="39588CD0">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⑤</w:t>
            </w:r>
            <w:r>
              <w:rPr>
                <w:rFonts w:ascii="Times New Roman" w:hAnsi="Times New Roman" w:eastAsia="宋体" w:cs="Times New Roman"/>
                <w:color w:val="000000" w:themeColor="text1"/>
                <w:sz w:val="24"/>
                <w:szCs w:val="24"/>
                <w14:textFill>
                  <w14:solidFill>
                    <w14:schemeClr w14:val="tx1"/>
                  </w14:solidFill>
                </w14:textFill>
              </w:rPr>
              <w:t>成品、检测</w:t>
            </w:r>
          </w:p>
          <w:p w14:paraId="077CFF5F">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设计成品合格率为95%以上，经检验合格的成品，作为产品对外销售，不合格品回到破碎工序，再利用。产品质量由质检部门按规范定期检测和不定期抽查。</w:t>
            </w:r>
          </w:p>
          <w:p w14:paraId="55E14351">
            <w:pPr>
              <w:adjustRightInd w:val="0"/>
              <w:snapToGrid w:val="0"/>
              <w:spacing w:line="360" w:lineRule="auto"/>
              <w:ind w:firstLine="480" w:firstLineChars="200"/>
              <w:rPr>
                <w:rFonts w:ascii="Times New Roman" w:hAnsi="Times New Roman" w:eastAsia="宋体" w:cs="Times New Roman"/>
                <w:color w:val="000000" w:themeColor="text1"/>
                <w:sz w:val="24"/>
                <w:szCs w:val="24"/>
                <w:u w:val="single"/>
                <w14:textFill>
                  <w14:solidFill>
                    <w14:schemeClr w14:val="tx1"/>
                  </w14:solidFill>
                </w14:textFill>
              </w:rPr>
            </w:pPr>
            <w:r>
              <w:rPr>
                <w:rFonts w:ascii="Times New Roman" w:hAnsi="Times New Roman" w:eastAsia="宋体" w:cs="Times New Roman"/>
                <w:color w:val="000000" w:themeColor="text1"/>
                <w:sz w:val="24"/>
                <w:szCs w:val="24"/>
                <w:u w:val="single"/>
                <w14:textFill>
                  <w14:solidFill>
                    <w14:schemeClr w14:val="tx1"/>
                  </w14:solidFill>
                </w14:textFill>
              </w:rPr>
              <w:t>该工序产生的污染物主要为不合格品。</w:t>
            </w:r>
          </w:p>
          <w:p w14:paraId="1929C5A9"/>
          <w:p w14:paraId="5D5F5F4E">
            <w:pPr>
              <w:pStyle w:val="6"/>
            </w:pPr>
          </w:p>
          <w:p w14:paraId="10D81F2F"/>
          <w:p w14:paraId="48522A12"/>
          <w:p w14:paraId="0C38B62F">
            <w:pPr>
              <w:pStyle w:val="6"/>
            </w:pPr>
          </w:p>
          <w:p w14:paraId="4EDA859A"/>
          <w:p w14:paraId="5C77D9D4"/>
          <w:p w14:paraId="7842094A">
            <w:pPr>
              <w:pStyle w:val="6"/>
            </w:pPr>
          </w:p>
          <w:p w14:paraId="02D0F727"/>
          <w:p w14:paraId="6E883DC9"/>
          <w:p w14:paraId="16C79CDA">
            <w:pPr>
              <w:pStyle w:val="6"/>
            </w:pPr>
          </w:p>
          <w:p w14:paraId="312CB093"/>
          <w:p w14:paraId="38CAE3ED"/>
          <w:p w14:paraId="00E231A2">
            <w:pPr>
              <w:pStyle w:val="6"/>
            </w:pPr>
          </w:p>
          <w:p w14:paraId="4229121E"/>
          <w:p w14:paraId="1901018A"/>
          <w:p w14:paraId="23741DAE">
            <w:pPr>
              <w:pStyle w:val="6"/>
            </w:pPr>
          </w:p>
          <w:p w14:paraId="5B06E26C">
            <w:pP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drawing>
                <wp:inline distT="0" distB="0" distL="0" distR="0">
                  <wp:extent cx="4797425" cy="5466080"/>
                  <wp:effectExtent l="0" t="0" r="3175" b="127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7"/>
                          <a:stretch>
                            <a:fillRect/>
                          </a:stretch>
                        </pic:blipFill>
                        <pic:spPr>
                          <a:xfrm>
                            <a:off x="0" y="0"/>
                            <a:ext cx="4803828" cy="5473563"/>
                          </a:xfrm>
                          <a:prstGeom prst="rect">
                            <a:avLst/>
                          </a:prstGeom>
                        </pic:spPr>
                      </pic:pic>
                    </a:graphicData>
                  </a:graphic>
                </wp:inline>
              </w:drawing>
            </w:r>
          </w:p>
          <w:p w14:paraId="7C6870C2">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图2-3  运营期工艺流程及产排污环节示意图</w:t>
            </w:r>
          </w:p>
          <w:p w14:paraId="0CB20D91">
            <w:pPr>
              <w:rPr>
                <w:rFonts w:ascii="Times New Roman" w:hAnsi="Times New Roman" w:eastAsia="宋体" w:cs="Times New Roman"/>
                <w:color w:val="000000" w:themeColor="text1"/>
                <w:sz w:val="24"/>
                <w:szCs w:val="24"/>
                <w14:textFill>
                  <w14:solidFill>
                    <w14:schemeClr w14:val="tx1"/>
                  </w14:solidFill>
                </w14:textFill>
              </w:rPr>
            </w:pPr>
          </w:p>
          <w:p w14:paraId="248B5D75">
            <w:pPr>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综上所述，技改后项目主要产排污环节及产污类型如下表所示：</w:t>
            </w:r>
          </w:p>
          <w:p w14:paraId="3FC1B134">
            <w:pPr>
              <w:jc w:val="center"/>
              <w:rPr>
                <w:rFonts w:ascii="Times New Roman" w:hAnsi="Times New Roman" w:eastAsia="宋体" w:cs="Times New Roman"/>
                <w:b/>
                <w:color w:val="000000" w:themeColor="text1"/>
                <w:szCs w:val="24"/>
                <w14:textFill>
                  <w14:solidFill>
                    <w14:schemeClr w14:val="tx1"/>
                  </w14:solidFill>
                </w14:textFill>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25</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ascii="Times New Roman" w:hAnsi="Times New Roman" w:eastAsia="宋体" w:cs="Times New Roman"/>
                <w:b/>
                <w:color w:val="000000" w:themeColor="text1"/>
                <w:szCs w:val="24"/>
                <w14:textFill>
                  <w14:solidFill>
                    <w14:schemeClr w14:val="tx1"/>
                  </w14:solidFill>
                </w14:textFill>
              </w:rPr>
              <w:t>技改后项目主要产排污环节及产污类型</w:t>
            </w:r>
          </w:p>
          <w:tbl>
            <w:tblPr>
              <w:tblStyle w:val="2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4"/>
              <w:gridCol w:w="1632"/>
              <w:gridCol w:w="1368"/>
              <w:gridCol w:w="2450"/>
              <w:gridCol w:w="1249"/>
            </w:tblGrid>
            <w:tr w14:paraId="41B868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2" w:type="dxa"/>
                  <w:vAlign w:val="center"/>
                </w:tcPr>
                <w:p w14:paraId="60D9965A">
                  <w:pPr>
                    <w:jc w:val="center"/>
                    <w:rPr>
                      <w:rFonts w:ascii="Times New Roman" w:hAnsi="Times New Roman" w:eastAsia="宋体" w:cs="Times New Roman"/>
                      <w:b/>
                      <w:color w:val="000000" w:themeColor="text1"/>
                      <w:szCs w:val="24"/>
                      <w14:textFill>
                        <w14:solidFill>
                          <w14:schemeClr w14:val="tx1"/>
                        </w14:solidFill>
                      </w14:textFill>
                    </w:rPr>
                  </w:pPr>
                  <w:r>
                    <w:rPr>
                      <w:rFonts w:ascii="Times New Roman" w:hAnsi="Times New Roman" w:eastAsia="宋体" w:cs="Times New Roman"/>
                      <w:b/>
                      <w:color w:val="000000" w:themeColor="text1"/>
                      <w:szCs w:val="24"/>
                      <w14:textFill>
                        <w14:solidFill>
                          <w14:schemeClr w14:val="tx1"/>
                        </w14:solidFill>
                      </w14:textFill>
                    </w:rPr>
                    <w:t>污染类型</w:t>
                  </w:r>
                </w:p>
              </w:tc>
              <w:tc>
                <w:tcPr>
                  <w:tcW w:w="1701" w:type="dxa"/>
                  <w:vAlign w:val="center"/>
                </w:tcPr>
                <w:p w14:paraId="314A9EC2">
                  <w:pPr>
                    <w:jc w:val="center"/>
                    <w:rPr>
                      <w:rFonts w:ascii="Times New Roman" w:hAnsi="Times New Roman" w:eastAsia="宋体" w:cs="Times New Roman"/>
                      <w:b/>
                      <w:color w:val="000000" w:themeColor="text1"/>
                      <w:szCs w:val="24"/>
                      <w14:textFill>
                        <w14:solidFill>
                          <w14:schemeClr w14:val="tx1"/>
                        </w14:solidFill>
                      </w14:textFill>
                    </w:rPr>
                  </w:pPr>
                  <w:r>
                    <w:rPr>
                      <w:rFonts w:ascii="Times New Roman" w:hAnsi="Times New Roman" w:eastAsia="宋体" w:cs="Times New Roman"/>
                      <w:b/>
                      <w:color w:val="000000" w:themeColor="text1"/>
                      <w:szCs w:val="24"/>
                      <w14:textFill>
                        <w14:solidFill>
                          <w14:schemeClr w14:val="tx1"/>
                        </w14:solidFill>
                      </w14:textFill>
                    </w:rPr>
                    <w:t>产污环节</w:t>
                  </w:r>
                </w:p>
              </w:tc>
              <w:tc>
                <w:tcPr>
                  <w:tcW w:w="1419" w:type="dxa"/>
                  <w:vAlign w:val="center"/>
                </w:tcPr>
                <w:p w14:paraId="67C3D4EC">
                  <w:pPr>
                    <w:jc w:val="center"/>
                    <w:rPr>
                      <w:rFonts w:ascii="Times New Roman" w:hAnsi="Times New Roman" w:eastAsia="宋体" w:cs="Times New Roman"/>
                      <w:b/>
                      <w:color w:val="000000" w:themeColor="text1"/>
                      <w:szCs w:val="24"/>
                      <w14:textFill>
                        <w14:solidFill>
                          <w14:schemeClr w14:val="tx1"/>
                        </w14:solidFill>
                      </w14:textFill>
                    </w:rPr>
                  </w:pPr>
                  <w:r>
                    <w:rPr>
                      <w:rFonts w:ascii="Times New Roman" w:hAnsi="Times New Roman" w:eastAsia="宋体" w:cs="Times New Roman"/>
                      <w:b/>
                      <w:color w:val="000000" w:themeColor="text1"/>
                      <w:szCs w:val="24"/>
                      <w14:textFill>
                        <w14:solidFill>
                          <w14:schemeClr w14:val="tx1"/>
                        </w14:solidFill>
                      </w14:textFill>
                    </w:rPr>
                    <w:t>污染物类型</w:t>
                  </w:r>
                </w:p>
              </w:tc>
              <w:tc>
                <w:tcPr>
                  <w:tcW w:w="2550" w:type="dxa"/>
                  <w:vAlign w:val="center"/>
                </w:tcPr>
                <w:p w14:paraId="700349AD">
                  <w:pPr>
                    <w:jc w:val="center"/>
                    <w:rPr>
                      <w:rFonts w:ascii="Times New Roman" w:hAnsi="Times New Roman" w:eastAsia="宋体" w:cs="Times New Roman"/>
                      <w:b/>
                      <w:color w:val="000000" w:themeColor="text1"/>
                      <w:szCs w:val="24"/>
                      <w14:textFill>
                        <w14:solidFill>
                          <w14:schemeClr w14:val="tx1"/>
                        </w14:solidFill>
                      </w14:textFill>
                    </w:rPr>
                  </w:pPr>
                  <w:r>
                    <w:rPr>
                      <w:rFonts w:ascii="Times New Roman" w:hAnsi="Times New Roman" w:eastAsia="宋体" w:cs="Times New Roman"/>
                      <w:b/>
                      <w:color w:val="000000" w:themeColor="text1"/>
                      <w:szCs w:val="24"/>
                      <w14:textFill>
                        <w14:solidFill>
                          <w14:schemeClr w14:val="tx1"/>
                        </w14:solidFill>
                      </w14:textFill>
                    </w:rPr>
                    <w:t>主要污染因子或废物类别</w:t>
                  </w:r>
                </w:p>
              </w:tc>
              <w:tc>
                <w:tcPr>
                  <w:tcW w:w="1306" w:type="dxa"/>
                  <w:vAlign w:val="center"/>
                </w:tcPr>
                <w:p w14:paraId="7B1507BD">
                  <w:pPr>
                    <w:jc w:val="center"/>
                    <w:rPr>
                      <w:rFonts w:ascii="Times New Roman" w:hAnsi="Times New Roman" w:eastAsia="宋体" w:cs="Times New Roman"/>
                      <w:b/>
                      <w:color w:val="000000" w:themeColor="text1"/>
                      <w:szCs w:val="24"/>
                      <w14:textFill>
                        <w14:solidFill>
                          <w14:schemeClr w14:val="tx1"/>
                        </w14:solidFill>
                      </w14:textFill>
                    </w:rPr>
                  </w:pPr>
                  <w:r>
                    <w:rPr>
                      <w:rFonts w:ascii="Times New Roman" w:hAnsi="Times New Roman" w:eastAsia="宋体" w:cs="Times New Roman"/>
                      <w:b/>
                      <w:color w:val="000000" w:themeColor="text1"/>
                      <w:szCs w:val="24"/>
                      <w14:textFill>
                        <w14:solidFill>
                          <w14:schemeClr w14:val="tx1"/>
                        </w14:solidFill>
                      </w14:textFill>
                    </w:rPr>
                    <w:t>备注</w:t>
                  </w:r>
                </w:p>
              </w:tc>
            </w:tr>
            <w:tr w14:paraId="7E9ED6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2" w:type="dxa"/>
                  <w:vMerge w:val="restart"/>
                  <w:vAlign w:val="center"/>
                </w:tcPr>
                <w:p w14:paraId="6BDE49EB">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大气污染物</w:t>
                  </w:r>
                </w:p>
              </w:tc>
              <w:tc>
                <w:tcPr>
                  <w:tcW w:w="1701" w:type="dxa"/>
                  <w:vAlign w:val="center"/>
                </w:tcPr>
                <w:p w14:paraId="4052D221">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原料堆场</w:t>
                  </w:r>
                </w:p>
              </w:tc>
              <w:tc>
                <w:tcPr>
                  <w:tcW w:w="1419" w:type="dxa"/>
                  <w:vAlign w:val="center"/>
                </w:tcPr>
                <w:p w14:paraId="1FB511EC">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堆存粉尘</w:t>
                  </w:r>
                </w:p>
              </w:tc>
              <w:tc>
                <w:tcPr>
                  <w:tcW w:w="2550" w:type="dxa"/>
                  <w:vAlign w:val="center"/>
                </w:tcPr>
                <w:p w14:paraId="57993429">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颗粒物</w:t>
                  </w:r>
                </w:p>
              </w:tc>
              <w:tc>
                <w:tcPr>
                  <w:tcW w:w="1306" w:type="dxa"/>
                  <w:vAlign w:val="center"/>
                </w:tcPr>
                <w:p w14:paraId="186077C4">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已有</w:t>
                  </w:r>
                </w:p>
              </w:tc>
            </w:tr>
            <w:tr w14:paraId="4091D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2" w:type="dxa"/>
                  <w:vMerge w:val="continue"/>
                  <w:vAlign w:val="center"/>
                </w:tcPr>
                <w:p w14:paraId="21C71EAB">
                  <w:pPr>
                    <w:jc w:val="center"/>
                    <w:rPr>
                      <w:rFonts w:ascii="Times New Roman" w:hAnsi="Times New Roman" w:eastAsia="宋体" w:cs="Times New Roman"/>
                      <w:color w:val="000000" w:themeColor="text1"/>
                      <w:szCs w:val="24"/>
                      <w14:textFill>
                        <w14:solidFill>
                          <w14:schemeClr w14:val="tx1"/>
                        </w14:solidFill>
                      </w14:textFill>
                    </w:rPr>
                  </w:pPr>
                </w:p>
              </w:tc>
              <w:tc>
                <w:tcPr>
                  <w:tcW w:w="1701" w:type="dxa"/>
                  <w:vAlign w:val="center"/>
                </w:tcPr>
                <w:p w14:paraId="7D6699C3">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一般工业固废贮存间</w:t>
                  </w:r>
                </w:p>
              </w:tc>
              <w:tc>
                <w:tcPr>
                  <w:tcW w:w="1419" w:type="dxa"/>
                  <w:vAlign w:val="center"/>
                </w:tcPr>
                <w:p w14:paraId="5F65EFEA">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异味</w:t>
                  </w:r>
                </w:p>
              </w:tc>
              <w:tc>
                <w:tcPr>
                  <w:tcW w:w="2550" w:type="dxa"/>
                  <w:vAlign w:val="center"/>
                </w:tcPr>
                <w:p w14:paraId="6363CD05">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少量酸碱异味</w:t>
                  </w:r>
                </w:p>
              </w:tc>
              <w:tc>
                <w:tcPr>
                  <w:tcW w:w="1306" w:type="dxa"/>
                  <w:vAlign w:val="center"/>
                </w:tcPr>
                <w:p w14:paraId="0A52847F">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技改新增</w:t>
                  </w:r>
                </w:p>
              </w:tc>
            </w:tr>
            <w:tr w14:paraId="5160A1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2" w:type="dxa"/>
                  <w:vMerge w:val="continue"/>
                  <w:vAlign w:val="center"/>
                </w:tcPr>
                <w:p w14:paraId="0D81C47D">
                  <w:pPr>
                    <w:jc w:val="center"/>
                    <w:rPr>
                      <w:rFonts w:ascii="Times New Roman" w:hAnsi="Times New Roman" w:eastAsia="宋体" w:cs="Times New Roman"/>
                      <w:color w:val="000000" w:themeColor="text1"/>
                      <w:szCs w:val="24"/>
                      <w14:textFill>
                        <w14:solidFill>
                          <w14:schemeClr w14:val="tx1"/>
                        </w14:solidFill>
                      </w14:textFill>
                    </w:rPr>
                  </w:pPr>
                </w:p>
              </w:tc>
              <w:tc>
                <w:tcPr>
                  <w:tcW w:w="1701" w:type="dxa"/>
                  <w:vAlign w:val="center"/>
                </w:tcPr>
                <w:p w14:paraId="25AFF154">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破碎、筛分</w:t>
                  </w:r>
                </w:p>
              </w:tc>
              <w:tc>
                <w:tcPr>
                  <w:tcW w:w="1419" w:type="dxa"/>
                  <w:vAlign w:val="center"/>
                </w:tcPr>
                <w:p w14:paraId="4A930409">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破碎筛分粉尘</w:t>
                  </w:r>
                </w:p>
              </w:tc>
              <w:tc>
                <w:tcPr>
                  <w:tcW w:w="2550" w:type="dxa"/>
                  <w:vAlign w:val="center"/>
                </w:tcPr>
                <w:p w14:paraId="45EE9377">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颗粒物</w:t>
                  </w:r>
                </w:p>
              </w:tc>
              <w:tc>
                <w:tcPr>
                  <w:tcW w:w="1306" w:type="dxa"/>
                  <w:vAlign w:val="center"/>
                </w:tcPr>
                <w:p w14:paraId="7C752652">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已有+技改新增</w:t>
                  </w:r>
                </w:p>
              </w:tc>
            </w:tr>
            <w:tr w14:paraId="560D15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2" w:type="dxa"/>
                  <w:vMerge w:val="continue"/>
                  <w:vAlign w:val="center"/>
                </w:tcPr>
                <w:p w14:paraId="7A2A8023">
                  <w:pPr>
                    <w:jc w:val="center"/>
                    <w:rPr>
                      <w:rFonts w:ascii="Times New Roman" w:hAnsi="Times New Roman" w:eastAsia="宋体" w:cs="Times New Roman"/>
                      <w:color w:val="000000" w:themeColor="text1"/>
                      <w:szCs w:val="24"/>
                      <w14:textFill>
                        <w14:solidFill>
                          <w14:schemeClr w14:val="tx1"/>
                        </w14:solidFill>
                      </w14:textFill>
                    </w:rPr>
                  </w:pPr>
                </w:p>
              </w:tc>
              <w:tc>
                <w:tcPr>
                  <w:tcW w:w="1701" w:type="dxa"/>
                  <w:vAlign w:val="center"/>
                </w:tcPr>
                <w:p w14:paraId="67937E31">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隧道窑、烘干窑</w:t>
                  </w:r>
                </w:p>
              </w:tc>
              <w:tc>
                <w:tcPr>
                  <w:tcW w:w="1419" w:type="dxa"/>
                  <w:vAlign w:val="center"/>
                </w:tcPr>
                <w:p w14:paraId="72C82534">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烟气</w:t>
                  </w:r>
                </w:p>
              </w:tc>
              <w:tc>
                <w:tcPr>
                  <w:tcW w:w="2550" w:type="dxa"/>
                  <w:vAlign w:val="center"/>
                </w:tcPr>
                <w:p w14:paraId="507748BA">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颗粒物、SO</w:t>
                  </w:r>
                  <w:r>
                    <w:rPr>
                      <w:rFonts w:ascii="Times New Roman" w:hAnsi="Times New Roman" w:eastAsia="宋体" w:cs="Times New Roman"/>
                      <w:color w:val="000000" w:themeColor="text1"/>
                      <w:szCs w:val="24"/>
                      <w:vertAlign w:val="subscript"/>
                      <w14:textFill>
                        <w14:solidFill>
                          <w14:schemeClr w14:val="tx1"/>
                        </w14:solidFill>
                      </w14:textFill>
                    </w:rPr>
                    <w:t>2</w:t>
                  </w:r>
                  <w:r>
                    <w:rPr>
                      <w:rFonts w:ascii="Times New Roman" w:hAnsi="Times New Roman" w:eastAsia="宋体" w:cs="Times New Roman"/>
                      <w:color w:val="000000" w:themeColor="text1"/>
                      <w:szCs w:val="24"/>
                      <w14:textFill>
                        <w14:solidFill>
                          <w14:schemeClr w14:val="tx1"/>
                        </w14:solidFill>
                      </w14:textFill>
                    </w:rPr>
                    <w:t>、NOx、氟化物</w:t>
                  </w:r>
                </w:p>
              </w:tc>
              <w:tc>
                <w:tcPr>
                  <w:tcW w:w="1306" w:type="dxa"/>
                  <w:vAlign w:val="center"/>
                </w:tcPr>
                <w:p w14:paraId="26645B91">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已有+技改新增</w:t>
                  </w:r>
                </w:p>
              </w:tc>
            </w:tr>
            <w:tr w14:paraId="7FFEEA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2" w:type="dxa"/>
                  <w:vMerge w:val="continue"/>
                  <w:vAlign w:val="center"/>
                </w:tcPr>
                <w:p w14:paraId="3C46E7A5">
                  <w:pPr>
                    <w:jc w:val="center"/>
                    <w:rPr>
                      <w:rFonts w:ascii="Times New Roman" w:hAnsi="Times New Roman" w:eastAsia="宋体" w:cs="Times New Roman"/>
                      <w:color w:val="000000" w:themeColor="text1"/>
                      <w:szCs w:val="24"/>
                      <w14:textFill>
                        <w14:solidFill>
                          <w14:schemeClr w14:val="tx1"/>
                        </w14:solidFill>
                      </w14:textFill>
                    </w:rPr>
                  </w:pPr>
                </w:p>
              </w:tc>
              <w:tc>
                <w:tcPr>
                  <w:tcW w:w="1701" w:type="dxa"/>
                  <w:vAlign w:val="center"/>
                </w:tcPr>
                <w:p w14:paraId="67195903">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物料转运</w:t>
                  </w:r>
                </w:p>
              </w:tc>
              <w:tc>
                <w:tcPr>
                  <w:tcW w:w="1419" w:type="dxa"/>
                  <w:vAlign w:val="center"/>
                </w:tcPr>
                <w:p w14:paraId="241F62FD">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转运扬尘</w:t>
                  </w:r>
                </w:p>
              </w:tc>
              <w:tc>
                <w:tcPr>
                  <w:tcW w:w="2550" w:type="dxa"/>
                  <w:vAlign w:val="center"/>
                </w:tcPr>
                <w:p w14:paraId="67B957B4">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颗粒物</w:t>
                  </w:r>
                </w:p>
              </w:tc>
              <w:tc>
                <w:tcPr>
                  <w:tcW w:w="1306" w:type="dxa"/>
                  <w:vAlign w:val="center"/>
                </w:tcPr>
                <w:p w14:paraId="6E5A7F25">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已有</w:t>
                  </w:r>
                </w:p>
              </w:tc>
            </w:tr>
            <w:tr w14:paraId="1A47C6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2" w:type="dxa"/>
                  <w:vMerge w:val="continue"/>
                  <w:vAlign w:val="center"/>
                </w:tcPr>
                <w:p w14:paraId="12F2DBB5">
                  <w:pPr>
                    <w:jc w:val="center"/>
                    <w:rPr>
                      <w:rFonts w:ascii="Times New Roman" w:hAnsi="Times New Roman" w:eastAsia="宋体" w:cs="Times New Roman"/>
                      <w:color w:val="000000" w:themeColor="text1"/>
                      <w:szCs w:val="24"/>
                      <w14:textFill>
                        <w14:solidFill>
                          <w14:schemeClr w14:val="tx1"/>
                        </w14:solidFill>
                      </w14:textFill>
                    </w:rPr>
                  </w:pPr>
                </w:p>
              </w:tc>
              <w:tc>
                <w:tcPr>
                  <w:tcW w:w="1701" w:type="dxa"/>
                  <w:vAlign w:val="center"/>
                </w:tcPr>
                <w:p w14:paraId="75CBCC2B">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运输</w:t>
                  </w:r>
                </w:p>
              </w:tc>
              <w:tc>
                <w:tcPr>
                  <w:tcW w:w="1419" w:type="dxa"/>
                  <w:vAlign w:val="center"/>
                </w:tcPr>
                <w:p w14:paraId="2953118A">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汽车运输扬尘</w:t>
                  </w:r>
                </w:p>
              </w:tc>
              <w:tc>
                <w:tcPr>
                  <w:tcW w:w="2550" w:type="dxa"/>
                  <w:vAlign w:val="center"/>
                </w:tcPr>
                <w:p w14:paraId="1BB12D96">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颗粒物</w:t>
                  </w:r>
                </w:p>
              </w:tc>
              <w:tc>
                <w:tcPr>
                  <w:tcW w:w="1306" w:type="dxa"/>
                  <w:vAlign w:val="center"/>
                </w:tcPr>
                <w:p w14:paraId="1672101F">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已有</w:t>
                  </w:r>
                </w:p>
              </w:tc>
            </w:tr>
            <w:tr w14:paraId="726052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2" w:type="dxa"/>
                  <w:vMerge w:val="restart"/>
                  <w:vAlign w:val="center"/>
                </w:tcPr>
                <w:p w14:paraId="5ED7F25E">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水污染物</w:t>
                  </w:r>
                </w:p>
              </w:tc>
              <w:tc>
                <w:tcPr>
                  <w:tcW w:w="1701" w:type="dxa"/>
                  <w:vAlign w:val="center"/>
                </w:tcPr>
                <w:p w14:paraId="0C1E1983">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隧道窑、烘干窑</w:t>
                  </w:r>
                </w:p>
              </w:tc>
              <w:tc>
                <w:tcPr>
                  <w:tcW w:w="1419" w:type="dxa"/>
                  <w:vAlign w:val="center"/>
                </w:tcPr>
                <w:p w14:paraId="0D2007C0">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脱硫除尘废水</w:t>
                  </w:r>
                </w:p>
              </w:tc>
              <w:tc>
                <w:tcPr>
                  <w:tcW w:w="2550" w:type="dxa"/>
                  <w:vAlign w:val="center"/>
                </w:tcPr>
                <w:p w14:paraId="19F62C47">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SS、pH、盐类</w:t>
                  </w:r>
                </w:p>
              </w:tc>
              <w:tc>
                <w:tcPr>
                  <w:tcW w:w="1306" w:type="dxa"/>
                  <w:vAlign w:val="center"/>
                </w:tcPr>
                <w:p w14:paraId="049041F7">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已有</w:t>
                  </w:r>
                </w:p>
              </w:tc>
            </w:tr>
            <w:tr w14:paraId="51290A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2" w:type="dxa"/>
                  <w:vMerge w:val="continue"/>
                  <w:vAlign w:val="center"/>
                </w:tcPr>
                <w:p w14:paraId="479A3570">
                  <w:pPr>
                    <w:jc w:val="center"/>
                    <w:rPr>
                      <w:rFonts w:ascii="Times New Roman" w:hAnsi="Times New Roman" w:eastAsia="宋体" w:cs="Times New Roman"/>
                      <w:color w:val="000000" w:themeColor="text1"/>
                      <w:szCs w:val="24"/>
                      <w14:textFill>
                        <w14:solidFill>
                          <w14:schemeClr w14:val="tx1"/>
                        </w14:solidFill>
                      </w14:textFill>
                    </w:rPr>
                  </w:pPr>
                </w:p>
              </w:tc>
              <w:tc>
                <w:tcPr>
                  <w:tcW w:w="1701" w:type="dxa"/>
                  <w:vAlign w:val="center"/>
                </w:tcPr>
                <w:p w14:paraId="7496AD84">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办公生活</w:t>
                  </w:r>
                </w:p>
              </w:tc>
              <w:tc>
                <w:tcPr>
                  <w:tcW w:w="1419" w:type="dxa"/>
                  <w:vAlign w:val="center"/>
                </w:tcPr>
                <w:p w14:paraId="71713753">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生活污水</w:t>
                  </w:r>
                </w:p>
              </w:tc>
              <w:tc>
                <w:tcPr>
                  <w:tcW w:w="2550" w:type="dxa"/>
                  <w:vAlign w:val="center"/>
                </w:tcPr>
                <w:p w14:paraId="4018C920">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COD、BOD</w:t>
                  </w:r>
                  <w:r>
                    <w:rPr>
                      <w:rFonts w:ascii="Times New Roman" w:hAnsi="Times New Roman" w:eastAsia="宋体" w:cs="Times New Roman"/>
                      <w:color w:val="000000" w:themeColor="text1"/>
                      <w:szCs w:val="24"/>
                      <w:vertAlign w:val="subscript"/>
                      <w14:textFill>
                        <w14:solidFill>
                          <w14:schemeClr w14:val="tx1"/>
                        </w14:solidFill>
                      </w14:textFill>
                    </w:rPr>
                    <w:t>5</w:t>
                  </w:r>
                  <w:r>
                    <w:rPr>
                      <w:rFonts w:ascii="Times New Roman" w:hAnsi="Times New Roman" w:eastAsia="宋体" w:cs="Times New Roman"/>
                      <w:color w:val="000000" w:themeColor="text1"/>
                      <w:szCs w:val="24"/>
                      <w14:textFill>
                        <w14:solidFill>
                          <w14:schemeClr w14:val="tx1"/>
                        </w14:solidFill>
                      </w14:textFill>
                    </w:rPr>
                    <w:t>、NH</w:t>
                  </w:r>
                  <w:r>
                    <w:rPr>
                      <w:rFonts w:ascii="Times New Roman" w:hAnsi="Times New Roman" w:eastAsia="宋体" w:cs="Times New Roman"/>
                      <w:color w:val="000000" w:themeColor="text1"/>
                      <w:szCs w:val="24"/>
                      <w:vertAlign w:val="subscript"/>
                      <w14:textFill>
                        <w14:solidFill>
                          <w14:schemeClr w14:val="tx1"/>
                        </w14:solidFill>
                      </w14:textFill>
                    </w:rPr>
                    <w:t>3</w:t>
                  </w:r>
                  <w:r>
                    <w:rPr>
                      <w:rFonts w:ascii="Times New Roman" w:hAnsi="Times New Roman" w:eastAsia="宋体" w:cs="Times New Roman"/>
                      <w:color w:val="000000" w:themeColor="text1"/>
                      <w:szCs w:val="24"/>
                      <w14:textFill>
                        <w14:solidFill>
                          <w14:schemeClr w14:val="tx1"/>
                        </w14:solidFill>
                      </w14:textFill>
                    </w:rPr>
                    <w:t>-N、动植物油</w:t>
                  </w:r>
                </w:p>
              </w:tc>
              <w:tc>
                <w:tcPr>
                  <w:tcW w:w="1306" w:type="dxa"/>
                  <w:vAlign w:val="center"/>
                </w:tcPr>
                <w:p w14:paraId="412E0A6E">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已有</w:t>
                  </w:r>
                </w:p>
              </w:tc>
            </w:tr>
            <w:tr w14:paraId="431F60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2" w:type="dxa"/>
                  <w:vMerge w:val="restart"/>
                  <w:vAlign w:val="center"/>
                </w:tcPr>
                <w:p w14:paraId="4F4A56C0">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噪声</w:t>
                  </w:r>
                </w:p>
              </w:tc>
              <w:tc>
                <w:tcPr>
                  <w:tcW w:w="1701" w:type="dxa"/>
                  <w:vAlign w:val="center"/>
                </w:tcPr>
                <w:p w14:paraId="401028F8">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生产过程</w:t>
                  </w:r>
                </w:p>
              </w:tc>
              <w:tc>
                <w:tcPr>
                  <w:tcW w:w="1419" w:type="dxa"/>
                  <w:vAlign w:val="center"/>
                </w:tcPr>
                <w:p w14:paraId="589D4BC7">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机械噪声</w:t>
                  </w:r>
                </w:p>
              </w:tc>
              <w:tc>
                <w:tcPr>
                  <w:tcW w:w="2550" w:type="dxa"/>
                  <w:vAlign w:val="center"/>
                </w:tcPr>
                <w:p w14:paraId="5CFFB6DF">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噪声</w:t>
                  </w:r>
                </w:p>
              </w:tc>
              <w:tc>
                <w:tcPr>
                  <w:tcW w:w="1306" w:type="dxa"/>
                  <w:vAlign w:val="center"/>
                </w:tcPr>
                <w:p w14:paraId="6FBC2160">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已有</w:t>
                  </w:r>
                </w:p>
              </w:tc>
            </w:tr>
            <w:tr w14:paraId="4BC5BF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2" w:type="dxa"/>
                  <w:vMerge w:val="continue"/>
                  <w:vAlign w:val="center"/>
                </w:tcPr>
                <w:p w14:paraId="7F5A49CE">
                  <w:pPr>
                    <w:jc w:val="center"/>
                    <w:rPr>
                      <w:rFonts w:ascii="Times New Roman" w:hAnsi="Times New Roman" w:eastAsia="宋体" w:cs="Times New Roman"/>
                      <w:color w:val="000000" w:themeColor="text1"/>
                      <w:szCs w:val="24"/>
                      <w14:textFill>
                        <w14:solidFill>
                          <w14:schemeClr w14:val="tx1"/>
                        </w14:solidFill>
                      </w14:textFill>
                    </w:rPr>
                  </w:pPr>
                </w:p>
              </w:tc>
              <w:tc>
                <w:tcPr>
                  <w:tcW w:w="1701" w:type="dxa"/>
                  <w:vAlign w:val="center"/>
                </w:tcPr>
                <w:p w14:paraId="2AB50FC9">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运输</w:t>
                  </w:r>
                </w:p>
              </w:tc>
              <w:tc>
                <w:tcPr>
                  <w:tcW w:w="1419" w:type="dxa"/>
                  <w:vAlign w:val="center"/>
                </w:tcPr>
                <w:p w14:paraId="26B4824B">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交通噪声</w:t>
                  </w:r>
                </w:p>
              </w:tc>
              <w:tc>
                <w:tcPr>
                  <w:tcW w:w="2550" w:type="dxa"/>
                  <w:vAlign w:val="center"/>
                </w:tcPr>
                <w:p w14:paraId="21BB5070">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噪声</w:t>
                  </w:r>
                </w:p>
              </w:tc>
              <w:tc>
                <w:tcPr>
                  <w:tcW w:w="1306" w:type="dxa"/>
                  <w:vAlign w:val="center"/>
                </w:tcPr>
                <w:p w14:paraId="7E9A7752">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已有</w:t>
                  </w:r>
                </w:p>
              </w:tc>
            </w:tr>
            <w:tr w14:paraId="23E501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2" w:type="dxa"/>
                  <w:vMerge w:val="restart"/>
                  <w:vAlign w:val="center"/>
                </w:tcPr>
                <w:p w14:paraId="351BE394">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固体废物</w:t>
                  </w:r>
                </w:p>
              </w:tc>
              <w:tc>
                <w:tcPr>
                  <w:tcW w:w="1701" w:type="dxa"/>
                  <w:vAlign w:val="center"/>
                </w:tcPr>
                <w:p w14:paraId="4C534EC5">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挤出</w:t>
                  </w:r>
                </w:p>
              </w:tc>
              <w:tc>
                <w:tcPr>
                  <w:tcW w:w="1419" w:type="dxa"/>
                  <w:vAlign w:val="center"/>
                </w:tcPr>
                <w:p w14:paraId="04FD92EE">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挤出机边角料和废砖坯</w:t>
                  </w:r>
                </w:p>
              </w:tc>
              <w:tc>
                <w:tcPr>
                  <w:tcW w:w="2550" w:type="dxa"/>
                  <w:vAlign w:val="center"/>
                </w:tcPr>
                <w:p w14:paraId="098125A4">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一般固废</w:t>
                  </w:r>
                </w:p>
              </w:tc>
              <w:tc>
                <w:tcPr>
                  <w:tcW w:w="1306" w:type="dxa"/>
                  <w:vAlign w:val="center"/>
                </w:tcPr>
                <w:p w14:paraId="0B6C5B71">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已有</w:t>
                  </w:r>
                </w:p>
              </w:tc>
            </w:tr>
            <w:tr w14:paraId="14158E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2" w:type="dxa"/>
                  <w:vMerge w:val="continue"/>
                  <w:vAlign w:val="center"/>
                </w:tcPr>
                <w:p w14:paraId="660E264E">
                  <w:pPr>
                    <w:jc w:val="center"/>
                    <w:rPr>
                      <w:rFonts w:ascii="Times New Roman" w:hAnsi="Times New Roman" w:eastAsia="宋体" w:cs="Times New Roman"/>
                      <w:color w:val="000000" w:themeColor="text1"/>
                      <w:szCs w:val="24"/>
                      <w14:textFill>
                        <w14:solidFill>
                          <w14:schemeClr w14:val="tx1"/>
                        </w14:solidFill>
                      </w14:textFill>
                    </w:rPr>
                  </w:pPr>
                </w:p>
              </w:tc>
              <w:tc>
                <w:tcPr>
                  <w:tcW w:w="1701" w:type="dxa"/>
                  <w:vAlign w:val="center"/>
                </w:tcPr>
                <w:p w14:paraId="3733C365">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产品检验</w:t>
                  </w:r>
                </w:p>
              </w:tc>
              <w:tc>
                <w:tcPr>
                  <w:tcW w:w="1419" w:type="dxa"/>
                  <w:vAlign w:val="center"/>
                </w:tcPr>
                <w:p w14:paraId="6D96C150">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生产废砖</w:t>
                  </w:r>
                </w:p>
              </w:tc>
              <w:tc>
                <w:tcPr>
                  <w:tcW w:w="2550" w:type="dxa"/>
                  <w:vAlign w:val="center"/>
                </w:tcPr>
                <w:p w14:paraId="4FC17271">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一般固废</w:t>
                  </w:r>
                </w:p>
              </w:tc>
              <w:tc>
                <w:tcPr>
                  <w:tcW w:w="1306" w:type="dxa"/>
                  <w:vAlign w:val="center"/>
                </w:tcPr>
                <w:p w14:paraId="5BD7B622">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已有</w:t>
                  </w:r>
                </w:p>
              </w:tc>
            </w:tr>
            <w:tr w14:paraId="55550B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2" w:type="dxa"/>
                  <w:vMerge w:val="continue"/>
                  <w:vAlign w:val="center"/>
                </w:tcPr>
                <w:p w14:paraId="0247C547">
                  <w:pPr>
                    <w:jc w:val="center"/>
                    <w:rPr>
                      <w:rFonts w:ascii="Times New Roman" w:hAnsi="Times New Roman" w:eastAsia="宋体" w:cs="Times New Roman"/>
                      <w:color w:val="000000" w:themeColor="text1"/>
                      <w:szCs w:val="24"/>
                      <w14:textFill>
                        <w14:solidFill>
                          <w14:schemeClr w14:val="tx1"/>
                        </w14:solidFill>
                      </w14:textFill>
                    </w:rPr>
                  </w:pPr>
                </w:p>
              </w:tc>
              <w:tc>
                <w:tcPr>
                  <w:tcW w:w="1701" w:type="dxa"/>
                  <w:vAlign w:val="center"/>
                </w:tcPr>
                <w:p w14:paraId="731229E8">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隧道窑</w:t>
                  </w:r>
                </w:p>
              </w:tc>
              <w:tc>
                <w:tcPr>
                  <w:tcW w:w="1419" w:type="dxa"/>
                  <w:vAlign w:val="center"/>
                </w:tcPr>
                <w:p w14:paraId="1D55C868">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煤渣</w:t>
                  </w:r>
                </w:p>
              </w:tc>
              <w:tc>
                <w:tcPr>
                  <w:tcW w:w="2550" w:type="dxa"/>
                  <w:vAlign w:val="center"/>
                </w:tcPr>
                <w:p w14:paraId="6449210A">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一般固废</w:t>
                  </w:r>
                </w:p>
              </w:tc>
              <w:tc>
                <w:tcPr>
                  <w:tcW w:w="1306" w:type="dxa"/>
                  <w:vAlign w:val="center"/>
                </w:tcPr>
                <w:p w14:paraId="20485ABE">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已有</w:t>
                  </w:r>
                </w:p>
              </w:tc>
            </w:tr>
            <w:tr w14:paraId="716EE6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2" w:type="dxa"/>
                  <w:vMerge w:val="continue"/>
                  <w:vAlign w:val="center"/>
                </w:tcPr>
                <w:p w14:paraId="06964911">
                  <w:pPr>
                    <w:jc w:val="center"/>
                    <w:rPr>
                      <w:rFonts w:ascii="Times New Roman" w:hAnsi="Times New Roman" w:eastAsia="宋体" w:cs="Times New Roman"/>
                      <w:color w:val="000000" w:themeColor="text1"/>
                      <w:szCs w:val="24"/>
                      <w14:textFill>
                        <w14:solidFill>
                          <w14:schemeClr w14:val="tx1"/>
                        </w14:solidFill>
                      </w14:textFill>
                    </w:rPr>
                  </w:pPr>
                </w:p>
              </w:tc>
              <w:tc>
                <w:tcPr>
                  <w:tcW w:w="1701" w:type="dxa"/>
                  <w:vAlign w:val="center"/>
                </w:tcPr>
                <w:p w14:paraId="5098AD53">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烟气治理</w:t>
                  </w:r>
                </w:p>
              </w:tc>
              <w:tc>
                <w:tcPr>
                  <w:tcW w:w="1419" w:type="dxa"/>
                  <w:vAlign w:val="center"/>
                </w:tcPr>
                <w:p w14:paraId="37A71C8D">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湿式脱硫塔沉淀渣</w:t>
                  </w:r>
                </w:p>
              </w:tc>
              <w:tc>
                <w:tcPr>
                  <w:tcW w:w="2550" w:type="dxa"/>
                  <w:vAlign w:val="center"/>
                </w:tcPr>
                <w:p w14:paraId="369E0915">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一般固废</w:t>
                  </w:r>
                </w:p>
              </w:tc>
              <w:tc>
                <w:tcPr>
                  <w:tcW w:w="1306" w:type="dxa"/>
                  <w:vAlign w:val="center"/>
                </w:tcPr>
                <w:p w14:paraId="1BE89E41">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已有</w:t>
                  </w:r>
                </w:p>
              </w:tc>
            </w:tr>
            <w:tr w14:paraId="0B81C4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2" w:type="dxa"/>
                  <w:vMerge w:val="continue"/>
                  <w:vAlign w:val="center"/>
                </w:tcPr>
                <w:p w14:paraId="07DCF8C0">
                  <w:pPr>
                    <w:jc w:val="center"/>
                    <w:rPr>
                      <w:rFonts w:ascii="Times New Roman" w:hAnsi="Times New Roman" w:eastAsia="宋体" w:cs="Times New Roman"/>
                      <w:color w:val="000000" w:themeColor="text1"/>
                      <w:szCs w:val="24"/>
                      <w14:textFill>
                        <w14:solidFill>
                          <w14:schemeClr w14:val="tx1"/>
                        </w14:solidFill>
                      </w14:textFill>
                    </w:rPr>
                  </w:pPr>
                </w:p>
              </w:tc>
              <w:tc>
                <w:tcPr>
                  <w:tcW w:w="1701" w:type="dxa"/>
                  <w:vAlign w:val="center"/>
                </w:tcPr>
                <w:p w14:paraId="2D32D67B">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粉尘治理</w:t>
                  </w:r>
                </w:p>
              </w:tc>
              <w:tc>
                <w:tcPr>
                  <w:tcW w:w="1419" w:type="dxa"/>
                  <w:vAlign w:val="center"/>
                </w:tcPr>
                <w:p w14:paraId="3E5F2625">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布袋除尘器除灰尘</w:t>
                  </w:r>
                </w:p>
              </w:tc>
              <w:tc>
                <w:tcPr>
                  <w:tcW w:w="2550" w:type="dxa"/>
                  <w:vAlign w:val="center"/>
                </w:tcPr>
                <w:p w14:paraId="0B194614">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一般固废</w:t>
                  </w:r>
                </w:p>
              </w:tc>
              <w:tc>
                <w:tcPr>
                  <w:tcW w:w="1306" w:type="dxa"/>
                  <w:vAlign w:val="center"/>
                </w:tcPr>
                <w:p w14:paraId="23EDDBDD">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已有</w:t>
                  </w:r>
                </w:p>
              </w:tc>
            </w:tr>
            <w:tr w14:paraId="234090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2" w:type="dxa"/>
                  <w:vMerge w:val="continue"/>
                  <w:vAlign w:val="center"/>
                </w:tcPr>
                <w:p w14:paraId="1EDE7C23">
                  <w:pPr>
                    <w:jc w:val="center"/>
                    <w:rPr>
                      <w:rFonts w:ascii="Times New Roman" w:hAnsi="Times New Roman" w:eastAsia="宋体" w:cs="Times New Roman"/>
                      <w:color w:val="000000" w:themeColor="text1"/>
                      <w:szCs w:val="24"/>
                      <w14:textFill>
                        <w14:solidFill>
                          <w14:schemeClr w14:val="tx1"/>
                        </w14:solidFill>
                      </w14:textFill>
                    </w:rPr>
                  </w:pPr>
                </w:p>
              </w:tc>
              <w:tc>
                <w:tcPr>
                  <w:tcW w:w="1701" w:type="dxa"/>
                  <w:vAlign w:val="center"/>
                </w:tcPr>
                <w:p w14:paraId="57499FE9">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办公生活</w:t>
                  </w:r>
                </w:p>
              </w:tc>
              <w:tc>
                <w:tcPr>
                  <w:tcW w:w="1419" w:type="dxa"/>
                  <w:vAlign w:val="center"/>
                </w:tcPr>
                <w:p w14:paraId="3420CED2">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生活垃圾</w:t>
                  </w:r>
                </w:p>
              </w:tc>
              <w:tc>
                <w:tcPr>
                  <w:tcW w:w="2550" w:type="dxa"/>
                  <w:vAlign w:val="center"/>
                </w:tcPr>
                <w:p w14:paraId="4AA55FDC">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生活垃圾</w:t>
                  </w:r>
                </w:p>
              </w:tc>
              <w:tc>
                <w:tcPr>
                  <w:tcW w:w="1306" w:type="dxa"/>
                  <w:vAlign w:val="center"/>
                </w:tcPr>
                <w:p w14:paraId="068CAD1D">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已有</w:t>
                  </w:r>
                </w:p>
              </w:tc>
            </w:tr>
            <w:tr w14:paraId="045A88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62" w:type="dxa"/>
                  <w:vMerge w:val="continue"/>
                  <w:vAlign w:val="center"/>
                </w:tcPr>
                <w:p w14:paraId="2DD65141">
                  <w:pPr>
                    <w:jc w:val="center"/>
                    <w:rPr>
                      <w:rFonts w:ascii="Times New Roman" w:hAnsi="Times New Roman" w:eastAsia="宋体" w:cs="Times New Roman"/>
                      <w:color w:val="000000" w:themeColor="text1"/>
                      <w:szCs w:val="24"/>
                      <w14:textFill>
                        <w14:solidFill>
                          <w14:schemeClr w14:val="tx1"/>
                        </w14:solidFill>
                      </w14:textFill>
                    </w:rPr>
                  </w:pPr>
                </w:p>
              </w:tc>
              <w:tc>
                <w:tcPr>
                  <w:tcW w:w="1701" w:type="dxa"/>
                  <w:vAlign w:val="center"/>
                </w:tcPr>
                <w:p w14:paraId="5F6EE9FF">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设备维修</w:t>
                  </w:r>
                </w:p>
              </w:tc>
              <w:tc>
                <w:tcPr>
                  <w:tcW w:w="1419" w:type="dxa"/>
                  <w:vAlign w:val="center"/>
                </w:tcPr>
                <w:p w14:paraId="25FAE68D">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废润滑油、废机油、废油桶、含油棉纱手套</w:t>
                  </w:r>
                </w:p>
              </w:tc>
              <w:tc>
                <w:tcPr>
                  <w:tcW w:w="2550" w:type="dxa"/>
                  <w:vAlign w:val="center"/>
                </w:tcPr>
                <w:p w14:paraId="05779B4C">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危险废物</w:t>
                  </w:r>
                </w:p>
              </w:tc>
              <w:tc>
                <w:tcPr>
                  <w:tcW w:w="1306" w:type="dxa"/>
                  <w:vAlign w:val="center"/>
                </w:tcPr>
                <w:p w14:paraId="6B4CB832">
                  <w:pPr>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已有</w:t>
                  </w:r>
                </w:p>
              </w:tc>
            </w:tr>
          </w:tbl>
          <w:p w14:paraId="22D16ED5">
            <w:pPr>
              <w:rPr>
                <w:rFonts w:ascii="Times New Roman" w:hAnsi="Times New Roman" w:eastAsia="宋体" w:cs="Times New Roman"/>
                <w:color w:val="000000" w:themeColor="text1"/>
                <w:sz w:val="24"/>
                <w:szCs w:val="24"/>
                <w14:textFill>
                  <w14:solidFill>
                    <w14:schemeClr w14:val="tx1"/>
                  </w14:solidFill>
                </w14:textFill>
              </w:rPr>
            </w:pPr>
          </w:p>
        </w:tc>
      </w:tr>
      <w:tr w14:paraId="4705FC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62" w:type="dxa"/>
            <w:shd w:val="clear" w:color="auto" w:fill="FEFEFE"/>
            <w:vAlign w:val="center"/>
          </w:tcPr>
          <w:p w14:paraId="301487E2">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与项目有关的原有环境污染问题</w:t>
            </w:r>
          </w:p>
        </w:tc>
        <w:tc>
          <w:tcPr>
            <w:tcW w:w="8364" w:type="dxa"/>
            <w:shd w:val="clear" w:color="auto" w:fill="FEFEFE"/>
            <w:vAlign w:val="center"/>
          </w:tcPr>
          <w:p w14:paraId="45F84E3D">
            <w:pPr>
              <w:adjustRightInd w:val="0"/>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一、</w:t>
            </w:r>
            <w:r>
              <w:rPr>
                <w:rFonts w:ascii="Times New Roman" w:hAnsi="Times New Roman" w:eastAsia="宋体" w:cs="Times New Roman"/>
                <w:b/>
                <w:bCs/>
                <w:color w:val="000000" w:themeColor="text1"/>
                <w:sz w:val="24"/>
                <w:szCs w:val="24"/>
                <w14:textFill>
                  <w14:solidFill>
                    <w14:schemeClr w14:val="tx1"/>
                  </w14:solidFill>
                </w14:textFill>
              </w:rPr>
              <w:t>现有工程环评、验收情况</w:t>
            </w:r>
          </w:p>
          <w:p w14:paraId="124362B7">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遂宁市安居区横山机砖厂成立于1995年8月，由于建厂较早，项目生产线设施陈旧、技术水平较为落后，且原有16门轮窑属于淘汰生产工艺，原有页岩砖最大产量仅为1000万匹/年。2016年底遂宁市安居区横山机砖厂委托原四川浩瀚环保科技有限公司编制了环境影响备案报告，并于2017年2月24日取得了原遂宁市安居区环境保护局出具的建设项目备案通知（遂安环建备</w:t>
            </w:r>
            <w:r>
              <w:rPr>
                <w:rFonts w:ascii="Times New Roman" w:hAnsi="Times New Roman" w:eastAsia="宋体" w:cs="Times New Roman"/>
                <w:color w:val="000000" w:themeColor="text1"/>
                <w:sz w:val="24"/>
                <w:szCs w:val="24"/>
                <w:lang w:bidi="ar"/>
                <w14:textFill>
                  <w14:solidFill>
                    <w14:schemeClr w14:val="tx1"/>
                  </w14:solidFill>
                </w14:textFill>
              </w:rPr>
              <w:t>[2017]</w:t>
            </w:r>
            <w:r>
              <w:rPr>
                <w:rFonts w:ascii="Times New Roman" w:hAnsi="Times New Roman" w:eastAsia="宋体" w:cs="Times New Roman"/>
                <w:color w:val="000000" w:themeColor="text1"/>
                <w:sz w:val="24"/>
                <w:szCs w:val="24"/>
                <w14:textFill>
                  <w14:solidFill>
                    <w14:schemeClr w14:val="tx1"/>
                  </w14:solidFill>
                </w14:textFill>
              </w:rPr>
              <w:t>323号）。</w:t>
            </w:r>
          </w:p>
          <w:p w14:paraId="36CE2D7C">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2017年8月，遂宁市安居区横山机砖厂决定在现有厂区内投资1500万元进行扩能改造，将原有轮窑、生产车间及配套设施全部拆除，新建隧道窑生产线及配套设施生产车间等，形成年产8000万匹/年页岩砖的生产规模。2017年10月，遂宁市安居区环境保护局对横山机砖厂技改扩能建设项目环境影响报告表以“遂安环函</w:t>
            </w:r>
            <w:r>
              <w:rPr>
                <w:rFonts w:ascii="Times New Roman" w:hAnsi="Times New Roman" w:eastAsia="宋体" w:cs="Times New Roman"/>
                <w:color w:val="000000" w:themeColor="text1"/>
                <w:sz w:val="24"/>
                <w:szCs w:val="24"/>
                <w:lang w:bidi="ar"/>
                <w14:textFill>
                  <w14:solidFill>
                    <w14:schemeClr w14:val="tx1"/>
                  </w14:solidFill>
                </w14:textFill>
              </w:rPr>
              <w:t>[2017]230号</w:t>
            </w:r>
            <w:r>
              <w:rPr>
                <w:rFonts w:ascii="Times New Roman" w:hAnsi="Times New Roman" w:eastAsia="宋体" w:cs="Times New Roman"/>
                <w:color w:val="000000" w:themeColor="text1"/>
                <w:sz w:val="24"/>
                <w:szCs w:val="24"/>
                <w14:textFill>
                  <w14:solidFill>
                    <w14:schemeClr w14:val="tx1"/>
                  </w14:solidFill>
                </w14:textFill>
              </w:rPr>
              <w:t>”进行批复，该项目于2020年11月完成建设并投产使用，企业于2021年6月15日办理了排污许可证，编号[91510904206264319U001V]；于2021年1月着手对横山机砖厂技改扩能建设项目进行竣工环境保护自主验收，并于2021年8月14日取得验收意见通过验收组验收。</w:t>
            </w:r>
          </w:p>
          <w:p w14:paraId="7644158A">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环评验收手续办理情况见下表。</w:t>
            </w:r>
          </w:p>
          <w:p w14:paraId="5938C378">
            <w:pPr>
              <w:snapToGrid w:val="0"/>
              <w:ind w:firstLine="422" w:firstLineChars="20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26</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ascii="Times New Roman" w:hAnsi="Times New Roman" w:eastAsia="宋体" w:cs="Times New Roman"/>
                <w:b/>
                <w:color w:val="000000" w:themeColor="text1"/>
                <w:szCs w:val="21"/>
                <w14:textFill>
                  <w14:solidFill>
                    <w14:schemeClr w14:val="tx1"/>
                  </w14:solidFill>
                </w14:textFill>
              </w:rPr>
              <w:t>项目环评、验收情况表</w:t>
            </w:r>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09"/>
              <w:gridCol w:w="2107"/>
              <w:gridCol w:w="3110"/>
              <w:gridCol w:w="2087"/>
            </w:tblGrid>
            <w:tr w14:paraId="5BF795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1" w:hRule="atLeast"/>
                <w:tblHeader/>
                <w:jc w:val="center"/>
              </w:trPr>
              <w:tc>
                <w:tcPr>
                  <w:tcW w:w="326" w:type="pct"/>
                  <w:tcBorders>
                    <w:top w:val="single" w:color="auto" w:sz="4" w:space="0"/>
                    <w:left w:val="single" w:color="auto" w:sz="4" w:space="0"/>
                    <w:bottom w:val="single" w:color="auto" w:sz="4" w:space="0"/>
                    <w:right w:val="single" w:color="auto" w:sz="4" w:space="0"/>
                  </w:tcBorders>
                  <w:vAlign w:val="center"/>
                </w:tcPr>
                <w:p w14:paraId="3DD2714A">
                  <w:pPr>
                    <w:snapToGrid w:val="0"/>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序号</w:t>
                  </w:r>
                </w:p>
              </w:tc>
              <w:tc>
                <w:tcPr>
                  <w:tcW w:w="1348" w:type="pct"/>
                  <w:tcBorders>
                    <w:top w:val="single" w:color="auto" w:sz="4" w:space="0"/>
                    <w:left w:val="single" w:color="auto" w:sz="4" w:space="0"/>
                    <w:bottom w:val="single" w:color="auto" w:sz="4" w:space="0"/>
                    <w:right w:val="single" w:color="auto" w:sz="4" w:space="0"/>
                  </w:tcBorders>
                  <w:vAlign w:val="center"/>
                </w:tcPr>
                <w:p w14:paraId="19F8C401">
                  <w:pPr>
                    <w:adjustRightInd w:val="0"/>
                    <w:snapToGrid w:val="0"/>
                    <w:ind w:left="-105" w:leftChars="-50" w:right="-105" w:rightChars="-50"/>
                    <w:jc w:val="center"/>
                    <w:rPr>
                      <w:rFonts w:ascii="Times New Roman" w:hAnsi="Times New Roman" w:eastAsia="宋体" w:cs="Times New Roman"/>
                      <w:b/>
                      <w:color w:val="000000" w:themeColor="text1"/>
                      <w:kern w:val="0"/>
                      <w:szCs w:val="21"/>
                      <w:lang w:bidi="ar"/>
                      <w14:textFill>
                        <w14:solidFill>
                          <w14:schemeClr w14:val="tx1"/>
                        </w14:solidFill>
                      </w14:textFill>
                    </w:rPr>
                  </w:pPr>
                  <w:r>
                    <w:rPr>
                      <w:rFonts w:ascii="Times New Roman" w:hAnsi="Times New Roman" w:eastAsia="宋体" w:cs="Times New Roman"/>
                      <w:b/>
                      <w:color w:val="000000" w:themeColor="text1"/>
                      <w:kern w:val="0"/>
                      <w:szCs w:val="21"/>
                      <w:lang w:bidi="ar"/>
                      <w14:textFill>
                        <w14:solidFill>
                          <w14:schemeClr w14:val="tx1"/>
                        </w14:solidFill>
                      </w14:textFill>
                    </w:rPr>
                    <w:t>项目名称</w:t>
                  </w:r>
                </w:p>
              </w:tc>
              <w:tc>
                <w:tcPr>
                  <w:tcW w:w="1990" w:type="pct"/>
                  <w:tcBorders>
                    <w:top w:val="single" w:color="auto" w:sz="4" w:space="0"/>
                    <w:left w:val="single" w:color="auto" w:sz="4" w:space="0"/>
                    <w:bottom w:val="single" w:color="auto" w:sz="4" w:space="0"/>
                    <w:right w:val="single" w:color="auto" w:sz="4" w:space="0"/>
                  </w:tcBorders>
                  <w:vAlign w:val="center"/>
                </w:tcPr>
                <w:p w14:paraId="7A4A2DD4">
                  <w:pPr>
                    <w:adjustRightInd w:val="0"/>
                    <w:snapToGrid w:val="0"/>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环评手续</w:t>
                  </w:r>
                </w:p>
              </w:tc>
              <w:tc>
                <w:tcPr>
                  <w:tcW w:w="1335" w:type="pct"/>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14:paraId="6C559CA1">
                  <w:pPr>
                    <w:adjustRightInd w:val="0"/>
                    <w:snapToGrid w:val="0"/>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验收手续</w:t>
                  </w:r>
                </w:p>
              </w:tc>
            </w:tr>
            <w:tr w14:paraId="51DC2A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8" w:hRule="atLeast"/>
                <w:jc w:val="center"/>
              </w:trPr>
              <w:tc>
                <w:tcPr>
                  <w:tcW w:w="326" w:type="pct"/>
                  <w:tcBorders>
                    <w:top w:val="single" w:color="auto" w:sz="4" w:space="0"/>
                    <w:left w:val="single" w:color="auto" w:sz="4" w:space="0"/>
                    <w:bottom w:val="single" w:color="auto" w:sz="4" w:space="0"/>
                    <w:right w:val="single" w:color="auto" w:sz="4" w:space="0"/>
                  </w:tcBorders>
                  <w:vAlign w:val="center"/>
                </w:tcPr>
                <w:p w14:paraId="6A7B2F4C">
                  <w:pPr>
                    <w:adjustRightInd w:val="0"/>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w:t>
                  </w:r>
                </w:p>
              </w:tc>
              <w:tc>
                <w:tcPr>
                  <w:tcW w:w="1348" w:type="pct"/>
                  <w:tcBorders>
                    <w:top w:val="single" w:color="auto" w:sz="4" w:space="0"/>
                    <w:left w:val="single" w:color="auto" w:sz="4" w:space="0"/>
                    <w:bottom w:val="single" w:color="auto" w:sz="4" w:space="0"/>
                    <w:right w:val="single" w:color="auto" w:sz="4" w:space="0"/>
                  </w:tcBorders>
                  <w:vAlign w:val="center"/>
                </w:tcPr>
                <w:p w14:paraId="0E2B0295">
                  <w:pPr>
                    <w:adjustRightInd w:val="0"/>
                    <w:snapToGrid w:val="0"/>
                    <w:ind w:left="-105" w:leftChars="-50" w:right="-105" w:rightChars="-50"/>
                    <w:jc w:val="center"/>
                    <w:rPr>
                      <w:rFonts w:ascii="Times New Roman" w:hAnsi="Times New Roman" w:eastAsia="宋体" w:cs="Times New Roman"/>
                      <w:snapToGrid w:val="0"/>
                      <w:color w:val="000000" w:themeColor="text1"/>
                      <w:spacing w:val="10"/>
                      <w:kern w:val="0"/>
                      <w:szCs w:val="21"/>
                      <w14:textFill>
                        <w14:solidFill>
                          <w14:schemeClr w14:val="tx1"/>
                        </w14:solidFill>
                      </w14:textFill>
                    </w:rPr>
                  </w:pPr>
                  <w:r>
                    <w:rPr>
                      <w:rFonts w:ascii="Times New Roman" w:hAnsi="Times New Roman" w:eastAsia="宋体" w:cs="Times New Roman"/>
                      <w:snapToGrid w:val="0"/>
                      <w:color w:val="000000" w:themeColor="text1"/>
                      <w:spacing w:val="10"/>
                      <w:kern w:val="0"/>
                      <w:szCs w:val="21"/>
                      <w14:textFill>
                        <w14:solidFill>
                          <w14:schemeClr w14:val="tx1"/>
                        </w14:solidFill>
                      </w14:textFill>
                    </w:rPr>
                    <w:t>横山机砖厂项目</w:t>
                  </w:r>
                </w:p>
              </w:tc>
              <w:tc>
                <w:tcPr>
                  <w:tcW w:w="1990" w:type="pct"/>
                  <w:tcBorders>
                    <w:top w:val="single" w:color="auto" w:sz="4" w:space="0"/>
                    <w:left w:val="single" w:color="auto" w:sz="4" w:space="0"/>
                    <w:bottom w:val="single" w:color="auto" w:sz="4" w:space="0"/>
                    <w:right w:val="single" w:color="auto" w:sz="4" w:space="0"/>
                  </w:tcBorders>
                  <w:vAlign w:val="center"/>
                </w:tcPr>
                <w:p w14:paraId="5AF7B413">
                  <w:pPr>
                    <w:pStyle w:val="3"/>
                    <w:adjustRightInd w:val="0"/>
                    <w:snapToGrid w:val="0"/>
                    <w:spacing w:line="240" w:lineRule="auto"/>
                    <w:ind w:left="-105" w:leftChars="-50" w:right="-105" w:rightChars="-50" w:firstLine="0" w:firstLineChars="0"/>
                    <w:jc w:val="center"/>
                    <w:rPr>
                      <w:rFonts w:ascii="Times New Roman" w:eastAsia="宋体" w:cs="Times New Roman"/>
                      <w:color w:val="000000" w:themeColor="text1"/>
                      <w:sz w:val="21"/>
                      <w:szCs w:val="21"/>
                      <w14:textFill>
                        <w14:solidFill>
                          <w14:schemeClr w14:val="tx1"/>
                        </w14:solidFill>
                      </w14:textFill>
                    </w:rPr>
                  </w:pPr>
                  <w:r>
                    <w:rPr>
                      <w:rFonts w:ascii="Times New Roman" w:eastAsia="宋体" w:cs="Times New Roman"/>
                      <w:color w:val="000000" w:themeColor="text1"/>
                      <w:sz w:val="21"/>
                      <w:szCs w:val="21"/>
                      <w14:textFill>
                        <w14:solidFill>
                          <w14:schemeClr w14:val="tx1"/>
                        </w14:solidFill>
                      </w14:textFill>
                    </w:rPr>
                    <w:t>2017年2月24日取得了遂宁市安居区环境保护局出具的建设项目备案通知（遂安环建备[2017]323号）</w:t>
                  </w:r>
                </w:p>
              </w:tc>
              <w:tc>
                <w:tcPr>
                  <w:tcW w:w="1335" w:type="pct"/>
                  <w:tcBorders>
                    <w:top w:val="single" w:color="auto" w:sz="4" w:space="0"/>
                    <w:left w:val="single" w:color="auto" w:sz="4" w:space="0"/>
                    <w:bottom w:val="single" w:color="auto" w:sz="4" w:space="0"/>
                    <w:right w:val="single" w:color="auto" w:sz="4" w:space="0"/>
                  </w:tcBorders>
                  <w:vAlign w:val="center"/>
                </w:tcPr>
                <w:p w14:paraId="54BAC05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停产未办理验收手续</w:t>
                  </w:r>
                </w:p>
              </w:tc>
            </w:tr>
            <w:tr w14:paraId="4E1EDB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2" w:hRule="atLeast"/>
                <w:jc w:val="center"/>
              </w:trPr>
              <w:tc>
                <w:tcPr>
                  <w:tcW w:w="326" w:type="pct"/>
                  <w:tcBorders>
                    <w:top w:val="single" w:color="auto" w:sz="4" w:space="0"/>
                    <w:left w:val="single" w:color="auto" w:sz="4" w:space="0"/>
                    <w:bottom w:val="single" w:color="auto" w:sz="4" w:space="0"/>
                    <w:right w:val="single" w:color="auto" w:sz="4" w:space="0"/>
                  </w:tcBorders>
                  <w:vAlign w:val="center"/>
                </w:tcPr>
                <w:p w14:paraId="0ED834F6">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w:t>
                  </w:r>
                </w:p>
              </w:tc>
              <w:tc>
                <w:tcPr>
                  <w:tcW w:w="1348" w:type="pct"/>
                  <w:tcBorders>
                    <w:top w:val="single" w:color="auto" w:sz="4" w:space="0"/>
                    <w:left w:val="single" w:color="auto" w:sz="4" w:space="0"/>
                    <w:bottom w:val="single" w:color="auto" w:sz="4" w:space="0"/>
                    <w:right w:val="single" w:color="auto" w:sz="4" w:space="0"/>
                  </w:tcBorders>
                  <w:vAlign w:val="center"/>
                </w:tcPr>
                <w:p w14:paraId="1D8BA255">
                  <w:pPr>
                    <w:adjustRightInd w:val="0"/>
                    <w:snapToGrid w:val="0"/>
                    <w:ind w:left="-105" w:leftChars="-50" w:right="-105" w:rightChars="-50"/>
                    <w:jc w:val="center"/>
                    <w:rPr>
                      <w:rFonts w:ascii="Times New Roman" w:hAnsi="Times New Roman" w:eastAsia="宋体" w:cs="Times New Roman"/>
                      <w:snapToGrid w:val="0"/>
                      <w:color w:val="000000" w:themeColor="text1"/>
                      <w:spacing w:val="10"/>
                      <w:kern w:val="0"/>
                      <w:szCs w:val="21"/>
                      <w14:textFill>
                        <w14:solidFill>
                          <w14:schemeClr w14:val="tx1"/>
                        </w14:solidFill>
                      </w14:textFill>
                    </w:rPr>
                  </w:pPr>
                  <w:r>
                    <w:rPr>
                      <w:rFonts w:ascii="Times New Roman" w:hAnsi="Times New Roman" w:eastAsia="宋体" w:cs="Times New Roman"/>
                      <w:snapToGrid w:val="0"/>
                      <w:color w:val="000000" w:themeColor="text1"/>
                      <w:spacing w:val="10"/>
                      <w:kern w:val="0"/>
                      <w:szCs w:val="21"/>
                      <w14:textFill>
                        <w14:solidFill>
                          <w14:schemeClr w14:val="tx1"/>
                        </w14:solidFill>
                      </w14:textFill>
                    </w:rPr>
                    <w:t>横山机砖厂技改扩能建设项目</w:t>
                  </w:r>
                </w:p>
              </w:tc>
              <w:tc>
                <w:tcPr>
                  <w:tcW w:w="1990" w:type="pct"/>
                  <w:tcBorders>
                    <w:top w:val="single" w:color="auto" w:sz="4" w:space="0"/>
                    <w:left w:val="single" w:color="auto" w:sz="4" w:space="0"/>
                    <w:bottom w:val="single" w:color="auto" w:sz="4" w:space="0"/>
                    <w:right w:val="single" w:color="auto" w:sz="4" w:space="0"/>
                  </w:tcBorders>
                  <w:vAlign w:val="center"/>
                </w:tcPr>
                <w:p w14:paraId="511E7B4A">
                  <w:pPr>
                    <w:pStyle w:val="3"/>
                    <w:adjustRightInd w:val="0"/>
                    <w:snapToGrid w:val="0"/>
                    <w:spacing w:line="240" w:lineRule="auto"/>
                    <w:ind w:left="-105" w:leftChars="-50" w:right="-105" w:rightChars="-50" w:firstLine="0" w:firstLineChars="0"/>
                    <w:jc w:val="center"/>
                    <w:rPr>
                      <w:rFonts w:ascii="Times New Roman" w:eastAsia="宋体" w:cs="Times New Roman"/>
                      <w:color w:val="000000" w:themeColor="text1"/>
                      <w:sz w:val="21"/>
                      <w:szCs w:val="21"/>
                      <w14:textFill>
                        <w14:solidFill>
                          <w14:schemeClr w14:val="tx1"/>
                        </w14:solidFill>
                      </w14:textFill>
                    </w:rPr>
                  </w:pPr>
                  <w:r>
                    <w:rPr>
                      <w:rFonts w:ascii="Times New Roman" w:eastAsia="宋体" w:cs="Times New Roman"/>
                      <w:color w:val="000000" w:themeColor="text1"/>
                      <w:sz w:val="21"/>
                      <w:szCs w:val="21"/>
                      <w14:textFill>
                        <w14:solidFill>
                          <w14:schemeClr w14:val="tx1"/>
                        </w14:solidFill>
                      </w14:textFill>
                    </w:rPr>
                    <w:t>2017年10月，遂宁市安居区环境保护局对横山机砖厂技改扩能建设项目环境影响报告表以“遂安环函[2017]230号”进行批复</w:t>
                  </w:r>
                </w:p>
              </w:tc>
              <w:tc>
                <w:tcPr>
                  <w:tcW w:w="1335" w:type="pct"/>
                  <w:tcBorders>
                    <w:top w:val="single" w:color="auto" w:sz="4" w:space="0"/>
                    <w:left w:val="single" w:color="auto" w:sz="4" w:space="0"/>
                    <w:bottom w:val="single" w:color="auto" w:sz="4" w:space="0"/>
                    <w:right w:val="single" w:color="auto" w:sz="4" w:space="0"/>
                  </w:tcBorders>
                  <w:vAlign w:val="center"/>
                </w:tcPr>
                <w:p w14:paraId="38932FF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2021年企业着手进行自主验收，2021年8月14日取得验收意见通过验收组验收。</w:t>
                  </w:r>
                </w:p>
              </w:tc>
            </w:tr>
          </w:tbl>
          <w:p w14:paraId="043D987F">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p>
          <w:p w14:paraId="1C6D668B">
            <w:pPr>
              <w:adjustRightInd w:val="0"/>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二、现有工程概况</w:t>
            </w:r>
          </w:p>
          <w:p w14:paraId="4FD01F6F">
            <w:pPr>
              <w:snapToGrid w:val="0"/>
              <w:ind w:firstLine="422" w:firstLineChars="20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27</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ascii="Times New Roman" w:hAnsi="Times New Roman" w:eastAsia="宋体" w:cs="Times New Roman"/>
                <w:b/>
                <w:color w:val="000000" w:themeColor="text1"/>
                <w:sz w:val="18"/>
                <w:szCs w:val="21"/>
                <w14:textFill>
                  <w14:solidFill>
                    <w14:schemeClr w14:val="tx1"/>
                  </w14:solidFill>
                </w14:textFill>
              </w:rPr>
              <w:t xml:space="preserve"> </w:t>
            </w:r>
            <w:r>
              <w:rPr>
                <w:rFonts w:ascii="Times New Roman" w:hAnsi="Times New Roman" w:eastAsia="宋体" w:cs="Times New Roman"/>
                <w:b/>
                <w:color w:val="000000" w:themeColor="text1"/>
                <w:szCs w:val="21"/>
                <w14:textFill>
                  <w14:solidFill>
                    <w14:schemeClr w14:val="tx1"/>
                  </w14:solidFill>
                </w14:textFill>
              </w:rPr>
              <w:t>项目建设内容表</w:t>
            </w:r>
          </w:p>
          <w:tbl>
            <w:tblPr>
              <w:tblStyle w:val="24"/>
              <w:tblW w:w="496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34"/>
              <w:gridCol w:w="1415"/>
              <w:gridCol w:w="5206"/>
            </w:tblGrid>
            <w:tr w14:paraId="3EDD6F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tblHeader/>
                <w:jc w:val="center"/>
              </w:trPr>
              <w:tc>
                <w:tcPr>
                  <w:tcW w:w="731" w:type="pct"/>
                  <w:tcBorders>
                    <w:top w:val="single" w:color="auto" w:sz="4" w:space="0"/>
                    <w:left w:val="single" w:color="auto" w:sz="4" w:space="0"/>
                    <w:bottom w:val="single" w:color="auto" w:sz="4" w:space="0"/>
                    <w:right w:val="single" w:color="auto" w:sz="4" w:space="0"/>
                  </w:tcBorders>
                  <w:vAlign w:val="center"/>
                </w:tcPr>
                <w:p w14:paraId="08148DDB">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类别</w:t>
                  </w:r>
                </w:p>
              </w:tc>
              <w:tc>
                <w:tcPr>
                  <w:tcW w:w="912" w:type="pct"/>
                  <w:tcBorders>
                    <w:top w:val="single" w:color="auto" w:sz="4" w:space="0"/>
                    <w:left w:val="single" w:color="auto" w:sz="4" w:space="0"/>
                    <w:bottom w:val="single" w:color="auto" w:sz="4" w:space="0"/>
                    <w:right w:val="single" w:color="auto" w:sz="4" w:space="0"/>
                  </w:tcBorders>
                  <w:vAlign w:val="center"/>
                </w:tcPr>
                <w:p w14:paraId="6A7EF7F8">
                  <w:pPr>
                    <w:adjustRightInd w:val="0"/>
                    <w:snapToGrid w:val="0"/>
                    <w:jc w:val="center"/>
                    <w:rPr>
                      <w:rFonts w:ascii="Times New Roman" w:hAnsi="Times New Roman" w:eastAsia="宋体" w:cs="Times New Roman"/>
                      <w:b/>
                      <w:color w:val="000000" w:themeColor="text1"/>
                      <w:kern w:val="0"/>
                      <w:szCs w:val="21"/>
                      <w:lang w:bidi="ar"/>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名称</w:t>
                  </w:r>
                </w:p>
              </w:tc>
              <w:tc>
                <w:tcPr>
                  <w:tcW w:w="3356" w:type="pct"/>
                  <w:tcBorders>
                    <w:top w:val="single" w:color="auto" w:sz="4" w:space="0"/>
                    <w:left w:val="single" w:color="auto" w:sz="4" w:space="0"/>
                    <w:bottom w:val="single" w:color="auto" w:sz="4" w:space="0"/>
                    <w:right w:val="single" w:color="auto" w:sz="4" w:space="0"/>
                  </w:tcBorders>
                  <w:vAlign w:val="center"/>
                </w:tcPr>
                <w:p w14:paraId="3FFEA0F0">
                  <w:pPr>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建设内容及规模</w:t>
                  </w:r>
                </w:p>
              </w:tc>
            </w:tr>
            <w:tr w14:paraId="3E7CD4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8" w:hRule="atLeast"/>
                <w:jc w:val="center"/>
              </w:trPr>
              <w:tc>
                <w:tcPr>
                  <w:tcW w:w="731" w:type="pct"/>
                  <w:vMerge w:val="restart"/>
                  <w:tcBorders>
                    <w:top w:val="single" w:color="auto" w:sz="4" w:space="0"/>
                    <w:left w:val="single" w:color="auto" w:sz="4" w:space="0"/>
                    <w:right w:val="single" w:color="auto" w:sz="4" w:space="0"/>
                  </w:tcBorders>
                  <w:vAlign w:val="center"/>
                </w:tcPr>
                <w:p w14:paraId="63B38F4F">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主体</w:t>
                  </w:r>
                </w:p>
                <w:p w14:paraId="5F9DAAAD">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工程</w:t>
                  </w:r>
                </w:p>
              </w:tc>
              <w:tc>
                <w:tcPr>
                  <w:tcW w:w="912" w:type="pct"/>
                  <w:tcBorders>
                    <w:top w:val="single" w:color="auto" w:sz="4" w:space="0"/>
                    <w:left w:val="single" w:color="auto" w:sz="4" w:space="0"/>
                    <w:bottom w:val="single" w:color="auto" w:sz="4" w:space="0"/>
                    <w:right w:val="single" w:color="auto" w:sz="4" w:space="0"/>
                  </w:tcBorders>
                  <w:vAlign w:val="center"/>
                </w:tcPr>
                <w:p w14:paraId="51EB1D4F">
                  <w:pPr>
                    <w:adjustRightInd w:val="0"/>
                    <w:snapToGrid w:val="0"/>
                    <w:jc w:val="center"/>
                    <w:rPr>
                      <w:rFonts w:ascii="Times New Roman" w:hAnsi="Times New Roman" w:eastAsia="宋体" w:cs="Times New Roman"/>
                      <w:snapToGrid w:val="0"/>
                      <w:color w:val="000000" w:themeColor="text1"/>
                      <w:spacing w:val="10"/>
                      <w:kern w:val="0"/>
                      <w:szCs w:val="21"/>
                      <w14:textFill>
                        <w14:solidFill>
                          <w14:schemeClr w14:val="tx1"/>
                        </w14:solidFill>
                      </w14:textFill>
                    </w:rPr>
                  </w:pPr>
                  <w:r>
                    <w:rPr>
                      <w:rFonts w:ascii="Times New Roman" w:hAnsi="Times New Roman" w:eastAsia="宋体" w:cs="Times New Roman"/>
                      <w:snapToGrid w:val="0"/>
                      <w:color w:val="000000" w:themeColor="text1"/>
                      <w:spacing w:val="10"/>
                      <w:kern w:val="0"/>
                      <w:szCs w:val="21"/>
                      <w14:textFill>
                        <w14:solidFill>
                          <w14:schemeClr w14:val="tx1"/>
                        </w14:solidFill>
                      </w14:textFill>
                    </w:rPr>
                    <w:t>隧道窑</w:t>
                  </w:r>
                </w:p>
              </w:tc>
              <w:tc>
                <w:tcPr>
                  <w:tcW w:w="3356" w:type="pct"/>
                  <w:tcBorders>
                    <w:top w:val="single" w:color="auto" w:sz="4" w:space="0"/>
                    <w:left w:val="single" w:color="auto" w:sz="4" w:space="0"/>
                    <w:bottom w:val="single" w:color="auto" w:sz="4" w:space="0"/>
                    <w:right w:val="single" w:color="auto" w:sz="4" w:space="0"/>
                  </w:tcBorders>
                  <w:vAlign w:val="center"/>
                </w:tcPr>
                <w:p w14:paraId="32B7F63C">
                  <w:pPr>
                    <w:pStyle w:val="3"/>
                    <w:adjustRightInd w:val="0"/>
                    <w:snapToGrid w:val="0"/>
                    <w:spacing w:line="240" w:lineRule="auto"/>
                    <w:ind w:firstLine="0" w:firstLineChars="0"/>
                    <w:jc w:val="left"/>
                    <w:rPr>
                      <w:rFonts w:ascii="Times New Roman" w:eastAsia="宋体" w:cs="Times New Roman"/>
                      <w:snapToGrid w:val="0"/>
                      <w:color w:val="000000" w:themeColor="text1"/>
                      <w:spacing w:val="10"/>
                      <w:kern w:val="0"/>
                      <w:sz w:val="21"/>
                      <w:szCs w:val="21"/>
                      <w14:textFill>
                        <w14:solidFill>
                          <w14:schemeClr w14:val="tx1"/>
                        </w14:solidFill>
                      </w14:textFill>
                    </w:rPr>
                  </w:pPr>
                  <w:r>
                    <w:rPr>
                      <w:rFonts w:ascii="Times New Roman" w:eastAsia="宋体" w:cs="Times New Roman"/>
                      <w:snapToGrid w:val="0"/>
                      <w:color w:val="000000" w:themeColor="text1"/>
                      <w:spacing w:val="10"/>
                      <w:kern w:val="0"/>
                      <w:sz w:val="21"/>
                      <w:szCs w:val="21"/>
                      <w14:textFill>
                        <w14:solidFill>
                          <w14:schemeClr w14:val="tx1"/>
                        </w14:solidFill>
                      </w14:textFill>
                    </w:rPr>
                    <w:t>隧道窑一座，位于厂区中部，年产8000万匹页岩砖</w:t>
                  </w:r>
                </w:p>
              </w:tc>
            </w:tr>
            <w:tr w14:paraId="7DDC5A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0" w:hRule="atLeast"/>
                <w:jc w:val="center"/>
              </w:trPr>
              <w:tc>
                <w:tcPr>
                  <w:tcW w:w="731" w:type="pct"/>
                  <w:vMerge w:val="continue"/>
                  <w:tcBorders>
                    <w:left w:val="single" w:color="auto" w:sz="4" w:space="0"/>
                    <w:bottom w:val="single" w:color="auto" w:sz="4" w:space="0"/>
                    <w:right w:val="single" w:color="auto" w:sz="4" w:space="0"/>
                  </w:tcBorders>
                  <w:vAlign w:val="center"/>
                </w:tcPr>
                <w:p w14:paraId="1B01BC84">
                  <w:pPr>
                    <w:widowControl/>
                    <w:spacing w:beforeAutospacing="1" w:afterAutospacing="1"/>
                    <w:jc w:val="left"/>
                    <w:rPr>
                      <w:rFonts w:ascii="Times New Roman" w:hAnsi="Times New Roman" w:eastAsia="宋体" w:cs="Times New Roman"/>
                      <w:color w:val="000000" w:themeColor="text1"/>
                      <w:szCs w:val="21"/>
                      <w14:textFill>
                        <w14:solidFill>
                          <w14:schemeClr w14:val="tx1"/>
                        </w14:solidFill>
                      </w14:textFill>
                    </w:rPr>
                  </w:pPr>
                </w:p>
              </w:tc>
              <w:tc>
                <w:tcPr>
                  <w:tcW w:w="912" w:type="pct"/>
                  <w:tcBorders>
                    <w:top w:val="single" w:color="auto" w:sz="4" w:space="0"/>
                    <w:left w:val="single" w:color="auto" w:sz="4" w:space="0"/>
                    <w:bottom w:val="single" w:color="auto" w:sz="4" w:space="0"/>
                    <w:right w:val="single" w:color="auto" w:sz="4" w:space="0"/>
                  </w:tcBorders>
                  <w:vAlign w:val="center"/>
                </w:tcPr>
                <w:p w14:paraId="6E17C11B">
                  <w:pPr>
                    <w:adjustRightInd w:val="0"/>
                    <w:snapToGrid w:val="0"/>
                    <w:jc w:val="center"/>
                    <w:rPr>
                      <w:rFonts w:ascii="Times New Roman" w:hAnsi="Times New Roman" w:eastAsia="宋体" w:cs="Times New Roman"/>
                      <w:snapToGrid w:val="0"/>
                      <w:color w:val="000000" w:themeColor="text1"/>
                      <w:spacing w:val="10"/>
                      <w:kern w:val="0"/>
                      <w:szCs w:val="21"/>
                      <w14:textFill>
                        <w14:solidFill>
                          <w14:schemeClr w14:val="tx1"/>
                        </w14:solidFill>
                      </w14:textFill>
                    </w:rPr>
                  </w:pPr>
                  <w:r>
                    <w:rPr>
                      <w:rFonts w:ascii="Times New Roman" w:hAnsi="Times New Roman" w:eastAsia="宋体" w:cs="Times New Roman"/>
                      <w:snapToGrid w:val="0"/>
                      <w:color w:val="000000" w:themeColor="text1"/>
                      <w:spacing w:val="10"/>
                      <w:kern w:val="0"/>
                      <w:szCs w:val="21"/>
                      <w14:textFill>
                        <w14:solidFill>
                          <w14:schemeClr w14:val="tx1"/>
                        </w14:solidFill>
                      </w14:textFill>
                    </w:rPr>
                    <w:t>制砖</w:t>
                  </w:r>
                </w:p>
                <w:p w14:paraId="2763A7E1">
                  <w:pPr>
                    <w:adjustRightInd w:val="0"/>
                    <w:snapToGrid w:val="0"/>
                    <w:jc w:val="center"/>
                    <w:rPr>
                      <w:rFonts w:ascii="Times New Roman" w:hAnsi="Times New Roman" w:eastAsia="宋体" w:cs="Times New Roman"/>
                      <w:snapToGrid w:val="0"/>
                      <w:color w:val="000000" w:themeColor="text1"/>
                      <w:spacing w:val="10"/>
                      <w:kern w:val="0"/>
                      <w:szCs w:val="21"/>
                      <w14:textFill>
                        <w14:solidFill>
                          <w14:schemeClr w14:val="tx1"/>
                        </w14:solidFill>
                      </w14:textFill>
                    </w:rPr>
                  </w:pPr>
                  <w:r>
                    <w:rPr>
                      <w:rFonts w:ascii="Times New Roman" w:hAnsi="Times New Roman" w:eastAsia="宋体" w:cs="Times New Roman"/>
                      <w:snapToGrid w:val="0"/>
                      <w:color w:val="000000" w:themeColor="text1"/>
                      <w:spacing w:val="10"/>
                      <w:kern w:val="0"/>
                      <w:szCs w:val="21"/>
                      <w14:textFill>
                        <w14:solidFill>
                          <w14:schemeClr w14:val="tx1"/>
                        </w14:solidFill>
                      </w14:textFill>
                    </w:rPr>
                    <w:t>车间</w:t>
                  </w:r>
                </w:p>
              </w:tc>
              <w:tc>
                <w:tcPr>
                  <w:tcW w:w="3356" w:type="pct"/>
                  <w:tcBorders>
                    <w:top w:val="single" w:color="auto" w:sz="4" w:space="0"/>
                    <w:left w:val="single" w:color="auto" w:sz="4" w:space="0"/>
                    <w:bottom w:val="single" w:color="auto" w:sz="4" w:space="0"/>
                    <w:right w:val="single" w:color="auto" w:sz="4" w:space="0"/>
                  </w:tcBorders>
                  <w:vAlign w:val="center"/>
                </w:tcPr>
                <w:p w14:paraId="22E58BE1">
                  <w:pPr>
                    <w:pStyle w:val="3"/>
                    <w:adjustRightInd w:val="0"/>
                    <w:snapToGrid w:val="0"/>
                    <w:spacing w:line="240" w:lineRule="auto"/>
                    <w:ind w:firstLine="0" w:firstLineChars="0"/>
                    <w:jc w:val="left"/>
                    <w:rPr>
                      <w:rFonts w:ascii="Times New Roman" w:eastAsia="宋体" w:cs="Times New Roman"/>
                      <w:color w:val="000000" w:themeColor="text1"/>
                      <w:sz w:val="21"/>
                      <w:szCs w:val="21"/>
                      <w14:textFill>
                        <w14:solidFill>
                          <w14:schemeClr w14:val="tx1"/>
                        </w14:solidFill>
                      </w14:textFill>
                    </w:rPr>
                  </w:pPr>
                  <w:r>
                    <w:rPr>
                      <w:rFonts w:ascii="Times New Roman" w:eastAsia="宋体" w:cs="Times New Roman"/>
                      <w:snapToGrid w:val="0"/>
                      <w:color w:val="000000" w:themeColor="text1"/>
                      <w:spacing w:val="10"/>
                      <w:kern w:val="0"/>
                      <w:sz w:val="21"/>
                      <w:szCs w:val="21"/>
                      <w14:textFill>
                        <w14:solidFill>
                          <w14:schemeClr w14:val="tx1"/>
                        </w14:solidFill>
                      </w14:textFill>
                    </w:rPr>
                    <w:t>制砖车间一座，位于厂区北侧，占地面积约1000m</w:t>
                  </w:r>
                  <w:r>
                    <w:rPr>
                      <w:rFonts w:ascii="Times New Roman" w:eastAsia="宋体" w:cs="Times New Roman"/>
                      <w:snapToGrid w:val="0"/>
                      <w:color w:val="000000" w:themeColor="text1"/>
                      <w:spacing w:val="10"/>
                      <w:kern w:val="0"/>
                      <w:sz w:val="21"/>
                      <w:szCs w:val="21"/>
                      <w:vertAlign w:val="superscript"/>
                      <w14:textFill>
                        <w14:solidFill>
                          <w14:schemeClr w14:val="tx1"/>
                        </w14:solidFill>
                      </w14:textFill>
                    </w:rPr>
                    <w:t>2</w:t>
                  </w:r>
                  <w:r>
                    <w:rPr>
                      <w:rFonts w:ascii="Times New Roman" w:eastAsia="宋体" w:cs="Times New Roman"/>
                      <w:snapToGrid w:val="0"/>
                      <w:color w:val="000000" w:themeColor="text1"/>
                      <w:spacing w:val="10"/>
                      <w:kern w:val="0"/>
                      <w:sz w:val="21"/>
                      <w:szCs w:val="21"/>
                      <w14:textFill>
                        <w14:solidFill>
                          <w14:schemeClr w14:val="tx1"/>
                        </w14:solidFill>
                      </w14:textFill>
                    </w:rPr>
                    <w:t>，内设破碎机、搅拌机、真空挤砖机等设备</w:t>
                  </w:r>
                </w:p>
              </w:tc>
            </w:tr>
            <w:tr w14:paraId="5001B4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5" w:hRule="atLeast"/>
                <w:jc w:val="center"/>
              </w:trPr>
              <w:tc>
                <w:tcPr>
                  <w:tcW w:w="731" w:type="pct"/>
                  <w:vMerge w:val="restart"/>
                  <w:tcBorders>
                    <w:top w:val="single" w:color="auto" w:sz="4" w:space="0"/>
                    <w:left w:val="single" w:color="auto" w:sz="4" w:space="0"/>
                    <w:bottom w:val="single" w:color="auto" w:sz="4" w:space="0"/>
                    <w:right w:val="single" w:color="auto" w:sz="4" w:space="0"/>
                  </w:tcBorders>
                  <w:vAlign w:val="center"/>
                </w:tcPr>
                <w:p w14:paraId="0AC25A56">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辅助工程</w:t>
                  </w:r>
                </w:p>
              </w:tc>
              <w:tc>
                <w:tcPr>
                  <w:tcW w:w="912" w:type="pct"/>
                  <w:tcBorders>
                    <w:top w:val="single" w:color="auto" w:sz="4" w:space="0"/>
                    <w:left w:val="single" w:color="auto" w:sz="4" w:space="0"/>
                    <w:bottom w:val="single" w:color="auto" w:sz="4" w:space="0"/>
                    <w:right w:val="single" w:color="auto" w:sz="4" w:space="0"/>
                  </w:tcBorders>
                  <w:vAlign w:val="center"/>
                </w:tcPr>
                <w:p w14:paraId="17EC7975">
                  <w:pPr>
                    <w:adjustRightInd w:val="0"/>
                    <w:snapToGrid w:val="0"/>
                    <w:jc w:val="center"/>
                    <w:rPr>
                      <w:rFonts w:ascii="Times New Roman" w:hAnsi="Times New Roman" w:eastAsia="宋体" w:cs="Times New Roman"/>
                      <w:snapToGrid w:val="0"/>
                      <w:color w:val="000000" w:themeColor="text1"/>
                      <w:spacing w:val="10"/>
                      <w:kern w:val="0"/>
                      <w:szCs w:val="21"/>
                      <w14:textFill>
                        <w14:solidFill>
                          <w14:schemeClr w14:val="tx1"/>
                        </w14:solidFill>
                      </w14:textFill>
                    </w:rPr>
                  </w:pPr>
                  <w:r>
                    <w:rPr>
                      <w:rFonts w:ascii="Times New Roman" w:hAnsi="Times New Roman" w:eastAsia="宋体" w:cs="Times New Roman"/>
                      <w:snapToGrid w:val="0"/>
                      <w:color w:val="000000" w:themeColor="text1"/>
                      <w:spacing w:val="10"/>
                      <w:kern w:val="0"/>
                      <w:szCs w:val="21"/>
                      <w14:textFill>
                        <w14:solidFill>
                          <w14:schemeClr w14:val="tx1"/>
                        </w14:solidFill>
                      </w14:textFill>
                    </w:rPr>
                    <w:t>烘干</w:t>
                  </w:r>
                </w:p>
                <w:p w14:paraId="78E2900A">
                  <w:pPr>
                    <w:adjustRightInd w:val="0"/>
                    <w:snapToGrid w:val="0"/>
                    <w:jc w:val="center"/>
                    <w:rPr>
                      <w:rFonts w:ascii="Times New Roman" w:hAnsi="Times New Roman" w:eastAsia="宋体" w:cs="Times New Roman"/>
                      <w:snapToGrid w:val="0"/>
                      <w:color w:val="000000" w:themeColor="text1"/>
                      <w:spacing w:val="10"/>
                      <w:kern w:val="0"/>
                      <w:szCs w:val="21"/>
                      <w14:textFill>
                        <w14:solidFill>
                          <w14:schemeClr w14:val="tx1"/>
                        </w14:solidFill>
                      </w14:textFill>
                    </w:rPr>
                  </w:pPr>
                  <w:r>
                    <w:rPr>
                      <w:rFonts w:ascii="Times New Roman" w:hAnsi="Times New Roman" w:eastAsia="宋体" w:cs="Times New Roman"/>
                      <w:snapToGrid w:val="0"/>
                      <w:color w:val="000000" w:themeColor="text1"/>
                      <w:spacing w:val="10"/>
                      <w:kern w:val="0"/>
                      <w:szCs w:val="21"/>
                      <w14:textFill>
                        <w14:solidFill>
                          <w14:schemeClr w14:val="tx1"/>
                        </w14:solidFill>
                      </w14:textFill>
                    </w:rPr>
                    <w:t>车间</w:t>
                  </w:r>
                </w:p>
              </w:tc>
              <w:tc>
                <w:tcPr>
                  <w:tcW w:w="3356" w:type="pct"/>
                  <w:tcBorders>
                    <w:top w:val="single" w:color="auto" w:sz="4" w:space="0"/>
                    <w:left w:val="single" w:color="auto" w:sz="4" w:space="0"/>
                    <w:bottom w:val="single" w:color="auto" w:sz="4" w:space="0"/>
                    <w:right w:val="single" w:color="auto" w:sz="4" w:space="0"/>
                  </w:tcBorders>
                  <w:vAlign w:val="center"/>
                </w:tcPr>
                <w:p w14:paraId="6ADB7AFB">
                  <w:pPr>
                    <w:adjustRightInd w:val="0"/>
                    <w:snapToGrid w:val="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spacing w:val="10"/>
                      <w:kern w:val="0"/>
                      <w:szCs w:val="21"/>
                      <w14:textFill>
                        <w14:solidFill>
                          <w14:schemeClr w14:val="tx1"/>
                        </w14:solidFill>
                      </w14:textFill>
                    </w:rPr>
                    <w:t>烘干窑一座，位于厂区隧道窑北侧</w:t>
                  </w:r>
                </w:p>
              </w:tc>
            </w:tr>
            <w:tr w14:paraId="25F369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5" w:hRule="atLeast"/>
                <w:jc w:val="center"/>
              </w:trPr>
              <w:tc>
                <w:tcPr>
                  <w:tcW w:w="731" w:type="pct"/>
                  <w:vMerge w:val="continue"/>
                  <w:tcBorders>
                    <w:top w:val="single" w:color="auto" w:sz="4" w:space="0"/>
                    <w:left w:val="single" w:color="auto" w:sz="4" w:space="0"/>
                    <w:bottom w:val="single" w:color="auto" w:sz="4" w:space="0"/>
                    <w:right w:val="single" w:color="auto" w:sz="4" w:space="0"/>
                  </w:tcBorders>
                  <w:vAlign w:val="center"/>
                </w:tcPr>
                <w:p w14:paraId="52B474BB">
                  <w:pPr>
                    <w:widowControl/>
                    <w:spacing w:beforeAutospacing="1" w:afterAutospacing="1"/>
                    <w:jc w:val="left"/>
                    <w:rPr>
                      <w:rFonts w:ascii="Times New Roman" w:hAnsi="Times New Roman" w:eastAsia="宋体" w:cs="Times New Roman"/>
                      <w:color w:val="000000" w:themeColor="text1"/>
                      <w:szCs w:val="21"/>
                      <w14:textFill>
                        <w14:solidFill>
                          <w14:schemeClr w14:val="tx1"/>
                        </w14:solidFill>
                      </w14:textFill>
                    </w:rPr>
                  </w:pPr>
                </w:p>
              </w:tc>
              <w:tc>
                <w:tcPr>
                  <w:tcW w:w="912" w:type="pct"/>
                  <w:tcBorders>
                    <w:top w:val="single" w:color="auto" w:sz="4" w:space="0"/>
                    <w:left w:val="single" w:color="auto" w:sz="4" w:space="0"/>
                    <w:bottom w:val="single" w:color="auto" w:sz="4" w:space="0"/>
                    <w:right w:val="single" w:color="auto" w:sz="4" w:space="0"/>
                  </w:tcBorders>
                  <w:vAlign w:val="center"/>
                </w:tcPr>
                <w:p w14:paraId="2330B318">
                  <w:pPr>
                    <w:adjustRightInd w:val="0"/>
                    <w:snapToGrid w:val="0"/>
                    <w:jc w:val="center"/>
                    <w:rPr>
                      <w:rFonts w:ascii="Times New Roman" w:hAnsi="Times New Roman" w:eastAsia="宋体" w:cs="Times New Roman"/>
                      <w:snapToGrid w:val="0"/>
                      <w:color w:val="000000" w:themeColor="text1"/>
                      <w:spacing w:val="10"/>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配电房</w:t>
                  </w:r>
                </w:p>
              </w:tc>
              <w:tc>
                <w:tcPr>
                  <w:tcW w:w="3356" w:type="pct"/>
                  <w:tcBorders>
                    <w:top w:val="single" w:color="auto" w:sz="4" w:space="0"/>
                    <w:left w:val="single" w:color="auto" w:sz="4" w:space="0"/>
                    <w:bottom w:val="single" w:color="auto" w:sz="4" w:space="0"/>
                    <w:right w:val="single" w:color="auto" w:sz="4" w:space="0"/>
                  </w:tcBorders>
                  <w:vAlign w:val="center"/>
                </w:tcPr>
                <w:p w14:paraId="60ACA37A">
                  <w:pPr>
                    <w:adjustRightInd w:val="0"/>
                    <w:snapToGrid w:val="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变压器容量800KVA</w:t>
                  </w:r>
                </w:p>
              </w:tc>
            </w:tr>
            <w:tr w14:paraId="1058C4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5" w:hRule="atLeast"/>
                <w:jc w:val="center"/>
              </w:trPr>
              <w:tc>
                <w:tcPr>
                  <w:tcW w:w="731" w:type="pct"/>
                  <w:vMerge w:val="continue"/>
                  <w:tcBorders>
                    <w:top w:val="single" w:color="auto" w:sz="4" w:space="0"/>
                    <w:left w:val="single" w:color="auto" w:sz="4" w:space="0"/>
                    <w:bottom w:val="single" w:color="auto" w:sz="4" w:space="0"/>
                    <w:right w:val="single" w:color="auto" w:sz="4" w:space="0"/>
                  </w:tcBorders>
                  <w:vAlign w:val="center"/>
                </w:tcPr>
                <w:p w14:paraId="63C86D4C">
                  <w:pPr>
                    <w:widowControl/>
                    <w:spacing w:beforeAutospacing="1" w:afterAutospacing="1"/>
                    <w:jc w:val="left"/>
                    <w:rPr>
                      <w:rFonts w:ascii="Times New Roman" w:hAnsi="Times New Roman" w:eastAsia="宋体" w:cs="Times New Roman"/>
                      <w:color w:val="000000" w:themeColor="text1"/>
                      <w:szCs w:val="21"/>
                      <w14:textFill>
                        <w14:solidFill>
                          <w14:schemeClr w14:val="tx1"/>
                        </w14:solidFill>
                      </w14:textFill>
                    </w:rPr>
                  </w:pPr>
                </w:p>
              </w:tc>
              <w:tc>
                <w:tcPr>
                  <w:tcW w:w="912" w:type="pct"/>
                  <w:tcBorders>
                    <w:top w:val="single" w:color="auto" w:sz="4" w:space="0"/>
                    <w:left w:val="single" w:color="auto" w:sz="4" w:space="0"/>
                    <w:bottom w:val="single" w:color="auto" w:sz="4" w:space="0"/>
                    <w:right w:val="single" w:color="auto" w:sz="4" w:space="0"/>
                  </w:tcBorders>
                  <w:vAlign w:val="center"/>
                </w:tcPr>
                <w:p w14:paraId="12B9A2D9">
                  <w:pPr>
                    <w:adjustRightInd w:val="0"/>
                    <w:snapToGrid w:val="0"/>
                    <w:jc w:val="center"/>
                    <w:rPr>
                      <w:rFonts w:ascii="Times New Roman" w:hAnsi="Times New Roman" w:eastAsia="宋体" w:cs="Times New Roman"/>
                      <w:snapToGrid w:val="0"/>
                      <w:color w:val="000000" w:themeColor="text1"/>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场内</w:t>
                  </w:r>
                </w:p>
                <w:p w14:paraId="358040BB">
                  <w:pPr>
                    <w:adjustRightInd w:val="0"/>
                    <w:snapToGrid w:val="0"/>
                    <w:jc w:val="center"/>
                    <w:rPr>
                      <w:rFonts w:ascii="Times New Roman" w:hAnsi="Times New Roman" w:eastAsia="宋体" w:cs="Times New Roman"/>
                      <w:snapToGrid w:val="0"/>
                      <w:color w:val="000000" w:themeColor="text1"/>
                      <w:spacing w:val="10"/>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道路</w:t>
                  </w:r>
                </w:p>
              </w:tc>
              <w:tc>
                <w:tcPr>
                  <w:tcW w:w="3356" w:type="pct"/>
                  <w:tcBorders>
                    <w:top w:val="single" w:color="auto" w:sz="4" w:space="0"/>
                    <w:left w:val="single" w:color="auto" w:sz="4" w:space="0"/>
                    <w:bottom w:val="single" w:color="auto" w:sz="4" w:space="0"/>
                    <w:right w:val="single" w:color="auto" w:sz="4" w:space="0"/>
                  </w:tcBorders>
                  <w:vAlign w:val="center"/>
                </w:tcPr>
                <w:p w14:paraId="5DAD9ABF">
                  <w:pPr>
                    <w:adjustRightInd w:val="0"/>
                    <w:snapToGrid w:val="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混凝土硬化路面，总长度约200m</w:t>
                  </w:r>
                </w:p>
              </w:tc>
            </w:tr>
            <w:tr w14:paraId="488C19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8" w:hRule="atLeast"/>
                <w:jc w:val="center"/>
              </w:trPr>
              <w:tc>
                <w:tcPr>
                  <w:tcW w:w="731" w:type="pct"/>
                  <w:vMerge w:val="continue"/>
                  <w:tcBorders>
                    <w:top w:val="single" w:color="auto" w:sz="4" w:space="0"/>
                    <w:left w:val="single" w:color="auto" w:sz="4" w:space="0"/>
                    <w:bottom w:val="single" w:color="auto" w:sz="4" w:space="0"/>
                    <w:right w:val="single" w:color="auto" w:sz="4" w:space="0"/>
                  </w:tcBorders>
                  <w:vAlign w:val="center"/>
                </w:tcPr>
                <w:p w14:paraId="09C80FEA">
                  <w:pPr>
                    <w:widowControl/>
                    <w:spacing w:beforeAutospacing="1" w:afterAutospacing="1"/>
                    <w:jc w:val="left"/>
                    <w:rPr>
                      <w:rFonts w:ascii="Times New Roman" w:hAnsi="Times New Roman" w:eastAsia="宋体" w:cs="Times New Roman"/>
                      <w:color w:val="000000" w:themeColor="text1"/>
                      <w:szCs w:val="21"/>
                      <w14:textFill>
                        <w14:solidFill>
                          <w14:schemeClr w14:val="tx1"/>
                        </w14:solidFill>
                      </w14:textFill>
                    </w:rPr>
                  </w:pPr>
                </w:p>
              </w:tc>
              <w:tc>
                <w:tcPr>
                  <w:tcW w:w="912" w:type="pct"/>
                  <w:tcBorders>
                    <w:top w:val="single" w:color="auto" w:sz="4" w:space="0"/>
                    <w:left w:val="single" w:color="auto" w:sz="4" w:space="0"/>
                    <w:bottom w:val="single" w:color="auto" w:sz="4" w:space="0"/>
                    <w:right w:val="single" w:color="auto" w:sz="4" w:space="0"/>
                  </w:tcBorders>
                  <w:vAlign w:val="center"/>
                </w:tcPr>
                <w:p w14:paraId="1E779BD4">
                  <w:pPr>
                    <w:adjustRightInd w:val="0"/>
                    <w:snapToGrid w:val="0"/>
                    <w:jc w:val="center"/>
                    <w:rPr>
                      <w:rFonts w:ascii="Times New Roman" w:hAnsi="Times New Roman" w:eastAsia="宋体" w:cs="Times New Roman"/>
                      <w:snapToGrid w:val="0"/>
                      <w:color w:val="000000" w:themeColor="text1"/>
                      <w:spacing w:val="10"/>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真空泵循环水池</w:t>
                  </w:r>
                </w:p>
              </w:tc>
              <w:tc>
                <w:tcPr>
                  <w:tcW w:w="3356" w:type="pct"/>
                  <w:tcBorders>
                    <w:top w:val="single" w:color="auto" w:sz="4" w:space="0"/>
                    <w:left w:val="single" w:color="auto" w:sz="4" w:space="0"/>
                    <w:bottom w:val="single" w:color="auto" w:sz="4" w:space="0"/>
                    <w:right w:val="single" w:color="auto" w:sz="4" w:space="0"/>
                  </w:tcBorders>
                  <w:vAlign w:val="center"/>
                </w:tcPr>
                <w:p w14:paraId="73F3C6DB">
                  <w:pPr>
                    <w:pStyle w:val="3"/>
                    <w:adjustRightInd w:val="0"/>
                    <w:snapToGrid w:val="0"/>
                    <w:spacing w:line="240" w:lineRule="auto"/>
                    <w:ind w:firstLine="0" w:firstLineChars="0"/>
                    <w:jc w:val="left"/>
                    <w:rPr>
                      <w:rFonts w:ascii="Times New Roman" w:eastAsia="宋体" w:cs="Times New Roman"/>
                      <w:color w:val="000000" w:themeColor="text1"/>
                      <w:sz w:val="21"/>
                      <w:szCs w:val="21"/>
                      <w14:textFill>
                        <w14:solidFill>
                          <w14:schemeClr w14:val="tx1"/>
                        </w14:solidFill>
                      </w14:textFill>
                    </w:rPr>
                  </w:pPr>
                  <w:r>
                    <w:rPr>
                      <w:rFonts w:ascii="Times New Roman" w:eastAsia="宋体" w:cs="Times New Roman"/>
                      <w:snapToGrid w:val="0"/>
                      <w:color w:val="000000" w:themeColor="text1"/>
                      <w:kern w:val="0"/>
                      <w:sz w:val="21"/>
                      <w:szCs w:val="21"/>
                      <w14:textFill>
                        <w14:solidFill>
                          <w14:schemeClr w14:val="tx1"/>
                        </w14:solidFill>
                      </w14:textFill>
                    </w:rPr>
                    <w:t>真空泵设有间接循环水箱一个，有效容积3.0m</w:t>
                  </w:r>
                  <w:r>
                    <w:rPr>
                      <w:rFonts w:ascii="Times New Roman" w:eastAsia="宋体" w:cs="Times New Roman"/>
                      <w:snapToGrid w:val="0"/>
                      <w:color w:val="000000" w:themeColor="text1"/>
                      <w:kern w:val="0"/>
                      <w:sz w:val="21"/>
                      <w:szCs w:val="21"/>
                      <w:vertAlign w:val="superscript"/>
                      <w14:textFill>
                        <w14:solidFill>
                          <w14:schemeClr w14:val="tx1"/>
                        </w14:solidFill>
                      </w14:textFill>
                    </w:rPr>
                    <w:t>3</w:t>
                  </w:r>
                </w:p>
              </w:tc>
            </w:tr>
            <w:tr w14:paraId="09F0A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jc w:val="center"/>
              </w:trPr>
              <w:tc>
                <w:tcPr>
                  <w:tcW w:w="731" w:type="pct"/>
                  <w:vMerge w:val="restart"/>
                  <w:tcBorders>
                    <w:top w:val="single" w:color="auto" w:sz="4" w:space="0"/>
                    <w:left w:val="single" w:color="auto" w:sz="4" w:space="0"/>
                    <w:bottom w:val="single" w:color="auto" w:sz="4" w:space="0"/>
                    <w:right w:val="single" w:color="auto" w:sz="4" w:space="0"/>
                  </w:tcBorders>
                  <w:vAlign w:val="center"/>
                </w:tcPr>
                <w:p w14:paraId="43BD0612">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办公及生活设施</w:t>
                  </w:r>
                </w:p>
              </w:tc>
              <w:tc>
                <w:tcPr>
                  <w:tcW w:w="912" w:type="pct"/>
                  <w:tcBorders>
                    <w:top w:val="single" w:color="auto" w:sz="4" w:space="0"/>
                    <w:left w:val="single" w:color="auto" w:sz="4" w:space="0"/>
                    <w:bottom w:val="single" w:color="auto" w:sz="4" w:space="0"/>
                    <w:right w:val="single" w:color="auto" w:sz="4" w:space="0"/>
                  </w:tcBorders>
                  <w:vAlign w:val="center"/>
                </w:tcPr>
                <w:p w14:paraId="2598D7C7">
                  <w:pPr>
                    <w:adjustRightInd w:val="0"/>
                    <w:snapToGrid w:val="0"/>
                    <w:jc w:val="center"/>
                    <w:rPr>
                      <w:rFonts w:ascii="Times New Roman" w:hAnsi="Times New Roman" w:eastAsia="宋体" w:cs="Times New Roman"/>
                      <w:snapToGrid w:val="0"/>
                      <w:color w:val="000000" w:themeColor="text1"/>
                      <w:spacing w:val="10"/>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倒班房</w:t>
                  </w:r>
                </w:p>
              </w:tc>
              <w:tc>
                <w:tcPr>
                  <w:tcW w:w="3356" w:type="pct"/>
                  <w:tcBorders>
                    <w:top w:val="single" w:color="auto" w:sz="4" w:space="0"/>
                    <w:left w:val="single" w:color="auto" w:sz="4" w:space="0"/>
                    <w:bottom w:val="single" w:color="auto" w:sz="4" w:space="0"/>
                    <w:right w:val="single" w:color="auto" w:sz="4" w:space="0"/>
                  </w:tcBorders>
                  <w:vAlign w:val="center"/>
                </w:tcPr>
                <w:p w14:paraId="22E43D50">
                  <w:pPr>
                    <w:pStyle w:val="3"/>
                    <w:adjustRightInd w:val="0"/>
                    <w:snapToGrid w:val="0"/>
                    <w:spacing w:line="240" w:lineRule="auto"/>
                    <w:ind w:firstLine="0" w:firstLineChars="0"/>
                    <w:jc w:val="left"/>
                    <w:rPr>
                      <w:rFonts w:ascii="Times New Roman" w:eastAsia="宋体" w:cs="Times New Roman"/>
                      <w:color w:val="000000" w:themeColor="text1"/>
                      <w:sz w:val="21"/>
                      <w:szCs w:val="21"/>
                      <w14:textFill>
                        <w14:solidFill>
                          <w14:schemeClr w14:val="tx1"/>
                        </w14:solidFill>
                      </w14:textFill>
                    </w:rPr>
                  </w:pPr>
                  <w:r>
                    <w:rPr>
                      <w:rFonts w:ascii="Times New Roman" w:eastAsia="宋体" w:cs="Times New Roman"/>
                      <w:snapToGrid w:val="0"/>
                      <w:color w:val="000000" w:themeColor="text1"/>
                      <w:kern w:val="0"/>
                      <w:sz w:val="21"/>
                      <w:szCs w:val="21"/>
                      <w14:textFill>
                        <w14:solidFill>
                          <w14:schemeClr w14:val="tx1"/>
                        </w14:solidFill>
                      </w14:textFill>
                    </w:rPr>
                    <w:t>位于厂区南侧，3F，建筑面积1500m</w:t>
                  </w:r>
                  <w:r>
                    <w:rPr>
                      <w:rFonts w:ascii="Times New Roman" w:eastAsia="宋体" w:cs="Times New Roman"/>
                      <w:snapToGrid w:val="0"/>
                      <w:color w:val="000000" w:themeColor="text1"/>
                      <w:kern w:val="0"/>
                      <w:sz w:val="21"/>
                      <w:szCs w:val="21"/>
                      <w:vertAlign w:val="superscript"/>
                      <w14:textFill>
                        <w14:solidFill>
                          <w14:schemeClr w14:val="tx1"/>
                        </w14:solidFill>
                      </w14:textFill>
                    </w:rPr>
                    <w:t>2</w:t>
                  </w:r>
                </w:p>
              </w:tc>
            </w:tr>
            <w:tr w14:paraId="4D196C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jc w:val="center"/>
              </w:trPr>
              <w:tc>
                <w:tcPr>
                  <w:tcW w:w="731" w:type="pct"/>
                  <w:vMerge w:val="continue"/>
                  <w:tcBorders>
                    <w:top w:val="single" w:color="auto" w:sz="4" w:space="0"/>
                    <w:left w:val="single" w:color="auto" w:sz="4" w:space="0"/>
                    <w:bottom w:val="single" w:color="auto" w:sz="4" w:space="0"/>
                    <w:right w:val="single" w:color="auto" w:sz="4" w:space="0"/>
                  </w:tcBorders>
                  <w:vAlign w:val="center"/>
                </w:tcPr>
                <w:p w14:paraId="1FA618F4">
                  <w:pPr>
                    <w:widowControl/>
                    <w:spacing w:beforeAutospacing="1" w:afterAutospacing="1"/>
                    <w:jc w:val="left"/>
                    <w:rPr>
                      <w:rFonts w:ascii="Times New Roman" w:hAnsi="Times New Roman" w:eastAsia="宋体" w:cs="Times New Roman"/>
                      <w:color w:val="000000" w:themeColor="text1"/>
                      <w:szCs w:val="21"/>
                      <w14:textFill>
                        <w14:solidFill>
                          <w14:schemeClr w14:val="tx1"/>
                        </w14:solidFill>
                      </w14:textFill>
                    </w:rPr>
                  </w:pPr>
                </w:p>
              </w:tc>
              <w:tc>
                <w:tcPr>
                  <w:tcW w:w="912" w:type="pct"/>
                  <w:tcBorders>
                    <w:top w:val="single" w:color="auto" w:sz="4" w:space="0"/>
                    <w:left w:val="single" w:color="auto" w:sz="4" w:space="0"/>
                    <w:bottom w:val="single" w:color="auto" w:sz="4" w:space="0"/>
                    <w:right w:val="single" w:color="auto" w:sz="4" w:space="0"/>
                  </w:tcBorders>
                  <w:vAlign w:val="center"/>
                </w:tcPr>
                <w:p w14:paraId="6B05507D">
                  <w:pPr>
                    <w:adjustRightInd w:val="0"/>
                    <w:snapToGrid w:val="0"/>
                    <w:jc w:val="center"/>
                    <w:rPr>
                      <w:rFonts w:ascii="Times New Roman" w:hAnsi="Times New Roman" w:eastAsia="宋体" w:cs="Times New Roman"/>
                      <w:snapToGrid w:val="0"/>
                      <w:color w:val="000000" w:themeColor="text1"/>
                      <w:spacing w:val="10"/>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办公楼</w:t>
                  </w:r>
                </w:p>
              </w:tc>
              <w:tc>
                <w:tcPr>
                  <w:tcW w:w="3356" w:type="pct"/>
                  <w:tcBorders>
                    <w:top w:val="single" w:color="auto" w:sz="4" w:space="0"/>
                    <w:left w:val="single" w:color="auto" w:sz="4" w:space="0"/>
                    <w:bottom w:val="single" w:color="auto" w:sz="4" w:space="0"/>
                    <w:right w:val="single" w:color="auto" w:sz="4" w:space="0"/>
                  </w:tcBorders>
                  <w:vAlign w:val="center"/>
                </w:tcPr>
                <w:p w14:paraId="12F23955">
                  <w:pPr>
                    <w:pStyle w:val="3"/>
                    <w:adjustRightInd w:val="0"/>
                    <w:snapToGrid w:val="0"/>
                    <w:spacing w:line="240" w:lineRule="auto"/>
                    <w:ind w:firstLine="0" w:firstLineChars="0"/>
                    <w:jc w:val="left"/>
                    <w:rPr>
                      <w:rFonts w:ascii="Times New Roman" w:eastAsia="宋体" w:cs="Times New Roman"/>
                      <w:color w:val="000000" w:themeColor="text1"/>
                      <w:sz w:val="21"/>
                      <w:szCs w:val="21"/>
                      <w14:textFill>
                        <w14:solidFill>
                          <w14:schemeClr w14:val="tx1"/>
                        </w14:solidFill>
                      </w14:textFill>
                    </w:rPr>
                  </w:pPr>
                  <w:r>
                    <w:rPr>
                      <w:rFonts w:ascii="Times New Roman" w:eastAsia="宋体" w:cs="Times New Roman"/>
                      <w:snapToGrid w:val="0"/>
                      <w:color w:val="000000" w:themeColor="text1"/>
                      <w:kern w:val="0"/>
                      <w:sz w:val="21"/>
                      <w:szCs w:val="21"/>
                      <w14:textFill>
                        <w14:solidFill>
                          <w14:schemeClr w14:val="tx1"/>
                        </w14:solidFill>
                      </w14:textFill>
                    </w:rPr>
                    <w:t>位于厂区西侧，1F，建筑面积850m</w:t>
                  </w:r>
                  <w:r>
                    <w:rPr>
                      <w:rFonts w:ascii="Times New Roman" w:eastAsia="宋体" w:cs="Times New Roman"/>
                      <w:snapToGrid w:val="0"/>
                      <w:color w:val="000000" w:themeColor="text1"/>
                      <w:kern w:val="0"/>
                      <w:sz w:val="21"/>
                      <w:szCs w:val="21"/>
                      <w:vertAlign w:val="superscript"/>
                      <w14:textFill>
                        <w14:solidFill>
                          <w14:schemeClr w14:val="tx1"/>
                        </w14:solidFill>
                      </w14:textFill>
                    </w:rPr>
                    <w:t>2</w:t>
                  </w:r>
                </w:p>
              </w:tc>
            </w:tr>
            <w:tr w14:paraId="388FE7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731" w:type="pct"/>
                  <w:vMerge w:val="continue"/>
                  <w:tcBorders>
                    <w:top w:val="single" w:color="auto" w:sz="4" w:space="0"/>
                    <w:left w:val="single" w:color="auto" w:sz="4" w:space="0"/>
                    <w:bottom w:val="single" w:color="auto" w:sz="4" w:space="0"/>
                    <w:right w:val="single" w:color="auto" w:sz="4" w:space="0"/>
                  </w:tcBorders>
                  <w:vAlign w:val="center"/>
                </w:tcPr>
                <w:p w14:paraId="4CE387A1">
                  <w:pPr>
                    <w:widowControl/>
                    <w:spacing w:beforeAutospacing="1" w:afterAutospacing="1"/>
                    <w:jc w:val="left"/>
                    <w:rPr>
                      <w:rFonts w:ascii="Times New Roman" w:hAnsi="Times New Roman" w:eastAsia="宋体" w:cs="Times New Roman"/>
                      <w:color w:val="000000" w:themeColor="text1"/>
                      <w:szCs w:val="21"/>
                      <w14:textFill>
                        <w14:solidFill>
                          <w14:schemeClr w14:val="tx1"/>
                        </w14:solidFill>
                      </w14:textFill>
                    </w:rPr>
                  </w:pPr>
                </w:p>
              </w:tc>
              <w:tc>
                <w:tcPr>
                  <w:tcW w:w="912" w:type="pct"/>
                  <w:tcBorders>
                    <w:top w:val="single" w:color="auto" w:sz="4" w:space="0"/>
                    <w:left w:val="single" w:color="auto" w:sz="4" w:space="0"/>
                    <w:bottom w:val="single" w:color="auto" w:sz="4" w:space="0"/>
                    <w:right w:val="single" w:color="auto" w:sz="4" w:space="0"/>
                  </w:tcBorders>
                  <w:vAlign w:val="center"/>
                </w:tcPr>
                <w:p w14:paraId="036B5736">
                  <w:pPr>
                    <w:adjustRightInd w:val="0"/>
                    <w:snapToGrid w:val="0"/>
                    <w:jc w:val="center"/>
                    <w:rPr>
                      <w:rFonts w:ascii="Times New Roman" w:hAnsi="Times New Roman" w:eastAsia="宋体" w:cs="Times New Roman"/>
                      <w:snapToGrid w:val="0"/>
                      <w:color w:val="000000" w:themeColor="text1"/>
                      <w:spacing w:val="10"/>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食堂</w:t>
                  </w:r>
                </w:p>
              </w:tc>
              <w:tc>
                <w:tcPr>
                  <w:tcW w:w="3356" w:type="pct"/>
                  <w:tcBorders>
                    <w:top w:val="single" w:color="auto" w:sz="4" w:space="0"/>
                    <w:left w:val="single" w:color="auto" w:sz="4" w:space="0"/>
                    <w:bottom w:val="single" w:color="auto" w:sz="4" w:space="0"/>
                    <w:right w:val="single" w:color="auto" w:sz="4" w:space="0"/>
                  </w:tcBorders>
                  <w:vAlign w:val="center"/>
                </w:tcPr>
                <w:p w14:paraId="2D26B454">
                  <w:pPr>
                    <w:pStyle w:val="3"/>
                    <w:adjustRightInd w:val="0"/>
                    <w:snapToGrid w:val="0"/>
                    <w:spacing w:line="240" w:lineRule="auto"/>
                    <w:ind w:firstLine="0" w:firstLineChars="0"/>
                    <w:jc w:val="center"/>
                    <w:rPr>
                      <w:rFonts w:ascii="Times New Roman" w:eastAsia="宋体" w:cs="Times New Roman"/>
                      <w:color w:val="000000" w:themeColor="text1"/>
                      <w:sz w:val="21"/>
                      <w:szCs w:val="21"/>
                      <w14:textFill>
                        <w14:solidFill>
                          <w14:schemeClr w14:val="tx1"/>
                        </w14:solidFill>
                      </w14:textFill>
                    </w:rPr>
                  </w:pPr>
                  <w:r>
                    <w:rPr>
                      <w:rFonts w:ascii="Times New Roman" w:eastAsia="宋体" w:cs="Times New Roman"/>
                      <w:color w:val="000000" w:themeColor="text1"/>
                      <w:sz w:val="21"/>
                      <w:szCs w:val="21"/>
                      <w14:textFill>
                        <w14:solidFill>
                          <w14:schemeClr w14:val="tx1"/>
                        </w14:solidFill>
                      </w14:textFill>
                    </w:rPr>
                    <w:t>食堂不再使用</w:t>
                  </w:r>
                </w:p>
              </w:tc>
            </w:tr>
            <w:tr w14:paraId="4910F7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3" w:hRule="atLeast"/>
                <w:jc w:val="center"/>
              </w:trPr>
              <w:tc>
                <w:tcPr>
                  <w:tcW w:w="731" w:type="pct"/>
                  <w:vMerge w:val="restart"/>
                  <w:tcBorders>
                    <w:top w:val="single" w:color="auto" w:sz="4" w:space="0"/>
                    <w:left w:val="single" w:color="auto" w:sz="4" w:space="0"/>
                    <w:bottom w:val="single" w:color="auto" w:sz="4" w:space="0"/>
                    <w:right w:val="single" w:color="auto" w:sz="4" w:space="0"/>
                  </w:tcBorders>
                  <w:vAlign w:val="center"/>
                </w:tcPr>
                <w:p w14:paraId="49DB9BEE">
                  <w:pPr>
                    <w:adjustRightInd w:val="0"/>
                    <w:snapToGrid w:val="0"/>
                    <w:jc w:val="center"/>
                    <w:rPr>
                      <w:rFonts w:ascii="Times New Roman" w:hAnsi="Times New Roman" w:eastAsia="宋体" w:cs="Times New Roman"/>
                      <w:snapToGrid w:val="0"/>
                      <w:color w:val="000000" w:themeColor="text1"/>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公用</w:t>
                  </w:r>
                </w:p>
                <w:p w14:paraId="0972F944">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工程</w:t>
                  </w:r>
                </w:p>
              </w:tc>
              <w:tc>
                <w:tcPr>
                  <w:tcW w:w="912" w:type="pct"/>
                  <w:tcBorders>
                    <w:top w:val="single" w:color="auto" w:sz="4" w:space="0"/>
                    <w:left w:val="single" w:color="auto" w:sz="4" w:space="0"/>
                    <w:bottom w:val="single" w:color="auto" w:sz="4" w:space="0"/>
                    <w:right w:val="single" w:color="auto" w:sz="4" w:space="0"/>
                  </w:tcBorders>
                  <w:vAlign w:val="center"/>
                </w:tcPr>
                <w:p w14:paraId="6781FD0A">
                  <w:pPr>
                    <w:adjustRightInd w:val="0"/>
                    <w:snapToGrid w:val="0"/>
                    <w:jc w:val="center"/>
                    <w:rPr>
                      <w:rFonts w:ascii="Times New Roman" w:hAnsi="Times New Roman" w:eastAsia="宋体" w:cs="Times New Roman"/>
                      <w:snapToGrid w:val="0"/>
                      <w:color w:val="000000" w:themeColor="text1"/>
                      <w:spacing w:val="10"/>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供电</w:t>
                  </w:r>
                </w:p>
              </w:tc>
              <w:tc>
                <w:tcPr>
                  <w:tcW w:w="3356" w:type="pct"/>
                  <w:tcBorders>
                    <w:top w:val="single" w:color="auto" w:sz="4" w:space="0"/>
                    <w:left w:val="single" w:color="auto" w:sz="4" w:space="0"/>
                    <w:bottom w:val="single" w:color="auto" w:sz="4" w:space="0"/>
                    <w:right w:val="single" w:color="auto" w:sz="4" w:space="0"/>
                  </w:tcBorders>
                  <w:vAlign w:val="center"/>
                </w:tcPr>
                <w:p w14:paraId="609BDBE7">
                  <w:pPr>
                    <w:pStyle w:val="3"/>
                    <w:adjustRightInd w:val="0"/>
                    <w:snapToGrid w:val="0"/>
                    <w:spacing w:line="240" w:lineRule="auto"/>
                    <w:ind w:firstLine="0" w:firstLineChars="0"/>
                    <w:jc w:val="left"/>
                    <w:rPr>
                      <w:rFonts w:ascii="Times New Roman" w:eastAsia="宋体" w:cs="Times New Roman"/>
                      <w:color w:val="000000" w:themeColor="text1"/>
                      <w:sz w:val="21"/>
                      <w:szCs w:val="21"/>
                      <w14:textFill>
                        <w14:solidFill>
                          <w14:schemeClr w14:val="tx1"/>
                        </w14:solidFill>
                      </w14:textFill>
                    </w:rPr>
                  </w:pPr>
                  <w:r>
                    <w:rPr>
                      <w:rFonts w:ascii="Times New Roman" w:eastAsia="宋体" w:cs="Times New Roman"/>
                      <w:snapToGrid w:val="0"/>
                      <w:color w:val="000000" w:themeColor="text1"/>
                      <w:kern w:val="0"/>
                      <w:sz w:val="21"/>
                      <w:szCs w:val="21"/>
                      <w14:textFill>
                        <w14:solidFill>
                          <w14:schemeClr w14:val="tx1"/>
                        </w14:solidFill>
                      </w14:textFill>
                    </w:rPr>
                    <w:t>由横山镇供电网引入，变压器容量为800KVA。</w:t>
                  </w:r>
                </w:p>
              </w:tc>
            </w:tr>
            <w:tr w14:paraId="5F99E4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0" w:hRule="atLeast"/>
                <w:jc w:val="center"/>
              </w:trPr>
              <w:tc>
                <w:tcPr>
                  <w:tcW w:w="731" w:type="pct"/>
                  <w:vMerge w:val="continue"/>
                  <w:tcBorders>
                    <w:top w:val="single" w:color="auto" w:sz="4" w:space="0"/>
                    <w:left w:val="single" w:color="auto" w:sz="4" w:space="0"/>
                    <w:bottom w:val="single" w:color="auto" w:sz="4" w:space="0"/>
                    <w:right w:val="single" w:color="auto" w:sz="4" w:space="0"/>
                  </w:tcBorders>
                  <w:vAlign w:val="center"/>
                </w:tcPr>
                <w:p w14:paraId="1A142916">
                  <w:pPr>
                    <w:widowControl/>
                    <w:spacing w:beforeAutospacing="1" w:afterAutospacing="1"/>
                    <w:jc w:val="left"/>
                    <w:rPr>
                      <w:rFonts w:ascii="Times New Roman" w:hAnsi="Times New Roman" w:eastAsia="宋体" w:cs="Times New Roman"/>
                      <w:color w:val="000000" w:themeColor="text1"/>
                      <w:szCs w:val="21"/>
                      <w14:textFill>
                        <w14:solidFill>
                          <w14:schemeClr w14:val="tx1"/>
                        </w14:solidFill>
                      </w14:textFill>
                    </w:rPr>
                  </w:pPr>
                </w:p>
              </w:tc>
              <w:tc>
                <w:tcPr>
                  <w:tcW w:w="912" w:type="pct"/>
                  <w:tcBorders>
                    <w:top w:val="single" w:color="auto" w:sz="4" w:space="0"/>
                    <w:left w:val="single" w:color="auto" w:sz="4" w:space="0"/>
                    <w:bottom w:val="single" w:color="auto" w:sz="4" w:space="0"/>
                    <w:right w:val="single" w:color="auto" w:sz="4" w:space="0"/>
                  </w:tcBorders>
                  <w:vAlign w:val="center"/>
                </w:tcPr>
                <w:p w14:paraId="40B437FB">
                  <w:pPr>
                    <w:adjustRightInd w:val="0"/>
                    <w:snapToGrid w:val="0"/>
                    <w:jc w:val="center"/>
                    <w:rPr>
                      <w:rFonts w:ascii="Times New Roman" w:hAnsi="Times New Roman" w:eastAsia="宋体" w:cs="Times New Roman"/>
                      <w:snapToGrid w:val="0"/>
                      <w:color w:val="000000" w:themeColor="text1"/>
                      <w:spacing w:val="10"/>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供水</w:t>
                  </w:r>
                </w:p>
              </w:tc>
              <w:tc>
                <w:tcPr>
                  <w:tcW w:w="3356" w:type="pct"/>
                  <w:tcBorders>
                    <w:top w:val="single" w:color="auto" w:sz="4" w:space="0"/>
                    <w:left w:val="single" w:color="auto" w:sz="4" w:space="0"/>
                    <w:bottom w:val="single" w:color="auto" w:sz="4" w:space="0"/>
                    <w:right w:val="single" w:color="auto" w:sz="4" w:space="0"/>
                  </w:tcBorders>
                  <w:vAlign w:val="center"/>
                </w:tcPr>
                <w:p w14:paraId="059711D8">
                  <w:pPr>
                    <w:pStyle w:val="3"/>
                    <w:adjustRightInd w:val="0"/>
                    <w:snapToGrid w:val="0"/>
                    <w:spacing w:line="240" w:lineRule="auto"/>
                    <w:ind w:firstLine="0" w:firstLineChars="0"/>
                    <w:jc w:val="left"/>
                    <w:rPr>
                      <w:rFonts w:ascii="Times New Roman" w:eastAsia="宋体" w:cs="Times New Roman"/>
                      <w:color w:val="000000" w:themeColor="text1"/>
                      <w:sz w:val="21"/>
                      <w:szCs w:val="21"/>
                      <w14:textFill>
                        <w14:solidFill>
                          <w14:schemeClr w14:val="tx1"/>
                        </w14:solidFill>
                      </w14:textFill>
                    </w:rPr>
                  </w:pPr>
                  <w:r>
                    <w:rPr>
                      <w:rFonts w:ascii="Times New Roman" w:eastAsia="宋体" w:cs="Times New Roman"/>
                      <w:snapToGrid w:val="0"/>
                      <w:color w:val="000000" w:themeColor="text1"/>
                      <w:kern w:val="0"/>
                      <w:sz w:val="21"/>
                      <w:szCs w:val="21"/>
                      <w14:textFill>
                        <w14:solidFill>
                          <w14:schemeClr w14:val="tx1"/>
                        </w14:solidFill>
                      </w14:textFill>
                    </w:rPr>
                    <w:t>用水为地下水，设有机井一个，位于厂区西侧，生产区新增蓄水罐一个，有效容积40m</w:t>
                  </w:r>
                  <w:r>
                    <w:rPr>
                      <w:rFonts w:ascii="Times New Roman" w:eastAsia="宋体" w:cs="Times New Roman"/>
                      <w:snapToGrid w:val="0"/>
                      <w:color w:val="000000" w:themeColor="text1"/>
                      <w:kern w:val="0"/>
                      <w:sz w:val="21"/>
                      <w:szCs w:val="21"/>
                      <w:vertAlign w:val="superscript"/>
                      <w14:textFill>
                        <w14:solidFill>
                          <w14:schemeClr w14:val="tx1"/>
                        </w14:solidFill>
                      </w14:textFill>
                    </w:rPr>
                    <w:t>3</w:t>
                  </w:r>
                  <w:r>
                    <w:rPr>
                      <w:rFonts w:ascii="Times New Roman" w:eastAsia="宋体" w:cs="Times New Roman"/>
                      <w:snapToGrid w:val="0"/>
                      <w:color w:val="000000" w:themeColor="text1"/>
                      <w:kern w:val="0"/>
                      <w:sz w:val="21"/>
                      <w:szCs w:val="21"/>
                      <w14:textFill>
                        <w14:solidFill>
                          <w14:schemeClr w14:val="tx1"/>
                        </w14:solidFill>
                      </w14:textFill>
                    </w:rPr>
                    <w:t>；生活区水池有效容积2.0m</w:t>
                  </w:r>
                  <w:r>
                    <w:rPr>
                      <w:rFonts w:ascii="Times New Roman" w:eastAsia="宋体" w:cs="Times New Roman"/>
                      <w:snapToGrid w:val="0"/>
                      <w:color w:val="000000" w:themeColor="text1"/>
                      <w:kern w:val="0"/>
                      <w:sz w:val="21"/>
                      <w:szCs w:val="21"/>
                      <w:vertAlign w:val="superscript"/>
                      <w14:textFill>
                        <w14:solidFill>
                          <w14:schemeClr w14:val="tx1"/>
                        </w14:solidFill>
                      </w14:textFill>
                    </w:rPr>
                    <w:t>3</w:t>
                  </w:r>
                  <w:r>
                    <w:rPr>
                      <w:rFonts w:ascii="Times New Roman" w:eastAsia="宋体" w:cs="Times New Roman"/>
                      <w:snapToGrid w:val="0"/>
                      <w:color w:val="000000" w:themeColor="text1"/>
                      <w:kern w:val="0"/>
                      <w:sz w:val="21"/>
                      <w:szCs w:val="21"/>
                      <w14:textFill>
                        <w14:solidFill>
                          <w14:schemeClr w14:val="tx1"/>
                        </w14:solidFill>
                      </w14:textFill>
                    </w:rPr>
                    <w:t>。</w:t>
                  </w:r>
                </w:p>
              </w:tc>
            </w:tr>
            <w:tr w14:paraId="1CF77C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jc w:val="center"/>
              </w:trPr>
              <w:tc>
                <w:tcPr>
                  <w:tcW w:w="731" w:type="pct"/>
                  <w:vMerge w:val="continue"/>
                  <w:tcBorders>
                    <w:top w:val="single" w:color="auto" w:sz="4" w:space="0"/>
                    <w:left w:val="single" w:color="auto" w:sz="4" w:space="0"/>
                    <w:bottom w:val="single" w:color="auto" w:sz="4" w:space="0"/>
                    <w:right w:val="single" w:color="auto" w:sz="4" w:space="0"/>
                  </w:tcBorders>
                  <w:vAlign w:val="center"/>
                </w:tcPr>
                <w:p w14:paraId="1B3947A2">
                  <w:pPr>
                    <w:widowControl/>
                    <w:spacing w:beforeAutospacing="1" w:afterAutospacing="1"/>
                    <w:jc w:val="left"/>
                    <w:rPr>
                      <w:rFonts w:ascii="Times New Roman" w:hAnsi="Times New Roman" w:eastAsia="宋体" w:cs="Times New Roman"/>
                      <w:color w:val="000000" w:themeColor="text1"/>
                      <w:szCs w:val="21"/>
                      <w14:textFill>
                        <w14:solidFill>
                          <w14:schemeClr w14:val="tx1"/>
                        </w14:solidFill>
                      </w14:textFill>
                    </w:rPr>
                  </w:pPr>
                </w:p>
              </w:tc>
              <w:tc>
                <w:tcPr>
                  <w:tcW w:w="912" w:type="pct"/>
                  <w:tcBorders>
                    <w:top w:val="single" w:color="auto" w:sz="4" w:space="0"/>
                    <w:left w:val="single" w:color="auto" w:sz="4" w:space="0"/>
                    <w:bottom w:val="single" w:color="auto" w:sz="4" w:space="0"/>
                    <w:right w:val="single" w:color="auto" w:sz="4" w:space="0"/>
                  </w:tcBorders>
                  <w:vAlign w:val="center"/>
                </w:tcPr>
                <w:p w14:paraId="6359A6A8">
                  <w:pPr>
                    <w:adjustRightInd w:val="0"/>
                    <w:snapToGrid w:val="0"/>
                    <w:jc w:val="center"/>
                    <w:rPr>
                      <w:rFonts w:ascii="Times New Roman" w:hAnsi="Times New Roman" w:eastAsia="宋体" w:cs="Times New Roman"/>
                      <w:snapToGrid w:val="0"/>
                      <w:color w:val="000000" w:themeColor="text1"/>
                      <w:spacing w:val="10"/>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排水</w:t>
                  </w:r>
                </w:p>
              </w:tc>
              <w:tc>
                <w:tcPr>
                  <w:tcW w:w="3356" w:type="pct"/>
                  <w:tcBorders>
                    <w:top w:val="single" w:color="auto" w:sz="4" w:space="0"/>
                    <w:left w:val="single" w:color="auto" w:sz="4" w:space="0"/>
                    <w:bottom w:val="single" w:color="auto" w:sz="4" w:space="0"/>
                    <w:right w:val="single" w:color="auto" w:sz="4" w:space="0"/>
                  </w:tcBorders>
                  <w:vAlign w:val="center"/>
                </w:tcPr>
                <w:p w14:paraId="58A246AE">
                  <w:pPr>
                    <w:pStyle w:val="3"/>
                    <w:adjustRightInd w:val="0"/>
                    <w:snapToGrid w:val="0"/>
                    <w:spacing w:line="240" w:lineRule="auto"/>
                    <w:ind w:firstLine="0" w:firstLineChars="0"/>
                    <w:jc w:val="left"/>
                    <w:rPr>
                      <w:rFonts w:ascii="Times New Roman" w:eastAsia="宋体" w:cs="Times New Roman"/>
                      <w:color w:val="000000" w:themeColor="text1"/>
                      <w:sz w:val="21"/>
                      <w:szCs w:val="21"/>
                      <w14:textFill>
                        <w14:solidFill>
                          <w14:schemeClr w14:val="tx1"/>
                        </w14:solidFill>
                      </w14:textFill>
                    </w:rPr>
                  </w:pPr>
                  <w:r>
                    <w:rPr>
                      <w:rFonts w:ascii="Times New Roman" w:eastAsia="宋体" w:cs="Times New Roman"/>
                      <w:snapToGrid w:val="0"/>
                      <w:color w:val="000000" w:themeColor="text1"/>
                      <w:kern w:val="0"/>
                      <w:sz w:val="21"/>
                      <w:szCs w:val="21"/>
                      <w14:textFill>
                        <w14:solidFill>
                          <w14:schemeClr w14:val="tx1"/>
                        </w14:solidFill>
                      </w14:textFill>
                    </w:rPr>
                    <w:t>无生产废水产生；生活污水预处理池一个，容积为5m</w:t>
                  </w:r>
                  <w:r>
                    <w:rPr>
                      <w:rFonts w:ascii="Times New Roman" w:eastAsia="宋体" w:cs="Times New Roman"/>
                      <w:snapToGrid w:val="0"/>
                      <w:color w:val="000000" w:themeColor="text1"/>
                      <w:kern w:val="0"/>
                      <w:sz w:val="21"/>
                      <w:szCs w:val="21"/>
                      <w:vertAlign w:val="superscript"/>
                      <w14:textFill>
                        <w14:solidFill>
                          <w14:schemeClr w14:val="tx1"/>
                        </w14:solidFill>
                      </w14:textFill>
                    </w:rPr>
                    <w:t>3</w:t>
                  </w:r>
                </w:p>
              </w:tc>
            </w:tr>
            <w:tr w14:paraId="5378AF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731" w:type="pct"/>
                  <w:vMerge w:val="restart"/>
                  <w:tcBorders>
                    <w:top w:val="single" w:color="auto" w:sz="4" w:space="0"/>
                    <w:left w:val="single" w:color="auto" w:sz="4" w:space="0"/>
                    <w:bottom w:val="single" w:color="auto" w:sz="4" w:space="0"/>
                    <w:right w:val="single" w:color="auto" w:sz="4" w:space="0"/>
                  </w:tcBorders>
                  <w:vAlign w:val="center"/>
                </w:tcPr>
                <w:p w14:paraId="64601A82">
                  <w:pPr>
                    <w:adjustRightInd w:val="0"/>
                    <w:snapToGrid w:val="0"/>
                    <w:jc w:val="center"/>
                    <w:rPr>
                      <w:rFonts w:ascii="Times New Roman" w:hAnsi="Times New Roman" w:eastAsia="宋体" w:cs="Times New Roman"/>
                      <w:snapToGrid w:val="0"/>
                      <w:color w:val="000000" w:themeColor="text1"/>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储运</w:t>
                  </w:r>
                </w:p>
                <w:p w14:paraId="251F62CD">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设施</w:t>
                  </w:r>
                </w:p>
              </w:tc>
              <w:tc>
                <w:tcPr>
                  <w:tcW w:w="912" w:type="pct"/>
                  <w:tcBorders>
                    <w:top w:val="single" w:color="auto" w:sz="4" w:space="0"/>
                    <w:left w:val="single" w:color="auto" w:sz="4" w:space="0"/>
                    <w:bottom w:val="single" w:color="auto" w:sz="4" w:space="0"/>
                    <w:right w:val="single" w:color="auto" w:sz="4" w:space="0"/>
                  </w:tcBorders>
                  <w:vAlign w:val="center"/>
                </w:tcPr>
                <w:p w14:paraId="3D5B0650">
                  <w:pPr>
                    <w:adjustRightInd w:val="0"/>
                    <w:snapToGrid w:val="0"/>
                    <w:jc w:val="center"/>
                    <w:rPr>
                      <w:rFonts w:ascii="Times New Roman" w:hAnsi="Times New Roman" w:eastAsia="宋体" w:cs="Times New Roman"/>
                      <w:snapToGrid w:val="0"/>
                      <w:color w:val="000000" w:themeColor="text1"/>
                      <w:spacing w:val="10"/>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原料堆场</w:t>
                  </w:r>
                </w:p>
              </w:tc>
              <w:tc>
                <w:tcPr>
                  <w:tcW w:w="3356" w:type="pct"/>
                  <w:tcBorders>
                    <w:top w:val="single" w:color="auto" w:sz="4" w:space="0"/>
                    <w:left w:val="single" w:color="auto" w:sz="4" w:space="0"/>
                    <w:bottom w:val="single" w:color="auto" w:sz="4" w:space="0"/>
                    <w:right w:val="single" w:color="auto" w:sz="4" w:space="0"/>
                  </w:tcBorders>
                  <w:vAlign w:val="center"/>
                </w:tcPr>
                <w:p w14:paraId="62B6745F">
                  <w:pPr>
                    <w:adjustRightInd w:val="0"/>
                    <w:snapToGrid w:val="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钢结构厂棚，占地面积约300m</w:t>
                  </w:r>
                  <w:r>
                    <w:rPr>
                      <w:rFonts w:ascii="Times New Roman" w:hAnsi="Times New Roman" w:eastAsia="宋体" w:cs="Times New Roman"/>
                      <w:snapToGrid w:val="0"/>
                      <w:color w:val="000000" w:themeColor="text1"/>
                      <w:kern w:val="0"/>
                      <w:szCs w:val="21"/>
                      <w:vertAlign w:val="superscript"/>
                      <w14:textFill>
                        <w14:solidFill>
                          <w14:schemeClr w14:val="tx1"/>
                        </w14:solidFill>
                      </w14:textFill>
                    </w:rPr>
                    <w:t>2</w:t>
                  </w:r>
                  <w:r>
                    <w:rPr>
                      <w:rFonts w:ascii="Times New Roman" w:hAnsi="Times New Roman" w:eastAsia="宋体" w:cs="Times New Roman"/>
                      <w:snapToGrid w:val="0"/>
                      <w:color w:val="000000" w:themeColor="text1"/>
                      <w:kern w:val="0"/>
                      <w:szCs w:val="21"/>
                      <w14:textFill>
                        <w14:solidFill>
                          <w14:schemeClr w14:val="tx1"/>
                        </w14:solidFill>
                      </w14:textFill>
                    </w:rPr>
                    <w:t>，作为原料页岩和堆煤场</w:t>
                  </w:r>
                </w:p>
              </w:tc>
            </w:tr>
            <w:tr w14:paraId="4BCDC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5" w:hRule="atLeast"/>
                <w:jc w:val="center"/>
              </w:trPr>
              <w:tc>
                <w:tcPr>
                  <w:tcW w:w="731" w:type="pct"/>
                  <w:vMerge w:val="continue"/>
                  <w:tcBorders>
                    <w:top w:val="single" w:color="auto" w:sz="4" w:space="0"/>
                    <w:left w:val="single" w:color="auto" w:sz="4" w:space="0"/>
                    <w:bottom w:val="single" w:color="auto" w:sz="4" w:space="0"/>
                    <w:right w:val="single" w:color="auto" w:sz="4" w:space="0"/>
                  </w:tcBorders>
                  <w:vAlign w:val="center"/>
                </w:tcPr>
                <w:p w14:paraId="5F5BD117">
                  <w:pPr>
                    <w:widowControl/>
                    <w:spacing w:beforeAutospacing="1" w:afterAutospacing="1"/>
                    <w:jc w:val="left"/>
                    <w:rPr>
                      <w:rFonts w:ascii="Times New Roman" w:hAnsi="Times New Roman" w:eastAsia="宋体" w:cs="Times New Roman"/>
                      <w:color w:val="000000" w:themeColor="text1"/>
                      <w:szCs w:val="21"/>
                      <w14:textFill>
                        <w14:solidFill>
                          <w14:schemeClr w14:val="tx1"/>
                        </w14:solidFill>
                      </w14:textFill>
                    </w:rPr>
                  </w:pPr>
                </w:p>
              </w:tc>
              <w:tc>
                <w:tcPr>
                  <w:tcW w:w="912" w:type="pct"/>
                  <w:tcBorders>
                    <w:top w:val="single" w:color="auto" w:sz="4" w:space="0"/>
                    <w:left w:val="single" w:color="auto" w:sz="4" w:space="0"/>
                    <w:bottom w:val="single" w:color="auto" w:sz="4" w:space="0"/>
                    <w:right w:val="single" w:color="auto" w:sz="4" w:space="0"/>
                  </w:tcBorders>
                  <w:vAlign w:val="center"/>
                </w:tcPr>
                <w:p w14:paraId="29217414">
                  <w:pPr>
                    <w:adjustRightInd w:val="0"/>
                    <w:snapToGrid w:val="0"/>
                    <w:jc w:val="center"/>
                    <w:rPr>
                      <w:rFonts w:ascii="Times New Roman" w:hAnsi="Times New Roman" w:eastAsia="宋体" w:cs="Times New Roman"/>
                      <w:snapToGrid w:val="0"/>
                      <w:color w:val="000000" w:themeColor="text1"/>
                      <w:spacing w:val="10"/>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成品堆场</w:t>
                  </w:r>
                </w:p>
              </w:tc>
              <w:tc>
                <w:tcPr>
                  <w:tcW w:w="3356" w:type="pct"/>
                  <w:tcBorders>
                    <w:top w:val="single" w:color="auto" w:sz="4" w:space="0"/>
                    <w:left w:val="single" w:color="auto" w:sz="4" w:space="0"/>
                    <w:bottom w:val="single" w:color="auto" w:sz="4" w:space="0"/>
                    <w:right w:val="single" w:color="auto" w:sz="4" w:space="0"/>
                  </w:tcBorders>
                  <w:vAlign w:val="center"/>
                </w:tcPr>
                <w:p w14:paraId="7AA5B237">
                  <w:pPr>
                    <w:adjustRightInd w:val="0"/>
                    <w:snapToGrid w:val="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钢结构厂棚，占地面积约700m</w:t>
                  </w:r>
                  <w:r>
                    <w:rPr>
                      <w:rFonts w:ascii="Times New Roman" w:hAnsi="Times New Roman" w:eastAsia="宋体" w:cs="Times New Roman"/>
                      <w:snapToGrid w:val="0"/>
                      <w:color w:val="000000" w:themeColor="text1"/>
                      <w:kern w:val="0"/>
                      <w:szCs w:val="21"/>
                      <w:vertAlign w:val="superscript"/>
                      <w14:textFill>
                        <w14:solidFill>
                          <w14:schemeClr w14:val="tx1"/>
                        </w14:solidFill>
                      </w14:textFill>
                    </w:rPr>
                    <w:t>2</w:t>
                  </w:r>
                  <w:r>
                    <w:rPr>
                      <w:rFonts w:ascii="Times New Roman" w:hAnsi="Times New Roman" w:eastAsia="宋体" w:cs="Times New Roman"/>
                      <w:snapToGrid w:val="0"/>
                      <w:color w:val="000000" w:themeColor="text1"/>
                      <w:kern w:val="0"/>
                      <w:szCs w:val="21"/>
                      <w14:textFill>
                        <w14:solidFill>
                          <w14:schemeClr w14:val="tx1"/>
                        </w14:solidFill>
                      </w14:textFill>
                    </w:rPr>
                    <w:t>，用于成品堆放和装卸</w:t>
                  </w:r>
                </w:p>
              </w:tc>
            </w:tr>
            <w:tr w14:paraId="4DFA3F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7" w:hRule="atLeast"/>
                <w:jc w:val="center"/>
              </w:trPr>
              <w:tc>
                <w:tcPr>
                  <w:tcW w:w="731" w:type="pct"/>
                  <w:vMerge w:val="restart"/>
                  <w:tcBorders>
                    <w:top w:val="single" w:color="auto" w:sz="4" w:space="0"/>
                    <w:left w:val="single" w:color="auto" w:sz="4" w:space="0"/>
                    <w:bottom w:val="single" w:color="auto" w:sz="4" w:space="0"/>
                    <w:right w:val="single" w:color="auto" w:sz="4" w:space="0"/>
                  </w:tcBorders>
                  <w:vAlign w:val="center"/>
                </w:tcPr>
                <w:p w14:paraId="38409D06">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环保设施</w:t>
                  </w:r>
                </w:p>
              </w:tc>
              <w:tc>
                <w:tcPr>
                  <w:tcW w:w="912" w:type="pct"/>
                  <w:vMerge w:val="restart"/>
                  <w:tcBorders>
                    <w:top w:val="single" w:color="auto" w:sz="4" w:space="0"/>
                    <w:left w:val="single" w:color="auto" w:sz="4" w:space="0"/>
                    <w:bottom w:val="single" w:color="auto" w:sz="4" w:space="0"/>
                    <w:right w:val="single" w:color="auto" w:sz="4" w:space="0"/>
                  </w:tcBorders>
                  <w:vAlign w:val="center"/>
                </w:tcPr>
                <w:p w14:paraId="43C3D75B">
                  <w:pPr>
                    <w:adjustRightInd w:val="0"/>
                    <w:snapToGrid w:val="0"/>
                    <w:jc w:val="center"/>
                    <w:rPr>
                      <w:rFonts w:ascii="Times New Roman" w:hAnsi="Times New Roman" w:eastAsia="宋体" w:cs="Times New Roman"/>
                      <w:snapToGrid w:val="0"/>
                      <w:color w:val="000000" w:themeColor="text1"/>
                      <w:spacing w:val="10"/>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废气</w:t>
                  </w:r>
                </w:p>
              </w:tc>
              <w:tc>
                <w:tcPr>
                  <w:tcW w:w="3356" w:type="pct"/>
                  <w:tcBorders>
                    <w:top w:val="single" w:color="auto" w:sz="4" w:space="0"/>
                    <w:left w:val="single" w:color="auto" w:sz="4" w:space="0"/>
                    <w:bottom w:val="single" w:color="auto" w:sz="4" w:space="0"/>
                    <w:right w:val="single" w:color="auto" w:sz="4" w:space="0"/>
                  </w:tcBorders>
                  <w:vAlign w:val="center"/>
                </w:tcPr>
                <w:p w14:paraId="7A56E8AA">
                  <w:pPr>
                    <w:pStyle w:val="3"/>
                    <w:adjustRightInd w:val="0"/>
                    <w:snapToGrid w:val="0"/>
                    <w:spacing w:line="240" w:lineRule="auto"/>
                    <w:ind w:firstLine="0" w:firstLineChars="0"/>
                    <w:jc w:val="left"/>
                    <w:rPr>
                      <w:rFonts w:ascii="Times New Roman" w:eastAsia="宋体" w:cs="Times New Roman"/>
                      <w:color w:val="000000" w:themeColor="text1"/>
                      <w:sz w:val="21"/>
                      <w:szCs w:val="21"/>
                      <w14:textFill>
                        <w14:solidFill>
                          <w14:schemeClr w14:val="tx1"/>
                        </w14:solidFill>
                      </w14:textFill>
                    </w:rPr>
                  </w:pPr>
                  <w:r>
                    <w:rPr>
                      <w:rFonts w:ascii="Times New Roman" w:eastAsia="宋体" w:cs="Times New Roman"/>
                      <w:snapToGrid w:val="0"/>
                      <w:color w:val="000000" w:themeColor="text1"/>
                      <w:kern w:val="0"/>
                      <w:sz w:val="21"/>
                      <w:szCs w:val="21"/>
                      <w14:textFill>
                        <w14:solidFill>
                          <w14:schemeClr w14:val="tx1"/>
                        </w14:solidFill>
                      </w14:textFill>
                    </w:rPr>
                    <w:t>原料制备车间破碎机设置独立房间、粉料胶带输送机设置封闭廊道，以上设备均设负压风机集气，最终进入一套布袋除尘器进行处理，之后经14m排气筒外排。</w:t>
                  </w:r>
                </w:p>
              </w:tc>
            </w:tr>
            <w:tr w14:paraId="6F0652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5" w:hRule="atLeast"/>
                <w:jc w:val="center"/>
              </w:trPr>
              <w:tc>
                <w:tcPr>
                  <w:tcW w:w="731" w:type="pct"/>
                  <w:vMerge w:val="continue"/>
                  <w:tcBorders>
                    <w:top w:val="single" w:color="auto" w:sz="4" w:space="0"/>
                    <w:left w:val="single" w:color="auto" w:sz="4" w:space="0"/>
                    <w:bottom w:val="single" w:color="auto" w:sz="4" w:space="0"/>
                    <w:right w:val="single" w:color="auto" w:sz="4" w:space="0"/>
                  </w:tcBorders>
                  <w:vAlign w:val="center"/>
                </w:tcPr>
                <w:p w14:paraId="05723301">
                  <w:pPr>
                    <w:widowControl/>
                    <w:spacing w:beforeAutospacing="1" w:afterAutospacing="1"/>
                    <w:jc w:val="left"/>
                    <w:rPr>
                      <w:rFonts w:ascii="Times New Roman" w:hAnsi="Times New Roman" w:eastAsia="宋体" w:cs="Times New Roman"/>
                      <w:color w:val="000000" w:themeColor="text1"/>
                      <w:szCs w:val="21"/>
                      <w14:textFill>
                        <w14:solidFill>
                          <w14:schemeClr w14:val="tx1"/>
                        </w14:solidFill>
                      </w14:textFill>
                    </w:rPr>
                  </w:pPr>
                </w:p>
              </w:tc>
              <w:tc>
                <w:tcPr>
                  <w:tcW w:w="912" w:type="pct"/>
                  <w:vMerge w:val="continue"/>
                  <w:tcBorders>
                    <w:top w:val="single" w:color="auto" w:sz="4" w:space="0"/>
                    <w:left w:val="single" w:color="auto" w:sz="4" w:space="0"/>
                    <w:bottom w:val="single" w:color="auto" w:sz="4" w:space="0"/>
                    <w:right w:val="single" w:color="auto" w:sz="4" w:space="0"/>
                  </w:tcBorders>
                  <w:vAlign w:val="center"/>
                </w:tcPr>
                <w:p w14:paraId="11D1E7C0">
                  <w:pPr>
                    <w:widowControl/>
                    <w:spacing w:beforeAutospacing="1" w:afterAutospacing="1"/>
                    <w:jc w:val="left"/>
                    <w:rPr>
                      <w:rFonts w:ascii="Times New Roman" w:hAnsi="Times New Roman" w:eastAsia="宋体" w:cs="Times New Roman"/>
                      <w:snapToGrid w:val="0"/>
                      <w:color w:val="000000" w:themeColor="text1"/>
                      <w:spacing w:val="10"/>
                      <w:kern w:val="0"/>
                      <w:szCs w:val="21"/>
                      <w14:textFill>
                        <w14:solidFill>
                          <w14:schemeClr w14:val="tx1"/>
                        </w14:solidFill>
                      </w14:textFill>
                    </w:rPr>
                  </w:pPr>
                </w:p>
              </w:tc>
              <w:tc>
                <w:tcPr>
                  <w:tcW w:w="3356" w:type="pct"/>
                  <w:tcBorders>
                    <w:top w:val="single" w:color="auto" w:sz="4" w:space="0"/>
                    <w:left w:val="single" w:color="auto" w:sz="4" w:space="0"/>
                    <w:bottom w:val="single" w:color="auto" w:sz="4" w:space="0"/>
                    <w:right w:val="single" w:color="auto" w:sz="4" w:space="0"/>
                  </w:tcBorders>
                  <w:vAlign w:val="center"/>
                </w:tcPr>
                <w:p w14:paraId="028E5ECB">
                  <w:pPr>
                    <w:pStyle w:val="3"/>
                    <w:adjustRightInd w:val="0"/>
                    <w:snapToGrid w:val="0"/>
                    <w:spacing w:line="240" w:lineRule="auto"/>
                    <w:ind w:firstLine="0" w:firstLineChars="0"/>
                    <w:jc w:val="left"/>
                    <w:rPr>
                      <w:rFonts w:ascii="Times New Roman" w:eastAsia="宋体" w:cs="Times New Roman"/>
                      <w:color w:val="000000" w:themeColor="text1"/>
                      <w:sz w:val="21"/>
                      <w:szCs w:val="21"/>
                      <w14:textFill>
                        <w14:solidFill>
                          <w14:schemeClr w14:val="tx1"/>
                        </w14:solidFill>
                      </w14:textFill>
                    </w:rPr>
                  </w:pPr>
                  <w:r>
                    <w:rPr>
                      <w:rFonts w:ascii="Times New Roman" w:eastAsia="宋体" w:cs="Times New Roman"/>
                      <w:snapToGrid w:val="0"/>
                      <w:color w:val="000000" w:themeColor="text1"/>
                      <w:kern w:val="0"/>
                      <w:sz w:val="21"/>
                      <w:szCs w:val="21"/>
                      <w14:textFill>
                        <w14:solidFill>
                          <w14:schemeClr w14:val="tx1"/>
                        </w14:solidFill>
                      </w14:textFill>
                    </w:rPr>
                    <w:t>生产窑炉烟气经干燥区砖坯吸附后，进入一套湿式脱硫塔处理后经18m排气筒外排，烘干车间一套湿式脱硫塔，废气经湿式脱硫塔处理后经18m排气筒外排。</w:t>
                  </w:r>
                </w:p>
              </w:tc>
            </w:tr>
            <w:tr w14:paraId="2CBF8A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8" w:hRule="atLeast"/>
                <w:jc w:val="center"/>
              </w:trPr>
              <w:tc>
                <w:tcPr>
                  <w:tcW w:w="731" w:type="pct"/>
                  <w:vMerge w:val="continue"/>
                  <w:tcBorders>
                    <w:top w:val="single" w:color="auto" w:sz="4" w:space="0"/>
                    <w:left w:val="single" w:color="auto" w:sz="4" w:space="0"/>
                    <w:bottom w:val="single" w:color="auto" w:sz="4" w:space="0"/>
                    <w:right w:val="single" w:color="auto" w:sz="4" w:space="0"/>
                  </w:tcBorders>
                  <w:vAlign w:val="center"/>
                </w:tcPr>
                <w:p w14:paraId="4B50508E">
                  <w:pPr>
                    <w:widowControl/>
                    <w:spacing w:beforeAutospacing="1" w:afterAutospacing="1"/>
                    <w:jc w:val="left"/>
                    <w:rPr>
                      <w:rFonts w:ascii="Times New Roman" w:hAnsi="Times New Roman" w:eastAsia="宋体" w:cs="Times New Roman"/>
                      <w:color w:val="000000" w:themeColor="text1"/>
                      <w:szCs w:val="21"/>
                      <w14:textFill>
                        <w14:solidFill>
                          <w14:schemeClr w14:val="tx1"/>
                        </w14:solidFill>
                      </w14:textFill>
                    </w:rPr>
                  </w:pPr>
                </w:p>
              </w:tc>
              <w:tc>
                <w:tcPr>
                  <w:tcW w:w="912" w:type="pct"/>
                  <w:tcBorders>
                    <w:top w:val="single" w:color="auto" w:sz="4" w:space="0"/>
                    <w:left w:val="single" w:color="auto" w:sz="4" w:space="0"/>
                    <w:bottom w:val="single" w:color="auto" w:sz="4" w:space="0"/>
                    <w:right w:val="single" w:color="auto" w:sz="4" w:space="0"/>
                  </w:tcBorders>
                  <w:vAlign w:val="center"/>
                </w:tcPr>
                <w:p w14:paraId="6950A034">
                  <w:pPr>
                    <w:adjustRightInd w:val="0"/>
                    <w:snapToGrid w:val="0"/>
                    <w:jc w:val="center"/>
                    <w:rPr>
                      <w:rFonts w:ascii="Times New Roman" w:hAnsi="Times New Roman" w:eastAsia="宋体" w:cs="Times New Roman"/>
                      <w:snapToGrid w:val="0"/>
                      <w:color w:val="000000" w:themeColor="text1"/>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废水</w:t>
                  </w:r>
                </w:p>
              </w:tc>
              <w:tc>
                <w:tcPr>
                  <w:tcW w:w="3356" w:type="pct"/>
                  <w:tcBorders>
                    <w:top w:val="single" w:color="auto" w:sz="4" w:space="0"/>
                    <w:left w:val="single" w:color="auto" w:sz="4" w:space="0"/>
                    <w:bottom w:val="single" w:color="auto" w:sz="4" w:space="0"/>
                    <w:right w:val="single" w:color="auto" w:sz="4" w:space="0"/>
                  </w:tcBorders>
                </w:tcPr>
                <w:p w14:paraId="613DDB3A">
                  <w:pPr>
                    <w:adjustRightInd w:val="0"/>
                    <w:snapToGrid w:val="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项目无生产废水排放，主要为生活污水，经3m</w:t>
                  </w:r>
                  <w:r>
                    <w:rPr>
                      <w:rFonts w:ascii="Times New Roman" w:hAnsi="Times New Roman" w:eastAsia="宋体" w:cs="Times New Roman"/>
                      <w:snapToGrid w:val="0"/>
                      <w:color w:val="000000" w:themeColor="text1"/>
                      <w:kern w:val="0"/>
                      <w:szCs w:val="21"/>
                      <w:vertAlign w:val="superscript"/>
                      <w14:textFill>
                        <w14:solidFill>
                          <w14:schemeClr w14:val="tx1"/>
                        </w14:solidFill>
                      </w14:textFill>
                    </w:rPr>
                    <w:t>3</w:t>
                  </w:r>
                  <w:r>
                    <w:rPr>
                      <w:rFonts w:ascii="Times New Roman" w:hAnsi="Times New Roman" w:eastAsia="宋体" w:cs="Times New Roman"/>
                      <w:snapToGrid w:val="0"/>
                      <w:color w:val="000000" w:themeColor="text1"/>
                      <w:kern w:val="0"/>
                      <w:szCs w:val="21"/>
                      <w14:textFill>
                        <w14:solidFill>
                          <w14:schemeClr w14:val="tx1"/>
                        </w14:solidFill>
                      </w14:textFill>
                    </w:rPr>
                    <w:t>预处理池处理后，用作农肥；无餐饮废水。湿式脱硫塔废水采用沉淀池进行沉淀后，上清液循环使用，不外排；真空泵间接冷却水循环使用，不外排。</w:t>
                  </w:r>
                </w:p>
              </w:tc>
            </w:tr>
            <w:tr w14:paraId="67CCAC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8" w:hRule="atLeast"/>
                <w:jc w:val="center"/>
              </w:trPr>
              <w:tc>
                <w:tcPr>
                  <w:tcW w:w="731" w:type="pct"/>
                  <w:vMerge w:val="continue"/>
                  <w:tcBorders>
                    <w:top w:val="single" w:color="auto" w:sz="4" w:space="0"/>
                    <w:left w:val="single" w:color="auto" w:sz="4" w:space="0"/>
                    <w:bottom w:val="single" w:color="auto" w:sz="4" w:space="0"/>
                    <w:right w:val="single" w:color="auto" w:sz="4" w:space="0"/>
                  </w:tcBorders>
                  <w:vAlign w:val="center"/>
                </w:tcPr>
                <w:p w14:paraId="1B05DD72">
                  <w:pPr>
                    <w:widowControl/>
                    <w:spacing w:beforeAutospacing="1" w:afterAutospacing="1"/>
                    <w:jc w:val="left"/>
                    <w:rPr>
                      <w:rFonts w:ascii="Times New Roman" w:hAnsi="Times New Roman" w:eastAsia="宋体" w:cs="Times New Roman"/>
                      <w:color w:val="000000" w:themeColor="text1"/>
                      <w:szCs w:val="21"/>
                      <w14:textFill>
                        <w14:solidFill>
                          <w14:schemeClr w14:val="tx1"/>
                        </w14:solidFill>
                      </w14:textFill>
                    </w:rPr>
                  </w:pPr>
                </w:p>
              </w:tc>
              <w:tc>
                <w:tcPr>
                  <w:tcW w:w="912" w:type="pct"/>
                  <w:tcBorders>
                    <w:top w:val="single" w:color="auto" w:sz="4" w:space="0"/>
                    <w:left w:val="single" w:color="auto" w:sz="4" w:space="0"/>
                    <w:bottom w:val="single" w:color="auto" w:sz="4" w:space="0"/>
                    <w:right w:val="single" w:color="auto" w:sz="4" w:space="0"/>
                  </w:tcBorders>
                  <w:vAlign w:val="center"/>
                </w:tcPr>
                <w:p w14:paraId="6536B700">
                  <w:pPr>
                    <w:adjustRightInd w:val="0"/>
                    <w:snapToGrid w:val="0"/>
                    <w:jc w:val="center"/>
                    <w:rPr>
                      <w:rFonts w:ascii="Times New Roman" w:hAnsi="Times New Roman" w:eastAsia="宋体" w:cs="Times New Roman"/>
                      <w:snapToGrid w:val="0"/>
                      <w:color w:val="000000" w:themeColor="text1"/>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固废</w:t>
                  </w:r>
                </w:p>
              </w:tc>
              <w:tc>
                <w:tcPr>
                  <w:tcW w:w="3356" w:type="pct"/>
                  <w:tcBorders>
                    <w:top w:val="single" w:color="auto" w:sz="4" w:space="0"/>
                    <w:left w:val="single" w:color="auto" w:sz="4" w:space="0"/>
                    <w:bottom w:val="single" w:color="auto" w:sz="4" w:space="0"/>
                    <w:right w:val="single" w:color="auto" w:sz="4" w:space="0"/>
                  </w:tcBorders>
                </w:tcPr>
                <w:p w14:paraId="1E8533CE">
                  <w:pPr>
                    <w:adjustRightInd w:val="0"/>
                    <w:snapToGrid w:val="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生产废料（含收尘灰）将返回作为生产原料；生活垃圾经垃圾桶收集后同当地农户生活垃圾一并处理；湿式脱硫塔沉淀为石膏，直接作为原料进入砖坯；废油与废手套暂时存放于危废间中，之后外委危废资质单位处理。</w:t>
                  </w:r>
                </w:p>
              </w:tc>
            </w:tr>
          </w:tbl>
          <w:p w14:paraId="05D920F0">
            <w:pPr>
              <w:adjustRightInd w:val="0"/>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bookmarkStart w:id="14" w:name="_Toc32147"/>
            <w:r>
              <w:rPr>
                <w:rFonts w:ascii="Times New Roman" w:hAnsi="Times New Roman" w:eastAsia="宋体" w:cs="Times New Roman"/>
                <w:b/>
                <w:bCs/>
                <w:color w:val="000000" w:themeColor="text1"/>
                <w:sz w:val="24"/>
                <w:szCs w:val="24"/>
                <w14:textFill>
                  <w14:solidFill>
                    <w14:schemeClr w14:val="tx1"/>
                  </w14:solidFill>
                </w14:textFill>
              </w:rPr>
              <w:t>三、</w:t>
            </w:r>
            <w:bookmarkEnd w:id="14"/>
            <w:r>
              <w:rPr>
                <w:rFonts w:ascii="Times New Roman" w:hAnsi="Times New Roman" w:eastAsia="宋体" w:cs="Times New Roman"/>
                <w:b/>
                <w:bCs/>
                <w:color w:val="000000" w:themeColor="text1"/>
                <w:sz w:val="24"/>
                <w:szCs w:val="24"/>
                <w14:textFill>
                  <w14:solidFill>
                    <w14:schemeClr w14:val="tx1"/>
                  </w14:solidFill>
                </w14:textFill>
              </w:rPr>
              <w:t>现有工程污染物排放情况</w:t>
            </w:r>
          </w:p>
          <w:p w14:paraId="25A9A96C">
            <w:pPr>
              <w:snapToGrid w:val="0"/>
              <w:spacing w:line="360" w:lineRule="auto"/>
              <w:textAlignment w:val="center"/>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1、现有工程废气污染物排放情况</w:t>
            </w:r>
          </w:p>
          <w:p w14:paraId="1ABDC156">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现有工程废气污染源主要包括原料堆场装卸、堆放扬尘，原料制备间车间粉尘，炉窑废气。根据验收及现场踏勘，现有工程采取的治理主要如下：</w:t>
            </w:r>
          </w:p>
          <w:p w14:paraId="2EF953E5">
            <w:pPr>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（1）</w:t>
            </w:r>
            <w:r>
              <w:rPr>
                <w:rFonts w:ascii="Times New Roman" w:hAnsi="Times New Roman" w:eastAsia="宋体" w:cs="Times New Roman"/>
                <w:bCs/>
                <w:color w:val="000000" w:themeColor="text1"/>
                <w:sz w:val="24"/>
                <w:szCs w:val="24"/>
                <w14:textFill>
                  <w14:solidFill>
                    <w14:schemeClr w14:val="tx1"/>
                  </w14:solidFill>
                </w14:textFill>
              </w:rPr>
              <w:t>原料制备粉尘</w:t>
            </w:r>
          </w:p>
          <w:p w14:paraId="117A7114">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原料制备在</w:t>
            </w:r>
            <w:r>
              <w:rPr>
                <w:rFonts w:ascii="Times New Roman" w:hAnsi="Times New Roman" w:eastAsia="宋体" w:cs="Times New Roman"/>
                <w:color w:val="000000" w:themeColor="text1"/>
                <w:sz w:val="24"/>
                <w:szCs w:val="24"/>
                <w14:textFill>
                  <w14:solidFill>
                    <w14:schemeClr w14:val="tx1"/>
                  </w14:solidFill>
                </w14:textFill>
              </w:rPr>
              <w:t>原料装卸及堆放，一次破碎、二次破碎、筛分</w:t>
            </w:r>
            <w:r>
              <w:rPr>
                <w:rFonts w:ascii="Times New Roman" w:hAnsi="Times New Roman" w:eastAsia="宋体" w:cs="Times New Roman"/>
                <w:bCs/>
                <w:color w:val="000000" w:themeColor="text1"/>
                <w:sz w:val="24"/>
                <w:szCs w:val="24"/>
                <w14:textFill>
                  <w14:solidFill>
                    <w14:schemeClr w14:val="tx1"/>
                  </w14:solidFill>
                </w14:textFill>
              </w:rPr>
              <w:t>工序</w:t>
            </w:r>
            <w:r>
              <w:rPr>
                <w:rFonts w:ascii="Times New Roman" w:hAnsi="Times New Roman" w:eastAsia="宋体" w:cs="Times New Roman"/>
                <w:color w:val="000000" w:themeColor="text1"/>
                <w:sz w:val="24"/>
                <w:szCs w:val="24"/>
                <w14:textFill>
                  <w14:solidFill>
                    <w14:schemeClr w14:val="tx1"/>
                  </w14:solidFill>
                </w14:textFill>
              </w:rPr>
              <w:t>将产生粉尘。粉尘产生量较大，为此，企业采取如下措施：</w:t>
            </w:r>
          </w:p>
          <w:p w14:paraId="324E9DF6">
            <w:pPr>
              <w:spacing w:line="360" w:lineRule="auto"/>
              <w:ind w:firstLine="480" w:firstLineChars="200"/>
              <w:rPr>
                <w:rFonts w:ascii="Times New Roman" w:hAnsi="Times New Roman" w:eastAsia="宋体" w:cs="Times New Roman"/>
                <w:color w:val="000000" w:themeColor="text1"/>
                <w:sz w:val="24"/>
                <w:szCs w:val="24"/>
                <w:lang w:bidi="ar"/>
                <w14:textFill>
                  <w14:solidFill>
                    <w14:schemeClr w14:val="tx1"/>
                  </w14:solidFill>
                </w14:textFill>
              </w:rPr>
            </w:pPr>
            <w:r>
              <w:rPr>
                <w:rFonts w:hint="eastAsia" w:ascii="宋体" w:hAnsi="宋体" w:eastAsia="宋体" w:cs="宋体"/>
                <w:bCs/>
                <w:color w:val="000000" w:themeColor="text1"/>
                <w:sz w:val="24"/>
                <w:szCs w:val="24"/>
                <w14:textFill>
                  <w14:solidFill>
                    <w14:schemeClr w14:val="tx1"/>
                  </w14:solidFill>
                </w14:textFill>
              </w:rPr>
              <w:t>①</w:t>
            </w:r>
            <w:r>
              <w:rPr>
                <w:rFonts w:ascii="Times New Roman" w:hAnsi="Times New Roman" w:eastAsia="宋体" w:cs="Times New Roman"/>
                <w:bCs/>
                <w:color w:val="000000" w:themeColor="text1"/>
                <w:sz w:val="24"/>
                <w:szCs w:val="24"/>
                <w14:textFill>
                  <w14:solidFill>
                    <w14:schemeClr w14:val="tx1"/>
                  </w14:solidFill>
                </w14:textFill>
              </w:rPr>
              <w:t>项目</w:t>
            </w:r>
            <w:r>
              <w:rPr>
                <w:rFonts w:ascii="Times New Roman" w:hAnsi="Times New Roman" w:eastAsia="宋体" w:cs="Times New Roman"/>
                <w:color w:val="000000" w:themeColor="text1"/>
                <w:sz w:val="24"/>
                <w:szCs w:val="24"/>
                <w14:textFill>
                  <w14:solidFill>
                    <w14:schemeClr w14:val="tx1"/>
                  </w14:solidFill>
                </w14:textFill>
              </w:rPr>
              <w:t>一次破碎鄂破机设</w:t>
            </w:r>
            <w:r>
              <w:rPr>
                <w:rFonts w:ascii="Times New Roman" w:hAnsi="Times New Roman" w:eastAsia="宋体" w:cs="Times New Roman"/>
                <w:bCs/>
                <w:color w:val="000000" w:themeColor="text1"/>
                <w:sz w:val="24"/>
                <w:szCs w:val="24"/>
                <w14:textFill>
                  <w14:solidFill>
                    <w14:schemeClr w14:val="tx1"/>
                  </w14:solidFill>
                </w14:textFill>
              </w:rPr>
              <w:t>独立隔间</w:t>
            </w:r>
            <w:r>
              <w:rPr>
                <w:rFonts w:ascii="Times New Roman" w:hAnsi="Times New Roman" w:eastAsia="宋体" w:cs="Times New Roman"/>
                <w:color w:val="000000" w:themeColor="text1"/>
                <w:sz w:val="24"/>
                <w:szCs w:val="24"/>
                <w14:textFill>
                  <w14:solidFill>
                    <w14:schemeClr w14:val="tx1"/>
                  </w14:solidFill>
                </w14:textFill>
              </w:rPr>
              <w:t>，二次</w:t>
            </w:r>
            <w:r>
              <w:rPr>
                <w:rFonts w:ascii="Times New Roman" w:hAnsi="Times New Roman" w:eastAsia="宋体" w:cs="Times New Roman"/>
                <w:bCs/>
                <w:color w:val="000000" w:themeColor="text1"/>
                <w:sz w:val="24"/>
                <w:szCs w:val="24"/>
                <w14:textFill>
                  <w14:solidFill>
                    <w14:schemeClr w14:val="tx1"/>
                  </w14:solidFill>
                </w14:textFill>
              </w:rPr>
              <w:t>破碎和</w:t>
            </w:r>
            <w:r>
              <w:rPr>
                <w:rFonts w:ascii="Times New Roman" w:hAnsi="Times New Roman" w:eastAsia="宋体" w:cs="Times New Roman"/>
                <w:color w:val="000000" w:themeColor="text1"/>
                <w:sz w:val="24"/>
                <w:szCs w:val="24"/>
                <w14:textFill>
                  <w14:solidFill>
                    <w14:schemeClr w14:val="tx1"/>
                  </w14:solidFill>
                </w14:textFill>
              </w:rPr>
              <w:t>筛分</w:t>
            </w:r>
            <w:r>
              <w:rPr>
                <w:rFonts w:ascii="Times New Roman" w:hAnsi="Times New Roman" w:eastAsia="宋体" w:cs="Times New Roman"/>
                <w:bCs/>
                <w:color w:val="000000" w:themeColor="text1"/>
                <w:sz w:val="24"/>
                <w:szCs w:val="24"/>
                <w14:textFill>
                  <w14:solidFill>
                    <w14:schemeClr w14:val="tx1"/>
                  </w14:solidFill>
                </w14:textFill>
              </w:rPr>
              <w:t>工序设独立隔间，各个运输的胶带输送机设置廊道，</w:t>
            </w:r>
            <w:r>
              <w:rPr>
                <w:rFonts w:ascii="Times New Roman" w:hAnsi="Times New Roman" w:eastAsia="宋体" w:cs="Times New Roman"/>
                <w:color w:val="000000" w:themeColor="text1"/>
                <w:sz w:val="24"/>
                <w:szCs w:val="24"/>
                <w:lang w:bidi="ar"/>
                <w14:textFill>
                  <w14:solidFill>
                    <w14:schemeClr w14:val="tx1"/>
                  </w14:solidFill>
                </w14:textFill>
              </w:rPr>
              <w:t>卸料工序在密闭原料堆棚内进行，装卸物料时门窗全部关闭。</w:t>
            </w:r>
          </w:p>
          <w:p w14:paraId="4E9AFFC4">
            <w:pPr>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lang w:bidi="ar"/>
                <w14:textFill>
                  <w14:solidFill>
                    <w14:schemeClr w14:val="tx1"/>
                  </w14:solidFill>
                </w14:textFill>
              </w:rPr>
              <w:t>②</w:t>
            </w:r>
            <w:r>
              <w:rPr>
                <w:rFonts w:ascii="Times New Roman" w:hAnsi="Times New Roman" w:eastAsia="宋体" w:cs="Times New Roman"/>
                <w:bCs/>
                <w:color w:val="000000" w:themeColor="text1"/>
                <w:sz w:val="24"/>
                <w:szCs w:val="24"/>
                <w14:textFill>
                  <w14:solidFill>
                    <w14:schemeClr w14:val="tx1"/>
                  </w14:solidFill>
                </w14:textFill>
              </w:rPr>
              <w:t>设置专门集尘管路，将</w:t>
            </w:r>
            <w:r>
              <w:rPr>
                <w:rFonts w:ascii="Times New Roman" w:hAnsi="Times New Roman" w:eastAsia="宋体" w:cs="Times New Roman"/>
                <w:color w:val="000000" w:themeColor="text1"/>
                <w:sz w:val="24"/>
                <w:szCs w:val="24"/>
                <w14:textFill>
                  <w14:solidFill>
                    <w14:schemeClr w14:val="tx1"/>
                  </w14:solidFill>
                </w14:textFill>
              </w:rPr>
              <w:t>一次破碎</w:t>
            </w:r>
            <w:r>
              <w:rPr>
                <w:rFonts w:ascii="Times New Roman" w:hAnsi="Times New Roman" w:eastAsia="宋体" w:cs="Times New Roman"/>
                <w:bCs/>
                <w:color w:val="000000" w:themeColor="text1"/>
                <w:sz w:val="24"/>
                <w:szCs w:val="24"/>
                <w14:textFill>
                  <w14:solidFill>
                    <w14:schemeClr w14:val="tx1"/>
                  </w14:solidFill>
                </w14:textFill>
              </w:rPr>
              <w:t>独立隔间、</w:t>
            </w:r>
            <w:r>
              <w:rPr>
                <w:rFonts w:ascii="Times New Roman" w:hAnsi="Times New Roman" w:eastAsia="宋体" w:cs="Times New Roman"/>
                <w:color w:val="000000" w:themeColor="text1"/>
                <w:sz w:val="24"/>
                <w:szCs w:val="24"/>
                <w14:textFill>
                  <w14:solidFill>
                    <w14:schemeClr w14:val="tx1"/>
                  </w14:solidFill>
                </w14:textFill>
              </w:rPr>
              <w:t>二次</w:t>
            </w:r>
            <w:r>
              <w:rPr>
                <w:rFonts w:ascii="Times New Roman" w:hAnsi="Times New Roman" w:eastAsia="宋体" w:cs="Times New Roman"/>
                <w:bCs/>
                <w:color w:val="000000" w:themeColor="text1"/>
                <w:sz w:val="24"/>
                <w:szCs w:val="24"/>
                <w14:textFill>
                  <w14:solidFill>
                    <w14:schemeClr w14:val="tx1"/>
                  </w14:solidFill>
                </w14:textFill>
              </w:rPr>
              <w:t>破碎和滚筒筛分机产生的粉尘进行负压集气，通过“布袋除尘器+风机”处理后经一根14米高排气筒排放。</w:t>
            </w:r>
          </w:p>
          <w:p w14:paraId="29940849">
            <w:pPr>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hint="eastAsia" w:ascii="宋体" w:hAnsi="宋体" w:eastAsia="宋体" w:cs="宋体"/>
                <w:bCs/>
                <w:color w:val="000000" w:themeColor="text1"/>
                <w:sz w:val="24"/>
                <w:szCs w:val="24"/>
                <w14:textFill>
                  <w14:solidFill>
                    <w14:schemeClr w14:val="tx1"/>
                  </w14:solidFill>
                </w14:textFill>
              </w:rPr>
              <w:t>③</w:t>
            </w:r>
            <w:r>
              <w:rPr>
                <w:rFonts w:ascii="Times New Roman" w:hAnsi="Times New Roman" w:eastAsia="宋体" w:cs="Times New Roman"/>
                <w:color w:val="000000" w:themeColor="text1"/>
                <w:sz w:val="24"/>
                <w:szCs w:val="24"/>
                <w:lang w:bidi="ar"/>
                <w14:textFill>
                  <w14:solidFill>
                    <w14:schemeClr w14:val="tx1"/>
                  </w14:solidFill>
                </w14:textFill>
              </w:rPr>
              <w:t>堆棚内定时喷水抑尘，操作员工配防护服和防尘口罩。</w:t>
            </w:r>
          </w:p>
          <w:p w14:paraId="288ECB0E">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（2）炉窑烟气</w:t>
            </w:r>
          </w:p>
          <w:p w14:paraId="7DE1FE34">
            <w:pPr>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项目隧道窑使用原煤将产生烟尘废气，</w:t>
            </w:r>
            <w:r>
              <w:rPr>
                <w:rFonts w:ascii="Times New Roman" w:hAnsi="Times New Roman" w:eastAsia="宋体" w:cs="Times New Roman"/>
                <w:color w:val="000000" w:themeColor="text1"/>
                <w:sz w:val="24"/>
                <w:szCs w:val="24"/>
                <w14:textFill>
                  <w14:solidFill>
                    <w14:schemeClr w14:val="tx1"/>
                  </w14:solidFill>
                </w14:textFill>
              </w:rPr>
              <w:t>页岩中的氟元素在高温烧结的情况下易转化为气态氟化物。</w:t>
            </w:r>
          </w:p>
          <w:p w14:paraId="3E856EBA">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焙烧窑烟气经1#湿式脱硫塔处理后由18m高排气筒排放；</w:t>
            </w:r>
            <w:r>
              <w:rPr>
                <w:rFonts w:ascii="Times New Roman" w:hAnsi="Times New Roman" w:eastAsia="宋体" w:cs="Times New Roman"/>
                <w:color w:val="000000" w:themeColor="text1"/>
                <w:sz w:val="24"/>
                <w:szCs w:val="24"/>
                <w14:textFill>
                  <w14:solidFill>
                    <w14:schemeClr w14:val="tx1"/>
                  </w14:solidFill>
                </w14:textFill>
              </w:rPr>
              <w:t>烘干窑</w:t>
            </w:r>
            <w:r>
              <w:rPr>
                <w:rFonts w:ascii="Times New Roman" w:hAnsi="Times New Roman" w:eastAsia="宋体" w:cs="Times New Roman"/>
                <w:bCs/>
                <w:color w:val="000000" w:themeColor="text1"/>
                <w:sz w:val="24"/>
                <w:szCs w:val="24"/>
                <w14:textFill>
                  <w14:solidFill>
                    <w14:schemeClr w14:val="tx1"/>
                  </w14:solidFill>
                </w14:textFill>
              </w:rPr>
              <w:t>烟气经2#湿式脱硫塔处理后由18m高排气筒排放。</w:t>
            </w:r>
          </w:p>
          <w:p w14:paraId="794F6C62">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70528" behindDoc="0" locked="0" layoutInCell="1" allowOverlap="1">
                      <wp:simplePos x="0" y="0"/>
                      <wp:positionH relativeFrom="column">
                        <wp:posOffset>4555490</wp:posOffset>
                      </wp:positionH>
                      <wp:positionV relativeFrom="paragraph">
                        <wp:posOffset>879475</wp:posOffset>
                      </wp:positionV>
                      <wp:extent cx="8255" cy="882015"/>
                      <wp:effectExtent l="0" t="0" r="29845" b="32385"/>
                      <wp:wrapNone/>
                      <wp:docPr id="37" name="直接连接符 37"/>
                      <wp:cNvGraphicFramePr/>
                      <a:graphic xmlns:a="http://schemas.openxmlformats.org/drawingml/2006/main">
                        <a:graphicData uri="http://schemas.microsoft.com/office/word/2010/wordprocessingShape">
                          <wps:wsp>
                            <wps:cNvCnPr/>
                            <wps:spPr>
                              <a:xfrm>
                                <a:off x="0" y="0"/>
                                <a:ext cx="8255" cy="882015"/>
                              </a:xfrm>
                              <a:prstGeom prst="line">
                                <a:avLst/>
                              </a:prstGeom>
                              <a:ln w="9525" cap="flat" cmpd="sng">
                                <a:solidFill>
                                  <a:srgbClr val="000000"/>
                                </a:solidFill>
                                <a:prstDash val="solid"/>
                                <a:headEnd type="none" w="med" len="med"/>
                                <a:tailEnd type="none" w="med" len="med"/>
                              </a:ln>
                            </wps:spPr>
                            <wps:bodyPr/>
                          </wps:wsp>
                        </a:graphicData>
                      </a:graphic>
                    </wp:anchor>
                  </w:drawing>
                </mc:Choice>
                <mc:Fallback>
                  <w:pict>
                    <v:line id="_x0000_s1026" o:spid="_x0000_s1026" o:spt="20" style="position:absolute;left:0pt;margin-left:358.7pt;margin-top:69.25pt;height:69.45pt;width:0.65pt;z-index:251670528;mso-width-relative:page;mso-height-relative:page;" filled="f" stroked="t" coordsize="21600,21600" o:gfxdata="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uNuXUdgAAAALAQAADwAAAAAAAAABACAAAAAiAAAAZHJzL2Rvd25yZXYueG1sUEsBAhQAFAAAAAgA&#10;h07iQMUghhLsAQAA3AMAAA4AAAAAAAAAAQAgAAAAJwEAAGRycy9lMm9Eb2MueG1sUEsFBgAAAAAG&#10;AAYAWQEAAIUFAAAAAA==&#10;">
                      <v:fill on="f" focussize="0,0"/>
                      <v:stroke color="#000000" joinstyle="round"/>
                      <v:imagedata o:title=""/>
                      <o:lock v:ext="edit" aspectratio="f"/>
                    </v:line>
                  </w:pict>
                </mc:Fallback>
              </mc:AlternateContent>
            </w: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69504" behindDoc="0" locked="0" layoutInCell="1" allowOverlap="1">
                      <wp:simplePos x="0" y="0"/>
                      <wp:positionH relativeFrom="column">
                        <wp:posOffset>2058035</wp:posOffset>
                      </wp:positionH>
                      <wp:positionV relativeFrom="paragraph">
                        <wp:posOffset>882015</wp:posOffset>
                      </wp:positionV>
                      <wp:extent cx="2505075" cy="10160"/>
                      <wp:effectExtent l="38100" t="57150" r="0" b="104140"/>
                      <wp:wrapNone/>
                      <wp:docPr id="34" name="直接连接符 34"/>
                      <wp:cNvGraphicFramePr/>
                      <a:graphic xmlns:a="http://schemas.openxmlformats.org/drawingml/2006/main">
                        <a:graphicData uri="http://schemas.microsoft.com/office/word/2010/wordprocessingShape">
                          <wps:wsp>
                            <wps:cNvCnPr/>
                            <wps:spPr>
                              <a:xfrm flipH="1">
                                <a:off x="0" y="0"/>
                                <a:ext cx="2505075" cy="10160"/>
                              </a:xfrm>
                              <a:prstGeom prst="line">
                                <a:avLst/>
                              </a:prstGeom>
                              <a:ln w="9525" cap="flat" cmpd="sng">
                                <a:solidFill>
                                  <a:srgbClr val="000000"/>
                                </a:solidFill>
                                <a:prstDash val="solid"/>
                                <a:headEnd type="none" w="med" len="med"/>
                                <a:tailEnd type="triangle" w="med" len="med"/>
                              </a:ln>
                            </wps:spPr>
                            <wps:bodyPr/>
                          </wps:wsp>
                        </a:graphicData>
                      </a:graphic>
                    </wp:anchor>
                  </w:drawing>
                </mc:Choice>
                <mc:Fallback>
                  <w:pict>
                    <v:line id="_x0000_s1026" o:spid="_x0000_s1026" o:spt="20" style="position:absolute;left:0pt;flip:x;margin-left:162.05pt;margin-top:69.45pt;height:0.8pt;width:197.25pt;z-index:251669504;mso-width-relative:page;mso-height-relative:page;" filled="f" stroked="t" coordsize="21600,21600" o:gfxdata="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O9YLSdsAAAALAQAADwAAAAAAAAABACAAAAAiAAAAZHJz&#10;L2Rvd25yZXYueG1sUEsBAhQAFAAAAAgAh07iQGprG0sBAgAA7AMAAA4AAAAAAAAAAQAgAAAAKgEA&#10;AGRycy9lMm9Eb2MueG1sUEsFBgAAAAAGAAYAWQEAAJ0FAAAAAA==&#10;">
                      <v:fill on="f" focussize="0,0"/>
                      <v:stroke color="#000000" joinstyle="round" endarrow="block"/>
                      <v:imagedata o:title=""/>
                      <o:lock v:ext="edit" aspectratio="f"/>
                    </v:line>
                  </w:pict>
                </mc:Fallback>
              </mc:AlternateContent>
            </w: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71552" behindDoc="0" locked="0" layoutInCell="1" allowOverlap="1">
                      <wp:simplePos x="0" y="0"/>
                      <wp:positionH relativeFrom="column">
                        <wp:posOffset>1456055</wp:posOffset>
                      </wp:positionH>
                      <wp:positionV relativeFrom="paragraph">
                        <wp:posOffset>1025525</wp:posOffset>
                      </wp:positionV>
                      <wp:extent cx="0" cy="790575"/>
                      <wp:effectExtent l="76200" t="0" r="57150" b="47625"/>
                      <wp:wrapNone/>
                      <wp:docPr id="43" name="直接连接符 43"/>
                      <wp:cNvGraphicFramePr/>
                      <a:graphic xmlns:a="http://schemas.openxmlformats.org/drawingml/2006/main">
                        <a:graphicData uri="http://schemas.microsoft.com/office/word/2010/wordprocessingShape">
                          <wps:wsp>
                            <wps:cNvCnPr/>
                            <wps:spPr>
                              <a:xfrm flipH="1">
                                <a:off x="0" y="0"/>
                                <a:ext cx="0" cy="790575"/>
                              </a:xfrm>
                              <a:prstGeom prst="line">
                                <a:avLst/>
                              </a:prstGeom>
                              <a:ln w="9525" cap="flat" cmpd="sng">
                                <a:solidFill>
                                  <a:srgbClr val="000000"/>
                                </a:solidFill>
                                <a:prstDash val="solid"/>
                                <a:headEnd type="none" w="med" len="med"/>
                                <a:tailEnd type="triangle" w="med" len="med"/>
                              </a:ln>
                            </wps:spPr>
                            <wps:bodyPr/>
                          </wps:wsp>
                        </a:graphicData>
                      </a:graphic>
                    </wp:anchor>
                  </w:drawing>
                </mc:Choice>
                <mc:Fallback>
                  <w:pict>
                    <v:line id="_x0000_s1026" o:spid="_x0000_s1026" o:spt="20" style="position:absolute;left:0pt;flip:x;margin-left:114.65pt;margin-top:80.75pt;height:62.25pt;width:0pt;z-index:251671552;mso-width-relative:page;mso-height-relative:page;" filled="f" stroked="t" coordsize="21600,21600" o:gfxdata="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z2igVdkAAAALAQAADwAAAAAAAAABACAAAAAiAAAAZHJzL2Rvd25yZXYu&#10;eG1sUEsBAhQAFAAAAAgAh07iQA8ntq36AQAA5wMAAA4AAAAAAAAAAQAgAAAAKAEAAGRycy9lMm9E&#10;b2MueG1sUEsFBgAAAAAGAAYAWQEAAJQFAAAAAA==&#10;">
                      <v:fill on="f" focussize="0,0"/>
                      <v:stroke color="#000000" joinstyle="round" endarrow="block"/>
                      <v:imagedata o:title=""/>
                      <o:lock v:ext="edit" aspectratio="f"/>
                    </v:line>
                  </w:pict>
                </mc:Fallback>
              </mc:AlternateContent>
            </w:r>
            <w:r>
              <w:rPr>
                <w:rFonts w:ascii="Times New Roman" w:hAnsi="Times New Roman" w:eastAsia="宋体" w:cs="Times New Roman"/>
                <w:bCs/>
                <w:color w:val="000000" w:themeColor="text1"/>
                <w:sz w:val="24"/>
                <w:szCs w:val="24"/>
                <w14:textFill>
                  <w14:solidFill>
                    <w14:schemeClr w14:val="tx1"/>
                  </w14:solidFill>
                </w14:textFill>
              </w:rPr>
              <w:t>双碱脱硫装置除尘工艺流程如下图所示。</w:t>
            </w: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63360" behindDoc="0" locked="0" layoutInCell="1" allowOverlap="1">
                      <wp:simplePos x="0" y="0"/>
                      <wp:positionH relativeFrom="column">
                        <wp:posOffset>52705</wp:posOffset>
                      </wp:positionH>
                      <wp:positionV relativeFrom="paragraph">
                        <wp:posOffset>654050</wp:posOffset>
                      </wp:positionV>
                      <wp:extent cx="486410" cy="448310"/>
                      <wp:effectExtent l="0" t="0" r="0" b="8890"/>
                      <wp:wrapNone/>
                      <wp:docPr id="494" name="文本框 494"/>
                      <wp:cNvGraphicFramePr/>
                      <a:graphic xmlns:a="http://schemas.openxmlformats.org/drawingml/2006/main">
                        <a:graphicData uri="http://schemas.microsoft.com/office/word/2010/wordprocessingShape">
                          <wps:wsp>
                            <wps:cNvSpPr txBox="1"/>
                            <wps:spPr>
                              <a:xfrm>
                                <a:off x="0" y="0"/>
                                <a:ext cx="486410" cy="448310"/>
                              </a:xfrm>
                              <a:prstGeom prst="rect">
                                <a:avLst/>
                              </a:prstGeom>
                              <a:noFill/>
                              <a:ln>
                                <a:noFill/>
                              </a:ln>
                            </wps:spPr>
                            <wps:txbx>
                              <w:txbxContent>
                                <w:p w14:paraId="7BE155A2">
                                  <w:pPr>
                                    <w:rPr>
                                      <w:szCs w:val="21"/>
                                    </w:rPr>
                                  </w:pPr>
                                  <w:r>
                                    <w:rPr>
                                      <w:rFonts w:hint="eastAsia"/>
                                      <w:szCs w:val="21"/>
                                    </w:rPr>
                                    <w:t>炉窑</w:t>
                                  </w:r>
                                </w:p>
                                <w:p w14:paraId="3A7D4366">
                                  <w:pPr>
                                    <w:rPr>
                                      <w:szCs w:val="21"/>
                                    </w:rPr>
                                  </w:pPr>
                                  <w:r>
                                    <w:rPr>
                                      <w:rFonts w:hint="eastAsia"/>
                                      <w:szCs w:val="21"/>
                                    </w:rPr>
                                    <w:t>烟气</w:t>
                                  </w:r>
                                </w:p>
                              </w:txbxContent>
                            </wps:txbx>
                            <wps:bodyPr upright="1"/>
                          </wps:wsp>
                        </a:graphicData>
                      </a:graphic>
                    </wp:anchor>
                  </w:drawing>
                </mc:Choice>
                <mc:Fallback>
                  <w:pict>
                    <v:shape id="_x0000_s1026" o:spid="_x0000_s1026" o:spt="202" type="#_x0000_t202" style="position:absolute;left:0pt;margin-left:4.15pt;margin-top:51.5pt;height:35.3pt;width:38.3pt;z-index:251663360;mso-width-relative:page;mso-height-relative:page;" filled="f" stroked="f" coordsize="21600,21600" o:gfxdata="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wHgzHtUAAAAI&#10;AQAADwAAAAAAAAABACAAAAAiAAAAZHJzL2Rvd25yZXYueG1sUEsBAhQAFAAAAAgAh07iQC8WzDyt&#10;AQAAUQMAAA4AAAAAAAAAAQAgAAAAJAEAAGRycy9lMm9Eb2MueG1sUEsFBgAAAAAGAAYAWQEAAEMF&#10;AAAAAA==&#10;">
                      <v:fill on="f" focussize="0,0"/>
                      <v:stroke on="f"/>
                      <v:imagedata o:title=""/>
                      <o:lock v:ext="edit" aspectratio="f"/>
                      <v:textbox>
                        <w:txbxContent>
                          <w:p w14:paraId="7BE155A2">
                            <w:pPr>
                              <w:rPr>
                                <w:szCs w:val="21"/>
                              </w:rPr>
                            </w:pPr>
                            <w:r>
                              <w:rPr>
                                <w:rFonts w:hint="eastAsia"/>
                                <w:szCs w:val="21"/>
                              </w:rPr>
                              <w:t>炉窑</w:t>
                            </w:r>
                          </w:p>
                          <w:p w14:paraId="3A7D4366">
                            <w:pPr>
                              <w:rPr>
                                <w:szCs w:val="21"/>
                              </w:rPr>
                            </w:pPr>
                            <w:r>
                              <w:rPr>
                                <w:rFonts w:hint="eastAsia"/>
                                <w:szCs w:val="21"/>
                              </w:rPr>
                              <w:t>烟气</w:t>
                            </w:r>
                          </w:p>
                        </w:txbxContent>
                      </v:textbox>
                    </v:shape>
                  </w:pict>
                </mc:Fallback>
              </mc:AlternateContent>
            </w: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64384" behindDoc="0" locked="0" layoutInCell="1" allowOverlap="1">
                      <wp:simplePos x="0" y="0"/>
                      <wp:positionH relativeFrom="column">
                        <wp:posOffset>414655</wp:posOffset>
                      </wp:positionH>
                      <wp:positionV relativeFrom="paragraph">
                        <wp:posOffset>852170</wp:posOffset>
                      </wp:positionV>
                      <wp:extent cx="438150" cy="635"/>
                      <wp:effectExtent l="0" t="76200" r="19050" b="94615"/>
                      <wp:wrapNone/>
                      <wp:docPr id="54" name="直接连接符 54"/>
                      <wp:cNvGraphicFramePr/>
                      <a:graphic xmlns:a="http://schemas.openxmlformats.org/drawingml/2006/main">
                        <a:graphicData uri="http://schemas.microsoft.com/office/word/2010/wordprocessingShape">
                          <wps:wsp>
                            <wps:cNvCnPr/>
                            <wps:spPr>
                              <a:xfrm>
                                <a:off x="0" y="0"/>
                                <a:ext cx="438150" cy="635"/>
                              </a:xfrm>
                              <a:prstGeom prst="line">
                                <a:avLst/>
                              </a:prstGeom>
                              <a:ln w="9525" cap="flat" cmpd="sng">
                                <a:solidFill>
                                  <a:srgbClr val="000000"/>
                                </a:solidFill>
                                <a:prstDash val="solid"/>
                                <a:headEnd type="none" w="med" len="med"/>
                                <a:tailEnd type="triangle" w="med" len="med"/>
                              </a:ln>
                            </wps:spPr>
                            <wps:bodyPr/>
                          </wps:wsp>
                        </a:graphicData>
                      </a:graphic>
                    </wp:anchor>
                  </w:drawing>
                </mc:Choice>
                <mc:Fallback>
                  <w:pict>
                    <v:line id="_x0000_s1026" o:spid="_x0000_s1026" o:spt="20" style="position:absolute;left:0pt;margin-left:32.65pt;margin-top:67.1pt;height:0.05pt;width:34.5pt;z-index:251664384;mso-width-relative:page;mso-height-relative:page;" filled="f" stroked="t" coordsize="21600,21600" o:gfxdata="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Iu3mVrZAAAACgEAAA8AAAAAAAAAAQAgAAAAIgAAAGRycy9kb3ducmV2LnhtbFBL&#10;AQIUABQAAAAIAIdO4kCfJBjL9QEAAN8DAAAOAAAAAAAAAAEAIAAAACgBAABkcnMvZTJvRG9jLnht&#10;bFBLBQYAAAAABgAGAFkBAACPBQAAAAA=&#10;">
                      <v:fill on="f" focussize="0,0"/>
                      <v:stroke color="#000000" joinstyle="round" endarrow="block"/>
                      <v:imagedata o:title=""/>
                      <o:lock v:ext="edit" aspectratio="f"/>
                    </v:line>
                  </w:pict>
                </mc:Fallback>
              </mc:AlternateContent>
            </w: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65408" behindDoc="0" locked="0" layoutInCell="1" allowOverlap="1">
                      <wp:simplePos x="0" y="0"/>
                      <wp:positionH relativeFrom="column">
                        <wp:posOffset>881380</wp:posOffset>
                      </wp:positionH>
                      <wp:positionV relativeFrom="paragraph">
                        <wp:posOffset>730250</wp:posOffset>
                      </wp:positionV>
                      <wp:extent cx="1179830" cy="304800"/>
                      <wp:effectExtent l="0" t="0" r="20320" b="19050"/>
                      <wp:wrapNone/>
                      <wp:docPr id="27" name="文本框 27"/>
                      <wp:cNvGraphicFramePr/>
                      <a:graphic xmlns:a="http://schemas.openxmlformats.org/drawingml/2006/main">
                        <a:graphicData uri="http://schemas.microsoft.com/office/word/2010/wordprocessingShape">
                          <wps:wsp>
                            <wps:cNvSpPr txBox="1"/>
                            <wps:spPr>
                              <a:xfrm>
                                <a:off x="0" y="0"/>
                                <a:ext cx="1179830" cy="304800"/>
                              </a:xfrm>
                              <a:prstGeom prst="rect">
                                <a:avLst/>
                              </a:prstGeom>
                              <a:noFill/>
                              <a:ln w="9525" cap="flat" cmpd="sng">
                                <a:solidFill>
                                  <a:srgbClr val="000000"/>
                                </a:solidFill>
                                <a:prstDash val="solid"/>
                                <a:miter/>
                                <a:headEnd type="none" w="med" len="med"/>
                                <a:tailEnd type="none" w="med" len="med"/>
                              </a:ln>
                            </wps:spPr>
                            <wps:txbx>
                              <w:txbxContent>
                                <w:p w14:paraId="7E638363">
                                  <w:pPr>
                                    <w:adjustRightInd w:val="0"/>
                                    <w:snapToGrid w:val="0"/>
                                    <w:jc w:val="center"/>
                                    <w:rPr>
                                      <w:szCs w:val="21"/>
                                    </w:rPr>
                                  </w:pPr>
                                  <w:r>
                                    <w:rPr>
                                      <w:rFonts w:hint="eastAsia"/>
                                      <w:szCs w:val="21"/>
                                    </w:rPr>
                                    <w:t>湿式脱硫塔</w:t>
                                  </w:r>
                                </w:p>
                              </w:txbxContent>
                            </wps:txbx>
                            <wps:bodyPr upright="1"/>
                          </wps:wsp>
                        </a:graphicData>
                      </a:graphic>
                    </wp:anchor>
                  </w:drawing>
                </mc:Choice>
                <mc:Fallback>
                  <w:pict>
                    <v:shape id="_x0000_s1026" o:spid="_x0000_s1026" o:spt="202" type="#_x0000_t202" style="position:absolute;left:0pt;margin-left:69.4pt;margin-top:57.5pt;height:24pt;width:92.9pt;z-index:251665408;mso-width-relative:page;mso-height-relative:page;" filled="f" stroked="t" coordsize="21600,21600" o:gfxdata="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FmyZzdcAAAALAQAADwAAAAAAAAABACAAAAAiAAAA&#10;ZHJzL2Rvd25yZXYueG1sUEsBAhQAFAAAAAgAh07iQBn5ZQwIAgAADwQAAA4AAAAAAAAAAQAgAAAA&#10;JgEAAGRycy9lMm9Eb2MueG1sUEsFBgAAAAAGAAYAWQEAAKAFAAAAAA==&#10;">
                      <v:fill on="f" focussize="0,0"/>
                      <v:stroke color="#000000" joinstyle="miter"/>
                      <v:imagedata o:title=""/>
                      <o:lock v:ext="edit" aspectratio="f"/>
                      <v:textbox>
                        <w:txbxContent>
                          <w:p w14:paraId="7E638363">
                            <w:pPr>
                              <w:adjustRightInd w:val="0"/>
                              <w:snapToGrid w:val="0"/>
                              <w:jc w:val="center"/>
                              <w:rPr>
                                <w:szCs w:val="21"/>
                              </w:rPr>
                            </w:pPr>
                            <w:r>
                              <w:rPr>
                                <w:rFonts w:hint="eastAsia"/>
                                <w:szCs w:val="21"/>
                              </w:rPr>
                              <w:t>湿式脱硫塔</w:t>
                            </w:r>
                          </w:p>
                        </w:txbxContent>
                      </v:textbox>
                    </v:shape>
                  </w:pict>
                </mc:Fallback>
              </mc:AlternateContent>
            </w: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68480" behindDoc="0" locked="0" layoutInCell="1" allowOverlap="1">
                      <wp:simplePos x="0" y="0"/>
                      <wp:positionH relativeFrom="column">
                        <wp:posOffset>1043940</wp:posOffset>
                      </wp:positionH>
                      <wp:positionV relativeFrom="paragraph">
                        <wp:posOffset>160020</wp:posOffset>
                      </wp:positionV>
                      <wp:extent cx="1161415" cy="36195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161415" cy="361950"/>
                              </a:xfrm>
                              <a:prstGeom prst="rect">
                                <a:avLst/>
                              </a:prstGeom>
                              <a:noFill/>
                              <a:ln>
                                <a:noFill/>
                              </a:ln>
                            </wps:spPr>
                            <wps:txbx>
                              <w:txbxContent>
                                <w:p w14:paraId="79AB7A5E">
                                  <w:pPr>
                                    <w:rPr>
                                      <w:szCs w:val="21"/>
                                    </w:rPr>
                                  </w:pPr>
                                  <w:r>
                                    <w:rPr>
                                      <w:rFonts w:hint="eastAsia"/>
                                      <w:szCs w:val="21"/>
                                    </w:rPr>
                                    <w:t>净化废气排放</w:t>
                                  </w:r>
                                </w:p>
                              </w:txbxContent>
                            </wps:txbx>
                            <wps:bodyPr upright="1"/>
                          </wps:wsp>
                        </a:graphicData>
                      </a:graphic>
                    </wp:anchor>
                  </w:drawing>
                </mc:Choice>
                <mc:Fallback>
                  <w:pict>
                    <v:shape id="_x0000_s1026" o:spid="_x0000_s1026" o:spt="202" type="#_x0000_t202" style="position:absolute;left:0pt;margin-left:82.2pt;margin-top:12.6pt;height:28.5pt;width:91.45pt;z-index:251668480;mso-width-relative:page;mso-height-relative:page;" filled="f" stroked="f" coordsize="21600,21600" o:gfxdata="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RcEC51gAA&#10;AAkBAAAPAAAAAAAAAAEAIAAAACIAAABkcnMvZG93bnJldi54bWxQSwECFAAUAAAACACHTuJAA9Ol&#10;7a4BAABOAwAADgAAAAAAAAABACAAAAAlAQAAZHJzL2Uyb0RvYy54bWxQSwUGAAAAAAYABgBZAQAA&#10;RQUAAAAA&#10;">
                      <v:fill on="f" focussize="0,0"/>
                      <v:stroke on="f"/>
                      <v:imagedata o:title=""/>
                      <o:lock v:ext="edit" aspectratio="f"/>
                      <v:textbox>
                        <w:txbxContent>
                          <w:p w14:paraId="79AB7A5E">
                            <w:pPr>
                              <w:rPr>
                                <w:szCs w:val="21"/>
                              </w:rPr>
                            </w:pPr>
                            <w:r>
                              <w:rPr>
                                <w:rFonts w:hint="eastAsia"/>
                                <w:szCs w:val="21"/>
                              </w:rPr>
                              <w:t>净化废气排放</w:t>
                            </w:r>
                          </w:p>
                        </w:txbxContent>
                      </v:textbox>
                    </v:shape>
                  </w:pict>
                </mc:Fallback>
              </mc:AlternateContent>
            </w: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73600" behindDoc="0" locked="0" layoutInCell="1" allowOverlap="1">
                      <wp:simplePos x="0" y="0"/>
                      <wp:positionH relativeFrom="column">
                        <wp:posOffset>1824355</wp:posOffset>
                      </wp:positionH>
                      <wp:positionV relativeFrom="paragraph">
                        <wp:posOffset>2004695</wp:posOffset>
                      </wp:positionV>
                      <wp:extent cx="352425" cy="635"/>
                      <wp:effectExtent l="0" t="76200" r="28575" b="94615"/>
                      <wp:wrapNone/>
                      <wp:docPr id="91" name="直接连接符 91"/>
                      <wp:cNvGraphicFramePr/>
                      <a:graphic xmlns:a="http://schemas.openxmlformats.org/drawingml/2006/main">
                        <a:graphicData uri="http://schemas.microsoft.com/office/word/2010/wordprocessingShape">
                          <wps:wsp>
                            <wps:cNvCnPr/>
                            <wps:spPr>
                              <a:xfrm>
                                <a:off x="0" y="0"/>
                                <a:ext cx="352425" cy="635"/>
                              </a:xfrm>
                              <a:prstGeom prst="line">
                                <a:avLst/>
                              </a:prstGeom>
                              <a:ln w="9525" cap="flat" cmpd="sng">
                                <a:solidFill>
                                  <a:srgbClr val="000000"/>
                                </a:solidFill>
                                <a:prstDash val="solid"/>
                                <a:headEnd type="none" w="med" len="med"/>
                                <a:tailEnd type="triangle" w="med" len="med"/>
                              </a:ln>
                            </wps:spPr>
                            <wps:bodyPr/>
                          </wps:wsp>
                        </a:graphicData>
                      </a:graphic>
                    </wp:anchor>
                  </w:drawing>
                </mc:Choice>
                <mc:Fallback>
                  <w:pict>
                    <v:line id="_x0000_s1026" o:spid="_x0000_s1026" o:spt="20" style="position:absolute;left:0pt;margin-left:143.65pt;margin-top:157.85pt;height:0.05pt;width:27.75pt;z-index:251673600;mso-width-relative:page;mso-height-relative:page;" filled="f" stroked="t" coordsize="21600,21600" o:gfxdata="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CsE8kfbAAAACwEAAA8AAAAAAAAAAQAgAAAAIgAAAGRycy9kb3ducmV2LnhtbFBL&#10;AQIUABQAAAAIAIdO4kArmEcA8wEAAN8DAAAOAAAAAAAAAAEAIAAAACoBAABkcnMvZTJvRG9jLnht&#10;bFBLBQYAAAAABgAGAFkBAACPBQAAAAA=&#10;">
                      <v:fill on="f" focussize="0,0"/>
                      <v:stroke color="#000000" joinstyle="round" endarrow="block"/>
                      <v:imagedata o:title=""/>
                      <o:lock v:ext="edit" aspectratio="f"/>
                    </v:line>
                  </w:pict>
                </mc:Fallback>
              </mc:AlternateContent>
            </w: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74624" behindDoc="0" locked="0" layoutInCell="1" allowOverlap="1">
                      <wp:simplePos x="0" y="0"/>
                      <wp:positionH relativeFrom="column">
                        <wp:posOffset>2176780</wp:posOffset>
                      </wp:positionH>
                      <wp:positionV relativeFrom="paragraph">
                        <wp:posOffset>1833245</wp:posOffset>
                      </wp:positionV>
                      <wp:extent cx="695325" cy="390525"/>
                      <wp:effectExtent l="4445" t="4445" r="5080" b="5080"/>
                      <wp:wrapNone/>
                      <wp:docPr id="90" name="文本框 90"/>
                      <wp:cNvGraphicFramePr/>
                      <a:graphic xmlns:a="http://schemas.openxmlformats.org/drawingml/2006/main">
                        <a:graphicData uri="http://schemas.microsoft.com/office/word/2010/wordprocessingShape">
                          <wps:wsp>
                            <wps:cNvSpPr txBox="1"/>
                            <wps:spPr>
                              <a:xfrm>
                                <a:off x="0" y="0"/>
                                <a:ext cx="695325" cy="390525"/>
                              </a:xfrm>
                              <a:prstGeom prst="rect">
                                <a:avLst/>
                              </a:prstGeom>
                              <a:noFill/>
                              <a:ln w="9525" cap="flat" cmpd="sng">
                                <a:solidFill>
                                  <a:srgbClr val="000000"/>
                                </a:solidFill>
                                <a:prstDash val="solid"/>
                                <a:miter/>
                                <a:headEnd type="none" w="med" len="med"/>
                                <a:tailEnd type="none" w="med" len="med"/>
                              </a:ln>
                            </wps:spPr>
                            <wps:txbx>
                              <w:txbxContent>
                                <w:p w14:paraId="3767750B">
                                  <w:pPr>
                                    <w:jc w:val="center"/>
                                    <w:rPr>
                                      <w:szCs w:val="21"/>
                                    </w:rPr>
                                  </w:pPr>
                                  <w:r>
                                    <w:rPr>
                                      <w:rFonts w:hint="eastAsia"/>
                                      <w:szCs w:val="21"/>
                                    </w:rPr>
                                    <w:t>反应池</w:t>
                                  </w:r>
                                </w:p>
                              </w:txbxContent>
                            </wps:txbx>
                            <wps:bodyPr upright="1"/>
                          </wps:wsp>
                        </a:graphicData>
                      </a:graphic>
                    </wp:anchor>
                  </w:drawing>
                </mc:Choice>
                <mc:Fallback>
                  <w:pict>
                    <v:shape id="_x0000_s1026" o:spid="_x0000_s1026" o:spt="202" type="#_x0000_t202" style="position:absolute;left:0pt;margin-left:171.4pt;margin-top:144.35pt;height:30.75pt;width:54.75pt;z-index:251674624;mso-width-relative:page;mso-height-relative:page;" filled="f" stroked="t" coordsize="21600,21600" o:gfxdata="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oZtU62AAAAAsBAAAPAAAAAAAAAAEAIAAAACIAAABkcnMv&#10;ZG93bnJldi54bWxQSwECFAAUAAAACACHTuJAFh5I1wMCAAAOBAAADgAAAAAAAAABACAAAAAnAQAA&#10;ZHJzL2Uyb0RvYy54bWxQSwUGAAAAAAYABgBZAQAAnAUAAAAA&#10;">
                      <v:fill on="f" focussize="0,0"/>
                      <v:stroke color="#000000" joinstyle="miter"/>
                      <v:imagedata o:title=""/>
                      <o:lock v:ext="edit" aspectratio="f"/>
                      <v:textbox>
                        <w:txbxContent>
                          <w:p w14:paraId="3767750B">
                            <w:pPr>
                              <w:jc w:val="center"/>
                              <w:rPr>
                                <w:szCs w:val="21"/>
                              </w:rPr>
                            </w:pPr>
                            <w:r>
                              <w:rPr>
                                <w:rFonts w:hint="eastAsia"/>
                                <w:szCs w:val="21"/>
                              </w:rPr>
                              <w:t>反应池</w:t>
                            </w:r>
                          </w:p>
                        </w:txbxContent>
                      </v:textbox>
                    </v:shape>
                  </w:pict>
                </mc:Fallback>
              </mc:AlternateContent>
            </w: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75648" behindDoc="0" locked="0" layoutInCell="1" allowOverlap="1">
                      <wp:simplePos x="0" y="0"/>
                      <wp:positionH relativeFrom="column">
                        <wp:posOffset>2881630</wp:posOffset>
                      </wp:positionH>
                      <wp:positionV relativeFrom="paragraph">
                        <wp:posOffset>2004695</wp:posOffset>
                      </wp:positionV>
                      <wp:extent cx="352425" cy="635"/>
                      <wp:effectExtent l="0" t="76200" r="28575" b="94615"/>
                      <wp:wrapNone/>
                      <wp:docPr id="89" name="直接连接符 89"/>
                      <wp:cNvGraphicFramePr/>
                      <a:graphic xmlns:a="http://schemas.openxmlformats.org/drawingml/2006/main">
                        <a:graphicData uri="http://schemas.microsoft.com/office/word/2010/wordprocessingShape">
                          <wps:wsp>
                            <wps:cNvCnPr/>
                            <wps:spPr>
                              <a:xfrm>
                                <a:off x="0" y="0"/>
                                <a:ext cx="352425" cy="635"/>
                              </a:xfrm>
                              <a:prstGeom prst="line">
                                <a:avLst/>
                              </a:prstGeom>
                              <a:ln w="9525" cap="flat" cmpd="sng">
                                <a:solidFill>
                                  <a:srgbClr val="000000"/>
                                </a:solidFill>
                                <a:prstDash val="solid"/>
                                <a:headEnd type="none" w="med" len="med"/>
                                <a:tailEnd type="triangle" w="med" len="med"/>
                              </a:ln>
                            </wps:spPr>
                            <wps:bodyPr/>
                          </wps:wsp>
                        </a:graphicData>
                      </a:graphic>
                    </wp:anchor>
                  </w:drawing>
                </mc:Choice>
                <mc:Fallback>
                  <w:pict>
                    <v:line id="_x0000_s1026" o:spid="_x0000_s1026" o:spt="20" style="position:absolute;left:0pt;margin-left:226.9pt;margin-top:157.85pt;height:0.05pt;width:27.75pt;z-index:251675648;mso-width-relative:page;mso-height-relative:page;" filled="f" stroked="t" coordsize="21600,21600" o:gfxdata="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zPV9K2wAAAAsBAAAPAAAAAAAAAAEAIAAAACIAAABkcnMvZG93bnJldi54bWxQ&#10;SwECFAAUAAAACACHTuJAex+f9vQBAADfAwAADgAAAAAAAAABACAAAAAqAQAAZHJzL2Uyb0RvYy54&#10;bWxQSwUGAAAAAAYABgBZAQAAkAUAAAAA&#10;">
                      <v:fill on="f" focussize="0,0"/>
                      <v:stroke color="#000000" joinstyle="round" endarrow="block"/>
                      <v:imagedata o:title=""/>
                      <o:lock v:ext="edit" aspectratio="f"/>
                    </v:line>
                  </w:pict>
                </mc:Fallback>
              </mc:AlternateContent>
            </w: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76672" behindDoc="0" locked="0" layoutInCell="1" allowOverlap="1">
                      <wp:simplePos x="0" y="0"/>
                      <wp:positionH relativeFrom="column">
                        <wp:posOffset>2948940</wp:posOffset>
                      </wp:positionH>
                      <wp:positionV relativeFrom="paragraph">
                        <wp:posOffset>644525</wp:posOffset>
                      </wp:positionV>
                      <wp:extent cx="1161415" cy="361950"/>
                      <wp:effectExtent l="0" t="0" r="0" b="0"/>
                      <wp:wrapNone/>
                      <wp:docPr id="495" name="文本框 495"/>
                      <wp:cNvGraphicFramePr/>
                      <a:graphic xmlns:a="http://schemas.openxmlformats.org/drawingml/2006/main">
                        <a:graphicData uri="http://schemas.microsoft.com/office/word/2010/wordprocessingShape">
                          <wps:wsp>
                            <wps:cNvSpPr txBox="1"/>
                            <wps:spPr>
                              <a:xfrm>
                                <a:off x="0" y="0"/>
                                <a:ext cx="1161415" cy="361950"/>
                              </a:xfrm>
                              <a:prstGeom prst="rect">
                                <a:avLst/>
                              </a:prstGeom>
                              <a:noFill/>
                              <a:ln>
                                <a:noFill/>
                              </a:ln>
                            </wps:spPr>
                            <wps:txbx>
                              <w:txbxContent>
                                <w:p w14:paraId="42A9FF4C">
                                  <w:pPr>
                                    <w:rPr>
                                      <w:szCs w:val="21"/>
                                    </w:rPr>
                                  </w:pPr>
                                  <w:r>
                                    <w:rPr>
                                      <w:rFonts w:hint="eastAsia"/>
                                      <w:szCs w:val="21"/>
                                    </w:rPr>
                                    <w:t>循环水</w:t>
                                  </w:r>
                                </w:p>
                              </w:txbxContent>
                            </wps:txbx>
                            <wps:bodyPr upright="1"/>
                          </wps:wsp>
                        </a:graphicData>
                      </a:graphic>
                    </wp:anchor>
                  </w:drawing>
                </mc:Choice>
                <mc:Fallback>
                  <w:pict>
                    <v:shape id="_x0000_s1026" o:spid="_x0000_s1026" o:spt="202" type="#_x0000_t202" style="position:absolute;left:0pt;margin-left:232.2pt;margin-top:50.75pt;height:28.5pt;width:91.45pt;z-index:251676672;mso-width-relative:page;mso-height-relative:page;" filled="f" stroked="f" coordsize="21600,21600" o:gfxdata="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AAAAAZHJzL1BLAQIUABQAAAAIAIdO4kBdJWxi&#10;1wAAAAsBAAAPAAAAAAAAAAEAIAAAACIAAABkcnMvZG93bnJldi54bWxQSwECFAAUAAAACACHTuJA&#10;77N2DbABAABSAwAADgAAAAAAAAABACAAAAAmAQAAZHJzL2Uyb0RvYy54bWxQSwUGAAAAAAYABgBZ&#10;AQAASAUAAAAA&#10;">
                      <v:fill on="f" focussize="0,0"/>
                      <v:stroke on="f"/>
                      <v:imagedata o:title=""/>
                      <o:lock v:ext="edit" aspectratio="f"/>
                      <v:textbox>
                        <w:txbxContent>
                          <w:p w14:paraId="42A9FF4C">
                            <w:pPr>
                              <w:rPr>
                                <w:szCs w:val="21"/>
                              </w:rPr>
                            </w:pPr>
                            <w:r>
                              <w:rPr>
                                <w:rFonts w:hint="eastAsia"/>
                                <w:szCs w:val="21"/>
                              </w:rPr>
                              <w:t>循环水</w:t>
                            </w:r>
                          </w:p>
                        </w:txbxContent>
                      </v:textbox>
                    </v:shape>
                  </w:pict>
                </mc:Fallback>
              </mc:AlternateContent>
            </w: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77696" behindDoc="0" locked="0" layoutInCell="1" allowOverlap="1">
                      <wp:simplePos x="0" y="0"/>
                      <wp:positionH relativeFrom="column">
                        <wp:posOffset>3234055</wp:posOffset>
                      </wp:positionH>
                      <wp:positionV relativeFrom="paragraph">
                        <wp:posOffset>1833245</wp:posOffset>
                      </wp:positionV>
                      <wp:extent cx="695325" cy="381000"/>
                      <wp:effectExtent l="4445" t="4445" r="5080" b="14605"/>
                      <wp:wrapNone/>
                      <wp:docPr id="88" name="文本框 88"/>
                      <wp:cNvGraphicFramePr/>
                      <a:graphic xmlns:a="http://schemas.openxmlformats.org/drawingml/2006/main">
                        <a:graphicData uri="http://schemas.microsoft.com/office/word/2010/wordprocessingShape">
                          <wps:wsp>
                            <wps:cNvSpPr txBox="1"/>
                            <wps:spPr>
                              <a:xfrm>
                                <a:off x="0" y="0"/>
                                <a:ext cx="695325" cy="381000"/>
                              </a:xfrm>
                              <a:prstGeom prst="rect">
                                <a:avLst/>
                              </a:prstGeom>
                              <a:noFill/>
                              <a:ln w="9525" cap="flat" cmpd="sng">
                                <a:solidFill>
                                  <a:srgbClr val="000000"/>
                                </a:solidFill>
                                <a:prstDash val="solid"/>
                                <a:miter/>
                                <a:headEnd type="none" w="med" len="med"/>
                                <a:tailEnd type="none" w="med" len="med"/>
                              </a:ln>
                            </wps:spPr>
                            <wps:txbx>
                              <w:txbxContent>
                                <w:p w14:paraId="67D1E529">
                                  <w:pPr>
                                    <w:jc w:val="center"/>
                                    <w:rPr>
                                      <w:szCs w:val="21"/>
                                    </w:rPr>
                                  </w:pPr>
                                  <w:r>
                                    <w:rPr>
                                      <w:rFonts w:hint="eastAsia"/>
                                      <w:szCs w:val="21"/>
                                    </w:rPr>
                                    <w:t>清水池</w:t>
                                  </w:r>
                                </w:p>
                              </w:txbxContent>
                            </wps:txbx>
                            <wps:bodyPr upright="1"/>
                          </wps:wsp>
                        </a:graphicData>
                      </a:graphic>
                    </wp:anchor>
                  </w:drawing>
                </mc:Choice>
                <mc:Fallback>
                  <w:pict>
                    <v:shape id="_x0000_s1026" o:spid="_x0000_s1026" o:spt="202" type="#_x0000_t202" style="position:absolute;left:0pt;margin-left:254.65pt;margin-top:144.35pt;height:30pt;width:54.75pt;z-index:251677696;mso-width-relative:page;mso-height-relative:page;" filled="f" stroked="t" coordsize="21600,21600" o:gfxdata="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6xAQYNgAAAALAQAADwAAAAAAAAABACAAAAAiAAAA&#10;ZHJzL2Rvd25yZXYueG1sUEsBAhQAFAAAAAgAh07iQN8itmwHAgAADgQAAA4AAAAAAAAAAQAgAAAA&#10;JwEAAGRycy9lMm9Eb2MueG1sUEsFBgAAAAAGAAYAWQEAAKAFAAAAAA==&#10;">
                      <v:fill on="f" focussize="0,0"/>
                      <v:stroke color="#000000" joinstyle="miter"/>
                      <v:imagedata o:title=""/>
                      <o:lock v:ext="edit" aspectratio="f"/>
                      <v:textbox>
                        <w:txbxContent>
                          <w:p w14:paraId="67D1E529">
                            <w:pPr>
                              <w:jc w:val="center"/>
                              <w:rPr>
                                <w:szCs w:val="21"/>
                              </w:rPr>
                            </w:pPr>
                            <w:r>
                              <w:rPr>
                                <w:rFonts w:hint="eastAsia"/>
                                <w:szCs w:val="21"/>
                              </w:rPr>
                              <w:t>清水池</w:t>
                            </w:r>
                          </w:p>
                        </w:txbxContent>
                      </v:textbox>
                    </v:shape>
                  </w:pict>
                </mc:Fallback>
              </mc:AlternateContent>
            </w: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82816" behindDoc="0" locked="0" layoutInCell="1" allowOverlap="1">
                      <wp:simplePos x="0" y="0"/>
                      <wp:positionH relativeFrom="column">
                        <wp:posOffset>1471930</wp:posOffset>
                      </wp:positionH>
                      <wp:positionV relativeFrom="paragraph">
                        <wp:posOffset>2147570</wp:posOffset>
                      </wp:positionV>
                      <wp:extent cx="635" cy="381000"/>
                      <wp:effectExtent l="76200" t="0" r="94615" b="57150"/>
                      <wp:wrapNone/>
                      <wp:docPr id="96" name="直接连接符 96"/>
                      <wp:cNvGraphicFramePr/>
                      <a:graphic xmlns:a="http://schemas.openxmlformats.org/drawingml/2006/main">
                        <a:graphicData uri="http://schemas.microsoft.com/office/word/2010/wordprocessingShape">
                          <wps:wsp>
                            <wps:cNvCnPr/>
                            <wps:spPr>
                              <a:xfrm>
                                <a:off x="0" y="0"/>
                                <a:ext cx="635" cy="381000"/>
                              </a:xfrm>
                              <a:prstGeom prst="line">
                                <a:avLst/>
                              </a:prstGeom>
                              <a:ln w="9525" cap="flat" cmpd="sng">
                                <a:solidFill>
                                  <a:srgbClr val="000000"/>
                                </a:solidFill>
                                <a:prstDash val="solid"/>
                                <a:headEnd type="none" w="med" len="med"/>
                                <a:tailEnd type="triangle" w="med" len="med"/>
                              </a:ln>
                            </wps:spPr>
                            <wps:bodyPr/>
                          </wps:wsp>
                        </a:graphicData>
                      </a:graphic>
                    </wp:anchor>
                  </w:drawing>
                </mc:Choice>
                <mc:Fallback>
                  <w:pict>
                    <v:line id="_x0000_s1026" o:spid="_x0000_s1026" o:spt="20" style="position:absolute;left:0pt;margin-left:115.9pt;margin-top:169.1pt;height:30pt;width:0.05pt;z-index:251682816;mso-width-relative:page;mso-height-relative:page;" filled="f" stroked="t" coordsize="21600,21600" o:gfxdata="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pH9rsNkAAAALAQAADwAAAAAAAAABACAAAAAiAAAAZHJzL2Rvd25yZXYueG1s&#10;UEsBAhQAFAAAAAgAh07iQKoEwfD3AQAA3wMAAA4AAAAAAAAAAQAgAAAAKAEAAGRycy9lMm9Eb2Mu&#10;eG1sUEsFBgAAAAAGAAYAWQEAAJEFAAAAAA==&#10;">
                      <v:fill on="f" focussize="0,0"/>
                      <v:stroke color="#000000" joinstyle="round" endarrow="block"/>
                      <v:imagedata o:title=""/>
                      <o:lock v:ext="edit" aspectratio="f"/>
                    </v:line>
                  </w:pict>
                </mc:Fallback>
              </mc:AlternateContent>
            </w:r>
          </w:p>
          <w:p w14:paraId="409EB840">
            <w:pPr>
              <w:spacing w:line="360" w:lineRule="auto"/>
              <w:ind w:firstLine="480" w:firstLineChars="200"/>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66432" behindDoc="0" locked="0" layoutInCell="1" allowOverlap="1">
                      <wp:simplePos x="0" y="0"/>
                      <wp:positionH relativeFrom="column">
                        <wp:posOffset>1461770</wp:posOffset>
                      </wp:positionH>
                      <wp:positionV relativeFrom="paragraph">
                        <wp:posOffset>81915</wp:posOffset>
                      </wp:positionV>
                      <wp:extent cx="0" cy="308610"/>
                      <wp:effectExtent l="76200" t="38100" r="57150" b="15240"/>
                      <wp:wrapNone/>
                      <wp:docPr id="7" name="直接连接符 7"/>
                      <wp:cNvGraphicFramePr/>
                      <a:graphic xmlns:a="http://schemas.openxmlformats.org/drawingml/2006/main">
                        <a:graphicData uri="http://schemas.microsoft.com/office/word/2010/wordprocessingShape">
                          <wps:wsp>
                            <wps:cNvCnPr/>
                            <wps:spPr>
                              <a:xfrm flipV="1">
                                <a:off x="0" y="0"/>
                                <a:ext cx="0" cy="308610"/>
                              </a:xfrm>
                              <a:prstGeom prst="line">
                                <a:avLst/>
                              </a:prstGeom>
                              <a:ln w="9525" cap="flat" cmpd="sng">
                                <a:solidFill>
                                  <a:srgbClr val="000000"/>
                                </a:solidFill>
                                <a:prstDash val="solid"/>
                                <a:headEnd type="none" w="med" len="med"/>
                                <a:tailEnd type="triangle" w="med" len="med"/>
                              </a:ln>
                            </wps:spPr>
                            <wps:bodyPr/>
                          </wps:wsp>
                        </a:graphicData>
                      </a:graphic>
                    </wp:anchor>
                  </w:drawing>
                </mc:Choice>
                <mc:Fallback>
                  <w:pict>
                    <v:line id="_x0000_s1026" o:spid="_x0000_s1026" o:spt="20" style="position:absolute;left:0pt;flip:y;margin-left:115.1pt;margin-top:6.45pt;height:24.3pt;width:0pt;z-index:251666432;mso-width-relative:page;mso-height-relative:page;" filled="f" stroked="t" coordsize="21600,21600" o:gfxdata="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7/4gh1wAAAAkBAAAPAAAAAAAAAAEAIAAAACIAAABkcnMvZG93bnJldi54&#10;bWxQSwECFAAUAAAACACHTuJANH5f4fsBAADlAwAADgAAAAAAAAABACAAAAAmAQAAZHJzL2Uyb0Rv&#10;Yy54bWxQSwUGAAAAAAYABgBZAQAAkwUAAAAA&#10;">
                      <v:fill on="f" focussize="0,0"/>
                      <v:stroke color="#000000" joinstyle="round" endarrow="block"/>
                      <v:imagedata o:title=""/>
                      <o:lock v:ext="edit" aspectratio="f"/>
                    </v:line>
                  </w:pict>
                </mc:Fallback>
              </mc:AlternateContent>
            </w:r>
          </w:p>
          <w:p w14:paraId="6EE888E1">
            <w:pPr>
              <w:spacing w:line="360" w:lineRule="auto"/>
              <w:rPr>
                <w:rFonts w:ascii="Times New Roman" w:hAnsi="Times New Roman" w:eastAsia="宋体" w:cs="Times New Roman"/>
                <w:color w:val="000000" w:themeColor="text1"/>
                <w:sz w:val="24"/>
                <w:szCs w:val="24"/>
                <w14:textFill>
                  <w14:solidFill>
                    <w14:schemeClr w14:val="tx1"/>
                  </w14:solidFill>
                </w14:textFill>
              </w:rPr>
            </w:pPr>
          </w:p>
          <w:p w14:paraId="32B9ED62">
            <w:pPr>
              <w:spacing w:line="360" w:lineRule="auto"/>
              <w:ind w:firstLine="480" w:firstLineChars="200"/>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80768" behindDoc="0" locked="0" layoutInCell="1" allowOverlap="1">
                      <wp:simplePos x="0" y="0"/>
                      <wp:positionH relativeFrom="column">
                        <wp:posOffset>2159635</wp:posOffset>
                      </wp:positionH>
                      <wp:positionV relativeFrom="paragraph">
                        <wp:posOffset>144145</wp:posOffset>
                      </wp:positionV>
                      <wp:extent cx="846455" cy="584200"/>
                      <wp:effectExtent l="0" t="0" r="0" b="0"/>
                      <wp:wrapNone/>
                      <wp:docPr id="80" name="文本框 80"/>
                      <wp:cNvGraphicFramePr/>
                      <a:graphic xmlns:a="http://schemas.openxmlformats.org/drawingml/2006/main">
                        <a:graphicData uri="http://schemas.microsoft.com/office/word/2010/wordprocessingShape">
                          <wps:wsp>
                            <wps:cNvSpPr txBox="1"/>
                            <wps:spPr>
                              <a:xfrm>
                                <a:off x="0" y="0"/>
                                <a:ext cx="846455" cy="584200"/>
                              </a:xfrm>
                              <a:prstGeom prst="rect">
                                <a:avLst/>
                              </a:prstGeom>
                              <a:noFill/>
                              <a:ln>
                                <a:noFill/>
                              </a:ln>
                            </wps:spPr>
                            <wps:txbx>
                              <w:txbxContent>
                                <w:p w14:paraId="2B4995A8">
                                  <w:pPr>
                                    <w:adjustRightInd w:val="0"/>
                                    <w:snapToGrid w:val="0"/>
                                    <w:jc w:val="center"/>
                                    <w:rPr>
                                      <w:szCs w:val="21"/>
                                    </w:rPr>
                                  </w:pPr>
                                  <w:r>
                                    <w:rPr>
                                      <w:rFonts w:hint="eastAsia"/>
                                      <w:szCs w:val="21"/>
                                    </w:rPr>
                                    <w:t>石灰</w:t>
                                  </w:r>
                                </w:p>
                                <w:p w14:paraId="5A532758">
                                  <w:pPr>
                                    <w:adjustRightInd w:val="0"/>
                                    <w:snapToGrid w:val="0"/>
                                    <w:jc w:val="center"/>
                                    <w:rPr>
                                      <w:szCs w:val="21"/>
                                    </w:rPr>
                                  </w:pPr>
                                  <w:r>
                                    <w:rPr>
                                      <w:szCs w:val="21"/>
                                    </w:rPr>
                                    <w:t>Ca(OH)</w:t>
                                  </w:r>
                                  <w:r>
                                    <w:rPr>
                                      <w:szCs w:val="21"/>
                                      <w:vertAlign w:val="subscript"/>
                                    </w:rPr>
                                    <w:t>2</w:t>
                                  </w:r>
                                </w:p>
                                <w:p w14:paraId="491F52F0">
                                  <w:pPr>
                                    <w:rPr>
                                      <w:szCs w:val="21"/>
                                    </w:rPr>
                                  </w:pPr>
                                </w:p>
                              </w:txbxContent>
                            </wps:txbx>
                            <wps:bodyPr upright="1">
                              <a:noAutofit/>
                            </wps:bodyPr>
                          </wps:wsp>
                        </a:graphicData>
                      </a:graphic>
                    </wp:anchor>
                  </w:drawing>
                </mc:Choice>
                <mc:Fallback>
                  <w:pict>
                    <v:shape id="_x0000_s1026" o:spid="_x0000_s1026" o:spt="202" type="#_x0000_t202" style="position:absolute;left:0pt;margin-left:170.05pt;margin-top:11.35pt;height:46pt;width:66.65pt;z-index:251680768;mso-width-relative:page;mso-height-relative:page;" filled="f" stroked="f" coordsize="21600,21600" o:gfxdata="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Myz8xXXAAAACgEAAA8AAAAAAAAAAQAgAAAAIgAAAGRycy9kb3ducmV2LnhtbFBLAQIUABQA&#10;AAAIAIdO4kAqgT8guAEAAGkDAAAOAAAAAAAAAAEAIAAAACYBAABkcnMvZTJvRG9jLnhtbFBLBQYA&#10;AAAABgAGAFkBAABQBQAAAAA=&#10;">
                      <v:fill on="f" focussize="0,0"/>
                      <v:stroke on="f"/>
                      <v:imagedata o:title=""/>
                      <o:lock v:ext="edit" aspectratio="f"/>
                      <v:textbox>
                        <w:txbxContent>
                          <w:p w14:paraId="2B4995A8">
                            <w:pPr>
                              <w:adjustRightInd w:val="0"/>
                              <w:snapToGrid w:val="0"/>
                              <w:jc w:val="center"/>
                              <w:rPr>
                                <w:szCs w:val="21"/>
                              </w:rPr>
                            </w:pPr>
                            <w:r>
                              <w:rPr>
                                <w:rFonts w:hint="eastAsia"/>
                                <w:szCs w:val="21"/>
                              </w:rPr>
                              <w:t>石灰</w:t>
                            </w:r>
                          </w:p>
                          <w:p w14:paraId="5A532758">
                            <w:pPr>
                              <w:adjustRightInd w:val="0"/>
                              <w:snapToGrid w:val="0"/>
                              <w:jc w:val="center"/>
                              <w:rPr>
                                <w:szCs w:val="21"/>
                              </w:rPr>
                            </w:pPr>
                            <w:r>
                              <w:rPr>
                                <w:szCs w:val="21"/>
                              </w:rPr>
                              <w:t>Ca(OH)</w:t>
                            </w:r>
                            <w:r>
                              <w:rPr>
                                <w:szCs w:val="21"/>
                                <w:vertAlign w:val="subscript"/>
                              </w:rPr>
                              <w:t>2</w:t>
                            </w:r>
                          </w:p>
                          <w:p w14:paraId="491F52F0">
                            <w:pPr>
                              <w:rPr>
                                <w:szCs w:val="21"/>
                              </w:rPr>
                            </w:pPr>
                          </w:p>
                        </w:txbxContent>
                      </v:textbox>
                    </v:shape>
                  </w:pict>
                </mc:Fallback>
              </mc:AlternateContent>
            </w: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81792" behindDoc="0" locked="0" layoutInCell="1" allowOverlap="1">
                      <wp:simplePos x="0" y="0"/>
                      <wp:positionH relativeFrom="column">
                        <wp:posOffset>3194685</wp:posOffset>
                      </wp:positionH>
                      <wp:positionV relativeFrom="paragraph">
                        <wp:posOffset>141605</wp:posOffset>
                      </wp:positionV>
                      <wp:extent cx="808990" cy="532130"/>
                      <wp:effectExtent l="0" t="0" r="0" b="1270"/>
                      <wp:wrapNone/>
                      <wp:docPr id="57" name="文本框 57"/>
                      <wp:cNvGraphicFramePr/>
                      <a:graphic xmlns:a="http://schemas.openxmlformats.org/drawingml/2006/main">
                        <a:graphicData uri="http://schemas.microsoft.com/office/word/2010/wordprocessingShape">
                          <wps:wsp>
                            <wps:cNvSpPr txBox="1"/>
                            <wps:spPr>
                              <a:xfrm>
                                <a:off x="0" y="0"/>
                                <a:ext cx="808990" cy="532130"/>
                              </a:xfrm>
                              <a:prstGeom prst="rect">
                                <a:avLst/>
                              </a:prstGeom>
                              <a:noFill/>
                              <a:ln>
                                <a:noFill/>
                              </a:ln>
                            </wps:spPr>
                            <wps:txbx>
                              <w:txbxContent>
                                <w:p w14:paraId="24CE723C">
                                  <w:pPr>
                                    <w:adjustRightInd w:val="0"/>
                                    <w:snapToGrid w:val="0"/>
                                    <w:ind w:left="210" w:hanging="210" w:hangingChars="100"/>
                                    <w:rPr>
                                      <w:szCs w:val="21"/>
                                    </w:rPr>
                                  </w:pPr>
                                  <w:r>
                                    <w:rPr>
                                      <w:rFonts w:hint="eastAsia"/>
                                      <w:szCs w:val="21"/>
                                    </w:rPr>
                                    <w:t>氢氧化钠</w:t>
                                  </w:r>
                                  <w:r>
                                    <w:rPr>
                                      <w:szCs w:val="21"/>
                                    </w:rPr>
                                    <w:t>NaOH</w:t>
                                  </w:r>
                                </w:p>
                                <w:p w14:paraId="3D53D492">
                                  <w:pPr>
                                    <w:rPr>
                                      <w:szCs w:val="21"/>
                                    </w:rPr>
                                  </w:pPr>
                                </w:p>
                              </w:txbxContent>
                            </wps:txbx>
                            <wps:bodyPr upright="1"/>
                          </wps:wsp>
                        </a:graphicData>
                      </a:graphic>
                    </wp:anchor>
                  </w:drawing>
                </mc:Choice>
                <mc:Fallback>
                  <w:pict>
                    <v:shape id="_x0000_s1026" o:spid="_x0000_s1026" o:spt="202" type="#_x0000_t202" style="position:absolute;left:0pt;margin-left:251.55pt;margin-top:11.15pt;height:41.9pt;width:63.7pt;z-index:251681792;mso-width-relative:page;mso-height-relative:page;" filled="f" stroked="f" coordsize="21600,21600" o:gfxdata="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KT3yiNcA&#10;AAAKAQAADwAAAAAAAAABACAAAAAiAAAAZHJzL2Rvd25yZXYueG1sUEsBAhQAFAAAAAgAh07iQOYG&#10;KQGuAQAATwMAAA4AAAAAAAAAAQAgAAAAJgEAAGRycy9lMm9Eb2MueG1sUEsFBgAAAAAGAAYAWQEA&#10;AEYFAAAAAA==&#10;">
                      <v:fill on="f" focussize="0,0"/>
                      <v:stroke on="f"/>
                      <v:imagedata o:title=""/>
                      <o:lock v:ext="edit" aspectratio="f"/>
                      <v:textbox>
                        <w:txbxContent>
                          <w:p w14:paraId="24CE723C">
                            <w:pPr>
                              <w:adjustRightInd w:val="0"/>
                              <w:snapToGrid w:val="0"/>
                              <w:ind w:left="210" w:hanging="210" w:hangingChars="100"/>
                              <w:rPr>
                                <w:szCs w:val="21"/>
                              </w:rPr>
                            </w:pPr>
                            <w:r>
                              <w:rPr>
                                <w:rFonts w:hint="eastAsia"/>
                                <w:szCs w:val="21"/>
                              </w:rPr>
                              <w:t>氢氧化钠</w:t>
                            </w:r>
                            <w:r>
                              <w:rPr>
                                <w:szCs w:val="21"/>
                              </w:rPr>
                              <w:t>NaOH</w:t>
                            </w:r>
                          </w:p>
                          <w:p w14:paraId="3D53D492">
                            <w:pPr>
                              <w:rPr>
                                <w:szCs w:val="21"/>
                              </w:rPr>
                            </w:pPr>
                          </w:p>
                        </w:txbxContent>
                      </v:textbox>
                    </v:shape>
                  </w:pict>
                </mc:Fallback>
              </mc:AlternateContent>
            </w:r>
          </w:p>
          <w:p w14:paraId="62A1E91D">
            <w:pPr>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79744" behindDoc="0" locked="0" layoutInCell="1" allowOverlap="1">
                      <wp:simplePos x="0" y="0"/>
                      <wp:positionH relativeFrom="column">
                        <wp:posOffset>3595370</wp:posOffset>
                      </wp:positionH>
                      <wp:positionV relativeFrom="paragraph">
                        <wp:posOffset>262255</wp:posOffset>
                      </wp:positionV>
                      <wp:extent cx="635" cy="381000"/>
                      <wp:effectExtent l="76200" t="0" r="94615" b="57150"/>
                      <wp:wrapNone/>
                      <wp:docPr id="83" name="直接连接符 83"/>
                      <wp:cNvGraphicFramePr/>
                      <a:graphic xmlns:a="http://schemas.openxmlformats.org/drawingml/2006/main">
                        <a:graphicData uri="http://schemas.microsoft.com/office/word/2010/wordprocessingShape">
                          <wps:wsp>
                            <wps:cNvCnPr/>
                            <wps:spPr>
                              <a:xfrm>
                                <a:off x="0" y="0"/>
                                <a:ext cx="635" cy="381000"/>
                              </a:xfrm>
                              <a:prstGeom prst="line">
                                <a:avLst/>
                              </a:prstGeom>
                              <a:ln w="9525" cap="flat" cmpd="sng">
                                <a:solidFill>
                                  <a:srgbClr val="000000"/>
                                </a:solidFill>
                                <a:prstDash val="solid"/>
                                <a:headEnd type="none" w="med" len="med"/>
                                <a:tailEnd type="triangle" w="med" len="med"/>
                              </a:ln>
                            </wps:spPr>
                            <wps:bodyPr/>
                          </wps:wsp>
                        </a:graphicData>
                      </a:graphic>
                    </wp:anchor>
                  </w:drawing>
                </mc:Choice>
                <mc:Fallback>
                  <w:pict>
                    <v:line id="_x0000_s1026" o:spid="_x0000_s1026" o:spt="20" style="position:absolute;left:0pt;margin-left:283.1pt;margin-top:20.65pt;height:30pt;width:0.05pt;z-index:251679744;mso-width-relative:page;mso-height-relative:page;" filled="f" stroked="t" coordsize="21600,21600" o:gfxdata="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gw6uhdkAAAAKAQAADwAAAAAAAAABACAAAAAiAAAAZHJzL2Rvd25yZXYueG1s&#10;UEsBAhQAFAAAAAgAh07iQMMUmz73AQAA3wMAAA4AAAAAAAAAAQAgAAAAKAEAAGRycy9lMm9Eb2Mu&#10;eG1sUEsFBgAAAAAGAAYAWQEAAJEFAAAAAA==&#10;">
                      <v:fill on="f" focussize="0,0"/>
                      <v:stroke color="#000000" joinstyle="round" endarrow="block"/>
                      <v:imagedata o:title=""/>
                      <o:lock v:ext="edit" aspectratio="f"/>
                    </v:line>
                  </w:pict>
                </mc:Fallback>
              </mc:AlternateContent>
            </w: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78720" behindDoc="0" locked="0" layoutInCell="1" allowOverlap="1">
                      <wp:simplePos x="0" y="0"/>
                      <wp:positionH relativeFrom="column">
                        <wp:posOffset>2527300</wp:posOffset>
                      </wp:positionH>
                      <wp:positionV relativeFrom="paragraph">
                        <wp:posOffset>255905</wp:posOffset>
                      </wp:positionV>
                      <wp:extent cx="635" cy="381000"/>
                      <wp:effectExtent l="76200" t="0" r="94615" b="57150"/>
                      <wp:wrapNone/>
                      <wp:docPr id="85" name="直接连接符 85"/>
                      <wp:cNvGraphicFramePr/>
                      <a:graphic xmlns:a="http://schemas.openxmlformats.org/drawingml/2006/main">
                        <a:graphicData uri="http://schemas.microsoft.com/office/word/2010/wordprocessingShape">
                          <wps:wsp>
                            <wps:cNvCnPr/>
                            <wps:spPr>
                              <a:xfrm>
                                <a:off x="0" y="0"/>
                                <a:ext cx="635" cy="381000"/>
                              </a:xfrm>
                              <a:prstGeom prst="line">
                                <a:avLst/>
                              </a:prstGeom>
                              <a:ln w="9525" cap="flat" cmpd="sng">
                                <a:solidFill>
                                  <a:srgbClr val="000000"/>
                                </a:solidFill>
                                <a:prstDash val="solid"/>
                                <a:headEnd type="none" w="med" len="med"/>
                                <a:tailEnd type="triangle" w="med" len="med"/>
                              </a:ln>
                            </wps:spPr>
                            <wps:bodyPr/>
                          </wps:wsp>
                        </a:graphicData>
                      </a:graphic>
                    </wp:anchor>
                  </w:drawing>
                </mc:Choice>
                <mc:Fallback>
                  <w:pict>
                    <v:line id="_x0000_s1026" o:spid="_x0000_s1026" o:spt="20" style="position:absolute;left:0pt;margin-left:199pt;margin-top:20.15pt;height:30pt;width:0.05pt;z-index:251678720;mso-width-relative:page;mso-height-relative:page;" filled="f" stroked="t" coordsize="21600,21600" o:gfxdata="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JMDRA2AAAAAoBAAAPAAAAAAAAAAEAIAAAACIAAABkcnMvZG93bnJldi54bWxQ&#10;SwECFAAUAAAACACHTuJAdCYkpPcBAADfAwAADgAAAAAAAAABACAAAAAnAQAAZHJzL2Uyb0RvYy54&#10;bWxQSwUGAAAAAAYABgBZAQAAkAUAAAAA&#10;">
                      <v:fill on="f" focussize="0,0"/>
                      <v:stroke color="#000000" joinstyle="round" endarrow="block"/>
                      <v:imagedata o:title=""/>
                      <o:lock v:ext="edit" aspectratio="f"/>
                    </v:line>
                  </w:pict>
                </mc:Fallback>
              </mc:AlternateContent>
            </w:r>
          </w:p>
          <w:p w14:paraId="0BB75B55">
            <w:pPr>
              <w:spacing w:line="360" w:lineRule="auto"/>
              <w:rPr>
                <w:rFonts w:ascii="Times New Roman" w:hAnsi="Times New Roman" w:eastAsia="宋体" w:cs="Times New Roman"/>
                <w:b/>
                <w:color w:val="000000" w:themeColor="text1"/>
                <w:sz w:val="24"/>
                <w:szCs w:val="24"/>
                <w14:textFill>
                  <w14:solidFill>
                    <w14:schemeClr w14:val="tx1"/>
                  </w14:solidFill>
                </w14:textFill>
              </w:rPr>
            </w:pPr>
          </w:p>
          <w:p w14:paraId="68580145">
            <w:pPr>
              <w:spacing w:line="360" w:lineRule="auto"/>
              <w:ind w:firstLine="480" w:firstLineChars="200"/>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67456" behindDoc="0" locked="0" layoutInCell="1" allowOverlap="1">
                      <wp:simplePos x="0" y="0"/>
                      <wp:positionH relativeFrom="column">
                        <wp:posOffset>4313555</wp:posOffset>
                      </wp:positionH>
                      <wp:positionV relativeFrom="paragraph">
                        <wp:posOffset>31115</wp:posOffset>
                      </wp:positionV>
                      <wp:extent cx="542925" cy="361950"/>
                      <wp:effectExtent l="0" t="0" r="28575" b="19050"/>
                      <wp:wrapNone/>
                      <wp:docPr id="86" name="文本框 86"/>
                      <wp:cNvGraphicFramePr/>
                      <a:graphic xmlns:a="http://schemas.openxmlformats.org/drawingml/2006/main">
                        <a:graphicData uri="http://schemas.microsoft.com/office/word/2010/wordprocessingShape">
                          <wps:wsp>
                            <wps:cNvSpPr txBox="1"/>
                            <wps:spPr>
                              <a:xfrm>
                                <a:off x="0" y="0"/>
                                <a:ext cx="542925" cy="361950"/>
                              </a:xfrm>
                              <a:prstGeom prst="rect">
                                <a:avLst/>
                              </a:prstGeom>
                              <a:noFill/>
                              <a:ln w="9525" cap="flat" cmpd="sng">
                                <a:solidFill>
                                  <a:srgbClr val="000000"/>
                                </a:solidFill>
                                <a:prstDash val="solid"/>
                                <a:miter/>
                                <a:headEnd type="none" w="med" len="med"/>
                                <a:tailEnd type="none" w="med" len="med"/>
                              </a:ln>
                            </wps:spPr>
                            <wps:txbx>
                              <w:txbxContent>
                                <w:p w14:paraId="0B7FC025">
                                  <w:pPr>
                                    <w:jc w:val="center"/>
                                    <w:rPr>
                                      <w:szCs w:val="21"/>
                                    </w:rPr>
                                  </w:pPr>
                                  <w:r>
                                    <w:rPr>
                                      <w:rFonts w:hint="eastAsia"/>
                                      <w:szCs w:val="21"/>
                                    </w:rPr>
                                    <w:t>水泵</w:t>
                                  </w:r>
                                </w:p>
                              </w:txbxContent>
                            </wps:txbx>
                            <wps:bodyPr upright="1"/>
                          </wps:wsp>
                        </a:graphicData>
                      </a:graphic>
                    </wp:anchor>
                  </w:drawing>
                </mc:Choice>
                <mc:Fallback>
                  <w:pict>
                    <v:shape id="_x0000_s1026" o:spid="_x0000_s1026" o:spt="202" type="#_x0000_t202" style="position:absolute;left:0pt;margin-left:339.65pt;margin-top:2.45pt;height:28.5pt;width:42.75pt;z-index:251667456;mso-width-relative:page;mso-height-relative:page;" filled="f" stroked="t" coordsize="21600,21600" o:gfxdata="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&#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RoRjStYAAAAIAQAADwAAAAAAAAABACAAAAAiAAAAZHJz&#10;L2Rvd25yZXYueG1sUEsBAhQAFAAAAAgAh07iQN2bbfMGAgAADgQAAA4AAAAAAAAAAQAgAAAAJQEA&#10;AGRycy9lMm9Eb2MueG1sUEsFBgAAAAAGAAYAWQEAAJ0FAAAAAA==&#10;">
                      <v:fill on="f" focussize="0,0"/>
                      <v:stroke color="#000000" joinstyle="miter"/>
                      <v:imagedata o:title=""/>
                      <o:lock v:ext="edit" aspectratio="f"/>
                      <v:textbox>
                        <w:txbxContent>
                          <w:p w14:paraId="0B7FC025">
                            <w:pPr>
                              <w:jc w:val="center"/>
                              <w:rPr>
                                <w:szCs w:val="21"/>
                              </w:rPr>
                            </w:pPr>
                            <w:r>
                              <w:rPr>
                                <w:rFonts w:hint="eastAsia"/>
                                <w:szCs w:val="21"/>
                              </w:rPr>
                              <w:t>水泵</w:t>
                            </w:r>
                          </w:p>
                        </w:txbxContent>
                      </v:textbox>
                    </v:shape>
                  </w:pict>
                </mc:Fallback>
              </mc:AlternateContent>
            </w: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60288" behindDoc="1" locked="0" layoutInCell="1" allowOverlap="1">
                      <wp:simplePos x="0" y="0"/>
                      <wp:positionH relativeFrom="column">
                        <wp:posOffset>3954780</wp:posOffset>
                      </wp:positionH>
                      <wp:positionV relativeFrom="paragraph">
                        <wp:posOffset>193040</wp:posOffset>
                      </wp:positionV>
                      <wp:extent cx="352425" cy="635"/>
                      <wp:effectExtent l="0" t="76200" r="28575" b="94615"/>
                      <wp:wrapNone/>
                      <wp:docPr id="87" name="直接连接符 87"/>
                      <wp:cNvGraphicFramePr/>
                      <a:graphic xmlns:a="http://schemas.openxmlformats.org/drawingml/2006/main">
                        <a:graphicData uri="http://schemas.microsoft.com/office/word/2010/wordprocessingShape">
                          <wps:wsp>
                            <wps:cNvCnPr/>
                            <wps:spPr>
                              <a:xfrm>
                                <a:off x="0" y="0"/>
                                <a:ext cx="352425" cy="635"/>
                              </a:xfrm>
                              <a:prstGeom prst="line">
                                <a:avLst/>
                              </a:prstGeom>
                              <a:ln w="9525" cap="flat" cmpd="sng">
                                <a:solidFill>
                                  <a:srgbClr val="000000"/>
                                </a:solidFill>
                                <a:prstDash val="solid"/>
                                <a:headEnd type="none" w="med" len="med"/>
                                <a:tailEnd type="triangle" w="med" len="med"/>
                              </a:ln>
                            </wps:spPr>
                            <wps:bodyPr/>
                          </wps:wsp>
                        </a:graphicData>
                      </a:graphic>
                    </wp:anchor>
                  </w:drawing>
                </mc:Choice>
                <mc:Fallback>
                  <w:pict>
                    <v:line id="_x0000_s1026" o:spid="_x0000_s1026" o:spt="20" style="position:absolute;left:0pt;margin-left:311.4pt;margin-top:15.2pt;height:0.05pt;width:27.75pt;z-index:-251656192;mso-width-relative:page;mso-height-relative:page;" filled="f" stroked="t" coordsize="21600,21600" o:gfxdata="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HzHe4PaAAAACQEAAA8AAAAAAAAAAQAgAAAAIgAAAGRycy9kb3ducmV2LnhtbFBL&#10;AQIUABQAAAAIAIdO4kA5kvpu9AEAAN8DAAAOAAAAAAAAAAEAIAAAACkBAABkcnMvZTJvRG9jLnht&#10;bFBLBQYAAAAABgAGAFkBAACPBQAAAAA=&#10;">
                      <v:fill on="f" focussize="0,0"/>
                      <v:stroke color="#000000" joinstyle="round" endarrow="block"/>
                      <v:imagedata o:title=""/>
                      <o:lock v:ext="edit" aspectratio="f"/>
                    </v:line>
                  </w:pict>
                </mc:Fallback>
              </mc:AlternateContent>
            </w: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72576" behindDoc="0" locked="0" layoutInCell="1" allowOverlap="1">
                      <wp:simplePos x="0" y="0"/>
                      <wp:positionH relativeFrom="column">
                        <wp:posOffset>1118870</wp:posOffset>
                      </wp:positionH>
                      <wp:positionV relativeFrom="paragraph">
                        <wp:posOffset>49530</wp:posOffset>
                      </wp:positionV>
                      <wp:extent cx="695325" cy="387350"/>
                      <wp:effectExtent l="4445" t="4445" r="5080" b="8255"/>
                      <wp:wrapNone/>
                      <wp:docPr id="92" name="文本框 92"/>
                      <wp:cNvGraphicFramePr/>
                      <a:graphic xmlns:a="http://schemas.openxmlformats.org/drawingml/2006/main">
                        <a:graphicData uri="http://schemas.microsoft.com/office/word/2010/wordprocessingShape">
                          <wps:wsp>
                            <wps:cNvSpPr txBox="1"/>
                            <wps:spPr>
                              <a:xfrm>
                                <a:off x="0" y="0"/>
                                <a:ext cx="695325" cy="387350"/>
                              </a:xfrm>
                              <a:prstGeom prst="rect">
                                <a:avLst/>
                              </a:prstGeom>
                              <a:noFill/>
                              <a:ln w="9525" cap="flat" cmpd="sng">
                                <a:solidFill>
                                  <a:srgbClr val="000000"/>
                                </a:solidFill>
                                <a:prstDash val="solid"/>
                                <a:miter/>
                                <a:headEnd type="none" w="med" len="med"/>
                                <a:tailEnd type="none" w="med" len="med"/>
                              </a:ln>
                            </wps:spPr>
                            <wps:txbx>
                              <w:txbxContent>
                                <w:p w14:paraId="120D3575">
                                  <w:pPr>
                                    <w:jc w:val="center"/>
                                    <w:rPr>
                                      <w:szCs w:val="21"/>
                                    </w:rPr>
                                  </w:pPr>
                                  <w:r>
                                    <w:rPr>
                                      <w:rFonts w:hint="eastAsia"/>
                                      <w:szCs w:val="21"/>
                                    </w:rPr>
                                    <w:t>沉淀池</w:t>
                                  </w:r>
                                </w:p>
                              </w:txbxContent>
                            </wps:txbx>
                            <wps:bodyPr upright="1">
                              <a:noAutofit/>
                            </wps:bodyPr>
                          </wps:wsp>
                        </a:graphicData>
                      </a:graphic>
                    </wp:anchor>
                  </w:drawing>
                </mc:Choice>
                <mc:Fallback>
                  <w:pict>
                    <v:shape id="_x0000_s1026" o:spid="_x0000_s1026" o:spt="202" type="#_x0000_t202" style="position:absolute;left:0pt;margin-left:88.1pt;margin-top:3.9pt;height:30.5pt;width:54.75pt;z-index:251672576;mso-width-relative:page;mso-height-relative:page;" filled="f" stroked="t" coordsize="21600,21600" o:gfxdata="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CFLZvbVAAAACAEAAA8AAAAAAAAAAQAg&#10;AAAAIgAAAGRycy9kb3ducmV2LnhtbFBLAQIUABQAAAAIAIdO4kAubZMgEQIAACgEAAAOAAAAAAAA&#10;AAEAIAAAACQBAABkcnMvZTJvRG9jLnhtbFBLBQYAAAAABgAGAFkBAACnBQAAAAA=&#10;">
                      <v:fill on="f" focussize="0,0"/>
                      <v:stroke color="#000000" joinstyle="miter"/>
                      <v:imagedata o:title=""/>
                      <o:lock v:ext="edit" aspectratio="f"/>
                      <v:textbox>
                        <w:txbxContent>
                          <w:p w14:paraId="120D3575">
                            <w:pPr>
                              <w:jc w:val="center"/>
                              <w:rPr>
                                <w:szCs w:val="21"/>
                              </w:rPr>
                            </w:pPr>
                            <w:r>
                              <w:rPr>
                                <w:rFonts w:hint="eastAsia"/>
                                <w:szCs w:val="21"/>
                              </w:rPr>
                              <w:t>沉淀池</w:t>
                            </w:r>
                          </w:p>
                        </w:txbxContent>
                      </v:textbox>
                    </v:shape>
                  </w:pict>
                </mc:Fallback>
              </mc:AlternateContent>
            </w:r>
          </w:p>
          <w:p w14:paraId="67069E83">
            <w:pPr>
              <w:spacing w:line="360" w:lineRule="auto"/>
              <w:ind w:firstLine="480" w:firstLineChars="200"/>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84864" behindDoc="0" locked="0" layoutInCell="1" allowOverlap="1">
                      <wp:simplePos x="0" y="0"/>
                      <wp:positionH relativeFrom="column">
                        <wp:posOffset>2507615</wp:posOffset>
                      </wp:positionH>
                      <wp:positionV relativeFrom="paragraph">
                        <wp:posOffset>113665</wp:posOffset>
                      </wp:positionV>
                      <wp:extent cx="596265" cy="328930"/>
                      <wp:effectExtent l="0" t="0" r="0" b="0"/>
                      <wp:wrapNone/>
                      <wp:docPr id="93" name="文本框 93"/>
                      <wp:cNvGraphicFramePr/>
                      <a:graphic xmlns:a="http://schemas.openxmlformats.org/drawingml/2006/main">
                        <a:graphicData uri="http://schemas.microsoft.com/office/word/2010/wordprocessingShape">
                          <wps:wsp>
                            <wps:cNvSpPr txBox="1"/>
                            <wps:spPr>
                              <a:xfrm>
                                <a:off x="0" y="0"/>
                                <a:ext cx="596265" cy="328930"/>
                              </a:xfrm>
                              <a:prstGeom prst="rect">
                                <a:avLst/>
                              </a:prstGeom>
                              <a:noFill/>
                              <a:ln>
                                <a:noFill/>
                              </a:ln>
                            </wps:spPr>
                            <wps:txbx>
                              <w:txbxContent>
                                <w:p w14:paraId="6CDA1716">
                                  <w:pPr>
                                    <w:rPr>
                                      <w:szCs w:val="21"/>
                                    </w:rPr>
                                  </w:pPr>
                                  <w:r>
                                    <w:rPr>
                                      <w:rFonts w:hint="eastAsia"/>
                                      <w:szCs w:val="21"/>
                                    </w:rPr>
                                    <w:t>硫酸钙</w:t>
                                  </w:r>
                                </w:p>
                              </w:txbxContent>
                            </wps:txbx>
                            <wps:bodyPr wrap="square" upright="1">
                              <a:noAutofit/>
                            </wps:bodyPr>
                          </wps:wsp>
                        </a:graphicData>
                      </a:graphic>
                    </wp:anchor>
                  </w:drawing>
                </mc:Choice>
                <mc:Fallback>
                  <w:pict>
                    <v:shape id="_x0000_s1026" o:spid="_x0000_s1026" o:spt="202" type="#_x0000_t202" style="position:absolute;left:0pt;margin-left:197.45pt;margin-top:8.95pt;height:25.9pt;width:46.95pt;z-index:251684864;mso-width-relative:page;mso-height-relative:page;" filled="f" stroked="f" coordsize="21600,21600" o:gfxdata="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CBeIfn1wAAAAkBAAAPAAAAAAAAAAEAIAAAACIAAABkcnMvZG93bnJl&#10;di54bWxQSwECFAAUAAAACACHTuJAAhivNsUBAAB3AwAADgAAAAAAAAABACAAAAAmAQAAZHJzL2Uy&#10;b0RvYy54bWxQSwUGAAAAAAYABgBZAQAAXQUAAAAA&#10;">
                      <v:fill on="f" focussize="0,0"/>
                      <v:stroke on="f"/>
                      <v:imagedata o:title=""/>
                      <o:lock v:ext="edit" aspectratio="f"/>
                      <v:textbox>
                        <w:txbxContent>
                          <w:p w14:paraId="6CDA1716">
                            <w:pPr>
                              <w:rPr>
                                <w:szCs w:val="21"/>
                              </w:rPr>
                            </w:pPr>
                            <w:r>
                              <w:rPr>
                                <w:rFonts w:hint="eastAsia"/>
                                <w:szCs w:val="21"/>
                              </w:rPr>
                              <w:t>硫酸钙</w:t>
                            </w:r>
                          </w:p>
                        </w:txbxContent>
                      </v:textbox>
                    </v:shape>
                  </w:pict>
                </mc:Fallback>
              </mc:AlternateContent>
            </w: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61312" behindDoc="1" locked="0" layoutInCell="1" allowOverlap="1">
                      <wp:simplePos x="0" y="0"/>
                      <wp:positionH relativeFrom="column">
                        <wp:posOffset>2534285</wp:posOffset>
                      </wp:positionH>
                      <wp:positionV relativeFrom="paragraph">
                        <wp:posOffset>90805</wp:posOffset>
                      </wp:positionV>
                      <wp:extent cx="635" cy="381000"/>
                      <wp:effectExtent l="76200" t="0" r="94615" b="57150"/>
                      <wp:wrapNone/>
                      <wp:docPr id="94" name="直接连接符 94"/>
                      <wp:cNvGraphicFramePr/>
                      <a:graphic xmlns:a="http://schemas.openxmlformats.org/drawingml/2006/main">
                        <a:graphicData uri="http://schemas.microsoft.com/office/word/2010/wordprocessingShape">
                          <wps:wsp>
                            <wps:cNvCnPr/>
                            <wps:spPr>
                              <a:xfrm>
                                <a:off x="0" y="0"/>
                                <a:ext cx="635" cy="381000"/>
                              </a:xfrm>
                              <a:prstGeom prst="line">
                                <a:avLst/>
                              </a:prstGeom>
                              <a:ln w="9525" cap="flat" cmpd="sng">
                                <a:solidFill>
                                  <a:srgbClr val="000000"/>
                                </a:solidFill>
                                <a:prstDash val="solid"/>
                                <a:headEnd type="none" w="med" len="med"/>
                                <a:tailEnd type="triangle" w="med" len="med"/>
                              </a:ln>
                            </wps:spPr>
                            <wps:bodyPr/>
                          </wps:wsp>
                        </a:graphicData>
                      </a:graphic>
                    </wp:anchor>
                  </w:drawing>
                </mc:Choice>
                <mc:Fallback>
                  <w:pict>
                    <v:line id="_x0000_s1026" o:spid="_x0000_s1026" o:spt="20" style="position:absolute;left:0pt;margin-left:199.55pt;margin-top:7.15pt;height:30pt;width:0.05pt;z-index:-251655168;mso-width-relative:page;mso-height-relative:page;" filled="f" stroked="t" coordsize="21600,21600" o:gfxdata="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PuXpx2QAAAAkBAAAPAAAAAAAAAAEAIAAAACIAAABkcnMvZG93bnJldi54bWxQ&#10;SwECFAAUAAAACACHTuJAx+qrhvYBAADfAwAADgAAAAAAAAABACAAAAAoAQAAZHJzL2Uyb0RvYy54&#10;bWxQSwUGAAAAAAYABgBZAQAAkAUAAAAA&#10;">
                      <v:fill on="f" focussize="0,0"/>
                      <v:stroke color="#000000" joinstyle="round" endarrow="block"/>
                      <v:imagedata o:title=""/>
                      <o:lock v:ext="edit" aspectratio="f"/>
                    </v:line>
                  </w:pict>
                </mc:Fallback>
              </mc:AlternateContent>
            </w:r>
          </w:p>
          <w:p w14:paraId="58CE3EFB">
            <w:pPr>
              <w:spacing w:line="360" w:lineRule="auto"/>
              <w:ind w:firstLine="480" w:firstLineChars="200"/>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62336" behindDoc="1" locked="0" layoutInCell="1" allowOverlap="1">
                      <wp:simplePos x="0" y="0"/>
                      <wp:positionH relativeFrom="column">
                        <wp:posOffset>1233805</wp:posOffset>
                      </wp:positionH>
                      <wp:positionV relativeFrom="paragraph">
                        <wp:posOffset>147955</wp:posOffset>
                      </wp:positionV>
                      <wp:extent cx="514985" cy="365760"/>
                      <wp:effectExtent l="0" t="0" r="0" b="0"/>
                      <wp:wrapNone/>
                      <wp:docPr id="95" name="文本框 95"/>
                      <wp:cNvGraphicFramePr/>
                      <a:graphic xmlns:a="http://schemas.openxmlformats.org/drawingml/2006/main">
                        <a:graphicData uri="http://schemas.microsoft.com/office/word/2010/wordprocessingShape">
                          <wps:wsp>
                            <wps:cNvSpPr txBox="1"/>
                            <wps:spPr>
                              <a:xfrm>
                                <a:off x="0" y="0"/>
                                <a:ext cx="514985" cy="365760"/>
                              </a:xfrm>
                              <a:prstGeom prst="rect">
                                <a:avLst/>
                              </a:prstGeom>
                              <a:noFill/>
                              <a:ln>
                                <a:noFill/>
                              </a:ln>
                            </wps:spPr>
                            <wps:txbx>
                              <w:txbxContent>
                                <w:p w14:paraId="00DCCC0D">
                                  <w:pPr>
                                    <w:rPr>
                                      <w:szCs w:val="21"/>
                                    </w:rPr>
                                  </w:pPr>
                                  <w:r>
                                    <w:rPr>
                                      <w:rFonts w:hint="eastAsia"/>
                                      <w:szCs w:val="21"/>
                                    </w:rPr>
                                    <w:t>灰渣</w:t>
                                  </w:r>
                                </w:p>
                              </w:txbxContent>
                            </wps:txbx>
                            <wps:bodyPr upright="1">
                              <a:noAutofit/>
                            </wps:bodyPr>
                          </wps:wsp>
                        </a:graphicData>
                      </a:graphic>
                    </wp:anchor>
                  </w:drawing>
                </mc:Choice>
                <mc:Fallback>
                  <w:pict>
                    <v:shape id="_x0000_s1026" o:spid="_x0000_s1026" o:spt="202" type="#_x0000_t202" style="position:absolute;left:0pt;margin-left:97.15pt;margin-top:11.65pt;height:28.8pt;width:40.55pt;z-index:-251654144;mso-width-relative:page;mso-height-relative:page;" filled="f" stroked="f" coordsize="21600,21600" o:gfxdata="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PC+ZorXAAAACQEAAA8AAAAAAAAAAQAgAAAAIgAAAGRycy9kb3ducmV2LnhtbFBLAQIU&#10;ABQAAAAIAIdO4kBAdsHPuwEAAGkDAAAOAAAAAAAAAAEAIAAAACYBAABkcnMvZTJvRG9jLnhtbFBL&#10;BQYAAAAABgAGAFkBAABTBQAAAAA=&#10;">
                      <v:fill on="f" focussize="0,0"/>
                      <v:stroke on="f"/>
                      <v:imagedata o:title=""/>
                      <o:lock v:ext="edit" aspectratio="f"/>
                      <v:textbox>
                        <w:txbxContent>
                          <w:p w14:paraId="00DCCC0D">
                            <w:pPr>
                              <w:rPr>
                                <w:szCs w:val="21"/>
                              </w:rPr>
                            </w:pPr>
                            <w:r>
                              <w:rPr>
                                <w:rFonts w:hint="eastAsia"/>
                                <w:szCs w:val="21"/>
                              </w:rPr>
                              <w:t>灰渣</w:t>
                            </w:r>
                          </w:p>
                        </w:txbxContent>
                      </v:textbox>
                    </v:shape>
                  </w:pict>
                </mc:Fallback>
              </mc:AlternateContent>
            </w:r>
            <w:r>
              <w:rPr>
                <w:rFonts w:ascii="Times New Roman" w:hAnsi="Times New Roman" w:eastAsia="宋体" w:cs="Times New Roman"/>
                <w:color w:val="000000" w:themeColor="text1"/>
                <w:sz w:val="24"/>
                <w:szCs w:val="24"/>
                <w14:textFill>
                  <w14:solidFill>
                    <w14:schemeClr w14:val="tx1"/>
                  </w14:solidFill>
                </w14:textFill>
              </w:rPr>
              <mc:AlternateContent>
                <mc:Choice Requires="wps">
                  <w:drawing>
                    <wp:anchor distT="0" distB="0" distL="114300" distR="114300" simplePos="0" relativeHeight="251683840" behindDoc="0" locked="0" layoutInCell="1" allowOverlap="1">
                      <wp:simplePos x="0" y="0"/>
                      <wp:positionH relativeFrom="column">
                        <wp:posOffset>2235835</wp:posOffset>
                      </wp:positionH>
                      <wp:positionV relativeFrom="paragraph">
                        <wp:posOffset>139700</wp:posOffset>
                      </wp:positionV>
                      <wp:extent cx="628650" cy="410845"/>
                      <wp:effectExtent l="0" t="0" r="0" b="0"/>
                      <wp:wrapNone/>
                      <wp:docPr id="97" name="文本框 97"/>
                      <wp:cNvGraphicFramePr/>
                      <a:graphic xmlns:a="http://schemas.openxmlformats.org/drawingml/2006/main">
                        <a:graphicData uri="http://schemas.microsoft.com/office/word/2010/wordprocessingShape">
                          <wps:wsp>
                            <wps:cNvSpPr txBox="1"/>
                            <wps:spPr>
                              <a:xfrm>
                                <a:off x="0" y="0"/>
                                <a:ext cx="628650" cy="410845"/>
                              </a:xfrm>
                              <a:prstGeom prst="rect">
                                <a:avLst/>
                              </a:prstGeom>
                              <a:noFill/>
                              <a:ln>
                                <a:noFill/>
                              </a:ln>
                            </wps:spPr>
                            <wps:txbx>
                              <w:txbxContent>
                                <w:p w14:paraId="7EC3426C">
                                  <w:pPr>
                                    <w:rPr>
                                      <w:szCs w:val="21"/>
                                    </w:rPr>
                                  </w:pPr>
                                  <w:r>
                                    <w:rPr>
                                      <w:rFonts w:hint="eastAsia"/>
                                      <w:szCs w:val="21"/>
                                    </w:rPr>
                                    <w:t>脱硫渣</w:t>
                                  </w:r>
                                </w:p>
                              </w:txbxContent>
                            </wps:txbx>
                            <wps:bodyPr upright="1">
                              <a:noAutofit/>
                            </wps:bodyPr>
                          </wps:wsp>
                        </a:graphicData>
                      </a:graphic>
                    </wp:anchor>
                  </w:drawing>
                </mc:Choice>
                <mc:Fallback>
                  <w:pict>
                    <v:shape id="_x0000_s1026" o:spid="_x0000_s1026" o:spt="202" type="#_x0000_t202" style="position:absolute;left:0pt;margin-left:176.05pt;margin-top:11pt;height:32.35pt;width:49.5pt;z-index:251683840;mso-width-relative:page;mso-height-relative:page;" filled="f" stroked="f" coordsize="21600,21600" o:gfxdata="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GkGsq3WAAAACQEAAA8AAAAAAAAAAQAgAAAAIgAAAGRycy9kb3ducmV2LnhtbFBLAQIUABQA&#10;AAAIAIdO4kBfzxQeuQEAAGkDAAAOAAAAAAAAAAEAIAAAACUBAABkcnMvZTJvRG9jLnhtbFBLBQYA&#10;AAAABgAGAFkBAABQBQAAAAA=&#10;">
                      <v:fill on="f" focussize="0,0"/>
                      <v:stroke on="f"/>
                      <v:imagedata o:title=""/>
                      <o:lock v:ext="edit" aspectratio="f"/>
                      <v:textbox>
                        <w:txbxContent>
                          <w:p w14:paraId="7EC3426C">
                            <w:pPr>
                              <w:rPr>
                                <w:szCs w:val="21"/>
                              </w:rPr>
                            </w:pPr>
                            <w:r>
                              <w:rPr>
                                <w:rFonts w:hint="eastAsia"/>
                                <w:szCs w:val="21"/>
                              </w:rPr>
                              <w:t>脱硫渣</w:t>
                            </w:r>
                          </w:p>
                        </w:txbxContent>
                      </v:textbox>
                    </v:shape>
                  </w:pict>
                </mc:Fallback>
              </mc:AlternateContent>
            </w:r>
          </w:p>
          <w:p w14:paraId="0C38848E">
            <w:pPr>
              <w:snapToGrid w:val="0"/>
              <w:spacing w:before="156" w:beforeLines="50" w:line="360" w:lineRule="auto"/>
              <w:jc w:val="center"/>
              <w:textAlignment w:val="center"/>
              <w:rPr>
                <w:rFonts w:ascii="Times New Roman" w:hAnsi="Times New Roman" w:eastAsia="宋体" w:cs="Times New Roman"/>
                <w:b/>
                <w:color w:val="000000" w:themeColor="text1"/>
                <w:szCs w:val="21"/>
                <w14:textFill>
                  <w14:solidFill>
                    <w14:schemeClr w14:val="tx1"/>
                  </w14:solidFill>
                </w14:textFill>
              </w:rPr>
            </w:pPr>
          </w:p>
          <w:p w14:paraId="6AD14119">
            <w:pPr>
              <w:snapToGrid w:val="0"/>
              <w:spacing w:before="156" w:beforeLines="50" w:line="360" w:lineRule="auto"/>
              <w:jc w:val="center"/>
              <w:textAlignment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图2-4  项目脱硫除尘工艺流程图</w:t>
            </w:r>
          </w:p>
          <w:p w14:paraId="5868CD29">
            <w:pPr>
              <w:snapToGrid w:val="0"/>
              <w:spacing w:line="360" w:lineRule="auto"/>
              <w:ind w:firstLine="480" w:firstLineChars="200"/>
              <w:textAlignment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治理措施如下图所示：</w:t>
            </w:r>
          </w:p>
          <w:p w14:paraId="5959F4F5">
            <w:pPr>
              <w:adjustRightInd w:val="0"/>
              <w:snapToGrid w:val="0"/>
              <w:spacing w:line="360" w:lineRule="auto"/>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14:textFill>
                  <w14:solidFill>
                    <w14:schemeClr w14:val="tx1"/>
                  </w14:solidFill>
                </w14:textFill>
              </w:rPr>
              <w:drawing>
                <wp:inline distT="0" distB="0" distL="0" distR="0">
                  <wp:extent cx="2375535" cy="1759585"/>
                  <wp:effectExtent l="0" t="0" r="5715" b="0"/>
                  <wp:docPr id="98" name="图片 98" descr="IMG_20210106_131725(1)"/>
                  <wp:cNvGraphicFramePr/>
                  <a:graphic xmlns:a="http://schemas.openxmlformats.org/drawingml/2006/main">
                    <a:graphicData uri="http://schemas.openxmlformats.org/drawingml/2006/picture">
                      <pic:pic xmlns:pic="http://schemas.openxmlformats.org/drawingml/2006/picture">
                        <pic:nvPicPr>
                          <pic:cNvPr id="98" name="图片 98" descr="IMG_20210106_131725(1)"/>
                          <pic:cNvPicPr/>
                        </pic:nvPicPr>
                        <pic:blipFill>
                          <a:blip r:embed="rId18"/>
                          <a:stretch>
                            <a:fillRect/>
                          </a:stretch>
                        </pic:blipFill>
                        <pic:spPr>
                          <a:xfrm>
                            <a:off x="0" y="0"/>
                            <a:ext cx="2376000" cy="1759585"/>
                          </a:xfrm>
                          <a:prstGeom prst="rect">
                            <a:avLst/>
                          </a:prstGeom>
                        </pic:spPr>
                      </pic:pic>
                    </a:graphicData>
                  </a:graphic>
                </wp:inline>
              </w:drawing>
            </w:r>
            <w:r>
              <w:rPr>
                <w:rFonts w:ascii="Times New Roman" w:hAnsi="Times New Roman" w:eastAsia="宋体" w:cs="Times New Roman"/>
                <w:color w:val="000000" w:themeColor="text1"/>
                <w:sz w:val="11"/>
                <w:szCs w:val="21"/>
                <w14:textFill>
                  <w14:solidFill>
                    <w14:schemeClr w14:val="tx1"/>
                  </w14:solidFill>
                </w14:textFill>
              </w:rPr>
              <w:t xml:space="preserve"> </w:t>
            </w:r>
            <w:r>
              <w:rPr>
                <w:rFonts w:ascii="Times New Roman" w:hAnsi="Times New Roman" w:cs="Times New Roman"/>
                <w:color w:val="000000" w:themeColor="text1"/>
                <w:sz w:val="11"/>
                <w14:textFill>
                  <w14:solidFill>
                    <w14:schemeClr w14:val="tx1"/>
                  </w14:solidFill>
                </w14:textFill>
              </w:rPr>
              <w:drawing>
                <wp:inline distT="0" distB="0" distL="0" distR="0">
                  <wp:extent cx="2375535" cy="1759585"/>
                  <wp:effectExtent l="0" t="0" r="5715" b="0"/>
                  <wp:docPr id="1" name="图片 1" descr="976ef22f7b13d3a48021002cdd62e2c"/>
                  <wp:cNvGraphicFramePr/>
                  <a:graphic xmlns:a="http://schemas.openxmlformats.org/drawingml/2006/main">
                    <a:graphicData uri="http://schemas.openxmlformats.org/drawingml/2006/picture">
                      <pic:pic xmlns:pic="http://schemas.openxmlformats.org/drawingml/2006/picture">
                        <pic:nvPicPr>
                          <pic:cNvPr id="1" name="图片 1" descr="976ef22f7b13d3a48021002cdd62e2c"/>
                          <pic:cNvPicPr/>
                        </pic:nvPicPr>
                        <pic:blipFill>
                          <a:blip r:embed="rId19"/>
                          <a:srcRect l="989" t="637" r="1075" b="24363"/>
                          <a:stretch>
                            <a:fillRect/>
                          </a:stretch>
                        </pic:blipFill>
                        <pic:spPr>
                          <a:xfrm>
                            <a:off x="0" y="0"/>
                            <a:ext cx="2376000" cy="1759585"/>
                          </a:xfrm>
                          <a:prstGeom prst="rect">
                            <a:avLst/>
                          </a:prstGeom>
                          <a:ln>
                            <a:noFill/>
                          </a:ln>
                        </pic:spPr>
                      </pic:pic>
                    </a:graphicData>
                  </a:graphic>
                </wp:inline>
              </w:drawing>
            </w:r>
          </w:p>
          <w:p w14:paraId="0B70AF45">
            <w:pPr>
              <w:adjustRightInd w:val="0"/>
              <w:snapToGrid w:val="0"/>
              <w:spacing w:line="360" w:lineRule="auto"/>
              <w:ind w:firstLine="1265" w:firstLineChars="600"/>
              <w:jc w:val="left"/>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双碱法湿式脱硫塔                       胶带输送机廊道</w:t>
            </w:r>
          </w:p>
          <w:p w14:paraId="6B7DAC23">
            <w:pPr>
              <w:pStyle w:val="2"/>
              <w:ind w:firstLine="492"/>
            </w:pPr>
          </w:p>
          <w:p w14:paraId="66A21C41">
            <w:pPr>
              <w:pStyle w:val="6"/>
            </w:pPr>
          </w:p>
          <w:p w14:paraId="5085C182"/>
          <w:p w14:paraId="406E494C">
            <w:pPr>
              <w:pStyle w:val="2"/>
              <w:ind w:firstLine="492"/>
            </w:pPr>
          </w:p>
          <w:p w14:paraId="50377BD2">
            <w:pPr>
              <w:adjustRightInd w:val="0"/>
              <w:snapToGrid w:val="0"/>
              <w:spacing w:line="360" w:lineRule="auto"/>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14:textFill>
                  <w14:solidFill>
                    <w14:schemeClr w14:val="tx1"/>
                  </w14:solidFill>
                </w14:textFill>
              </w:rPr>
              <w:drawing>
                <wp:inline distT="0" distB="0" distL="0" distR="0">
                  <wp:extent cx="2375535" cy="1752600"/>
                  <wp:effectExtent l="0" t="0" r="5715" b="0"/>
                  <wp:docPr id="483" name="图片 483" descr="06c6309dfb12041536a485d247673e3"/>
                  <wp:cNvGraphicFramePr/>
                  <a:graphic xmlns:a="http://schemas.openxmlformats.org/drawingml/2006/main">
                    <a:graphicData uri="http://schemas.openxmlformats.org/drawingml/2006/picture">
                      <pic:pic xmlns:pic="http://schemas.openxmlformats.org/drawingml/2006/picture">
                        <pic:nvPicPr>
                          <pic:cNvPr id="483" name="图片 483" descr="06c6309dfb12041536a485d247673e3"/>
                          <pic:cNvPicPr/>
                        </pic:nvPicPr>
                        <pic:blipFill>
                          <a:blip r:embed="rId20"/>
                          <a:srcRect l="-772" t="17550" r="772" b="7450"/>
                          <a:stretch>
                            <a:fillRect/>
                          </a:stretch>
                        </pic:blipFill>
                        <pic:spPr>
                          <a:xfrm>
                            <a:off x="0" y="0"/>
                            <a:ext cx="2376000" cy="1752600"/>
                          </a:xfrm>
                          <a:prstGeom prst="rect">
                            <a:avLst/>
                          </a:prstGeom>
                        </pic:spPr>
                      </pic:pic>
                    </a:graphicData>
                  </a:graphic>
                </wp:inline>
              </w:drawing>
            </w:r>
            <w:r>
              <w:rPr>
                <w:rFonts w:ascii="Times New Roman" w:hAnsi="Times New Roman" w:eastAsia="宋体" w:cs="Times New Roman"/>
                <w:color w:val="000000" w:themeColor="text1"/>
                <w:szCs w:val="21"/>
                <w14:textFill>
                  <w14:solidFill>
                    <w14:schemeClr w14:val="tx1"/>
                  </w14:solidFill>
                </w14:textFill>
              </w:rPr>
              <w:t xml:space="preserve"> </w:t>
            </w:r>
            <w:r>
              <w:rPr>
                <w:rFonts w:ascii="Times New Roman" w:hAnsi="Times New Roman" w:eastAsia="宋体" w:cs="Times New Roman"/>
                <w:color w:val="000000" w:themeColor="text1"/>
                <w:szCs w:val="21"/>
                <w14:textFill>
                  <w14:solidFill>
                    <w14:schemeClr w14:val="tx1"/>
                  </w14:solidFill>
                </w14:textFill>
              </w:rPr>
              <w:drawing>
                <wp:inline distT="0" distB="0" distL="0" distR="0">
                  <wp:extent cx="2375535" cy="1701800"/>
                  <wp:effectExtent l="0" t="0" r="5715" b="0"/>
                  <wp:docPr id="496" name="图片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图片 496"/>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376000" cy="1702338"/>
                          </a:xfrm>
                          <a:prstGeom prst="rect">
                            <a:avLst/>
                          </a:prstGeom>
                        </pic:spPr>
                      </pic:pic>
                    </a:graphicData>
                  </a:graphic>
                </wp:inline>
              </w:drawing>
            </w:r>
          </w:p>
          <w:p w14:paraId="1640BE2D">
            <w:pPr>
              <w:adjustRightInd w:val="0"/>
              <w:snapToGrid w:val="0"/>
              <w:spacing w:line="360" w:lineRule="auto"/>
              <w:ind w:firstLine="1265" w:firstLineChars="600"/>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原料棚喷雾装置                    原料堆场围挡及喷雾装置</w:t>
            </w:r>
          </w:p>
          <w:p w14:paraId="2055D33E">
            <w:pPr>
              <w:adjustRightInd w:val="0"/>
              <w:snapToGrid w:val="0"/>
              <w:spacing w:line="360" w:lineRule="auto"/>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drawing>
                <wp:inline distT="0" distB="0" distL="0" distR="0">
                  <wp:extent cx="2375535" cy="1675130"/>
                  <wp:effectExtent l="0" t="0" r="5715" b="1270"/>
                  <wp:docPr id="498" name="图片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图片 498"/>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376000" cy="1675219"/>
                          </a:xfrm>
                          <a:prstGeom prst="rect">
                            <a:avLst/>
                          </a:prstGeom>
                        </pic:spPr>
                      </pic:pic>
                    </a:graphicData>
                  </a:graphic>
                </wp:inline>
              </w:drawing>
            </w:r>
            <w:r>
              <w:rPr>
                <w:rFonts w:ascii="Times New Roman" w:hAnsi="Times New Roman" w:eastAsia="宋体" w:cs="Times New Roman"/>
                <w:color w:val="000000" w:themeColor="text1"/>
                <w:szCs w:val="21"/>
                <w14:textFill>
                  <w14:solidFill>
                    <w14:schemeClr w14:val="tx1"/>
                  </w14:solidFill>
                </w14:textFill>
              </w:rPr>
              <w:t xml:space="preserve"> </w:t>
            </w:r>
            <w:r>
              <w:rPr>
                <w:rFonts w:ascii="Times New Roman" w:hAnsi="Times New Roman" w:eastAsia="宋体" w:cs="Times New Roman"/>
                <w:color w:val="000000" w:themeColor="text1"/>
                <w:szCs w:val="21"/>
                <w14:textFill>
                  <w14:solidFill>
                    <w14:schemeClr w14:val="tx1"/>
                  </w14:solidFill>
                </w14:textFill>
              </w:rPr>
              <w:drawing>
                <wp:inline distT="0" distB="0" distL="0" distR="0">
                  <wp:extent cx="2375535" cy="1663065"/>
                  <wp:effectExtent l="0" t="0" r="5715" b="0"/>
                  <wp:docPr id="482" name="图片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图片 482"/>
                          <pic:cNvPicPr>
                            <a:picLocks noChangeAspect="1"/>
                          </pic:cNvPicPr>
                        </pic:nvPicPr>
                        <pic:blipFill>
                          <a:blip r:embed="rId23" cstate="print">
                            <a:extLst>
                              <a:ext uri="{28A0092B-C50C-407E-A947-70E740481C1C}">
                                <a14:useLocalDpi xmlns:a14="http://schemas.microsoft.com/office/drawing/2010/main" val="0"/>
                              </a:ext>
                            </a:extLst>
                          </a:blip>
                          <a:srcRect t="6641"/>
                          <a:stretch>
                            <a:fillRect/>
                          </a:stretch>
                        </pic:blipFill>
                        <pic:spPr>
                          <a:xfrm>
                            <a:off x="0" y="0"/>
                            <a:ext cx="2376000" cy="1663508"/>
                          </a:xfrm>
                          <a:prstGeom prst="rect">
                            <a:avLst/>
                          </a:prstGeom>
                        </pic:spPr>
                      </pic:pic>
                    </a:graphicData>
                  </a:graphic>
                </wp:inline>
              </w:drawing>
            </w:r>
          </w:p>
          <w:p w14:paraId="52535D75">
            <w:pPr>
              <w:snapToGrid w:val="0"/>
              <w:spacing w:line="360" w:lineRule="auto"/>
              <w:ind w:firstLine="738" w:firstLineChars="350"/>
              <w:jc w:val="left"/>
              <w:textAlignment w:val="center"/>
              <w:rPr>
                <w:rFonts w:ascii="Times New Roman" w:hAnsi="Times New Roman" w:eastAsia="宋体" w:cs="Times New Roman"/>
                <w:b/>
                <w:color w:val="000000" w:themeColor="text1"/>
                <w:szCs w:val="24"/>
                <w14:textFill>
                  <w14:solidFill>
                    <w14:schemeClr w14:val="tx1"/>
                  </w14:solidFill>
                </w14:textFill>
              </w:rPr>
            </w:pPr>
            <w:r>
              <w:rPr>
                <w:rFonts w:ascii="Times New Roman" w:hAnsi="Times New Roman" w:eastAsia="宋体" w:cs="Times New Roman"/>
                <w:b/>
                <w:color w:val="000000" w:themeColor="text1"/>
                <w:szCs w:val="24"/>
                <w14:textFill>
                  <w14:solidFill>
                    <w14:schemeClr w14:val="tx1"/>
                  </w14:solidFill>
                </w14:textFill>
              </w:rPr>
              <w:t>破碎间密闭措施及喷雾装置                        雾炮车</w:t>
            </w:r>
          </w:p>
          <w:p w14:paraId="70177134">
            <w:pPr>
              <w:snapToGrid w:val="0"/>
              <w:spacing w:line="360" w:lineRule="auto"/>
              <w:jc w:val="center"/>
              <w:textAlignment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cs="Times New Roman"/>
                <w:color w:val="000000" w:themeColor="text1"/>
                <w14:textFill>
                  <w14:solidFill>
                    <w14:schemeClr w14:val="tx1"/>
                  </w14:solidFill>
                </w14:textFill>
              </w:rPr>
              <w:drawing>
                <wp:inline distT="0" distB="0" distL="0" distR="0">
                  <wp:extent cx="2375535" cy="1733550"/>
                  <wp:effectExtent l="0" t="0" r="5715" b="0"/>
                  <wp:docPr id="3" name="图片 3" descr="e936ee3712b6083a0ebf917ff65b067"/>
                  <wp:cNvGraphicFramePr/>
                  <a:graphic xmlns:a="http://schemas.openxmlformats.org/drawingml/2006/main">
                    <a:graphicData uri="http://schemas.openxmlformats.org/drawingml/2006/picture">
                      <pic:pic xmlns:pic="http://schemas.openxmlformats.org/drawingml/2006/picture">
                        <pic:nvPicPr>
                          <pic:cNvPr id="3" name="图片 3" descr="e936ee3712b6083a0ebf917ff65b067"/>
                          <pic:cNvPicPr/>
                        </pic:nvPicPr>
                        <pic:blipFill>
                          <a:blip r:embed="rId24"/>
                          <a:srcRect t="12500" b="12500"/>
                          <a:stretch>
                            <a:fillRect/>
                          </a:stretch>
                        </pic:blipFill>
                        <pic:spPr>
                          <a:xfrm>
                            <a:off x="0" y="0"/>
                            <a:ext cx="2376000" cy="1733550"/>
                          </a:xfrm>
                          <a:prstGeom prst="rect">
                            <a:avLst/>
                          </a:prstGeom>
                        </pic:spPr>
                      </pic:pic>
                    </a:graphicData>
                  </a:graphic>
                </wp:inline>
              </w:drawing>
            </w:r>
            <w:r>
              <w:rPr>
                <w:rFonts w:ascii="Times New Roman" w:hAnsi="Times New Roman" w:eastAsia="宋体" w:cs="Times New Roman"/>
                <w:color w:val="000000" w:themeColor="text1"/>
                <w:sz w:val="24"/>
                <w:szCs w:val="24"/>
                <w14:textFill>
                  <w14:solidFill>
                    <w14:schemeClr w14:val="tx1"/>
                  </w14:solidFill>
                </w14:textFill>
              </w:rPr>
              <w:t xml:space="preserve"> </w:t>
            </w:r>
            <w:r>
              <w:rPr>
                <w:rFonts w:ascii="Times New Roman" w:hAnsi="Times New Roman" w:cs="Times New Roman"/>
                <w:color w:val="000000" w:themeColor="text1"/>
                <w14:textFill>
                  <w14:solidFill>
                    <w14:schemeClr w14:val="tx1"/>
                  </w14:solidFill>
                </w14:textFill>
              </w:rPr>
              <w:drawing>
                <wp:inline distT="0" distB="0" distL="0" distR="0">
                  <wp:extent cx="2375535" cy="1729740"/>
                  <wp:effectExtent l="0" t="0" r="5715" b="3810"/>
                  <wp:docPr id="60" name="图片 60" descr="cdb74424ea82f453a9f18b6b6dfe4b1"/>
                  <wp:cNvGraphicFramePr/>
                  <a:graphic xmlns:a="http://schemas.openxmlformats.org/drawingml/2006/main">
                    <a:graphicData uri="http://schemas.openxmlformats.org/drawingml/2006/picture">
                      <pic:pic xmlns:pic="http://schemas.openxmlformats.org/drawingml/2006/picture">
                        <pic:nvPicPr>
                          <pic:cNvPr id="60" name="图片 60" descr="cdb74424ea82f453a9f18b6b6dfe4b1"/>
                          <pic:cNvPicPr/>
                        </pic:nvPicPr>
                        <pic:blipFill>
                          <a:blip r:embed="rId25">
                            <a:extLst>
                              <a:ext uri="{BEBA8EAE-BF5A-486C-A8C5-ECC9F3942E4B}">
                                <a14:imgProps xmlns:a14="http://schemas.microsoft.com/office/drawing/2010/main">
                                  <a14:imgLayer r:embed="rId26">
                                    <a14:imgEffect>
                                      <a14:brightnessContrast bright="10000" contrast="20000"/>
                                    </a14:imgEffect>
                                    <a14:imgEffect>
                                      <a14:sharpenSoften amount="40000"/>
                                    </a14:imgEffect>
                                  </a14:imgLayer>
                                </a14:imgProps>
                              </a:ext>
                            </a:extLst>
                          </a:blip>
                          <a:srcRect t="12500" b="12500"/>
                          <a:stretch>
                            <a:fillRect/>
                          </a:stretch>
                        </pic:blipFill>
                        <pic:spPr>
                          <a:xfrm>
                            <a:off x="0" y="0"/>
                            <a:ext cx="2376000" cy="1729740"/>
                          </a:xfrm>
                          <a:prstGeom prst="rect">
                            <a:avLst/>
                          </a:prstGeom>
                        </pic:spPr>
                      </pic:pic>
                    </a:graphicData>
                  </a:graphic>
                </wp:inline>
              </w:drawing>
            </w:r>
          </w:p>
          <w:p w14:paraId="05F6B1CD">
            <w:pPr>
              <w:snapToGrid w:val="0"/>
              <w:spacing w:line="360" w:lineRule="auto"/>
              <w:ind w:firstLine="422" w:firstLineChars="200"/>
              <w:textAlignment w:val="center"/>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Cs w:val="24"/>
                <w14:textFill>
                  <w14:solidFill>
                    <w14:schemeClr w14:val="tx1"/>
                  </w14:solidFill>
                </w14:textFill>
              </w:rPr>
              <w:t>原料制备车间集气设施与布袋除尘器          半地下式鄂破间及密闭措施</w:t>
            </w:r>
          </w:p>
          <w:p w14:paraId="6EBCC6D9">
            <w:pPr>
              <w:snapToGrid w:val="0"/>
              <w:spacing w:line="360" w:lineRule="auto"/>
              <w:jc w:val="center"/>
              <w:textAlignment w:val="center"/>
              <w:rPr>
                <w:rFonts w:ascii="Times New Roman" w:hAnsi="Times New Roman" w:eastAsia="宋体" w:cs="Times New Roman"/>
                <w:b/>
                <w:color w:val="000000" w:themeColor="text1"/>
                <w:szCs w:val="24"/>
                <w14:textFill>
                  <w14:solidFill>
                    <w14:schemeClr w14:val="tx1"/>
                  </w14:solidFill>
                </w14:textFill>
              </w:rPr>
            </w:pPr>
            <w:r>
              <w:rPr>
                <w:rFonts w:ascii="Times New Roman" w:hAnsi="Times New Roman" w:eastAsia="宋体" w:cs="Times New Roman"/>
                <w:b/>
                <w:color w:val="000000" w:themeColor="text1"/>
                <w:szCs w:val="24"/>
                <w14:textFill>
                  <w14:solidFill>
                    <w14:schemeClr w14:val="tx1"/>
                  </w14:solidFill>
                </w14:textFill>
              </w:rPr>
              <w:t>图2-5 现有工程废气处理设施</w:t>
            </w:r>
          </w:p>
          <w:p w14:paraId="30B3C9FF">
            <w:pPr>
              <w:snapToGrid w:val="0"/>
              <w:spacing w:line="360" w:lineRule="auto"/>
              <w:ind w:firstLine="480" w:firstLineChars="200"/>
              <w:textAlignment w:val="center"/>
              <w:rPr>
                <w:rFonts w:ascii="Times New Roman" w:hAnsi="Times New Roman" w:eastAsia="宋体" w:cs="Times New Roman"/>
                <w:sz w:val="24"/>
                <w:szCs w:val="24"/>
              </w:rPr>
            </w:pPr>
            <w:r>
              <w:rPr>
                <w:rFonts w:ascii="Times New Roman" w:hAnsi="Times New Roman" w:eastAsia="宋体" w:cs="Times New Roman"/>
                <w:color w:val="000000" w:themeColor="text1"/>
                <w:sz w:val="24"/>
                <w:szCs w:val="24"/>
                <w14:textFill>
                  <w14:solidFill>
                    <w14:schemeClr w14:val="tx1"/>
                  </w14:solidFill>
                </w14:textFill>
              </w:rPr>
              <w:t>为了解企业已建项目废气污染物排放情况，本评价收集了企业自主验收检测报告（川国测检字(2021)第YS01158号、川国测检字(2021)第YS01160号）</w:t>
            </w:r>
            <w:r>
              <w:rPr>
                <w:rFonts w:hint="eastAsia" w:ascii="Times New Roman" w:hAnsi="Times New Roman" w:eastAsia="宋体" w:cs="Times New Roman"/>
                <w:color w:val="000000" w:themeColor="text1"/>
                <w:sz w:val="24"/>
                <w:szCs w:val="24"/>
                <w14:textFill>
                  <w14:solidFill>
                    <w14:schemeClr w14:val="tx1"/>
                  </w14:solidFill>
                </w14:textFill>
              </w:rPr>
              <w:t>。</w:t>
            </w:r>
            <w:r>
              <w:rPr>
                <w:rFonts w:ascii="Times New Roman" w:hAnsi="Times New Roman" w:eastAsia="宋体" w:cs="Times New Roman"/>
                <w:sz w:val="24"/>
                <w:szCs w:val="24"/>
              </w:rPr>
              <w:t>同时</w:t>
            </w:r>
            <w:r>
              <w:rPr>
                <w:rFonts w:hint="eastAsia" w:ascii="Times New Roman" w:hAnsi="Times New Roman" w:eastAsia="宋体" w:cs="Times New Roman"/>
                <w:sz w:val="24"/>
                <w:szCs w:val="24"/>
              </w:rPr>
              <w:t>，</w:t>
            </w:r>
            <w:r>
              <w:rPr>
                <w:rFonts w:ascii="Times New Roman" w:hAnsi="Times New Roman" w:eastAsia="宋体" w:cs="Times New Roman"/>
                <w:sz w:val="24"/>
                <w:szCs w:val="24"/>
              </w:rPr>
              <w:t>本次评价对企业隧道窑排气筒（DA002）进行汞及其化合物、铊及其化合物、镉及其化合物、铅及其化合物、砷及其化合物、铬及其化合物、锡锑铜锰镍钴及其化合物</w:t>
            </w:r>
            <w:r>
              <w:rPr>
                <w:rFonts w:hint="eastAsia" w:ascii="Times New Roman" w:hAnsi="Times New Roman" w:eastAsia="宋体" w:cs="Times New Roman"/>
                <w:sz w:val="24"/>
                <w:szCs w:val="24"/>
              </w:rPr>
              <w:t>、</w:t>
            </w:r>
            <w:r>
              <w:rPr>
                <w:rFonts w:ascii="Times New Roman" w:hAnsi="Times New Roman" w:eastAsia="宋体" w:cs="Times New Roman"/>
                <w:sz w:val="24"/>
                <w:szCs w:val="24"/>
              </w:rPr>
              <w:t>二噁英排放</w:t>
            </w:r>
            <w:r>
              <w:rPr>
                <w:rFonts w:hint="eastAsia" w:ascii="Times New Roman" w:hAnsi="Times New Roman" w:eastAsia="宋体" w:cs="Times New Roman"/>
                <w:sz w:val="24"/>
                <w:szCs w:val="24"/>
              </w:rPr>
              <w:t>进行补充</w:t>
            </w:r>
            <w:r>
              <w:rPr>
                <w:rFonts w:ascii="Times New Roman" w:hAnsi="Times New Roman" w:eastAsia="宋体" w:cs="Times New Roman"/>
                <w:sz w:val="24"/>
                <w:szCs w:val="24"/>
              </w:rPr>
              <w:t>补充检测，企业已建项目废气污染物排放情况见下表：</w:t>
            </w:r>
          </w:p>
          <w:p w14:paraId="04D0CBD5">
            <w:pPr>
              <w:pStyle w:val="2"/>
              <w:ind w:firstLine="492"/>
            </w:pPr>
          </w:p>
          <w:p w14:paraId="060106E3">
            <w:pPr>
              <w:adjustRightInd w:val="0"/>
              <w:snapToGrid w:val="0"/>
              <w:ind w:left="527"/>
              <w:jc w:val="center"/>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color w:val="000000"/>
                <w:sz w:val="24"/>
                <w:szCs w:val="24"/>
              </w:rPr>
              <w:t xml:space="preserve">表2- </w:t>
            </w:r>
            <w:r>
              <w:rPr>
                <w:rFonts w:ascii="Times New Roman" w:hAnsi="Times New Roman" w:eastAsia="宋体" w:cs="Times New Roman"/>
                <w:b/>
                <w:color w:val="000000"/>
                <w:sz w:val="24"/>
                <w:szCs w:val="24"/>
              </w:rPr>
              <w:fldChar w:fldCharType="begin"/>
            </w:r>
            <w:r>
              <w:rPr>
                <w:rFonts w:ascii="Times New Roman" w:hAnsi="Times New Roman" w:eastAsia="宋体" w:cs="Times New Roman"/>
                <w:b/>
                <w:color w:val="000000"/>
                <w:sz w:val="24"/>
                <w:szCs w:val="24"/>
              </w:rPr>
              <w:instrText xml:space="preserve"> SEQ 表2- \* ARABIC </w:instrText>
            </w:r>
            <w:r>
              <w:rPr>
                <w:rFonts w:ascii="Times New Roman" w:hAnsi="Times New Roman" w:eastAsia="宋体" w:cs="Times New Roman"/>
                <w:b/>
                <w:color w:val="000000"/>
                <w:sz w:val="24"/>
                <w:szCs w:val="24"/>
              </w:rPr>
              <w:fldChar w:fldCharType="separate"/>
            </w:r>
            <w:r>
              <w:rPr>
                <w:rFonts w:ascii="Times New Roman" w:hAnsi="Times New Roman" w:eastAsia="宋体" w:cs="Times New Roman"/>
                <w:b/>
                <w:color w:val="000000"/>
                <w:sz w:val="24"/>
                <w:szCs w:val="24"/>
              </w:rPr>
              <w:t>28</w:t>
            </w:r>
            <w:r>
              <w:rPr>
                <w:rFonts w:ascii="Times New Roman" w:hAnsi="Times New Roman" w:eastAsia="宋体" w:cs="Times New Roman"/>
                <w:b/>
                <w:color w:val="000000"/>
                <w:sz w:val="24"/>
                <w:szCs w:val="24"/>
              </w:rPr>
              <w:fldChar w:fldCharType="end"/>
            </w:r>
            <w:r>
              <w:rPr>
                <w:rFonts w:ascii="Times New Roman" w:hAnsi="Times New Roman" w:eastAsia="宋体" w:cs="Times New Roman"/>
                <w:b/>
                <w:color w:val="000000"/>
                <w:sz w:val="24"/>
                <w:szCs w:val="24"/>
              </w:rPr>
              <w:t xml:space="preserve">  </w:t>
            </w:r>
            <w:r>
              <w:rPr>
                <w:rFonts w:ascii="Times New Roman" w:hAnsi="Times New Roman" w:eastAsia="宋体" w:cs="Times New Roman"/>
                <w:b/>
                <w:bCs/>
                <w:color w:val="000000" w:themeColor="text1"/>
                <w:sz w:val="24"/>
                <w:szCs w:val="24"/>
                <w14:textFill>
                  <w14:solidFill>
                    <w14:schemeClr w14:val="tx1"/>
                  </w14:solidFill>
                </w14:textFill>
              </w:rPr>
              <w:t>原料车间粉尘有组织废气检测结果（验收检测）</w:t>
            </w:r>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833"/>
              <w:gridCol w:w="578"/>
              <w:gridCol w:w="808"/>
              <w:gridCol w:w="1620"/>
              <w:gridCol w:w="939"/>
              <w:gridCol w:w="794"/>
              <w:gridCol w:w="794"/>
              <w:gridCol w:w="795"/>
              <w:gridCol w:w="652"/>
            </w:tblGrid>
            <w:tr w14:paraId="544AB8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533" w:type="pct"/>
                  <w:vMerge w:val="restart"/>
                  <w:vAlign w:val="center"/>
                </w:tcPr>
                <w:p w14:paraId="16E9A3F0">
                  <w:pPr>
                    <w:overflowPunct w:val="0"/>
                    <w:adjustRightInd w:val="0"/>
                    <w:snapToGrid w:val="0"/>
                    <w:jc w:val="left"/>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检测点位</w:t>
                  </w:r>
                </w:p>
              </w:tc>
              <w:tc>
                <w:tcPr>
                  <w:tcW w:w="370" w:type="pct"/>
                  <w:vMerge w:val="restart"/>
                  <w:vAlign w:val="center"/>
                </w:tcPr>
                <w:p w14:paraId="47C370C9">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采样日期</w:t>
                  </w:r>
                </w:p>
              </w:tc>
              <w:tc>
                <w:tcPr>
                  <w:tcW w:w="1554" w:type="pct"/>
                  <w:gridSpan w:val="2"/>
                  <w:vMerge w:val="restart"/>
                  <w:vAlign w:val="center"/>
                </w:tcPr>
                <w:p w14:paraId="08F7F3C1">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检测项目</w:t>
                  </w:r>
                </w:p>
              </w:tc>
              <w:tc>
                <w:tcPr>
                  <w:tcW w:w="2543" w:type="pct"/>
                  <w:gridSpan w:val="5"/>
                  <w:vAlign w:val="center"/>
                </w:tcPr>
                <w:p w14:paraId="0E098CA8">
                  <w:pPr>
                    <w:tabs>
                      <w:tab w:val="left" w:pos="1924"/>
                      <w:tab w:val="center" w:pos="3477"/>
                    </w:tabs>
                    <w:overflowPunct w:val="0"/>
                    <w:adjustRightInd w:val="0"/>
                    <w:snapToGrid w:val="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检测频次及检测结果</w:t>
                  </w:r>
                </w:p>
              </w:tc>
            </w:tr>
            <w:tr w14:paraId="534EF3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533" w:type="pct"/>
                  <w:vMerge w:val="continue"/>
                  <w:vAlign w:val="center"/>
                </w:tcPr>
                <w:p w14:paraId="4D1698DB">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370" w:type="pct"/>
                  <w:vMerge w:val="continue"/>
                  <w:vAlign w:val="center"/>
                </w:tcPr>
                <w:p w14:paraId="37EC48EF">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1554" w:type="pct"/>
                  <w:gridSpan w:val="2"/>
                  <w:vMerge w:val="continue"/>
                  <w:vAlign w:val="center"/>
                </w:tcPr>
                <w:p w14:paraId="0F805BBD">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601" w:type="pct"/>
                  <w:vAlign w:val="center"/>
                </w:tcPr>
                <w:p w14:paraId="0A01F49B">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第1次</w:t>
                  </w:r>
                </w:p>
              </w:tc>
              <w:tc>
                <w:tcPr>
                  <w:tcW w:w="508" w:type="pct"/>
                  <w:vAlign w:val="center"/>
                </w:tcPr>
                <w:p w14:paraId="7890463D">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第2次</w:t>
                  </w:r>
                </w:p>
              </w:tc>
              <w:tc>
                <w:tcPr>
                  <w:tcW w:w="508" w:type="pct"/>
                  <w:vAlign w:val="center"/>
                </w:tcPr>
                <w:p w14:paraId="4BF1E07F">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第3次</w:t>
                  </w:r>
                </w:p>
              </w:tc>
              <w:tc>
                <w:tcPr>
                  <w:tcW w:w="509" w:type="pct"/>
                  <w:vAlign w:val="center"/>
                </w:tcPr>
                <w:p w14:paraId="13DE2BAF">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均值</w:t>
                  </w:r>
                </w:p>
              </w:tc>
              <w:tc>
                <w:tcPr>
                  <w:tcW w:w="417" w:type="pct"/>
                  <w:vAlign w:val="center"/>
                </w:tcPr>
                <w:p w14:paraId="06D89684">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均值</w:t>
                  </w:r>
                </w:p>
                <w:p w14:paraId="1EC70AB0">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评价</w:t>
                  </w:r>
                </w:p>
              </w:tc>
            </w:tr>
            <w:tr w14:paraId="3C72C6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533" w:type="pct"/>
                  <w:vMerge w:val="restart"/>
                  <w:vAlign w:val="center"/>
                </w:tcPr>
                <w:p w14:paraId="05E92E08">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原料车间除尘器排气筒出口</w:t>
                  </w:r>
                </w:p>
              </w:tc>
              <w:tc>
                <w:tcPr>
                  <w:tcW w:w="370" w:type="pct"/>
                  <w:vMerge w:val="restart"/>
                  <w:vAlign w:val="center"/>
                </w:tcPr>
                <w:p w14:paraId="5FEC5BFC">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2021年5月13日</w:t>
                  </w:r>
                </w:p>
              </w:tc>
              <w:tc>
                <w:tcPr>
                  <w:tcW w:w="517" w:type="pct"/>
                  <w:vAlign w:val="center"/>
                </w:tcPr>
                <w:p w14:paraId="41F1339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排气筒参数</w:t>
                  </w:r>
                </w:p>
              </w:tc>
              <w:tc>
                <w:tcPr>
                  <w:tcW w:w="1037" w:type="pct"/>
                  <w:vAlign w:val="center"/>
                </w:tcPr>
                <w:p w14:paraId="31FF307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高度（m）</w:t>
                  </w:r>
                </w:p>
              </w:tc>
              <w:tc>
                <w:tcPr>
                  <w:tcW w:w="2543" w:type="pct"/>
                  <w:gridSpan w:val="5"/>
                  <w:vAlign w:val="center"/>
                </w:tcPr>
                <w:p w14:paraId="1E3DF4F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14</w:t>
                  </w:r>
                </w:p>
              </w:tc>
            </w:tr>
            <w:tr w14:paraId="7137F8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533" w:type="pct"/>
                  <w:vMerge w:val="continue"/>
                  <w:vAlign w:val="center"/>
                </w:tcPr>
                <w:p w14:paraId="033FB1AE">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370" w:type="pct"/>
                  <w:vMerge w:val="continue"/>
                  <w:vAlign w:val="center"/>
                </w:tcPr>
                <w:p w14:paraId="4E893C56">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517" w:type="pct"/>
                  <w:vMerge w:val="restart"/>
                  <w:vAlign w:val="center"/>
                </w:tcPr>
                <w:p w14:paraId="5C7D527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排气参数</w:t>
                  </w:r>
                </w:p>
              </w:tc>
              <w:tc>
                <w:tcPr>
                  <w:tcW w:w="1037" w:type="pct"/>
                  <w:vAlign w:val="center"/>
                </w:tcPr>
                <w:p w14:paraId="3BFF1B8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流量（Nm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/h）</w:t>
                  </w:r>
                </w:p>
              </w:tc>
              <w:tc>
                <w:tcPr>
                  <w:tcW w:w="601" w:type="pct"/>
                  <w:vAlign w:val="center"/>
                </w:tcPr>
                <w:p w14:paraId="6AC38C5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4926</w:t>
                  </w:r>
                </w:p>
              </w:tc>
              <w:tc>
                <w:tcPr>
                  <w:tcW w:w="508" w:type="pct"/>
                  <w:vAlign w:val="center"/>
                </w:tcPr>
                <w:p w14:paraId="1256EC7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4822</w:t>
                  </w:r>
                </w:p>
              </w:tc>
              <w:tc>
                <w:tcPr>
                  <w:tcW w:w="508" w:type="pct"/>
                  <w:vAlign w:val="center"/>
                </w:tcPr>
                <w:p w14:paraId="60473C4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4910</w:t>
                  </w:r>
                </w:p>
              </w:tc>
              <w:tc>
                <w:tcPr>
                  <w:tcW w:w="509" w:type="pct"/>
                  <w:vAlign w:val="center"/>
                </w:tcPr>
                <w:p w14:paraId="73415F4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4886</w:t>
                  </w:r>
                </w:p>
              </w:tc>
              <w:tc>
                <w:tcPr>
                  <w:tcW w:w="417" w:type="pct"/>
                  <w:vAlign w:val="center"/>
                </w:tcPr>
                <w:p w14:paraId="014130A7">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46E47B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533" w:type="pct"/>
                  <w:vMerge w:val="continue"/>
                  <w:vAlign w:val="center"/>
                </w:tcPr>
                <w:p w14:paraId="2D040130">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370" w:type="pct"/>
                  <w:vMerge w:val="continue"/>
                  <w:vAlign w:val="center"/>
                </w:tcPr>
                <w:p w14:paraId="2ECD55DC">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517" w:type="pct"/>
                  <w:vMerge w:val="continue"/>
                  <w:vAlign w:val="center"/>
                </w:tcPr>
                <w:p w14:paraId="29945AFF">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037" w:type="pct"/>
                  <w:vAlign w:val="center"/>
                </w:tcPr>
                <w:p w14:paraId="527E3D9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烟温（</w:t>
                  </w:r>
                  <w:r>
                    <w:rPr>
                      <w:rFonts w:hint="eastAsia" w:ascii="宋体" w:hAnsi="宋体" w:eastAsia="宋体" w:cs="宋体"/>
                      <w:color w:val="000000" w:themeColor="text1"/>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w:t>
                  </w:r>
                </w:p>
              </w:tc>
              <w:tc>
                <w:tcPr>
                  <w:tcW w:w="601" w:type="pct"/>
                  <w:vAlign w:val="center"/>
                </w:tcPr>
                <w:p w14:paraId="24A3CE6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27</w:t>
                  </w:r>
                </w:p>
              </w:tc>
              <w:tc>
                <w:tcPr>
                  <w:tcW w:w="508" w:type="pct"/>
                  <w:vAlign w:val="center"/>
                </w:tcPr>
                <w:p w14:paraId="7DF59DA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27</w:t>
                  </w:r>
                </w:p>
              </w:tc>
              <w:tc>
                <w:tcPr>
                  <w:tcW w:w="508" w:type="pct"/>
                  <w:vAlign w:val="center"/>
                </w:tcPr>
                <w:p w14:paraId="5A8A8C0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27</w:t>
                  </w:r>
                </w:p>
              </w:tc>
              <w:tc>
                <w:tcPr>
                  <w:tcW w:w="509" w:type="pct"/>
                  <w:vAlign w:val="center"/>
                </w:tcPr>
                <w:p w14:paraId="300F837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27</w:t>
                  </w:r>
                </w:p>
              </w:tc>
              <w:tc>
                <w:tcPr>
                  <w:tcW w:w="417" w:type="pct"/>
                  <w:vAlign w:val="center"/>
                </w:tcPr>
                <w:p w14:paraId="7C959174">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29ACE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533" w:type="pct"/>
                  <w:vMerge w:val="continue"/>
                  <w:vAlign w:val="center"/>
                </w:tcPr>
                <w:p w14:paraId="6135952F">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370" w:type="pct"/>
                  <w:vMerge w:val="continue"/>
                  <w:vAlign w:val="center"/>
                </w:tcPr>
                <w:p w14:paraId="6F38592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517" w:type="pct"/>
                  <w:vMerge w:val="continue"/>
                  <w:vAlign w:val="center"/>
                </w:tcPr>
                <w:p w14:paraId="58D1916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037" w:type="pct"/>
                  <w:vAlign w:val="center"/>
                </w:tcPr>
                <w:p w14:paraId="484EA2E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烟气流速（m/s）</w:t>
                  </w:r>
                </w:p>
              </w:tc>
              <w:tc>
                <w:tcPr>
                  <w:tcW w:w="601" w:type="pct"/>
                  <w:vAlign w:val="center"/>
                </w:tcPr>
                <w:p w14:paraId="7206904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23.7</w:t>
                  </w:r>
                </w:p>
              </w:tc>
              <w:tc>
                <w:tcPr>
                  <w:tcW w:w="508" w:type="pct"/>
                  <w:vAlign w:val="center"/>
                </w:tcPr>
                <w:p w14:paraId="2F69092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23.2</w:t>
                  </w:r>
                </w:p>
              </w:tc>
              <w:tc>
                <w:tcPr>
                  <w:tcW w:w="508" w:type="pct"/>
                  <w:vAlign w:val="center"/>
                </w:tcPr>
                <w:p w14:paraId="0174A52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23.6</w:t>
                  </w:r>
                </w:p>
              </w:tc>
              <w:tc>
                <w:tcPr>
                  <w:tcW w:w="509" w:type="pct"/>
                  <w:vAlign w:val="center"/>
                </w:tcPr>
                <w:p w14:paraId="01DDA65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23.5</w:t>
                  </w:r>
                </w:p>
              </w:tc>
              <w:tc>
                <w:tcPr>
                  <w:tcW w:w="417" w:type="pct"/>
                  <w:vAlign w:val="center"/>
                </w:tcPr>
                <w:p w14:paraId="7CDDBEA8">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16752A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533" w:type="pct"/>
                  <w:vMerge w:val="continue"/>
                  <w:vAlign w:val="center"/>
                </w:tcPr>
                <w:p w14:paraId="18169B52">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370" w:type="pct"/>
                  <w:vMerge w:val="continue"/>
                  <w:vAlign w:val="center"/>
                </w:tcPr>
                <w:p w14:paraId="46380B16">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517" w:type="pct"/>
                  <w:vAlign w:val="center"/>
                </w:tcPr>
                <w:p w14:paraId="070A8A18">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1037" w:type="pct"/>
                  <w:vAlign w:val="center"/>
                </w:tcPr>
                <w:p w14:paraId="3F1E2FD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601" w:type="pct"/>
                  <w:vAlign w:val="center"/>
                </w:tcPr>
                <w:p w14:paraId="1316886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27.3</w:t>
                  </w:r>
                </w:p>
              </w:tc>
              <w:tc>
                <w:tcPr>
                  <w:tcW w:w="508" w:type="pct"/>
                  <w:vAlign w:val="center"/>
                </w:tcPr>
                <w:p w14:paraId="38700C4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23.7</w:t>
                  </w:r>
                </w:p>
              </w:tc>
              <w:tc>
                <w:tcPr>
                  <w:tcW w:w="508" w:type="pct"/>
                  <w:vAlign w:val="center"/>
                </w:tcPr>
                <w:p w14:paraId="417D3C2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25.8</w:t>
                  </w:r>
                </w:p>
              </w:tc>
              <w:tc>
                <w:tcPr>
                  <w:tcW w:w="509" w:type="pct"/>
                  <w:vAlign w:val="center"/>
                </w:tcPr>
                <w:p w14:paraId="3A31584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25.6</w:t>
                  </w:r>
                </w:p>
              </w:tc>
              <w:tc>
                <w:tcPr>
                  <w:tcW w:w="417" w:type="pct"/>
                  <w:vAlign w:val="center"/>
                </w:tcPr>
                <w:p w14:paraId="651EA81F">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5DC31A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533" w:type="pct"/>
                  <w:vMerge w:val="continue"/>
                  <w:vAlign w:val="center"/>
                </w:tcPr>
                <w:p w14:paraId="023CAC42">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370" w:type="pct"/>
                  <w:vMerge w:val="restart"/>
                  <w:vAlign w:val="center"/>
                </w:tcPr>
                <w:p w14:paraId="44A9C052">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2021年5月14日</w:t>
                  </w:r>
                </w:p>
              </w:tc>
              <w:tc>
                <w:tcPr>
                  <w:tcW w:w="517" w:type="pct"/>
                  <w:vMerge w:val="restart"/>
                  <w:vAlign w:val="center"/>
                </w:tcPr>
                <w:p w14:paraId="2BFDA6A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排气参数</w:t>
                  </w:r>
                </w:p>
                <w:p w14:paraId="504F747C">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037" w:type="pct"/>
                  <w:vAlign w:val="center"/>
                </w:tcPr>
                <w:p w14:paraId="7F6F37B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流量（Nm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/h）</w:t>
                  </w:r>
                </w:p>
              </w:tc>
              <w:tc>
                <w:tcPr>
                  <w:tcW w:w="601" w:type="pct"/>
                  <w:vAlign w:val="center"/>
                </w:tcPr>
                <w:p w14:paraId="4E1E036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4959</w:t>
                  </w:r>
                </w:p>
              </w:tc>
              <w:tc>
                <w:tcPr>
                  <w:tcW w:w="508" w:type="pct"/>
                  <w:vAlign w:val="center"/>
                </w:tcPr>
                <w:p w14:paraId="6E2D943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5018</w:t>
                  </w:r>
                </w:p>
              </w:tc>
              <w:tc>
                <w:tcPr>
                  <w:tcW w:w="508" w:type="pct"/>
                  <w:vAlign w:val="center"/>
                </w:tcPr>
                <w:p w14:paraId="1FADDF4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5004</w:t>
                  </w:r>
                </w:p>
              </w:tc>
              <w:tc>
                <w:tcPr>
                  <w:tcW w:w="509" w:type="pct"/>
                  <w:vAlign w:val="center"/>
                </w:tcPr>
                <w:p w14:paraId="101C480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4994</w:t>
                  </w:r>
                </w:p>
              </w:tc>
              <w:tc>
                <w:tcPr>
                  <w:tcW w:w="417" w:type="pct"/>
                  <w:vAlign w:val="center"/>
                </w:tcPr>
                <w:p w14:paraId="283E6AA4">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3D806D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533" w:type="pct"/>
                  <w:vMerge w:val="continue"/>
                  <w:vAlign w:val="center"/>
                </w:tcPr>
                <w:p w14:paraId="503A245E">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370" w:type="pct"/>
                  <w:vMerge w:val="continue"/>
                  <w:vAlign w:val="center"/>
                </w:tcPr>
                <w:p w14:paraId="27ABF4FF">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517" w:type="pct"/>
                  <w:vMerge w:val="continue"/>
                  <w:vAlign w:val="center"/>
                </w:tcPr>
                <w:p w14:paraId="7323DDC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037" w:type="pct"/>
                  <w:vAlign w:val="center"/>
                </w:tcPr>
                <w:p w14:paraId="07F8371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烟温（</w:t>
                  </w:r>
                  <w:r>
                    <w:rPr>
                      <w:rFonts w:hint="eastAsia" w:ascii="宋体" w:hAnsi="宋体" w:eastAsia="宋体" w:cs="宋体"/>
                      <w:color w:val="000000" w:themeColor="text1"/>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w:t>
                  </w:r>
                </w:p>
              </w:tc>
              <w:tc>
                <w:tcPr>
                  <w:tcW w:w="601" w:type="pct"/>
                  <w:vAlign w:val="center"/>
                </w:tcPr>
                <w:p w14:paraId="6FF51B7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w:t>
                  </w:r>
                </w:p>
              </w:tc>
              <w:tc>
                <w:tcPr>
                  <w:tcW w:w="508" w:type="pct"/>
                  <w:vAlign w:val="center"/>
                </w:tcPr>
                <w:p w14:paraId="4037AD4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w:t>
                  </w:r>
                </w:p>
              </w:tc>
              <w:tc>
                <w:tcPr>
                  <w:tcW w:w="508" w:type="pct"/>
                  <w:vAlign w:val="center"/>
                </w:tcPr>
                <w:p w14:paraId="5B8D6DC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20</w:t>
                  </w:r>
                </w:p>
              </w:tc>
              <w:tc>
                <w:tcPr>
                  <w:tcW w:w="509" w:type="pct"/>
                  <w:vAlign w:val="center"/>
                </w:tcPr>
                <w:p w14:paraId="288364B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19.3</w:t>
                  </w:r>
                </w:p>
              </w:tc>
              <w:tc>
                <w:tcPr>
                  <w:tcW w:w="417" w:type="pct"/>
                  <w:vAlign w:val="center"/>
                </w:tcPr>
                <w:p w14:paraId="39FD5D5D">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5F27D4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533" w:type="pct"/>
                  <w:vMerge w:val="continue"/>
                  <w:vAlign w:val="center"/>
                </w:tcPr>
                <w:p w14:paraId="64C97EE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370" w:type="pct"/>
                  <w:vMerge w:val="continue"/>
                  <w:vAlign w:val="center"/>
                </w:tcPr>
                <w:p w14:paraId="44DC6176">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517" w:type="pct"/>
                  <w:vMerge w:val="continue"/>
                  <w:vAlign w:val="center"/>
                </w:tcPr>
                <w:p w14:paraId="6F638AC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037" w:type="pct"/>
                  <w:vAlign w:val="center"/>
                </w:tcPr>
                <w:p w14:paraId="2DD100A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烟气流速（m/s）</w:t>
                  </w:r>
                </w:p>
              </w:tc>
              <w:tc>
                <w:tcPr>
                  <w:tcW w:w="601" w:type="pct"/>
                  <w:vAlign w:val="center"/>
                </w:tcPr>
                <w:p w14:paraId="7AAC175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23.1</w:t>
                  </w:r>
                </w:p>
              </w:tc>
              <w:tc>
                <w:tcPr>
                  <w:tcW w:w="508" w:type="pct"/>
                  <w:vAlign w:val="center"/>
                </w:tcPr>
                <w:p w14:paraId="20390D2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23.4</w:t>
                  </w:r>
                </w:p>
              </w:tc>
              <w:tc>
                <w:tcPr>
                  <w:tcW w:w="508" w:type="pct"/>
                  <w:vAlign w:val="center"/>
                </w:tcPr>
                <w:p w14:paraId="1FC3FA9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23.4</w:t>
                  </w:r>
                </w:p>
              </w:tc>
              <w:tc>
                <w:tcPr>
                  <w:tcW w:w="509" w:type="pct"/>
                  <w:vAlign w:val="center"/>
                </w:tcPr>
                <w:p w14:paraId="5062AFD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23.3</w:t>
                  </w:r>
                </w:p>
              </w:tc>
              <w:tc>
                <w:tcPr>
                  <w:tcW w:w="417" w:type="pct"/>
                  <w:vAlign w:val="center"/>
                </w:tcPr>
                <w:p w14:paraId="19A89278">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4B052F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533" w:type="pct"/>
                  <w:vMerge w:val="continue"/>
                  <w:vAlign w:val="center"/>
                </w:tcPr>
                <w:p w14:paraId="4EDAC3E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370" w:type="pct"/>
                  <w:vMerge w:val="continue"/>
                  <w:vAlign w:val="center"/>
                </w:tcPr>
                <w:p w14:paraId="5E3BF9B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517" w:type="pct"/>
                  <w:vAlign w:val="center"/>
                </w:tcPr>
                <w:p w14:paraId="665E47FE">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1037" w:type="pct"/>
                  <w:vAlign w:val="center"/>
                </w:tcPr>
                <w:p w14:paraId="499BC44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601" w:type="pct"/>
                  <w:vAlign w:val="center"/>
                </w:tcPr>
                <w:p w14:paraId="6BBD68E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22.3</w:t>
                  </w:r>
                </w:p>
              </w:tc>
              <w:tc>
                <w:tcPr>
                  <w:tcW w:w="508" w:type="pct"/>
                  <w:vAlign w:val="center"/>
                </w:tcPr>
                <w:p w14:paraId="7D6B457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26.8</w:t>
                  </w:r>
                </w:p>
              </w:tc>
              <w:tc>
                <w:tcPr>
                  <w:tcW w:w="508" w:type="pct"/>
                  <w:vAlign w:val="center"/>
                </w:tcPr>
                <w:p w14:paraId="7CE005F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25.2</w:t>
                  </w:r>
                </w:p>
              </w:tc>
              <w:tc>
                <w:tcPr>
                  <w:tcW w:w="509" w:type="pct"/>
                  <w:vAlign w:val="center"/>
                </w:tcPr>
                <w:p w14:paraId="6FD328F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24.7</w:t>
                  </w:r>
                </w:p>
              </w:tc>
              <w:tc>
                <w:tcPr>
                  <w:tcW w:w="417" w:type="pct"/>
                  <w:vAlign w:val="center"/>
                </w:tcPr>
                <w:p w14:paraId="4D0FA047">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5EEB1E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533" w:type="pct"/>
                  <w:vAlign w:val="center"/>
                </w:tcPr>
                <w:p w14:paraId="2BCF6E8C">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备注</w:t>
                  </w:r>
                </w:p>
              </w:tc>
              <w:tc>
                <w:tcPr>
                  <w:tcW w:w="4467" w:type="pct"/>
                  <w:gridSpan w:val="8"/>
                  <w:vAlign w:val="center"/>
                </w:tcPr>
                <w:p w14:paraId="1F184BF3">
                  <w:pPr>
                    <w:widowControl/>
                    <w:jc w:val="left"/>
                    <w:textAlignment w:val="center"/>
                    <w:rPr>
                      <w:rFonts w:ascii="Times New Roman" w:hAnsi="Times New Roman" w:eastAsia="宋体" w:cs="Times New Roman"/>
                      <w:color w:val="000000" w:themeColor="text1"/>
                      <w:kern w:val="0"/>
                      <w:szCs w:val="21"/>
                      <w:lang w:bidi="ar"/>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排气筒高度高出周围200m半径距离内的建筑&gt;3m。</w:t>
                  </w:r>
                </w:p>
              </w:tc>
            </w:tr>
          </w:tbl>
          <w:p w14:paraId="44F54CE4">
            <w:pPr>
              <w:snapToGrid w:val="0"/>
              <w:spacing w:before="156" w:beforeLines="50" w:line="360" w:lineRule="auto"/>
              <w:ind w:firstLine="480" w:firstLineChars="200"/>
              <w:textAlignment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根据检测结果表明，项目原料车间粉尘排放满足《砖瓦工业大气污染物排放标准》（GB29620-2013）及修改单表2新建企业大气污染物排放限值中原料燃料破碎及制备成型限值。</w:t>
            </w:r>
          </w:p>
          <w:p w14:paraId="38666BFF">
            <w:pPr>
              <w:snapToGrid w:val="0"/>
              <w:jc w:val="center"/>
              <w:textAlignment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29</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ascii="Times New Roman" w:hAnsi="Times New Roman" w:eastAsia="宋体" w:cs="Times New Roman"/>
                <w:b/>
                <w:bCs/>
                <w:color w:val="000000" w:themeColor="text1"/>
                <w:szCs w:val="24"/>
                <w14:textFill>
                  <w14:solidFill>
                    <w14:schemeClr w14:val="tx1"/>
                  </w14:solidFill>
                </w14:textFill>
              </w:rPr>
              <w:t xml:space="preserve"> 1#湿式脱硫塔废气有组织检测结果（验收检测）</w:t>
            </w:r>
          </w:p>
          <w:tbl>
            <w:tblPr>
              <w:tblStyle w:val="24"/>
              <w:tblW w:w="770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822"/>
              <w:gridCol w:w="1145"/>
              <w:gridCol w:w="1517"/>
              <w:gridCol w:w="843"/>
              <w:gridCol w:w="844"/>
              <w:gridCol w:w="843"/>
              <w:gridCol w:w="844"/>
              <w:gridCol w:w="824"/>
              <w:gridCol w:w="20"/>
            </w:tblGrid>
            <w:tr w14:paraId="2BC390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restart"/>
                  <w:vAlign w:val="center"/>
                </w:tcPr>
                <w:p w14:paraId="27BD73C4">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检测点位</w:t>
                  </w:r>
                </w:p>
              </w:tc>
              <w:tc>
                <w:tcPr>
                  <w:tcW w:w="1728" w:type="pct"/>
                  <w:gridSpan w:val="2"/>
                  <w:vMerge w:val="restart"/>
                  <w:vAlign w:val="center"/>
                </w:tcPr>
                <w:p w14:paraId="5D299D22">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检测项目</w:t>
                  </w:r>
                </w:p>
              </w:tc>
              <w:tc>
                <w:tcPr>
                  <w:tcW w:w="2738" w:type="pct"/>
                  <w:gridSpan w:val="6"/>
                  <w:vAlign w:val="center"/>
                </w:tcPr>
                <w:p w14:paraId="5072F0F6">
                  <w:pPr>
                    <w:tabs>
                      <w:tab w:val="left" w:pos="1924"/>
                      <w:tab w:val="center" w:pos="3477"/>
                    </w:tabs>
                    <w:overflowPunct w:val="0"/>
                    <w:adjustRightInd w:val="0"/>
                    <w:snapToGrid w:val="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采样日期、检测频次及检测结果</w:t>
                  </w:r>
                </w:p>
              </w:tc>
            </w:tr>
            <w:tr w14:paraId="2EE06D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0E13AF6C">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1728" w:type="pct"/>
                  <w:gridSpan w:val="2"/>
                  <w:vMerge w:val="continue"/>
                  <w:vAlign w:val="center"/>
                </w:tcPr>
                <w:p w14:paraId="73CF00E5">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2738" w:type="pct"/>
                  <w:gridSpan w:val="6"/>
                  <w:vAlign w:val="center"/>
                </w:tcPr>
                <w:p w14:paraId="14F33A92">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2021年5月13日</w:t>
                  </w:r>
                </w:p>
              </w:tc>
            </w:tr>
            <w:tr w14:paraId="7B1FA9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184B1EEE">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1728" w:type="pct"/>
                  <w:gridSpan w:val="2"/>
                  <w:vMerge w:val="continue"/>
                  <w:vAlign w:val="center"/>
                </w:tcPr>
                <w:p w14:paraId="5EC02084">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547" w:type="pct"/>
                  <w:vAlign w:val="center"/>
                </w:tcPr>
                <w:p w14:paraId="5E2EC75B">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第1次</w:t>
                  </w:r>
                </w:p>
              </w:tc>
              <w:tc>
                <w:tcPr>
                  <w:tcW w:w="548" w:type="pct"/>
                  <w:vAlign w:val="center"/>
                </w:tcPr>
                <w:p w14:paraId="24141967">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第2次</w:t>
                  </w:r>
                </w:p>
              </w:tc>
              <w:tc>
                <w:tcPr>
                  <w:tcW w:w="547" w:type="pct"/>
                  <w:vAlign w:val="center"/>
                </w:tcPr>
                <w:p w14:paraId="20188689">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第3次</w:t>
                  </w:r>
                </w:p>
              </w:tc>
              <w:tc>
                <w:tcPr>
                  <w:tcW w:w="548" w:type="pct"/>
                  <w:vAlign w:val="center"/>
                </w:tcPr>
                <w:p w14:paraId="5BBF8EC2">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均值</w:t>
                  </w:r>
                </w:p>
              </w:tc>
              <w:tc>
                <w:tcPr>
                  <w:tcW w:w="548" w:type="pct"/>
                  <w:gridSpan w:val="2"/>
                  <w:vAlign w:val="center"/>
                </w:tcPr>
                <w:p w14:paraId="02E23F6A">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均值</w:t>
                  </w:r>
                </w:p>
                <w:p w14:paraId="2E09428D">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评价</w:t>
                  </w:r>
                </w:p>
              </w:tc>
            </w:tr>
            <w:tr w14:paraId="05621A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restart"/>
                  <w:vAlign w:val="center"/>
                </w:tcPr>
                <w:p w14:paraId="522601F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1#湿式脱硫塔排气筒进口</w:t>
                  </w:r>
                </w:p>
              </w:tc>
              <w:tc>
                <w:tcPr>
                  <w:tcW w:w="743" w:type="pct"/>
                  <w:vMerge w:val="restart"/>
                  <w:vAlign w:val="center"/>
                </w:tcPr>
                <w:p w14:paraId="675DE81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排气参数</w:t>
                  </w:r>
                </w:p>
              </w:tc>
              <w:tc>
                <w:tcPr>
                  <w:tcW w:w="985" w:type="pct"/>
                  <w:vAlign w:val="center"/>
                </w:tcPr>
                <w:p w14:paraId="441AAC1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流量（Nm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/h）</w:t>
                  </w:r>
                </w:p>
              </w:tc>
              <w:tc>
                <w:tcPr>
                  <w:tcW w:w="547" w:type="pct"/>
                  <w:vAlign w:val="center"/>
                </w:tcPr>
                <w:p w14:paraId="33019C21">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55262</w:t>
                  </w:r>
                </w:p>
              </w:tc>
              <w:tc>
                <w:tcPr>
                  <w:tcW w:w="548" w:type="pct"/>
                  <w:vAlign w:val="center"/>
                </w:tcPr>
                <w:p w14:paraId="06795D82">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53612</w:t>
                  </w:r>
                </w:p>
              </w:tc>
              <w:tc>
                <w:tcPr>
                  <w:tcW w:w="547" w:type="pct"/>
                  <w:vAlign w:val="center"/>
                </w:tcPr>
                <w:p w14:paraId="37BE32BB">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55802</w:t>
                  </w:r>
                </w:p>
              </w:tc>
              <w:tc>
                <w:tcPr>
                  <w:tcW w:w="548" w:type="pct"/>
                  <w:vAlign w:val="center"/>
                </w:tcPr>
                <w:p w14:paraId="1D0C4032">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54892</w:t>
                  </w:r>
                </w:p>
              </w:tc>
              <w:tc>
                <w:tcPr>
                  <w:tcW w:w="548" w:type="pct"/>
                  <w:gridSpan w:val="2"/>
                  <w:vAlign w:val="center"/>
                </w:tcPr>
                <w:p w14:paraId="25D5CEE3">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1C19F7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1C7AE7B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2B57AA2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55DCE88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烟温（</w:t>
                  </w:r>
                  <w:r>
                    <w:rPr>
                      <w:rFonts w:hint="eastAsia" w:ascii="宋体" w:hAnsi="宋体" w:eastAsia="宋体" w:cs="宋体"/>
                      <w:color w:val="000000" w:themeColor="text1"/>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40F2302B">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70</w:t>
                  </w:r>
                </w:p>
              </w:tc>
              <w:tc>
                <w:tcPr>
                  <w:tcW w:w="548" w:type="pct"/>
                  <w:vAlign w:val="center"/>
                </w:tcPr>
                <w:p w14:paraId="5089F6C2">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70</w:t>
                  </w:r>
                </w:p>
              </w:tc>
              <w:tc>
                <w:tcPr>
                  <w:tcW w:w="547" w:type="pct"/>
                  <w:vAlign w:val="center"/>
                </w:tcPr>
                <w:p w14:paraId="7E938DCC">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70</w:t>
                  </w:r>
                </w:p>
              </w:tc>
              <w:tc>
                <w:tcPr>
                  <w:tcW w:w="548" w:type="pct"/>
                  <w:vAlign w:val="center"/>
                </w:tcPr>
                <w:p w14:paraId="4A67C464">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70</w:t>
                  </w:r>
                </w:p>
              </w:tc>
              <w:tc>
                <w:tcPr>
                  <w:tcW w:w="548" w:type="pct"/>
                  <w:gridSpan w:val="2"/>
                  <w:vAlign w:val="center"/>
                </w:tcPr>
                <w:p w14:paraId="599131CD">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09FF48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5100677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78B8AC5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1223B47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烟气流速（m/s）</w:t>
                  </w:r>
                </w:p>
              </w:tc>
              <w:tc>
                <w:tcPr>
                  <w:tcW w:w="547" w:type="pct"/>
                  <w:vAlign w:val="center"/>
                </w:tcPr>
                <w:p w14:paraId="694823EE">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8.5</w:t>
                  </w:r>
                </w:p>
              </w:tc>
              <w:tc>
                <w:tcPr>
                  <w:tcW w:w="548" w:type="pct"/>
                  <w:vAlign w:val="center"/>
                </w:tcPr>
                <w:p w14:paraId="12D1E634">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8.2</w:t>
                  </w:r>
                </w:p>
              </w:tc>
              <w:tc>
                <w:tcPr>
                  <w:tcW w:w="547" w:type="pct"/>
                  <w:vAlign w:val="center"/>
                </w:tcPr>
                <w:p w14:paraId="09579A4B">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8.6</w:t>
                  </w:r>
                </w:p>
              </w:tc>
              <w:tc>
                <w:tcPr>
                  <w:tcW w:w="548" w:type="pct"/>
                  <w:vAlign w:val="center"/>
                </w:tcPr>
                <w:p w14:paraId="4D2C2165">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8.4</w:t>
                  </w:r>
                </w:p>
              </w:tc>
              <w:tc>
                <w:tcPr>
                  <w:tcW w:w="548" w:type="pct"/>
                  <w:gridSpan w:val="2"/>
                  <w:vAlign w:val="center"/>
                </w:tcPr>
                <w:p w14:paraId="62F96EFB">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482E0F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79AC024F">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0ED3B38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2B7D355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含氧量（%）</w:t>
                  </w:r>
                </w:p>
              </w:tc>
              <w:tc>
                <w:tcPr>
                  <w:tcW w:w="547" w:type="pct"/>
                  <w:vAlign w:val="center"/>
                </w:tcPr>
                <w:p w14:paraId="629F828A">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19.6</w:t>
                  </w:r>
                </w:p>
              </w:tc>
              <w:tc>
                <w:tcPr>
                  <w:tcW w:w="548" w:type="pct"/>
                  <w:vAlign w:val="center"/>
                </w:tcPr>
                <w:p w14:paraId="506E937B">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19.5</w:t>
                  </w:r>
                </w:p>
              </w:tc>
              <w:tc>
                <w:tcPr>
                  <w:tcW w:w="547" w:type="pct"/>
                  <w:vAlign w:val="center"/>
                </w:tcPr>
                <w:p w14:paraId="5117E612">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19.4</w:t>
                  </w:r>
                </w:p>
              </w:tc>
              <w:tc>
                <w:tcPr>
                  <w:tcW w:w="548" w:type="pct"/>
                  <w:vAlign w:val="center"/>
                </w:tcPr>
                <w:p w14:paraId="3DF4A28D">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19.5</w:t>
                  </w:r>
                </w:p>
              </w:tc>
              <w:tc>
                <w:tcPr>
                  <w:tcW w:w="548" w:type="pct"/>
                  <w:gridSpan w:val="2"/>
                  <w:vAlign w:val="center"/>
                </w:tcPr>
                <w:p w14:paraId="0BD65D75">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5C07D3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1086CAD3">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Align w:val="center"/>
                </w:tcPr>
                <w:p w14:paraId="031F90D6">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985" w:type="pct"/>
                  <w:vAlign w:val="center"/>
                </w:tcPr>
                <w:p w14:paraId="5CA239C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046B81C8">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23</w:t>
                  </w:r>
                </w:p>
              </w:tc>
              <w:tc>
                <w:tcPr>
                  <w:tcW w:w="548" w:type="pct"/>
                  <w:vAlign w:val="center"/>
                </w:tcPr>
                <w:p w14:paraId="3CF37C56">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26</w:t>
                  </w:r>
                </w:p>
              </w:tc>
              <w:tc>
                <w:tcPr>
                  <w:tcW w:w="547" w:type="pct"/>
                  <w:vAlign w:val="center"/>
                </w:tcPr>
                <w:p w14:paraId="737D3B02">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22</w:t>
                  </w:r>
                </w:p>
              </w:tc>
              <w:tc>
                <w:tcPr>
                  <w:tcW w:w="548" w:type="pct"/>
                  <w:vAlign w:val="center"/>
                </w:tcPr>
                <w:p w14:paraId="7EC95CD4">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24</w:t>
                  </w:r>
                </w:p>
              </w:tc>
              <w:tc>
                <w:tcPr>
                  <w:tcW w:w="548" w:type="pct"/>
                  <w:gridSpan w:val="2"/>
                  <w:vAlign w:val="center"/>
                </w:tcPr>
                <w:p w14:paraId="375B1169">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2205FD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1D47756C">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Align w:val="center"/>
                </w:tcPr>
                <w:p w14:paraId="2792EB7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二氧化硫</w:t>
                  </w:r>
                </w:p>
              </w:tc>
              <w:tc>
                <w:tcPr>
                  <w:tcW w:w="985" w:type="pct"/>
                  <w:vAlign w:val="center"/>
                </w:tcPr>
                <w:p w14:paraId="44F7F57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51376D85">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127</w:t>
                  </w:r>
                </w:p>
              </w:tc>
              <w:tc>
                <w:tcPr>
                  <w:tcW w:w="548" w:type="pct"/>
                  <w:vAlign w:val="center"/>
                </w:tcPr>
                <w:p w14:paraId="7BE649D1">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130</w:t>
                  </w:r>
                </w:p>
              </w:tc>
              <w:tc>
                <w:tcPr>
                  <w:tcW w:w="547" w:type="pct"/>
                  <w:vAlign w:val="center"/>
                </w:tcPr>
                <w:p w14:paraId="1FDBC690">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121</w:t>
                  </w:r>
                </w:p>
              </w:tc>
              <w:tc>
                <w:tcPr>
                  <w:tcW w:w="548" w:type="pct"/>
                  <w:vAlign w:val="center"/>
                </w:tcPr>
                <w:p w14:paraId="4B7205C3">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126</w:t>
                  </w:r>
                </w:p>
              </w:tc>
              <w:tc>
                <w:tcPr>
                  <w:tcW w:w="548" w:type="pct"/>
                  <w:gridSpan w:val="2"/>
                  <w:vAlign w:val="center"/>
                </w:tcPr>
                <w:p w14:paraId="63897D6B">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17159E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491ABE70">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Align w:val="center"/>
                </w:tcPr>
                <w:p w14:paraId="5E6E8AC7">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氮氧化物</w:t>
                  </w:r>
                </w:p>
              </w:tc>
              <w:tc>
                <w:tcPr>
                  <w:tcW w:w="985" w:type="pct"/>
                  <w:vAlign w:val="center"/>
                </w:tcPr>
                <w:p w14:paraId="6AB3C97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42F65C60">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24</w:t>
                  </w:r>
                </w:p>
              </w:tc>
              <w:tc>
                <w:tcPr>
                  <w:tcW w:w="548" w:type="pct"/>
                  <w:vAlign w:val="center"/>
                </w:tcPr>
                <w:p w14:paraId="3C420CB7">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26</w:t>
                  </w:r>
                </w:p>
              </w:tc>
              <w:tc>
                <w:tcPr>
                  <w:tcW w:w="547" w:type="pct"/>
                  <w:vAlign w:val="center"/>
                </w:tcPr>
                <w:p w14:paraId="6A851CD4">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21</w:t>
                  </w:r>
                </w:p>
              </w:tc>
              <w:tc>
                <w:tcPr>
                  <w:tcW w:w="548" w:type="pct"/>
                  <w:vAlign w:val="center"/>
                </w:tcPr>
                <w:p w14:paraId="6CD2FEA4">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24</w:t>
                  </w:r>
                </w:p>
              </w:tc>
              <w:tc>
                <w:tcPr>
                  <w:tcW w:w="548" w:type="pct"/>
                  <w:gridSpan w:val="2"/>
                  <w:vAlign w:val="center"/>
                </w:tcPr>
                <w:p w14:paraId="435D7B91">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60F484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483F91F6">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restart"/>
                  <w:vAlign w:val="center"/>
                </w:tcPr>
                <w:p w14:paraId="423E349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排气参数</w:t>
                  </w:r>
                </w:p>
              </w:tc>
              <w:tc>
                <w:tcPr>
                  <w:tcW w:w="985" w:type="pct"/>
                  <w:vAlign w:val="center"/>
                </w:tcPr>
                <w:p w14:paraId="087C69E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流量（Nm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/h）</w:t>
                  </w:r>
                </w:p>
              </w:tc>
              <w:tc>
                <w:tcPr>
                  <w:tcW w:w="547" w:type="pct"/>
                  <w:vAlign w:val="center"/>
                </w:tcPr>
                <w:p w14:paraId="05C3726B">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55802</w:t>
                  </w:r>
                </w:p>
              </w:tc>
              <w:tc>
                <w:tcPr>
                  <w:tcW w:w="548" w:type="pct"/>
                  <w:vAlign w:val="center"/>
                </w:tcPr>
                <w:p w14:paraId="503B909D">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53051</w:t>
                  </w:r>
                </w:p>
              </w:tc>
              <w:tc>
                <w:tcPr>
                  <w:tcW w:w="547" w:type="pct"/>
                  <w:vAlign w:val="center"/>
                </w:tcPr>
                <w:p w14:paraId="7DD90CE0">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53051</w:t>
                  </w:r>
                </w:p>
              </w:tc>
              <w:tc>
                <w:tcPr>
                  <w:tcW w:w="548" w:type="pct"/>
                  <w:vAlign w:val="center"/>
                </w:tcPr>
                <w:p w14:paraId="459E350E">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53968</w:t>
                  </w:r>
                </w:p>
              </w:tc>
              <w:tc>
                <w:tcPr>
                  <w:tcW w:w="548" w:type="pct"/>
                  <w:gridSpan w:val="2"/>
                  <w:vAlign w:val="center"/>
                </w:tcPr>
                <w:p w14:paraId="784DF007">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173E7F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777F495A">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5DE5F307">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2DF0DA7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烟温（</w:t>
                  </w:r>
                  <w:r>
                    <w:rPr>
                      <w:rFonts w:hint="eastAsia" w:ascii="宋体" w:hAnsi="宋体" w:eastAsia="宋体" w:cs="宋体"/>
                      <w:color w:val="000000" w:themeColor="text1"/>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19111EE7">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70</w:t>
                  </w:r>
                </w:p>
              </w:tc>
              <w:tc>
                <w:tcPr>
                  <w:tcW w:w="548" w:type="pct"/>
                  <w:vAlign w:val="center"/>
                </w:tcPr>
                <w:p w14:paraId="435D5FAF">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70</w:t>
                  </w:r>
                </w:p>
              </w:tc>
              <w:tc>
                <w:tcPr>
                  <w:tcW w:w="547" w:type="pct"/>
                  <w:vAlign w:val="center"/>
                </w:tcPr>
                <w:p w14:paraId="1CC5EE58">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70</w:t>
                  </w:r>
                </w:p>
              </w:tc>
              <w:tc>
                <w:tcPr>
                  <w:tcW w:w="548" w:type="pct"/>
                  <w:vAlign w:val="center"/>
                </w:tcPr>
                <w:p w14:paraId="6C8E1064">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70</w:t>
                  </w:r>
                </w:p>
              </w:tc>
              <w:tc>
                <w:tcPr>
                  <w:tcW w:w="548" w:type="pct"/>
                  <w:gridSpan w:val="2"/>
                  <w:vAlign w:val="center"/>
                </w:tcPr>
                <w:p w14:paraId="65F73EC6">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7225A5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5CB601FF">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31FE40E7">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763DB93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烟气流速（m/s）</w:t>
                  </w:r>
                </w:p>
              </w:tc>
              <w:tc>
                <w:tcPr>
                  <w:tcW w:w="547" w:type="pct"/>
                  <w:vAlign w:val="center"/>
                </w:tcPr>
                <w:p w14:paraId="039DC454">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8.6</w:t>
                  </w:r>
                </w:p>
              </w:tc>
              <w:tc>
                <w:tcPr>
                  <w:tcW w:w="548" w:type="pct"/>
                  <w:vAlign w:val="center"/>
                </w:tcPr>
                <w:p w14:paraId="0DAA01FA">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8.1</w:t>
                  </w:r>
                </w:p>
              </w:tc>
              <w:tc>
                <w:tcPr>
                  <w:tcW w:w="547" w:type="pct"/>
                  <w:vAlign w:val="center"/>
                </w:tcPr>
                <w:p w14:paraId="694BB44F">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8.1</w:t>
                  </w:r>
                </w:p>
              </w:tc>
              <w:tc>
                <w:tcPr>
                  <w:tcW w:w="548" w:type="pct"/>
                  <w:vAlign w:val="center"/>
                </w:tcPr>
                <w:p w14:paraId="066F9F11">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8.3</w:t>
                  </w:r>
                </w:p>
              </w:tc>
              <w:tc>
                <w:tcPr>
                  <w:tcW w:w="548" w:type="pct"/>
                  <w:gridSpan w:val="2"/>
                  <w:vAlign w:val="center"/>
                </w:tcPr>
                <w:p w14:paraId="6C9D0A12">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6475FB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430999DB">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2E913E6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61CE89D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含氧量（%）</w:t>
                  </w:r>
                </w:p>
              </w:tc>
              <w:tc>
                <w:tcPr>
                  <w:tcW w:w="547" w:type="pct"/>
                  <w:vAlign w:val="center"/>
                </w:tcPr>
                <w:p w14:paraId="1FEA3A11">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19.6</w:t>
                  </w:r>
                </w:p>
              </w:tc>
              <w:tc>
                <w:tcPr>
                  <w:tcW w:w="548" w:type="pct"/>
                  <w:vAlign w:val="center"/>
                </w:tcPr>
                <w:p w14:paraId="1349CF27">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19.5</w:t>
                  </w:r>
                </w:p>
              </w:tc>
              <w:tc>
                <w:tcPr>
                  <w:tcW w:w="547" w:type="pct"/>
                  <w:vAlign w:val="center"/>
                </w:tcPr>
                <w:p w14:paraId="1041DEAB">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19.4</w:t>
                  </w:r>
                </w:p>
              </w:tc>
              <w:tc>
                <w:tcPr>
                  <w:tcW w:w="548" w:type="pct"/>
                  <w:vAlign w:val="center"/>
                </w:tcPr>
                <w:p w14:paraId="3A623AF2">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19.5</w:t>
                  </w:r>
                </w:p>
              </w:tc>
              <w:tc>
                <w:tcPr>
                  <w:tcW w:w="548" w:type="pct"/>
                  <w:gridSpan w:val="2"/>
                  <w:vAlign w:val="center"/>
                </w:tcPr>
                <w:p w14:paraId="2406BCE2">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4672B3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50AC7E5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Align w:val="center"/>
                </w:tcPr>
                <w:p w14:paraId="71A5E6A8">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985" w:type="pct"/>
                  <w:vAlign w:val="center"/>
                </w:tcPr>
                <w:p w14:paraId="30F7832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7D233AF9">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2.30</w:t>
                  </w:r>
                </w:p>
              </w:tc>
              <w:tc>
                <w:tcPr>
                  <w:tcW w:w="548" w:type="pct"/>
                  <w:vAlign w:val="center"/>
                </w:tcPr>
                <w:p w14:paraId="074742BC">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2.29</w:t>
                  </w:r>
                </w:p>
              </w:tc>
              <w:tc>
                <w:tcPr>
                  <w:tcW w:w="547" w:type="pct"/>
                  <w:vAlign w:val="center"/>
                </w:tcPr>
                <w:p w14:paraId="7A010C65">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2.17</w:t>
                  </w:r>
                </w:p>
              </w:tc>
              <w:tc>
                <w:tcPr>
                  <w:tcW w:w="548" w:type="pct"/>
                  <w:vAlign w:val="center"/>
                </w:tcPr>
                <w:p w14:paraId="7487349A">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2.25</w:t>
                  </w:r>
                </w:p>
              </w:tc>
              <w:tc>
                <w:tcPr>
                  <w:tcW w:w="548" w:type="pct"/>
                  <w:gridSpan w:val="2"/>
                  <w:vAlign w:val="center"/>
                </w:tcPr>
                <w:p w14:paraId="15895609">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75AF74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restart"/>
                  <w:vAlign w:val="center"/>
                </w:tcPr>
                <w:p w14:paraId="468B680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1#湿式脱硫塔排气筒出口</w:t>
                  </w:r>
                </w:p>
              </w:tc>
              <w:tc>
                <w:tcPr>
                  <w:tcW w:w="743" w:type="pct"/>
                  <w:vAlign w:val="center"/>
                </w:tcPr>
                <w:p w14:paraId="51940C8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排气筒参数</w:t>
                  </w:r>
                </w:p>
              </w:tc>
              <w:tc>
                <w:tcPr>
                  <w:tcW w:w="985" w:type="pct"/>
                  <w:vAlign w:val="center"/>
                </w:tcPr>
                <w:p w14:paraId="6BCD204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高度（m）</w:t>
                  </w:r>
                </w:p>
              </w:tc>
              <w:tc>
                <w:tcPr>
                  <w:tcW w:w="2738" w:type="pct"/>
                  <w:gridSpan w:val="6"/>
                  <w:vAlign w:val="center"/>
                </w:tcPr>
                <w:p w14:paraId="1A48FA0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18</w:t>
                  </w:r>
                </w:p>
              </w:tc>
            </w:tr>
            <w:tr w14:paraId="21EA58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3C53E93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restart"/>
                  <w:vAlign w:val="center"/>
                </w:tcPr>
                <w:p w14:paraId="35039EF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排气参数</w:t>
                  </w:r>
                </w:p>
              </w:tc>
              <w:tc>
                <w:tcPr>
                  <w:tcW w:w="985" w:type="pct"/>
                  <w:vAlign w:val="center"/>
                </w:tcPr>
                <w:p w14:paraId="03E25C0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流量（Nm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/h）</w:t>
                  </w:r>
                </w:p>
              </w:tc>
              <w:tc>
                <w:tcPr>
                  <w:tcW w:w="547" w:type="pct"/>
                  <w:vAlign w:val="center"/>
                </w:tcPr>
                <w:p w14:paraId="58E2466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52590</w:t>
                  </w:r>
                </w:p>
              </w:tc>
              <w:tc>
                <w:tcPr>
                  <w:tcW w:w="548" w:type="pct"/>
                  <w:vAlign w:val="center"/>
                </w:tcPr>
                <w:p w14:paraId="64231EA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53992</w:t>
                  </w:r>
                </w:p>
              </w:tc>
              <w:tc>
                <w:tcPr>
                  <w:tcW w:w="547" w:type="pct"/>
                  <w:vAlign w:val="center"/>
                </w:tcPr>
                <w:p w14:paraId="32FAEA5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51149</w:t>
                  </w:r>
                </w:p>
              </w:tc>
              <w:tc>
                <w:tcPr>
                  <w:tcW w:w="548" w:type="pct"/>
                  <w:vAlign w:val="center"/>
                </w:tcPr>
                <w:p w14:paraId="2B4C921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52577</w:t>
                  </w:r>
                </w:p>
              </w:tc>
              <w:tc>
                <w:tcPr>
                  <w:tcW w:w="548" w:type="pct"/>
                  <w:gridSpan w:val="2"/>
                  <w:vAlign w:val="center"/>
                </w:tcPr>
                <w:p w14:paraId="3A852A30">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40AC76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49CC6F1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1E0E7032">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4D598CA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烟温（</w:t>
                  </w:r>
                  <w:r>
                    <w:rPr>
                      <w:rFonts w:hint="eastAsia" w:ascii="宋体" w:hAnsi="宋体" w:eastAsia="宋体" w:cs="宋体"/>
                      <w:color w:val="000000" w:themeColor="text1"/>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0DAE72F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31</w:t>
                  </w:r>
                </w:p>
              </w:tc>
              <w:tc>
                <w:tcPr>
                  <w:tcW w:w="548" w:type="pct"/>
                  <w:vAlign w:val="center"/>
                </w:tcPr>
                <w:p w14:paraId="312126F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31</w:t>
                  </w:r>
                </w:p>
              </w:tc>
              <w:tc>
                <w:tcPr>
                  <w:tcW w:w="547" w:type="pct"/>
                  <w:vAlign w:val="center"/>
                </w:tcPr>
                <w:p w14:paraId="104D1AB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31</w:t>
                  </w:r>
                </w:p>
              </w:tc>
              <w:tc>
                <w:tcPr>
                  <w:tcW w:w="548" w:type="pct"/>
                  <w:vAlign w:val="center"/>
                </w:tcPr>
                <w:p w14:paraId="1879762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31</w:t>
                  </w:r>
                </w:p>
              </w:tc>
              <w:tc>
                <w:tcPr>
                  <w:tcW w:w="548" w:type="pct"/>
                  <w:gridSpan w:val="2"/>
                  <w:vAlign w:val="center"/>
                </w:tcPr>
                <w:p w14:paraId="064FF136">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150FBD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570D7BC3">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55519C50">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09F4FEA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烟气流速（m/s）</w:t>
                  </w:r>
                </w:p>
              </w:tc>
              <w:tc>
                <w:tcPr>
                  <w:tcW w:w="547" w:type="pct"/>
                  <w:vAlign w:val="center"/>
                </w:tcPr>
                <w:p w14:paraId="61E6381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6.8</w:t>
                  </w:r>
                </w:p>
              </w:tc>
              <w:tc>
                <w:tcPr>
                  <w:tcW w:w="548" w:type="pct"/>
                  <w:vAlign w:val="center"/>
                </w:tcPr>
                <w:p w14:paraId="31D0369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7.0</w:t>
                  </w:r>
                </w:p>
              </w:tc>
              <w:tc>
                <w:tcPr>
                  <w:tcW w:w="547" w:type="pct"/>
                  <w:vAlign w:val="center"/>
                </w:tcPr>
                <w:p w14:paraId="17AE1CB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6.6</w:t>
                  </w:r>
                </w:p>
              </w:tc>
              <w:tc>
                <w:tcPr>
                  <w:tcW w:w="548" w:type="pct"/>
                  <w:vAlign w:val="center"/>
                </w:tcPr>
                <w:p w14:paraId="62251D5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6.8</w:t>
                  </w:r>
                </w:p>
              </w:tc>
              <w:tc>
                <w:tcPr>
                  <w:tcW w:w="548" w:type="pct"/>
                  <w:gridSpan w:val="2"/>
                  <w:vAlign w:val="center"/>
                </w:tcPr>
                <w:p w14:paraId="75BBC176">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17E69D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36A52416">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6BB3F74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4E5BFE7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含氧量（%）</w:t>
                  </w:r>
                </w:p>
              </w:tc>
              <w:tc>
                <w:tcPr>
                  <w:tcW w:w="547" w:type="pct"/>
                  <w:vAlign w:val="center"/>
                </w:tcPr>
                <w:p w14:paraId="05FC246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19.2</w:t>
                  </w:r>
                </w:p>
              </w:tc>
              <w:tc>
                <w:tcPr>
                  <w:tcW w:w="548" w:type="pct"/>
                  <w:vAlign w:val="center"/>
                </w:tcPr>
                <w:p w14:paraId="3D3B35C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19.4</w:t>
                  </w:r>
                </w:p>
              </w:tc>
              <w:tc>
                <w:tcPr>
                  <w:tcW w:w="547" w:type="pct"/>
                  <w:vAlign w:val="center"/>
                </w:tcPr>
                <w:p w14:paraId="7220555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19.1</w:t>
                  </w:r>
                </w:p>
              </w:tc>
              <w:tc>
                <w:tcPr>
                  <w:tcW w:w="548" w:type="pct"/>
                  <w:vAlign w:val="center"/>
                </w:tcPr>
                <w:p w14:paraId="6E9C497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19.2</w:t>
                  </w:r>
                </w:p>
              </w:tc>
              <w:tc>
                <w:tcPr>
                  <w:tcW w:w="548" w:type="pct"/>
                  <w:gridSpan w:val="2"/>
                  <w:vAlign w:val="center"/>
                </w:tcPr>
                <w:p w14:paraId="2A0AE007">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35B11D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2ECFC107">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restart"/>
                  <w:vAlign w:val="center"/>
                </w:tcPr>
                <w:p w14:paraId="0A263DCF">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985" w:type="pct"/>
                  <w:vAlign w:val="center"/>
                </w:tcPr>
                <w:p w14:paraId="2DE19D4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6CD00D9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15.9</w:t>
                  </w:r>
                </w:p>
              </w:tc>
              <w:tc>
                <w:tcPr>
                  <w:tcW w:w="548" w:type="pct"/>
                  <w:vAlign w:val="center"/>
                </w:tcPr>
                <w:p w14:paraId="7FD610E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15.2</w:t>
                  </w:r>
                </w:p>
              </w:tc>
              <w:tc>
                <w:tcPr>
                  <w:tcW w:w="547" w:type="pct"/>
                  <w:vAlign w:val="center"/>
                </w:tcPr>
                <w:p w14:paraId="6B25AAC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13.9</w:t>
                  </w:r>
                </w:p>
              </w:tc>
              <w:tc>
                <w:tcPr>
                  <w:tcW w:w="548" w:type="pct"/>
                  <w:vAlign w:val="center"/>
                </w:tcPr>
                <w:p w14:paraId="4BAA540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15.0</w:t>
                  </w:r>
                </w:p>
              </w:tc>
              <w:tc>
                <w:tcPr>
                  <w:tcW w:w="548" w:type="pct"/>
                  <w:gridSpan w:val="2"/>
                  <w:vAlign w:val="center"/>
                </w:tcPr>
                <w:p w14:paraId="6C03B622">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74C172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091C8A6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6313FBA0">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673A8F74">
                  <w:pPr>
                    <w:pStyle w:val="21"/>
                    <w:spacing w:line="240" w:lineRule="auto"/>
                    <w:jc w:val="center"/>
                    <w:rPr>
                      <w:rFonts w:ascii="Times New Roman" w:hAnsi="Times New Roman" w:eastAsia="宋体"/>
                      <w:color w:val="000000" w:themeColor="text1"/>
                      <w:sz w:val="21"/>
                      <w:szCs w:val="21"/>
                      <w14:textFill>
                        <w14:solidFill>
                          <w14:schemeClr w14:val="tx1"/>
                        </w14:solidFill>
                      </w14:textFill>
                    </w:rPr>
                  </w:pPr>
                  <w:r>
                    <w:rPr>
                      <w:rFonts w:ascii="Times New Roman" w:hAnsi="Times New Roman" w:eastAsia="宋体"/>
                      <w:color w:val="000000" w:themeColor="text1"/>
                      <w:sz w:val="21"/>
                      <w:szCs w:val="21"/>
                      <w14:textFill>
                        <w14:solidFill>
                          <w14:schemeClr w14:val="tx1"/>
                        </w14:solidFill>
                      </w14:textFill>
                    </w:rPr>
                    <w:t>折算浓度（mg/m</w:t>
                  </w:r>
                  <w:r>
                    <w:rPr>
                      <w:rFonts w:ascii="Times New Roman" w:hAnsi="Times New Roman" w:eastAsia="宋体"/>
                      <w:color w:val="000000" w:themeColor="text1"/>
                      <w:sz w:val="21"/>
                      <w:szCs w:val="21"/>
                      <w:vertAlign w:val="superscript"/>
                      <w14:textFill>
                        <w14:solidFill>
                          <w14:schemeClr w14:val="tx1"/>
                        </w14:solidFill>
                      </w14:textFill>
                    </w:rPr>
                    <w:t>3</w:t>
                  </w:r>
                  <w:r>
                    <w:rPr>
                      <w:rFonts w:ascii="Times New Roman" w:hAnsi="Times New Roman" w:eastAsia="宋体"/>
                      <w:color w:val="000000" w:themeColor="text1"/>
                      <w:sz w:val="21"/>
                      <w:szCs w:val="21"/>
                      <w14:textFill>
                        <w14:solidFill>
                          <w14:schemeClr w14:val="tx1"/>
                        </w14:solidFill>
                      </w14:textFill>
                    </w:rPr>
                    <w:t>）</w:t>
                  </w:r>
                </w:p>
              </w:tc>
              <w:tc>
                <w:tcPr>
                  <w:tcW w:w="547" w:type="pct"/>
                  <w:vAlign w:val="center"/>
                </w:tcPr>
                <w:p w14:paraId="1AB7B4F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26.5</w:t>
                  </w:r>
                </w:p>
              </w:tc>
              <w:tc>
                <w:tcPr>
                  <w:tcW w:w="548" w:type="pct"/>
                  <w:vAlign w:val="center"/>
                </w:tcPr>
                <w:p w14:paraId="111F39D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28.5</w:t>
                  </w:r>
                </w:p>
              </w:tc>
              <w:tc>
                <w:tcPr>
                  <w:tcW w:w="547" w:type="pct"/>
                  <w:vAlign w:val="center"/>
                </w:tcPr>
                <w:p w14:paraId="5E59ADB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21.9</w:t>
                  </w:r>
                </w:p>
              </w:tc>
              <w:tc>
                <w:tcPr>
                  <w:tcW w:w="548" w:type="pct"/>
                  <w:vAlign w:val="center"/>
                </w:tcPr>
                <w:p w14:paraId="4D80799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25.6</w:t>
                  </w:r>
                </w:p>
              </w:tc>
              <w:tc>
                <w:tcPr>
                  <w:tcW w:w="548" w:type="pct"/>
                  <w:gridSpan w:val="2"/>
                  <w:vAlign w:val="center"/>
                </w:tcPr>
                <w:p w14:paraId="2098B1BF">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43BA47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662D3C0C">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restart"/>
                  <w:vAlign w:val="center"/>
                </w:tcPr>
                <w:p w14:paraId="5C82F47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二氧化硫</w:t>
                  </w:r>
                </w:p>
              </w:tc>
              <w:tc>
                <w:tcPr>
                  <w:tcW w:w="985" w:type="pct"/>
                  <w:vAlign w:val="center"/>
                </w:tcPr>
                <w:p w14:paraId="690E142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1496D2A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9</w:t>
                  </w:r>
                </w:p>
              </w:tc>
              <w:tc>
                <w:tcPr>
                  <w:tcW w:w="548" w:type="pct"/>
                  <w:vAlign w:val="center"/>
                </w:tcPr>
                <w:p w14:paraId="25C2D93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10</w:t>
                  </w:r>
                </w:p>
              </w:tc>
              <w:tc>
                <w:tcPr>
                  <w:tcW w:w="547" w:type="pct"/>
                  <w:vAlign w:val="center"/>
                </w:tcPr>
                <w:p w14:paraId="7A92D43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14</w:t>
                  </w:r>
                </w:p>
              </w:tc>
              <w:tc>
                <w:tcPr>
                  <w:tcW w:w="548" w:type="pct"/>
                  <w:vAlign w:val="center"/>
                </w:tcPr>
                <w:p w14:paraId="4B44FF4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11</w:t>
                  </w:r>
                </w:p>
              </w:tc>
              <w:tc>
                <w:tcPr>
                  <w:tcW w:w="548" w:type="pct"/>
                  <w:gridSpan w:val="2"/>
                  <w:vAlign w:val="center"/>
                </w:tcPr>
                <w:p w14:paraId="33B77E16">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3005E9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6A09B37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798168C0">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04D29271">
                  <w:pPr>
                    <w:pStyle w:val="21"/>
                    <w:spacing w:line="240" w:lineRule="auto"/>
                    <w:jc w:val="center"/>
                    <w:rPr>
                      <w:rFonts w:ascii="Times New Roman" w:hAnsi="Times New Roman" w:eastAsia="宋体"/>
                      <w:color w:val="000000" w:themeColor="text1"/>
                      <w:sz w:val="21"/>
                      <w:szCs w:val="21"/>
                      <w14:textFill>
                        <w14:solidFill>
                          <w14:schemeClr w14:val="tx1"/>
                        </w14:solidFill>
                      </w14:textFill>
                    </w:rPr>
                  </w:pPr>
                  <w:r>
                    <w:rPr>
                      <w:rFonts w:ascii="Times New Roman" w:hAnsi="Times New Roman" w:eastAsia="宋体"/>
                      <w:color w:val="000000" w:themeColor="text1"/>
                      <w:sz w:val="21"/>
                      <w:szCs w:val="21"/>
                      <w14:textFill>
                        <w14:solidFill>
                          <w14:schemeClr w14:val="tx1"/>
                        </w14:solidFill>
                      </w14:textFill>
                    </w:rPr>
                    <w:t>折算浓度（mg/m</w:t>
                  </w:r>
                  <w:r>
                    <w:rPr>
                      <w:rFonts w:ascii="Times New Roman" w:hAnsi="Times New Roman" w:eastAsia="宋体"/>
                      <w:color w:val="000000" w:themeColor="text1"/>
                      <w:sz w:val="21"/>
                      <w:szCs w:val="21"/>
                      <w:vertAlign w:val="superscript"/>
                      <w14:textFill>
                        <w14:solidFill>
                          <w14:schemeClr w14:val="tx1"/>
                        </w14:solidFill>
                      </w14:textFill>
                    </w:rPr>
                    <w:t>3</w:t>
                  </w:r>
                  <w:r>
                    <w:rPr>
                      <w:rFonts w:ascii="Times New Roman" w:hAnsi="Times New Roman" w:eastAsia="宋体"/>
                      <w:color w:val="000000" w:themeColor="text1"/>
                      <w:sz w:val="21"/>
                      <w:szCs w:val="21"/>
                      <w14:textFill>
                        <w14:solidFill>
                          <w14:schemeClr w14:val="tx1"/>
                        </w14:solidFill>
                      </w14:textFill>
                    </w:rPr>
                    <w:t>）</w:t>
                  </w:r>
                </w:p>
              </w:tc>
              <w:tc>
                <w:tcPr>
                  <w:tcW w:w="547" w:type="pct"/>
                  <w:vAlign w:val="center"/>
                </w:tcPr>
                <w:p w14:paraId="53CC361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15</w:t>
                  </w:r>
                </w:p>
              </w:tc>
              <w:tc>
                <w:tcPr>
                  <w:tcW w:w="548" w:type="pct"/>
                  <w:vAlign w:val="center"/>
                </w:tcPr>
                <w:p w14:paraId="34B0824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19</w:t>
                  </w:r>
                </w:p>
              </w:tc>
              <w:tc>
                <w:tcPr>
                  <w:tcW w:w="547" w:type="pct"/>
                  <w:vAlign w:val="center"/>
                </w:tcPr>
                <w:p w14:paraId="2BB77F5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22</w:t>
                  </w:r>
                </w:p>
              </w:tc>
              <w:tc>
                <w:tcPr>
                  <w:tcW w:w="548" w:type="pct"/>
                  <w:vAlign w:val="center"/>
                </w:tcPr>
                <w:p w14:paraId="6E88D73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19</w:t>
                  </w:r>
                </w:p>
              </w:tc>
              <w:tc>
                <w:tcPr>
                  <w:tcW w:w="548" w:type="pct"/>
                  <w:gridSpan w:val="2"/>
                  <w:vAlign w:val="center"/>
                </w:tcPr>
                <w:p w14:paraId="63513DFF">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7CDC0A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7DE541AB">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restart"/>
                  <w:vAlign w:val="center"/>
                </w:tcPr>
                <w:p w14:paraId="594BCE0F">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氮氧化物</w:t>
                  </w:r>
                </w:p>
              </w:tc>
              <w:tc>
                <w:tcPr>
                  <w:tcW w:w="985" w:type="pct"/>
                  <w:vAlign w:val="center"/>
                </w:tcPr>
                <w:p w14:paraId="4885407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1EAF3BE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11</w:t>
                  </w:r>
                </w:p>
              </w:tc>
              <w:tc>
                <w:tcPr>
                  <w:tcW w:w="548" w:type="pct"/>
                  <w:vAlign w:val="center"/>
                </w:tcPr>
                <w:p w14:paraId="407B880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11</w:t>
                  </w:r>
                </w:p>
              </w:tc>
              <w:tc>
                <w:tcPr>
                  <w:tcW w:w="547" w:type="pct"/>
                  <w:vAlign w:val="center"/>
                </w:tcPr>
                <w:p w14:paraId="359562F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14</w:t>
                  </w:r>
                </w:p>
              </w:tc>
              <w:tc>
                <w:tcPr>
                  <w:tcW w:w="548" w:type="pct"/>
                  <w:vAlign w:val="center"/>
                </w:tcPr>
                <w:p w14:paraId="57B3CB0A">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12</w:t>
                  </w:r>
                </w:p>
              </w:tc>
              <w:tc>
                <w:tcPr>
                  <w:tcW w:w="548" w:type="pct"/>
                  <w:gridSpan w:val="2"/>
                  <w:vAlign w:val="center"/>
                </w:tcPr>
                <w:p w14:paraId="569158C6">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22FB71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6E07F051">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0E7536FE">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6E464383">
                  <w:pPr>
                    <w:pStyle w:val="21"/>
                    <w:spacing w:line="240" w:lineRule="auto"/>
                    <w:jc w:val="center"/>
                    <w:rPr>
                      <w:rFonts w:ascii="Times New Roman" w:hAnsi="Times New Roman" w:eastAsia="宋体"/>
                      <w:color w:val="000000" w:themeColor="text1"/>
                      <w:sz w:val="21"/>
                      <w:szCs w:val="21"/>
                      <w14:textFill>
                        <w14:solidFill>
                          <w14:schemeClr w14:val="tx1"/>
                        </w14:solidFill>
                      </w14:textFill>
                    </w:rPr>
                  </w:pPr>
                  <w:r>
                    <w:rPr>
                      <w:rFonts w:ascii="Times New Roman" w:hAnsi="Times New Roman" w:eastAsia="宋体"/>
                      <w:color w:val="000000" w:themeColor="text1"/>
                      <w:sz w:val="21"/>
                      <w:szCs w:val="21"/>
                      <w14:textFill>
                        <w14:solidFill>
                          <w14:schemeClr w14:val="tx1"/>
                        </w14:solidFill>
                      </w14:textFill>
                    </w:rPr>
                    <w:t>折算浓度（mg/m</w:t>
                  </w:r>
                  <w:r>
                    <w:rPr>
                      <w:rFonts w:ascii="Times New Roman" w:hAnsi="Times New Roman" w:eastAsia="宋体"/>
                      <w:color w:val="000000" w:themeColor="text1"/>
                      <w:sz w:val="21"/>
                      <w:szCs w:val="21"/>
                      <w:vertAlign w:val="superscript"/>
                      <w14:textFill>
                        <w14:solidFill>
                          <w14:schemeClr w14:val="tx1"/>
                        </w14:solidFill>
                      </w14:textFill>
                    </w:rPr>
                    <w:t>3</w:t>
                  </w:r>
                  <w:r>
                    <w:rPr>
                      <w:rFonts w:ascii="Times New Roman" w:hAnsi="Times New Roman" w:eastAsia="宋体"/>
                      <w:color w:val="000000" w:themeColor="text1"/>
                      <w:sz w:val="21"/>
                      <w:szCs w:val="21"/>
                      <w14:textFill>
                        <w14:solidFill>
                          <w14:schemeClr w14:val="tx1"/>
                        </w14:solidFill>
                      </w14:textFill>
                    </w:rPr>
                    <w:t>）</w:t>
                  </w:r>
                </w:p>
              </w:tc>
              <w:tc>
                <w:tcPr>
                  <w:tcW w:w="547" w:type="pct"/>
                  <w:vAlign w:val="center"/>
                </w:tcPr>
                <w:p w14:paraId="4129B0B3">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18</w:t>
                  </w:r>
                </w:p>
              </w:tc>
              <w:tc>
                <w:tcPr>
                  <w:tcW w:w="548" w:type="pct"/>
                  <w:vAlign w:val="center"/>
                </w:tcPr>
                <w:p w14:paraId="5FCA4447">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21</w:t>
                  </w:r>
                </w:p>
              </w:tc>
              <w:tc>
                <w:tcPr>
                  <w:tcW w:w="547" w:type="pct"/>
                  <w:vAlign w:val="center"/>
                </w:tcPr>
                <w:p w14:paraId="6C4D2710">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22</w:t>
                  </w:r>
                </w:p>
              </w:tc>
              <w:tc>
                <w:tcPr>
                  <w:tcW w:w="548" w:type="pct"/>
                  <w:vAlign w:val="center"/>
                </w:tcPr>
                <w:p w14:paraId="6DE7E036">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20</w:t>
                  </w:r>
                </w:p>
              </w:tc>
              <w:tc>
                <w:tcPr>
                  <w:tcW w:w="548" w:type="pct"/>
                  <w:gridSpan w:val="2"/>
                  <w:vAlign w:val="center"/>
                </w:tcPr>
                <w:p w14:paraId="3EE6D6CA">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05F542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32D5CB5C">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restart"/>
                  <w:vAlign w:val="center"/>
                </w:tcPr>
                <w:p w14:paraId="596BFDD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排气参数</w:t>
                  </w:r>
                </w:p>
              </w:tc>
              <w:tc>
                <w:tcPr>
                  <w:tcW w:w="985" w:type="pct"/>
                  <w:vAlign w:val="center"/>
                </w:tcPr>
                <w:p w14:paraId="37B75A4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流量（Nm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/h）</w:t>
                  </w:r>
                </w:p>
              </w:tc>
              <w:tc>
                <w:tcPr>
                  <w:tcW w:w="547" w:type="pct"/>
                  <w:vAlign w:val="center"/>
                </w:tcPr>
                <w:p w14:paraId="1B8F10B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53296</w:t>
                  </w:r>
                </w:p>
              </w:tc>
              <w:tc>
                <w:tcPr>
                  <w:tcW w:w="548" w:type="pct"/>
                  <w:vAlign w:val="center"/>
                </w:tcPr>
                <w:p w14:paraId="0260CDF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54680</w:t>
                  </w:r>
                </w:p>
              </w:tc>
              <w:tc>
                <w:tcPr>
                  <w:tcW w:w="547" w:type="pct"/>
                  <w:vAlign w:val="center"/>
                </w:tcPr>
                <w:p w14:paraId="5F44897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51874</w:t>
                  </w:r>
                </w:p>
              </w:tc>
              <w:tc>
                <w:tcPr>
                  <w:tcW w:w="548" w:type="pct"/>
                  <w:vAlign w:val="center"/>
                </w:tcPr>
                <w:p w14:paraId="4B36448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53283</w:t>
                  </w:r>
                </w:p>
              </w:tc>
              <w:tc>
                <w:tcPr>
                  <w:tcW w:w="548" w:type="pct"/>
                  <w:gridSpan w:val="2"/>
                  <w:vAlign w:val="center"/>
                </w:tcPr>
                <w:p w14:paraId="2FE211FF">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19F49B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73CAA59A">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71BD7A80">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78A7772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烟温（</w:t>
                  </w:r>
                  <w:r>
                    <w:rPr>
                      <w:rFonts w:hint="eastAsia" w:ascii="宋体" w:hAnsi="宋体" w:eastAsia="宋体" w:cs="宋体"/>
                      <w:color w:val="000000" w:themeColor="text1"/>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7346ADA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31</w:t>
                  </w:r>
                </w:p>
              </w:tc>
              <w:tc>
                <w:tcPr>
                  <w:tcW w:w="548" w:type="pct"/>
                  <w:vAlign w:val="center"/>
                </w:tcPr>
                <w:p w14:paraId="2F4FA45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31</w:t>
                  </w:r>
                </w:p>
              </w:tc>
              <w:tc>
                <w:tcPr>
                  <w:tcW w:w="547" w:type="pct"/>
                  <w:vAlign w:val="center"/>
                </w:tcPr>
                <w:p w14:paraId="32B5CBC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31</w:t>
                  </w:r>
                </w:p>
              </w:tc>
              <w:tc>
                <w:tcPr>
                  <w:tcW w:w="548" w:type="pct"/>
                  <w:vAlign w:val="center"/>
                </w:tcPr>
                <w:p w14:paraId="42BBE48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31</w:t>
                  </w:r>
                </w:p>
              </w:tc>
              <w:tc>
                <w:tcPr>
                  <w:tcW w:w="548" w:type="pct"/>
                  <w:gridSpan w:val="2"/>
                  <w:vAlign w:val="center"/>
                </w:tcPr>
                <w:p w14:paraId="2C3051FD">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62729B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4CF16FB7">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12902716">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09849C2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烟气流速（m/s）</w:t>
                  </w:r>
                </w:p>
              </w:tc>
              <w:tc>
                <w:tcPr>
                  <w:tcW w:w="547" w:type="pct"/>
                  <w:vAlign w:val="center"/>
                </w:tcPr>
                <w:p w14:paraId="4BA1733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6.9</w:t>
                  </w:r>
                </w:p>
              </w:tc>
              <w:tc>
                <w:tcPr>
                  <w:tcW w:w="548" w:type="pct"/>
                  <w:vAlign w:val="center"/>
                </w:tcPr>
                <w:p w14:paraId="3D8E5D1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7.1</w:t>
                  </w:r>
                </w:p>
              </w:tc>
              <w:tc>
                <w:tcPr>
                  <w:tcW w:w="547" w:type="pct"/>
                  <w:vAlign w:val="center"/>
                </w:tcPr>
                <w:p w14:paraId="784AFF0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6.7</w:t>
                  </w:r>
                </w:p>
              </w:tc>
              <w:tc>
                <w:tcPr>
                  <w:tcW w:w="548" w:type="pct"/>
                  <w:vAlign w:val="center"/>
                </w:tcPr>
                <w:p w14:paraId="36EFAD5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6.9</w:t>
                  </w:r>
                </w:p>
              </w:tc>
              <w:tc>
                <w:tcPr>
                  <w:tcW w:w="548" w:type="pct"/>
                  <w:gridSpan w:val="2"/>
                  <w:vAlign w:val="center"/>
                </w:tcPr>
                <w:p w14:paraId="32426BF3">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367939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5DCD3DDB">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243462C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1B4A7E2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含氧量（%）</w:t>
                  </w:r>
                </w:p>
              </w:tc>
              <w:tc>
                <w:tcPr>
                  <w:tcW w:w="547" w:type="pct"/>
                  <w:vAlign w:val="center"/>
                </w:tcPr>
                <w:p w14:paraId="4D12783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19.2</w:t>
                  </w:r>
                </w:p>
              </w:tc>
              <w:tc>
                <w:tcPr>
                  <w:tcW w:w="548" w:type="pct"/>
                  <w:vAlign w:val="center"/>
                </w:tcPr>
                <w:p w14:paraId="6FB7D9D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19.4</w:t>
                  </w:r>
                </w:p>
              </w:tc>
              <w:tc>
                <w:tcPr>
                  <w:tcW w:w="547" w:type="pct"/>
                  <w:vAlign w:val="center"/>
                </w:tcPr>
                <w:p w14:paraId="1D124EE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19.1</w:t>
                  </w:r>
                </w:p>
              </w:tc>
              <w:tc>
                <w:tcPr>
                  <w:tcW w:w="548" w:type="pct"/>
                  <w:vAlign w:val="center"/>
                </w:tcPr>
                <w:p w14:paraId="5352AEA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19.2</w:t>
                  </w:r>
                </w:p>
              </w:tc>
              <w:tc>
                <w:tcPr>
                  <w:tcW w:w="548" w:type="pct"/>
                  <w:gridSpan w:val="2"/>
                  <w:vAlign w:val="center"/>
                </w:tcPr>
                <w:p w14:paraId="3DDA68A0">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020F0B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242FB1F7">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restart"/>
                  <w:vAlign w:val="center"/>
                </w:tcPr>
                <w:p w14:paraId="7FED7741">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985" w:type="pct"/>
                  <w:vAlign w:val="center"/>
                </w:tcPr>
                <w:p w14:paraId="0A426AB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279B1EED">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1.00</w:t>
                  </w:r>
                </w:p>
              </w:tc>
              <w:tc>
                <w:tcPr>
                  <w:tcW w:w="548" w:type="pct"/>
                  <w:vAlign w:val="center"/>
                </w:tcPr>
                <w:p w14:paraId="177C6FDE">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0.88</w:t>
                  </w:r>
                </w:p>
              </w:tc>
              <w:tc>
                <w:tcPr>
                  <w:tcW w:w="547" w:type="pct"/>
                  <w:vAlign w:val="center"/>
                </w:tcPr>
                <w:p w14:paraId="091CBA65">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0.95</w:t>
                  </w:r>
                </w:p>
              </w:tc>
              <w:tc>
                <w:tcPr>
                  <w:tcW w:w="548" w:type="pct"/>
                  <w:vAlign w:val="center"/>
                </w:tcPr>
                <w:p w14:paraId="3B2BB3AD">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0.94</w:t>
                  </w:r>
                </w:p>
              </w:tc>
              <w:tc>
                <w:tcPr>
                  <w:tcW w:w="548" w:type="pct"/>
                  <w:gridSpan w:val="2"/>
                  <w:vAlign w:val="center"/>
                </w:tcPr>
                <w:p w14:paraId="21A35ADD">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w:t>
                  </w:r>
                </w:p>
              </w:tc>
            </w:tr>
            <w:tr w14:paraId="14E8F4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atLeast"/>
              </w:trPr>
              <w:tc>
                <w:tcPr>
                  <w:tcW w:w="534" w:type="pct"/>
                  <w:vMerge w:val="continue"/>
                  <w:vAlign w:val="center"/>
                </w:tcPr>
                <w:p w14:paraId="5AEC78C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6ACFFAFB">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3A1AC933">
                  <w:pPr>
                    <w:pStyle w:val="21"/>
                    <w:spacing w:line="240" w:lineRule="auto"/>
                    <w:jc w:val="center"/>
                    <w:rPr>
                      <w:rFonts w:ascii="Times New Roman" w:hAnsi="Times New Roman" w:eastAsia="宋体"/>
                      <w:color w:val="000000" w:themeColor="text1"/>
                      <w:sz w:val="21"/>
                      <w:szCs w:val="21"/>
                      <w14:textFill>
                        <w14:solidFill>
                          <w14:schemeClr w14:val="tx1"/>
                        </w14:solidFill>
                      </w14:textFill>
                    </w:rPr>
                  </w:pPr>
                  <w:r>
                    <w:rPr>
                      <w:rFonts w:ascii="Times New Roman" w:hAnsi="Times New Roman" w:eastAsia="宋体"/>
                      <w:color w:val="000000" w:themeColor="text1"/>
                      <w:sz w:val="21"/>
                      <w:szCs w:val="21"/>
                      <w14:textFill>
                        <w14:solidFill>
                          <w14:schemeClr w14:val="tx1"/>
                        </w14:solidFill>
                      </w14:textFill>
                    </w:rPr>
                    <w:t>折算浓度（mg/m</w:t>
                  </w:r>
                  <w:r>
                    <w:rPr>
                      <w:rFonts w:ascii="Times New Roman" w:hAnsi="Times New Roman" w:eastAsia="宋体"/>
                      <w:color w:val="000000" w:themeColor="text1"/>
                      <w:sz w:val="21"/>
                      <w:szCs w:val="21"/>
                      <w:vertAlign w:val="superscript"/>
                      <w14:textFill>
                        <w14:solidFill>
                          <w14:schemeClr w14:val="tx1"/>
                        </w14:solidFill>
                      </w14:textFill>
                    </w:rPr>
                    <w:t>3</w:t>
                  </w:r>
                  <w:r>
                    <w:rPr>
                      <w:rFonts w:ascii="Times New Roman" w:hAnsi="Times New Roman" w:eastAsia="宋体"/>
                      <w:color w:val="000000" w:themeColor="text1"/>
                      <w:sz w:val="21"/>
                      <w:szCs w:val="21"/>
                      <w14:textFill>
                        <w14:solidFill>
                          <w14:schemeClr w14:val="tx1"/>
                        </w14:solidFill>
                      </w14:textFill>
                    </w:rPr>
                    <w:t>）</w:t>
                  </w:r>
                </w:p>
              </w:tc>
              <w:tc>
                <w:tcPr>
                  <w:tcW w:w="547" w:type="pct"/>
                  <w:vAlign w:val="center"/>
                </w:tcPr>
                <w:p w14:paraId="6216261E">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1.67</w:t>
                  </w:r>
                </w:p>
              </w:tc>
              <w:tc>
                <w:tcPr>
                  <w:tcW w:w="548" w:type="pct"/>
                  <w:vAlign w:val="center"/>
                </w:tcPr>
                <w:p w14:paraId="372754FA">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1.65</w:t>
                  </w:r>
                </w:p>
              </w:tc>
              <w:tc>
                <w:tcPr>
                  <w:tcW w:w="547" w:type="pct"/>
                  <w:vAlign w:val="center"/>
                </w:tcPr>
                <w:p w14:paraId="24F5A203">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1.50</w:t>
                  </w:r>
                </w:p>
              </w:tc>
              <w:tc>
                <w:tcPr>
                  <w:tcW w:w="548" w:type="pct"/>
                  <w:vAlign w:val="center"/>
                </w:tcPr>
                <w:p w14:paraId="33798E7F">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1.61</w:t>
                  </w:r>
                </w:p>
              </w:tc>
              <w:tc>
                <w:tcPr>
                  <w:tcW w:w="548" w:type="pct"/>
                  <w:gridSpan w:val="2"/>
                  <w:vAlign w:val="center"/>
                </w:tcPr>
                <w:p w14:paraId="64360516">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0A8C2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restart"/>
                  <w:vAlign w:val="center"/>
                </w:tcPr>
                <w:p w14:paraId="0251FE81">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检测点位</w:t>
                  </w:r>
                </w:p>
              </w:tc>
              <w:tc>
                <w:tcPr>
                  <w:tcW w:w="1728" w:type="pct"/>
                  <w:gridSpan w:val="2"/>
                  <w:vMerge w:val="restart"/>
                  <w:vAlign w:val="center"/>
                </w:tcPr>
                <w:p w14:paraId="7804F833">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检测项目</w:t>
                  </w:r>
                </w:p>
              </w:tc>
              <w:tc>
                <w:tcPr>
                  <w:tcW w:w="2738" w:type="pct"/>
                  <w:gridSpan w:val="6"/>
                  <w:vAlign w:val="center"/>
                </w:tcPr>
                <w:p w14:paraId="6073EFCA">
                  <w:pPr>
                    <w:tabs>
                      <w:tab w:val="left" w:pos="1924"/>
                      <w:tab w:val="center" w:pos="3477"/>
                    </w:tabs>
                    <w:overflowPunct w:val="0"/>
                    <w:adjustRightInd w:val="0"/>
                    <w:snapToGrid w:val="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采样日期、检测频次及检测结果</w:t>
                  </w:r>
                </w:p>
              </w:tc>
            </w:tr>
            <w:tr w14:paraId="0C0766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115A75B3">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1728" w:type="pct"/>
                  <w:gridSpan w:val="2"/>
                  <w:vMerge w:val="continue"/>
                  <w:vAlign w:val="center"/>
                </w:tcPr>
                <w:p w14:paraId="2135DE1D">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2738" w:type="pct"/>
                  <w:gridSpan w:val="6"/>
                  <w:vAlign w:val="center"/>
                </w:tcPr>
                <w:p w14:paraId="3612A6C1">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5月14日</w:t>
                  </w:r>
                </w:p>
              </w:tc>
            </w:tr>
            <w:tr w14:paraId="3D98D0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24577D35">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1728" w:type="pct"/>
                  <w:gridSpan w:val="2"/>
                  <w:vMerge w:val="continue"/>
                  <w:vAlign w:val="center"/>
                </w:tcPr>
                <w:p w14:paraId="3C3624F4">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547" w:type="pct"/>
                  <w:vAlign w:val="center"/>
                </w:tcPr>
                <w:p w14:paraId="6B6B663D">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第1次</w:t>
                  </w:r>
                </w:p>
              </w:tc>
              <w:tc>
                <w:tcPr>
                  <w:tcW w:w="548" w:type="pct"/>
                  <w:vAlign w:val="center"/>
                </w:tcPr>
                <w:p w14:paraId="02E4C0E3">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第2次</w:t>
                  </w:r>
                </w:p>
              </w:tc>
              <w:tc>
                <w:tcPr>
                  <w:tcW w:w="547" w:type="pct"/>
                  <w:vAlign w:val="center"/>
                </w:tcPr>
                <w:p w14:paraId="52816E2E">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第3次</w:t>
                  </w:r>
                </w:p>
              </w:tc>
              <w:tc>
                <w:tcPr>
                  <w:tcW w:w="548" w:type="pct"/>
                  <w:vAlign w:val="center"/>
                </w:tcPr>
                <w:p w14:paraId="4825A0FA">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均值</w:t>
                  </w:r>
                </w:p>
              </w:tc>
              <w:tc>
                <w:tcPr>
                  <w:tcW w:w="548" w:type="pct"/>
                  <w:gridSpan w:val="2"/>
                  <w:vAlign w:val="center"/>
                </w:tcPr>
                <w:p w14:paraId="760BB883">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均值</w:t>
                  </w:r>
                </w:p>
                <w:p w14:paraId="3EA4DA13">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评价</w:t>
                  </w:r>
                </w:p>
              </w:tc>
            </w:tr>
            <w:tr w14:paraId="1CC355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restart"/>
                  <w:vAlign w:val="center"/>
                </w:tcPr>
                <w:p w14:paraId="3BA17D7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1#湿式脱硫塔排气筒进口</w:t>
                  </w:r>
                </w:p>
              </w:tc>
              <w:tc>
                <w:tcPr>
                  <w:tcW w:w="743" w:type="pct"/>
                  <w:vMerge w:val="restart"/>
                  <w:vAlign w:val="center"/>
                </w:tcPr>
                <w:p w14:paraId="0E9F087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排气参数</w:t>
                  </w:r>
                </w:p>
              </w:tc>
              <w:tc>
                <w:tcPr>
                  <w:tcW w:w="985" w:type="pct"/>
                  <w:vAlign w:val="center"/>
                </w:tcPr>
                <w:p w14:paraId="201ACCB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流量（Nm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/h）</w:t>
                  </w:r>
                </w:p>
              </w:tc>
              <w:tc>
                <w:tcPr>
                  <w:tcW w:w="547" w:type="pct"/>
                  <w:vAlign w:val="center"/>
                </w:tcPr>
                <w:p w14:paraId="2C99ECD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56590</w:t>
                  </w:r>
                </w:p>
              </w:tc>
              <w:tc>
                <w:tcPr>
                  <w:tcW w:w="548" w:type="pct"/>
                  <w:vAlign w:val="center"/>
                </w:tcPr>
                <w:p w14:paraId="3A51E74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53907</w:t>
                  </w:r>
                </w:p>
              </w:tc>
              <w:tc>
                <w:tcPr>
                  <w:tcW w:w="547" w:type="pct"/>
                  <w:vAlign w:val="center"/>
                </w:tcPr>
                <w:p w14:paraId="436C133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56064</w:t>
                  </w:r>
                </w:p>
              </w:tc>
              <w:tc>
                <w:tcPr>
                  <w:tcW w:w="548" w:type="pct"/>
                  <w:vAlign w:val="center"/>
                </w:tcPr>
                <w:p w14:paraId="665302D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55520</w:t>
                  </w:r>
                </w:p>
              </w:tc>
              <w:tc>
                <w:tcPr>
                  <w:tcW w:w="548" w:type="pct"/>
                  <w:gridSpan w:val="2"/>
                  <w:vAlign w:val="center"/>
                </w:tcPr>
                <w:p w14:paraId="4B6D1A94">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09905F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4CBE29C2">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5AB080B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1D4CFD1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烟温（</w:t>
                  </w:r>
                  <w:r>
                    <w:rPr>
                      <w:rFonts w:hint="eastAsia" w:ascii="宋体" w:hAnsi="宋体" w:eastAsia="宋体" w:cs="宋体"/>
                      <w:color w:val="000000" w:themeColor="text1"/>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5794692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78</w:t>
                  </w:r>
                </w:p>
              </w:tc>
              <w:tc>
                <w:tcPr>
                  <w:tcW w:w="548" w:type="pct"/>
                  <w:vAlign w:val="center"/>
                </w:tcPr>
                <w:p w14:paraId="7B7A87B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78</w:t>
                  </w:r>
                </w:p>
              </w:tc>
              <w:tc>
                <w:tcPr>
                  <w:tcW w:w="547" w:type="pct"/>
                  <w:vAlign w:val="center"/>
                </w:tcPr>
                <w:p w14:paraId="71B18EC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78</w:t>
                  </w:r>
                </w:p>
              </w:tc>
              <w:tc>
                <w:tcPr>
                  <w:tcW w:w="548" w:type="pct"/>
                  <w:vAlign w:val="center"/>
                </w:tcPr>
                <w:p w14:paraId="1C7EFA6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78</w:t>
                  </w:r>
                </w:p>
              </w:tc>
              <w:tc>
                <w:tcPr>
                  <w:tcW w:w="548" w:type="pct"/>
                  <w:gridSpan w:val="2"/>
                  <w:vAlign w:val="center"/>
                </w:tcPr>
                <w:p w14:paraId="383BCB09">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4E35B5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2C3C4327">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32CAECF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3F7E788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烟气流速（m/s）</w:t>
                  </w:r>
                </w:p>
              </w:tc>
              <w:tc>
                <w:tcPr>
                  <w:tcW w:w="547" w:type="pct"/>
                  <w:vAlign w:val="center"/>
                </w:tcPr>
                <w:p w14:paraId="420A573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8.8</w:t>
                  </w:r>
                </w:p>
              </w:tc>
              <w:tc>
                <w:tcPr>
                  <w:tcW w:w="548" w:type="pct"/>
                  <w:vAlign w:val="center"/>
                </w:tcPr>
                <w:p w14:paraId="78F40C9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8.4</w:t>
                  </w:r>
                </w:p>
              </w:tc>
              <w:tc>
                <w:tcPr>
                  <w:tcW w:w="547" w:type="pct"/>
                  <w:vAlign w:val="center"/>
                </w:tcPr>
                <w:p w14:paraId="407F6FD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8.7</w:t>
                  </w:r>
                </w:p>
              </w:tc>
              <w:tc>
                <w:tcPr>
                  <w:tcW w:w="548" w:type="pct"/>
                  <w:vAlign w:val="center"/>
                </w:tcPr>
                <w:p w14:paraId="309CC88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8.6</w:t>
                  </w:r>
                </w:p>
              </w:tc>
              <w:tc>
                <w:tcPr>
                  <w:tcW w:w="548" w:type="pct"/>
                  <w:gridSpan w:val="2"/>
                  <w:vAlign w:val="center"/>
                </w:tcPr>
                <w:p w14:paraId="6FB1396B">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710D94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38EEF17E">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28059EF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2370ABB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含氧量（%）</w:t>
                  </w:r>
                </w:p>
              </w:tc>
              <w:tc>
                <w:tcPr>
                  <w:tcW w:w="547" w:type="pct"/>
                  <w:vAlign w:val="center"/>
                </w:tcPr>
                <w:p w14:paraId="3DD3FD0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19.4</w:t>
                  </w:r>
                </w:p>
              </w:tc>
              <w:tc>
                <w:tcPr>
                  <w:tcW w:w="548" w:type="pct"/>
                  <w:vAlign w:val="center"/>
                </w:tcPr>
                <w:p w14:paraId="4CD0442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19.2</w:t>
                  </w:r>
                </w:p>
              </w:tc>
              <w:tc>
                <w:tcPr>
                  <w:tcW w:w="547" w:type="pct"/>
                  <w:vAlign w:val="center"/>
                </w:tcPr>
                <w:p w14:paraId="3470916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19.6</w:t>
                  </w:r>
                </w:p>
              </w:tc>
              <w:tc>
                <w:tcPr>
                  <w:tcW w:w="548" w:type="pct"/>
                  <w:vAlign w:val="center"/>
                </w:tcPr>
                <w:p w14:paraId="74BE690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19.4</w:t>
                  </w:r>
                </w:p>
              </w:tc>
              <w:tc>
                <w:tcPr>
                  <w:tcW w:w="548" w:type="pct"/>
                  <w:gridSpan w:val="2"/>
                  <w:vAlign w:val="center"/>
                </w:tcPr>
                <w:p w14:paraId="07B4396D">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3F9E0B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0CEE557B">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Align w:val="center"/>
                </w:tcPr>
                <w:p w14:paraId="7A533001">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985" w:type="pct"/>
                  <w:vAlign w:val="center"/>
                </w:tcPr>
                <w:p w14:paraId="632AE35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61D9F91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21</w:t>
                  </w:r>
                </w:p>
              </w:tc>
              <w:tc>
                <w:tcPr>
                  <w:tcW w:w="548" w:type="pct"/>
                  <w:vAlign w:val="center"/>
                </w:tcPr>
                <w:p w14:paraId="0F0D1BE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26</w:t>
                  </w:r>
                </w:p>
              </w:tc>
              <w:tc>
                <w:tcPr>
                  <w:tcW w:w="547" w:type="pct"/>
                  <w:vAlign w:val="center"/>
                </w:tcPr>
                <w:p w14:paraId="44D24A0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24</w:t>
                  </w:r>
                </w:p>
              </w:tc>
              <w:tc>
                <w:tcPr>
                  <w:tcW w:w="548" w:type="pct"/>
                  <w:vAlign w:val="center"/>
                </w:tcPr>
                <w:p w14:paraId="4FC823F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24</w:t>
                  </w:r>
                </w:p>
              </w:tc>
              <w:tc>
                <w:tcPr>
                  <w:tcW w:w="548" w:type="pct"/>
                  <w:gridSpan w:val="2"/>
                  <w:vAlign w:val="center"/>
                </w:tcPr>
                <w:p w14:paraId="74102D98">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2E4071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0CA675FE">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Align w:val="center"/>
                </w:tcPr>
                <w:p w14:paraId="201A910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二氧化硫</w:t>
                  </w:r>
                </w:p>
              </w:tc>
              <w:tc>
                <w:tcPr>
                  <w:tcW w:w="985" w:type="pct"/>
                  <w:vAlign w:val="center"/>
                </w:tcPr>
                <w:p w14:paraId="0928D1E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51486E3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131</w:t>
                  </w:r>
                </w:p>
              </w:tc>
              <w:tc>
                <w:tcPr>
                  <w:tcW w:w="548" w:type="pct"/>
                  <w:vAlign w:val="center"/>
                </w:tcPr>
                <w:p w14:paraId="7486CD7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128</w:t>
                  </w:r>
                </w:p>
              </w:tc>
              <w:tc>
                <w:tcPr>
                  <w:tcW w:w="547" w:type="pct"/>
                  <w:vAlign w:val="center"/>
                </w:tcPr>
                <w:p w14:paraId="03F85A8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137</w:t>
                  </w:r>
                </w:p>
              </w:tc>
              <w:tc>
                <w:tcPr>
                  <w:tcW w:w="548" w:type="pct"/>
                  <w:vAlign w:val="center"/>
                </w:tcPr>
                <w:p w14:paraId="40FE2FC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132</w:t>
                  </w:r>
                </w:p>
              </w:tc>
              <w:tc>
                <w:tcPr>
                  <w:tcW w:w="548" w:type="pct"/>
                  <w:gridSpan w:val="2"/>
                  <w:vAlign w:val="center"/>
                </w:tcPr>
                <w:p w14:paraId="73C000F8">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03796D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66621C4F">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Align w:val="center"/>
                </w:tcPr>
                <w:p w14:paraId="6EABD648">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氮氧化物</w:t>
                  </w:r>
                </w:p>
              </w:tc>
              <w:tc>
                <w:tcPr>
                  <w:tcW w:w="985" w:type="pct"/>
                  <w:vAlign w:val="center"/>
                </w:tcPr>
                <w:p w14:paraId="6EFC55E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7A840BB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22</w:t>
                  </w:r>
                </w:p>
              </w:tc>
              <w:tc>
                <w:tcPr>
                  <w:tcW w:w="548" w:type="pct"/>
                  <w:vAlign w:val="center"/>
                </w:tcPr>
                <w:p w14:paraId="704CA30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28</w:t>
                  </w:r>
                </w:p>
              </w:tc>
              <w:tc>
                <w:tcPr>
                  <w:tcW w:w="547" w:type="pct"/>
                  <w:vAlign w:val="center"/>
                </w:tcPr>
                <w:p w14:paraId="5E109EB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w:t>
                  </w:r>
                </w:p>
              </w:tc>
              <w:tc>
                <w:tcPr>
                  <w:tcW w:w="548" w:type="pct"/>
                  <w:vAlign w:val="center"/>
                </w:tcPr>
                <w:p w14:paraId="342A354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23</w:t>
                  </w:r>
                </w:p>
              </w:tc>
              <w:tc>
                <w:tcPr>
                  <w:tcW w:w="548" w:type="pct"/>
                  <w:gridSpan w:val="2"/>
                  <w:vAlign w:val="center"/>
                </w:tcPr>
                <w:p w14:paraId="04CDB8F6">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190836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787E8186">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restart"/>
                  <w:vAlign w:val="center"/>
                </w:tcPr>
                <w:p w14:paraId="5FD31F0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排气参数</w:t>
                  </w:r>
                </w:p>
              </w:tc>
              <w:tc>
                <w:tcPr>
                  <w:tcW w:w="985" w:type="pct"/>
                  <w:vAlign w:val="center"/>
                </w:tcPr>
                <w:p w14:paraId="37DA181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流量（Nm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/h）</w:t>
                  </w:r>
                </w:p>
              </w:tc>
              <w:tc>
                <w:tcPr>
                  <w:tcW w:w="547" w:type="pct"/>
                  <w:vAlign w:val="center"/>
                </w:tcPr>
                <w:p w14:paraId="5F77B4B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54454</w:t>
                  </w:r>
                </w:p>
              </w:tc>
              <w:tc>
                <w:tcPr>
                  <w:tcW w:w="548" w:type="pct"/>
                  <w:vAlign w:val="center"/>
                </w:tcPr>
                <w:p w14:paraId="64E6FAF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57796</w:t>
                  </w:r>
                </w:p>
              </w:tc>
              <w:tc>
                <w:tcPr>
                  <w:tcW w:w="547" w:type="pct"/>
                  <w:vAlign w:val="center"/>
                </w:tcPr>
                <w:p w14:paraId="36D9F4C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53506</w:t>
                  </w:r>
                </w:p>
              </w:tc>
              <w:tc>
                <w:tcPr>
                  <w:tcW w:w="548" w:type="pct"/>
                  <w:vAlign w:val="center"/>
                </w:tcPr>
                <w:p w14:paraId="4638F7A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55252</w:t>
                  </w:r>
                </w:p>
              </w:tc>
              <w:tc>
                <w:tcPr>
                  <w:tcW w:w="548" w:type="pct"/>
                  <w:gridSpan w:val="2"/>
                  <w:vAlign w:val="center"/>
                </w:tcPr>
                <w:p w14:paraId="1E64B3F1">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37656A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5314D9FC">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314806E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7DBEFB5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烟温（</w:t>
                  </w:r>
                  <w:r>
                    <w:rPr>
                      <w:rFonts w:hint="eastAsia" w:ascii="宋体" w:hAnsi="宋体" w:eastAsia="宋体" w:cs="宋体"/>
                      <w:color w:val="000000" w:themeColor="text1"/>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6B33A96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78</w:t>
                  </w:r>
                </w:p>
              </w:tc>
              <w:tc>
                <w:tcPr>
                  <w:tcW w:w="548" w:type="pct"/>
                  <w:vAlign w:val="center"/>
                </w:tcPr>
                <w:p w14:paraId="2635B6D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76</w:t>
                  </w:r>
                </w:p>
              </w:tc>
              <w:tc>
                <w:tcPr>
                  <w:tcW w:w="547" w:type="pct"/>
                  <w:vAlign w:val="center"/>
                </w:tcPr>
                <w:p w14:paraId="7292AB6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76</w:t>
                  </w:r>
                </w:p>
              </w:tc>
              <w:tc>
                <w:tcPr>
                  <w:tcW w:w="548" w:type="pct"/>
                  <w:vAlign w:val="center"/>
                </w:tcPr>
                <w:p w14:paraId="650C572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77</w:t>
                  </w:r>
                </w:p>
              </w:tc>
              <w:tc>
                <w:tcPr>
                  <w:tcW w:w="548" w:type="pct"/>
                  <w:gridSpan w:val="2"/>
                  <w:vAlign w:val="center"/>
                </w:tcPr>
                <w:p w14:paraId="717FC3FA">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067ABB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20D53F0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3FF752B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287FFEF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烟气流速（m/s）</w:t>
                  </w:r>
                </w:p>
              </w:tc>
              <w:tc>
                <w:tcPr>
                  <w:tcW w:w="547" w:type="pct"/>
                  <w:vAlign w:val="center"/>
                </w:tcPr>
                <w:p w14:paraId="658AF1F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8.5</w:t>
                  </w:r>
                </w:p>
              </w:tc>
              <w:tc>
                <w:tcPr>
                  <w:tcW w:w="548" w:type="pct"/>
                  <w:vAlign w:val="center"/>
                </w:tcPr>
                <w:p w14:paraId="7DEFA7E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9.0</w:t>
                  </w:r>
                </w:p>
              </w:tc>
              <w:tc>
                <w:tcPr>
                  <w:tcW w:w="547" w:type="pct"/>
                  <w:vAlign w:val="center"/>
                </w:tcPr>
                <w:p w14:paraId="310FDD0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8.3</w:t>
                  </w:r>
                </w:p>
              </w:tc>
              <w:tc>
                <w:tcPr>
                  <w:tcW w:w="548" w:type="pct"/>
                  <w:vAlign w:val="center"/>
                </w:tcPr>
                <w:p w14:paraId="50C5381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8.6</w:t>
                  </w:r>
                </w:p>
              </w:tc>
              <w:tc>
                <w:tcPr>
                  <w:tcW w:w="548" w:type="pct"/>
                  <w:gridSpan w:val="2"/>
                  <w:vAlign w:val="center"/>
                </w:tcPr>
                <w:p w14:paraId="33CF635C">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63AEB6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0587B517">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173DA47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314A5B6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含氧量（%）</w:t>
                  </w:r>
                </w:p>
              </w:tc>
              <w:tc>
                <w:tcPr>
                  <w:tcW w:w="547" w:type="pct"/>
                  <w:vAlign w:val="center"/>
                </w:tcPr>
                <w:p w14:paraId="00350F2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19.4</w:t>
                  </w:r>
                </w:p>
              </w:tc>
              <w:tc>
                <w:tcPr>
                  <w:tcW w:w="548" w:type="pct"/>
                  <w:vAlign w:val="center"/>
                </w:tcPr>
                <w:p w14:paraId="60667F8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19.3</w:t>
                  </w:r>
                </w:p>
              </w:tc>
              <w:tc>
                <w:tcPr>
                  <w:tcW w:w="547" w:type="pct"/>
                  <w:vAlign w:val="center"/>
                </w:tcPr>
                <w:p w14:paraId="29D6D04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19.6</w:t>
                  </w:r>
                </w:p>
              </w:tc>
              <w:tc>
                <w:tcPr>
                  <w:tcW w:w="548" w:type="pct"/>
                  <w:vAlign w:val="center"/>
                </w:tcPr>
                <w:p w14:paraId="4858FFF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19.4</w:t>
                  </w:r>
                </w:p>
              </w:tc>
              <w:tc>
                <w:tcPr>
                  <w:tcW w:w="548" w:type="pct"/>
                  <w:gridSpan w:val="2"/>
                  <w:vAlign w:val="center"/>
                </w:tcPr>
                <w:p w14:paraId="305FA8BD">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5E3D69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50670AF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Align w:val="center"/>
                </w:tcPr>
                <w:p w14:paraId="3ADB9A0A">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985" w:type="pct"/>
                  <w:vAlign w:val="center"/>
                </w:tcPr>
                <w:p w14:paraId="62DA748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584C5959">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2.42</w:t>
                  </w:r>
                </w:p>
              </w:tc>
              <w:tc>
                <w:tcPr>
                  <w:tcW w:w="548" w:type="pct"/>
                  <w:vAlign w:val="center"/>
                </w:tcPr>
                <w:p w14:paraId="0EC34039">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2.39</w:t>
                  </w:r>
                </w:p>
              </w:tc>
              <w:tc>
                <w:tcPr>
                  <w:tcW w:w="547" w:type="pct"/>
                  <w:vAlign w:val="center"/>
                </w:tcPr>
                <w:p w14:paraId="111E4146">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2.41</w:t>
                  </w:r>
                </w:p>
              </w:tc>
              <w:tc>
                <w:tcPr>
                  <w:tcW w:w="548" w:type="pct"/>
                  <w:vAlign w:val="center"/>
                </w:tcPr>
                <w:p w14:paraId="4A916664">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2.41</w:t>
                  </w:r>
                </w:p>
              </w:tc>
              <w:tc>
                <w:tcPr>
                  <w:tcW w:w="548" w:type="pct"/>
                  <w:gridSpan w:val="2"/>
                  <w:vAlign w:val="center"/>
                </w:tcPr>
                <w:p w14:paraId="3F87D255">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344917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restart"/>
                  <w:vAlign w:val="center"/>
                </w:tcPr>
                <w:p w14:paraId="2427CCC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1#湿式脱硫塔排气筒出口</w:t>
                  </w:r>
                </w:p>
              </w:tc>
              <w:tc>
                <w:tcPr>
                  <w:tcW w:w="743" w:type="pct"/>
                  <w:vAlign w:val="center"/>
                </w:tcPr>
                <w:p w14:paraId="45DAC3A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排气筒参数</w:t>
                  </w:r>
                </w:p>
              </w:tc>
              <w:tc>
                <w:tcPr>
                  <w:tcW w:w="985" w:type="pct"/>
                  <w:vAlign w:val="center"/>
                </w:tcPr>
                <w:p w14:paraId="38D1AEB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高度（m）</w:t>
                  </w:r>
                </w:p>
              </w:tc>
              <w:tc>
                <w:tcPr>
                  <w:tcW w:w="2738" w:type="pct"/>
                  <w:gridSpan w:val="6"/>
                  <w:vAlign w:val="center"/>
                </w:tcPr>
                <w:p w14:paraId="00EB04D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18</w:t>
                  </w:r>
                </w:p>
              </w:tc>
            </w:tr>
            <w:tr w14:paraId="3A683C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413EA98F">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restart"/>
                  <w:vAlign w:val="center"/>
                </w:tcPr>
                <w:p w14:paraId="48EAE6E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排气参数</w:t>
                  </w:r>
                </w:p>
              </w:tc>
              <w:tc>
                <w:tcPr>
                  <w:tcW w:w="985" w:type="pct"/>
                  <w:vAlign w:val="center"/>
                </w:tcPr>
                <w:p w14:paraId="75ED0D6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流量（Nm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/h）</w:t>
                  </w:r>
                </w:p>
              </w:tc>
              <w:tc>
                <w:tcPr>
                  <w:tcW w:w="547" w:type="pct"/>
                  <w:vAlign w:val="center"/>
                </w:tcPr>
                <w:p w14:paraId="3777E60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53653</w:t>
                  </w:r>
                </w:p>
              </w:tc>
              <w:tc>
                <w:tcPr>
                  <w:tcW w:w="548" w:type="pct"/>
                  <w:vAlign w:val="center"/>
                </w:tcPr>
                <w:p w14:paraId="295C1ED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51491</w:t>
                  </w:r>
                </w:p>
              </w:tc>
              <w:tc>
                <w:tcPr>
                  <w:tcW w:w="547" w:type="pct"/>
                  <w:vAlign w:val="center"/>
                </w:tcPr>
                <w:p w14:paraId="6720C74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55047</w:t>
                  </w:r>
                </w:p>
              </w:tc>
              <w:tc>
                <w:tcPr>
                  <w:tcW w:w="548" w:type="pct"/>
                  <w:vAlign w:val="center"/>
                </w:tcPr>
                <w:p w14:paraId="61FA278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53397</w:t>
                  </w:r>
                </w:p>
              </w:tc>
              <w:tc>
                <w:tcPr>
                  <w:tcW w:w="548" w:type="pct"/>
                  <w:gridSpan w:val="2"/>
                  <w:vAlign w:val="center"/>
                </w:tcPr>
                <w:p w14:paraId="426ED7D5">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78FBB8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58DD4E8B">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0C612006">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0026034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烟温（</w:t>
                  </w:r>
                  <w:r>
                    <w:rPr>
                      <w:rFonts w:hint="eastAsia" w:ascii="宋体" w:hAnsi="宋体" w:eastAsia="宋体" w:cs="宋体"/>
                      <w:color w:val="000000" w:themeColor="text1"/>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3D3BB6C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31</w:t>
                  </w:r>
                </w:p>
              </w:tc>
              <w:tc>
                <w:tcPr>
                  <w:tcW w:w="548" w:type="pct"/>
                  <w:vAlign w:val="center"/>
                </w:tcPr>
                <w:p w14:paraId="39DA0D8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31</w:t>
                  </w:r>
                </w:p>
              </w:tc>
              <w:tc>
                <w:tcPr>
                  <w:tcW w:w="547" w:type="pct"/>
                  <w:vAlign w:val="center"/>
                </w:tcPr>
                <w:p w14:paraId="4425930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31</w:t>
                  </w:r>
                </w:p>
              </w:tc>
              <w:tc>
                <w:tcPr>
                  <w:tcW w:w="548" w:type="pct"/>
                  <w:vAlign w:val="center"/>
                </w:tcPr>
                <w:p w14:paraId="24263D5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31</w:t>
                  </w:r>
                </w:p>
              </w:tc>
              <w:tc>
                <w:tcPr>
                  <w:tcW w:w="548" w:type="pct"/>
                  <w:gridSpan w:val="2"/>
                  <w:vAlign w:val="center"/>
                </w:tcPr>
                <w:p w14:paraId="2804EB6E">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4D4686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6A4F61CA">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605881B1">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63D2254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烟气流速（m/s）</w:t>
                  </w:r>
                </w:p>
              </w:tc>
              <w:tc>
                <w:tcPr>
                  <w:tcW w:w="547" w:type="pct"/>
                  <w:vAlign w:val="center"/>
                </w:tcPr>
                <w:p w14:paraId="174FA05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6.9</w:t>
                  </w:r>
                </w:p>
              </w:tc>
              <w:tc>
                <w:tcPr>
                  <w:tcW w:w="548" w:type="pct"/>
                  <w:vAlign w:val="center"/>
                </w:tcPr>
                <w:p w14:paraId="0F1348F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6.6</w:t>
                  </w:r>
                </w:p>
              </w:tc>
              <w:tc>
                <w:tcPr>
                  <w:tcW w:w="547" w:type="pct"/>
                  <w:vAlign w:val="center"/>
                </w:tcPr>
                <w:p w14:paraId="70FC132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7.1</w:t>
                  </w:r>
                </w:p>
              </w:tc>
              <w:tc>
                <w:tcPr>
                  <w:tcW w:w="548" w:type="pct"/>
                  <w:vAlign w:val="center"/>
                </w:tcPr>
                <w:p w14:paraId="4A16DB3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6.9</w:t>
                  </w:r>
                </w:p>
              </w:tc>
              <w:tc>
                <w:tcPr>
                  <w:tcW w:w="548" w:type="pct"/>
                  <w:gridSpan w:val="2"/>
                  <w:vAlign w:val="center"/>
                </w:tcPr>
                <w:p w14:paraId="5662BA86">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58254A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7C31783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01CD4BB7">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691AE5F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含氧量（%）</w:t>
                  </w:r>
                </w:p>
              </w:tc>
              <w:tc>
                <w:tcPr>
                  <w:tcW w:w="547" w:type="pct"/>
                  <w:vAlign w:val="center"/>
                </w:tcPr>
                <w:p w14:paraId="479B004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19.3</w:t>
                  </w:r>
                </w:p>
              </w:tc>
              <w:tc>
                <w:tcPr>
                  <w:tcW w:w="548" w:type="pct"/>
                  <w:vAlign w:val="center"/>
                </w:tcPr>
                <w:p w14:paraId="44A43CD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19.5</w:t>
                  </w:r>
                </w:p>
              </w:tc>
              <w:tc>
                <w:tcPr>
                  <w:tcW w:w="547" w:type="pct"/>
                  <w:vAlign w:val="center"/>
                </w:tcPr>
                <w:p w14:paraId="3A96C4C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19.2</w:t>
                  </w:r>
                </w:p>
              </w:tc>
              <w:tc>
                <w:tcPr>
                  <w:tcW w:w="548" w:type="pct"/>
                  <w:vAlign w:val="center"/>
                </w:tcPr>
                <w:p w14:paraId="370D301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19.3</w:t>
                  </w:r>
                </w:p>
              </w:tc>
              <w:tc>
                <w:tcPr>
                  <w:tcW w:w="548" w:type="pct"/>
                  <w:gridSpan w:val="2"/>
                  <w:vAlign w:val="center"/>
                </w:tcPr>
                <w:p w14:paraId="7F4634F2">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1C5F40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3F54B642">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restart"/>
                  <w:vAlign w:val="center"/>
                </w:tcPr>
                <w:p w14:paraId="6FC0BB0D">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985" w:type="pct"/>
                  <w:vAlign w:val="center"/>
                </w:tcPr>
                <w:p w14:paraId="4D4E37E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1E40941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14.7</w:t>
                  </w:r>
                </w:p>
              </w:tc>
              <w:tc>
                <w:tcPr>
                  <w:tcW w:w="548" w:type="pct"/>
                  <w:vAlign w:val="center"/>
                </w:tcPr>
                <w:p w14:paraId="31A7A7C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13.7</w:t>
                  </w:r>
                </w:p>
              </w:tc>
              <w:tc>
                <w:tcPr>
                  <w:tcW w:w="547" w:type="pct"/>
                  <w:vAlign w:val="center"/>
                </w:tcPr>
                <w:p w14:paraId="3A6A74D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14.0</w:t>
                  </w:r>
                </w:p>
              </w:tc>
              <w:tc>
                <w:tcPr>
                  <w:tcW w:w="548" w:type="pct"/>
                  <w:vAlign w:val="center"/>
                </w:tcPr>
                <w:p w14:paraId="03500D7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14.1</w:t>
                  </w:r>
                </w:p>
              </w:tc>
              <w:tc>
                <w:tcPr>
                  <w:tcW w:w="548" w:type="pct"/>
                  <w:gridSpan w:val="2"/>
                  <w:vAlign w:val="center"/>
                </w:tcPr>
                <w:p w14:paraId="422AE9ED">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04C7D4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5167492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6ABB2396">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302EA2D8">
                  <w:pPr>
                    <w:pStyle w:val="21"/>
                    <w:spacing w:line="240" w:lineRule="auto"/>
                    <w:jc w:val="center"/>
                    <w:rPr>
                      <w:rFonts w:ascii="Times New Roman" w:hAnsi="Times New Roman" w:eastAsia="宋体"/>
                      <w:color w:val="000000" w:themeColor="text1"/>
                      <w:sz w:val="21"/>
                      <w:szCs w:val="21"/>
                      <w14:textFill>
                        <w14:solidFill>
                          <w14:schemeClr w14:val="tx1"/>
                        </w14:solidFill>
                      </w14:textFill>
                    </w:rPr>
                  </w:pPr>
                  <w:r>
                    <w:rPr>
                      <w:rFonts w:ascii="Times New Roman" w:hAnsi="Times New Roman" w:eastAsia="宋体"/>
                      <w:color w:val="000000" w:themeColor="text1"/>
                      <w:sz w:val="21"/>
                      <w:szCs w:val="21"/>
                      <w14:textFill>
                        <w14:solidFill>
                          <w14:schemeClr w14:val="tx1"/>
                        </w14:solidFill>
                      </w14:textFill>
                    </w:rPr>
                    <w:t>折算浓度（mg/m</w:t>
                  </w:r>
                  <w:r>
                    <w:rPr>
                      <w:rFonts w:ascii="Times New Roman" w:hAnsi="Times New Roman" w:eastAsia="宋体"/>
                      <w:color w:val="000000" w:themeColor="text1"/>
                      <w:sz w:val="21"/>
                      <w:szCs w:val="21"/>
                      <w:vertAlign w:val="superscript"/>
                      <w14:textFill>
                        <w14:solidFill>
                          <w14:schemeClr w14:val="tx1"/>
                        </w14:solidFill>
                      </w14:textFill>
                    </w:rPr>
                    <w:t>3</w:t>
                  </w:r>
                  <w:r>
                    <w:rPr>
                      <w:rFonts w:ascii="Times New Roman" w:hAnsi="Times New Roman" w:eastAsia="宋体"/>
                      <w:color w:val="000000" w:themeColor="text1"/>
                      <w:sz w:val="21"/>
                      <w:szCs w:val="21"/>
                      <w14:textFill>
                        <w14:solidFill>
                          <w14:schemeClr w14:val="tx1"/>
                        </w14:solidFill>
                      </w14:textFill>
                    </w:rPr>
                    <w:t>）</w:t>
                  </w:r>
                </w:p>
              </w:tc>
              <w:tc>
                <w:tcPr>
                  <w:tcW w:w="547" w:type="pct"/>
                  <w:vAlign w:val="center"/>
                </w:tcPr>
                <w:p w14:paraId="7230DCA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25.9</w:t>
                  </w:r>
                </w:p>
              </w:tc>
              <w:tc>
                <w:tcPr>
                  <w:tcW w:w="548" w:type="pct"/>
                  <w:vAlign w:val="center"/>
                </w:tcPr>
                <w:p w14:paraId="0368EAE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27.4</w:t>
                  </w:r>
                </w:p>
              </w:tc>
              <w:tc>
                <w:tcPr>
                  <w:tcW w:w="547" w:type="pct"/>
                  <w:vAlign w:val="center"/>
                </w:tcPr>
                <w:p w14:paraId="591C118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23.3</w:t>
                  </w:r>
                </w:p>
              </w:tc>
              <w:tc>
                <w:tcPr>
                  <w:tcW w:w="548" w:type="pct"/>
                  <w:vAlign w:val="center"/>
                </w:tcPr>
                <w:p w14:paraId="1014885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25.5</w:t>
                  </w:r>
                </w:p>
              </w:tc>
              <w:tc>
                <w:tcPr>
                  <w:tcW w:w="548" w:type="pct"/>
                  <w:gridSpan w:val="2"/>
                  <w:vAlign w:val="center"/>
                </w:tcPr>
                <w:p w14:paraId="534697F3">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7D85DB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4C5028FB">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restart"/>
                  <w:vAlign w:val="center"/>
                </w:tcPr>
                <w:p w14:paraId="45CDC40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二氧化硫</w:t>
                  </w:r>
                </w:p>
              </w:tc>
              <w:tc>
                <w:tcPr>
                  <w:tcW w:w="985" w:type="pct"/>
                  <w:vAlign w:val="center"/>
                </w:tcPr>
                <w:p w14:paraId="05B0288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590F591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10</w:t>
                  </w:r>
                </w:p>
              </w:tc>
              <w:tc>
                <w:tcPr>
                  <w:tcW w:w="548" w:type="pct"/>
                  <w:vAlign w:val="center"/>
                </w:tcPr>
                <w:p w14:paraId="289F66A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w:t>
                  </w:r>
                </w:p>
              </w:tc>
              <w:tc>
                <w:tcPr>
                  <w:tcW w:w="547" w:type="pct"/>
                  <w:vAlign w:val="center"/>
                </w:tcPr>
                <w:p w14:paraId="4148821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w:t>
                  </w:r>
                </w:p>
              </w:tc>
              <w:tc>
                <w:tcPr>
                  <w:tcW w:w="548" w:type="pct"/>
                  <w:vAlign w:val="center"/>
                </w:tcPr>
                <w:p w14:paraId="29955C4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w:t>
                  </w:r>
                </w:p>
              </w:tc>
              <w:tc>
                <w:tcPr>
                  <w:tcW w:w="548" w:type="pct"/>
                  <w:gridSpan w:val="2"/>
                  <w:vAlign w:val="center"/>
                </w:tcPr>
                <w:p w14:paraId="3FDBB0F3">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65CE92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7C6900FE">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70AE16E2">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13C5B3C1">
                  <w:pPr>
                    <w:pStyle w:val="21"/>
                    <w:spacing w:line="240" w:lineRule="auto"/>
                    <w:jc w:val="center"/>
                    <w:rPr>
                      <w:rFonts w:ascii="Times New Roman" w:hAnsi="Times New Roman" w:eastAsia="宋体"/>
                      <w:color w:val="000000" w:themeColor="text1"/>
                      <w:sz w:val="21"/>
                      <w:szCs w:val="21"/>
                      <w14:textFill>
                        <w14:solidFill>
                          <w14:schemeClr w14:val="tx1"/>
                        </w14:solidFill>
                      </w14:textFill>
                    </w:rPr>
                  </w:pPr>
                  <w:r>
                    <w:rPr>
                      <w:rFonts w:ascii="Times New Roman" w:hAnsi="Times New Roman" w:eastAsia="宋体"/>
                      <w:color w:val="000000" w:themeColor="text1"/>
                      <w:sz w:val="21"/>
                      <w:szCs w:val="21"/>
                      <w14:textFill>
                        <w14:solidFill>
                          <w14:schemeClr w14:val="tx1"/>
                        </w14:solidFill>
                      </w14:textFill>
                    </w:rPr>
                    <w:t>折算浓度（mg/m</w:t>
                  </w:r>
                  <w:r>
                    <w:rPr>
                      <w:rFonts w:ascii="Times New Roman" w:hAnsi="Times New Roman" w:eastAsia="宋体"/>
                      <w:color w:val="000000" w:themeColor="text1"/>
                      <w:sz w:val="21"/>
                      <w:szCs w:val="21"/>
                      <w:vertAlign w:val="superscript"/>
                      <w14:textFill>
                        <w14:solidFill>
                          <w14:schemeClr w14:val="tx1"/>
                        </w14:solidFill>
                      </w14:textFill>
                    </w:rPr>
                    <w:t>3</w:t>
                  </w:r>
                  <w:r>
                    <w:rPr>
                      <w:rFonts w:ascii="Times New Roman" w:hAnsi="Times New Roman" w:eastAsia="宋体"/>
                      <w:color w:val="000000" w:themeColor="text1"/>
                      <w:sz w:val="21"/>
                      <w:szCs w:val="21"/>
                      <w14:textFill>
                        <w14:solidFill>
                          <w14:schemeClr w14:val="tx1"/>
                        </w14:solidFill>
                      </w14:textFill>
                    </w:rPr>
                    <w:t>）</w:t>
                  </w:r>
                </w:p>
              </w:tc>
              <w:tc>
                <w:tcPr>
                  <w:tcW w:w="547" w:type="pct"/>
                  <w:vAlign w:val="center"/>
                </w:tcPr>
                <w:p w14:paraId="7D09B19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18</w:t>
                  </w:r>
                </w:p>
              </w:tc>
              <w:tc>
                <w:tcPr>
                  <w:tcW w:w="548" w:type="pct"/>
                  <w:vAlign w:val="center"/>
                </w:tcPr>
                <w:p w14:paraId="2FD794B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26</w:t>
                  </w:r>
                </w:p>
              </w:tc>
              <w:tc>
                <w:tcPr>
                  <w:tcW w:w="547" w:type="pct"/>
                  <w:vAlign w:val="center"/>
                </w:tcPr>
                <w:p w14:paraId="6D7436F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22</w:t>
                  </w:r>
                </w:p>
              </w:tc>
              <w:tc>
                <w:tcPr>
                  <w:tcW w:w="548" w:type="pct"/>
                  <w:vAlign w:val="center"/>
                </w:tcPr>
                <w:p w14:paraId="12E47DD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22</w:t>
                  </w:r>
                </w:p>
              </w:tc>
              <w:tc>
                <w:tcPr>
                  <w:tcW w:w="548" w:type="pct"/>
                  <w:gridSpan w:val="2"/>
                  <w:vAlign w:val="center"/>
                </w:tcPr>
                <w:p w14:paraId="28D028C8">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01143B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4D1B0A3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restart"/>
                  <w:vAlign w:val="center"/>
                </w:tcPr>
                <w:p w14:paraId="3F1E1B5B">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氮氧化物</w:t>
                  </w:r>
                </w:p>
              </w:tc>
              <w:tc>
                <w:tcPr>
                  <w:tcW w:w="985" w:type="pct"/>
                  <w:vAlign w:val="center"/>
                </w:tcPr>
                <w:p w14:paraId="44573D9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2EB1A28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w:t>
                  </w:r>
                </w:p>
              </w:tc>
              <w:tc>
                <w:tcPr>
                  <w:tcW w:w="548" w:type="pct"/>
                  <w:vAlign w:val="center"/>
                </w:tcPr>
                <w:p w14:paraId="3C7DDE1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w:t>
                  </w:r>
                </w:p>
              </w:tc>
              <w:tc>
                <w:tcPr>
                  <w:tcW w:w="547" w:type="pct"/>
                  <w:vAlign w:val="center"/>
                </w:tcPr>
                <w:p w14:paraId="5F757ED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w:t>
                  </w:r>
                </w:p>
              </w:tc>
              <w:tc>
                <w:tcPr>
                  <w:tcW w:w="548" w:type="pct"/>
                  <w:vAlign w:val="center"/>
                </w:tcPr>
                <w:p w14:paraId="3D4918D1">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w:t>
                  </w:r>
                </w:p>
              </w:tc>
              <w:tc>
                <w:tcPr>
                  <w:tcW w:w="548" w:type="pct"/>
                  <w:gridSpan w:val="2"/>
                  <w:vAlign w:val="center"/>
                </w:tcPr>
                <w:p w14:paraId="05CE11D8">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316FF5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52FC3D8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1C1F2DD1">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6FEA1642">
                  <w:pPr>
                    <w:pStyle w:val="21"/>
                    <w:spacing w:line="240" w:lineRule="auto"/>
                    <w:jc w:val="center"/>
                    <w:rPr>
                      <w:rFonts w:ascii="Times New Roman" w:hAnsi="Times New Roman" w:eastAsia="宋体"/>
                      <w:color w:val="000000" w:themeColor="text1"/>
                      <w:sz w:val="21"/>
                      <w:szCs w:val="21"/>
                      <w14:textFill>
                        <w14:solidFill>
                          <w14:schemeClr w14:val="tx1"/>
                        </w14:solidFill>
                      </w14:textFill>
                    </w:rPr>
                  </w:pPr>
                  <w:r>
                    <w:rPr>
                      <w:rFonts w:ascii="Times New Roman" w:hAnsi="Times New Roman" w:eastAsia="宋体"/>
                      <w:color w:val="000000" w:themeColor="text1"/>
                      <w:sz w:val="21"/>
                      <w:szCs w:val="21"/>
                      <w14:textFill>
                        <w14:solidFill>
                          <w14:schemeClr w14:val="tx1"/>
                        </w14:solidFill>
                      </w14:textFill>
                    </w:rPr>
                    <w:t>折算浓度（mg/m</w:t>
                  </w:r>
                  <w:r>
                    <w:rPr>
                      <w:rFonts w:ascii="Times New Roman" w:hAnsi="Times New Roman" w:eastAsia="宋体"/>
                      <w:color w:val="000000" w:themeColor="text1"/>
                      <w:sz w:val="21"/>
                      <w:szCs w:val="21"/>
                      <w:vertAlign w:val="superscript"/>
                      <w14:textFill>
                        <w14:solidFill>
                          <w14:schemeClr w14:val="tx1"/>
                        </w14:solidFill>
                      </w14:textFill>
                    </w:rPr>
                    <w:t>3</w:t>
                  </w:r>
                  <w:r>
                    <w:rPr>
                      <w:rFonts w:ascii="Times New Roman" w:hAnsi="Times New Roman" w:eastAsia="宋体"/>
                      <w:color w:val="000000" w:themeColor="text1"/>
                      <w:sz w:val="21"/>
                      <w:szCs w:val="21"/>
                      <w14:textFill>
                        <w14:solidFill>
                          <w14:schemeClr w14:val="tx1"/>
                        </w14:solidFill>
                      </w14:textFill>
                    </w:rPr>
                    <w:t>）</w:t>
                  </w:r>
                </w:p>
              </w:tc>
              <w:tc>
                <w:tcPr>
                  <w:tcW w:w="547" w:type="pct"/>
                  <w:vAlign w:val="center"/>
                </w:tcPr>
                <w:p w14:paraId="3273F28F">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w:t>
                  </w:r>
                </w:p>
              </w:tc>
              <w:tc>
                <w:tcPr>
                  <w:tcW w:w="548" w:type="pct"/>
                  <w:vAlign w:val="center"/>
                </w:tcPr>
                <w:p w14:paraId="18690B82">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26</w:t>
                  </w:r>
                </w:p>
              </w:tc>
              <w:tc>
                <w:tcPr>
                  <w:tcW w:w="547" w:type="pct"/>
                  <w:vAlign w:val="center"/>
                </w:tcPr>
                <w:p w14:paraId="1EFF338B">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20</w:t>
                  </w:r>
                </w:p>
              </w:tc>
              <w:tc>
                <w:tcPr>
                  <w:tcW w:w="548" w:type="pct"/>
                  <w:vAlign w:val="center"/>
                </w:tcPr>
                <w:p w14:paraId="7F3C8229">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22</w:t>
                  </w:r>
                </w:p>
              </w:tc>
              <w:tc>
                <w:tcPr>
                  <w:tcW w:w="548" w:type="pct"/>
                  <w:gridSpan w:val="2"/>
                  <w:vAlign w:val="center"/>
                </w:tcPr>
                <w:p w14:paraId="79D6EF6A">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595F8F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1FAF827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restart"/>
                  <w:vAlign w:val="center"/>
                </w:tcPr>
                <w:p w14:paraId="24BC42D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排气参数</w:t>
                  </w:r>
                </w:p>
              </w:tc>
              <w:tc>
                <w:tcPr>
                  <w:tcW w:w="985" w:type="pct"/>
                  <w:vAlign w:val="center"/>
                </w:tcPr>
                <w:p w14:paraId="62D4EBD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流量（Nm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/h）</w:t>
                  </w:r>
                </w:p>
              </w:tc>
              <w:tc>
                <w:tcPr>
                  <w:tcW w:w="547" w:type="pct"/>
                  <w:vAlign w:val="center"/>
                </w:tcPr>
                <w:p w14:paraId="79EF03B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53030</w:t>
                  </w:r>
                </w:p>
              </w:tc>
              <w:tc>
                <w:tcPr>
                  <w:tcW w:w="548" w:type="pct"/>
                  <w:vAlign w:val="center"/>
                </w:tcPr>
                <w:p w14:paraId="4169621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54444</w:t>
                  </w:r>
                </w:p>
              </w:tc>
              <w:tc>
                <w:tcPr>
                  <w:tcW w:w="547" w:type="pct"/>
                  <w:vAlign w:val="center"/>
                </w:tcPr>
                <w:p w14:paraId="3190CF6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56502</w:t>
                  </w:r>
                </w:p>
              </w:tc>
              <w:tc>
                <w:tcPr>
                  <w:tcW w:w="548" w:type="pct"/>
                  <w:vAlign w:val="center"/>
                </w:tcPr>
                <w:p w14:paraId="2E904AD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54659</w:t>
                  </w:r>
                </w:p>
              </w:tc>
              <w:tc>
                <w:tcPr>
                  <w:tcW w:w="548" w:type="pct"/>
                  <w:gridSpan w:val="2"/>
                  <w:vAlign w:val="center"/>
                </w:tcPr>
                <w:p w14:paraId="4287FEEB">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0CA4F8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499BD72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1C8D324E">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754EEB9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烟温（</w:t>
                  </w:r>
                  <w:r>
                    <w:rPr>
                      <w:rFonts w:hint="eastAsia" w:ascii="宋体" w:hAnsi="宋体" w:eastAsia="宋体" w:cs="宋体"/>
                      <w:color w:val="000000" w:themeColor="text1"/>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2006ADC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30</w:t>
                  </w:r>
                </w:p>
              </w:tc>
              <w:tc>
                <w:tcPr>
                  <w:tcW w:w="548" w:type="pct"/>
                  <w:vAlign w:val="center"/>
                </w:tcPr>
                <w:p w14:paraId="026F3E1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30</w:t>
                  </w:r>
                </w:p>
              </w:tc>
              <w:tc>
                <w:tcPr>
                  <w:tcW w:w="547" w:type="pct"/>
                  <w:vAlign w:val="center"/>
                </w:tcPr>
                <w:p w14:paraId="751C163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30</w:t>
                  </w:r>
                </w:p>
              </w:tc>
              <w:tc>
                <w:tcPr>
                  <w:tcW w:w="548" w:type="pct"/>
                  <w:vAlign w:val="center"/>
                </w:tcPr>
                <w:p w14:paraId="1D69CE7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30</w:t>
                  </w:r>
                </w:p>
              </w:tc>
              <w:tc>
                <w:tcPr>
                  <w:tcW w:w="548" w:type="pct"/>
                  <w:gridSpan w:val="2"/>
                  <w:vAlign w:val="center"/>
                </w:tcPr>
                <w:p w14:paraId="10BDFD17">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775EDB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16335221">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05E27CFB">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2416BBD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烟气流速（m/s）</w:t>
                  </w:r>
                </w:p>
              </w:tc>
              <w:tc>
                <w:tcPr>
                  <w:tcW w:w="547" w:type="pct"/>
                  <w:vAlign w:val="center"/>
                </w:tcPr>
                <w:p w14:paraId="6572D84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6.8</w:t>
                  </w:r>
                </w:p>
              </w:tc>
              <w:tc>
                <w:tcPr>
                  <w:tcW w:w="548" w:type="pct"/>
                  <w:vAlign w:val="center"/>
                </w:tcPr>
                <w:p w14:paraId="0882E76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7.0</w:t>
                  </w:r>
                </w:p>
              </w:tc>
              <w:tc>
                <w:tcPr>
                  <w:tcW w:w="547" w:type="pct"/>
                  <w:vAlign w:val="center"/>
                </w:tcPr>
                <w:p w14:paraId="0C6ACE1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7.2</w:t>
                  </w:r>
                </w:p>
              </w:tc>
              <w:tc>
                <w:tcPr>
                  <w:tcW w:w="548" w:type="pct"/>
                  <w:vAlign w:val="center"/>
                </w:tcPr>
                <w:p w14:paraId="07DDA79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7.0</w:t>
                  </w:r>
                </w:p>
              </w:tc>
              <w:tc>
                <w:tcPr>
                  <w:tcW w:w="548" w:type="pct"/>
                  <w:gridSpan w:val="2"/>
                  <w:vAlign w:val="center"/>
                </w:tcPr>
                <w:p w14:paraId="369F7604">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0A91A3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69648E6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4E03E553">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3F1983A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含氧量（%）</w:t>
                  </w:r>
                </w:p>
              </w:tc>
              <w:tc>
                <w:tcPr>
                  <w:tcW w:w="547" w:type="pct"/>
                  <w:vAlign w:val="center"/>
                </w:tcPr>
                <w:p w14:paraId="029F910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19.4</w:t>
                  </w:r>
                </w:p>
              </w:tc>
              <w:tc>
                <w:tcPr>
                  <w:tcW w:w="548" w:type="pct"/>
                  <w:vAlign w:val="center"/>
                </w:tcPr>
                <w:p w14:paraId="3C057EC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19.4</w:t>
                  </w:r>
                </w:p>
              </w:tc>
              <w:tc>
                <w:tcPr>
                  <w:tcW w:w="547" w:type="pct"/>
                  <w:vAlign w:val="center"/>
                </w:tcPr>
                <w:p w14:paraId="594A399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19.2</w:t>
                  </w:r>
                </w:p>
              </w:tc>
              <w:tc>
                <w:tcPr>
                  <w:tcW w:w="548" w:type="pct"/>
                  <w:vAlign w:val="center"/>
                </w:tcPr>
                <w:p w14:paraId="384ABAD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19.3</w:t>
                  </w:r>
                </w:p>
              </w:tc>
              <w:tc>
                <w:tcPr>
                  <w:tcW w:w="548" w:type="pct"/>
                  <w:gridSpan w:val="2"/>
                  <w:vAlign w:val="center"/>
                </w:tcPr>
                <w:p w14:paraId="1292AFC6">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003BF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3DCC3A70">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restart"/>
                  <w:vAlign w:val="center"/>
                </w:tcPr>
                <w:p w14:paraId="25A857D9">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985" w:type="pct"/>
                  <w:vAlign w:val="center"/>
                </w:tcPr>
                <w:p w14:paraId="72D600D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47" w:type="pct"/>
                  <w:vAlign w:val="center"/>
                </w:tcPr>
                <w:p w14:paraId="5EE212D3">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0.92</w:t>
                  </w:r>
                </w:p>
              </w:tc>
              <w:tc>
                <w:tcPr>
                  <w:tcW w:w="548" w:type="pct"/>
                  <w:vAlign w:val="center"/>
                </w:tcPr>
                <w:p w14:paraId="4DBD2663">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0.98</w:t>
                  </w:r>
                </w:p>
              </w:tc>
              <w:tc>
                <w:tcPr>
                  <w:tcW w:w="547" w:type="pct"/>
                  <w:vAlign w:val="center"/>
                </w:tcPr>
                <w:p w14:paraId="074E529B">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0.97</w:t>
                  </w:r>
                </w:p>
              </w:tc>
              <w:tc>
                <w:tcPr>
                  <w:tcW w:w="548" w:type="pct"/>
                  <w:vAlign w:val="center"/>
                </w:tcPr>
                <w:p w14:paraId="657B4FA2">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0.96</w:t>
                  </w:r>
                </w:p>
              </w:tc>
              <w:tc>
                <w:tcPr>
                  <w:tcW w:w="548" w:type="pct"/>
                  <w:gridSpan w:val="2"/>
                  <w:vAlign w:val="center"/>
                </w:tcPr>
                <w:p w14:paraId="3156865D">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2467D7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37" w:hRule="atLeast"/>
              </w:trPr>
              <w:tc>
                <w:tcPr>
                  <w:tcW w:w="534" w:type="pct"/>
                  <w:vMerge w:val="continue"/>
                  <w:vAlign w:val="center"/>
                </w:tcPr>
                <w:p w14:paraId="4B621DFA">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43" w:type="pct"/>
                  <w:vMerge w:val="continue"/>
                  <w:vAlign w:val="center"/>
                </w:tcPr>
                <w:p w14:paraId="0218A3BC">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85" w:type="pct"/>
                  <w:vAlign w:val="center"/>
                </w:tcPr>
                <w:p w14:paraId="6503B57B">
                  <w:pPr>
                    <w:pStyle w:val="21"/>
                    <w:spacing w:line="240" w:lineRule="auto"/>
                    <w:jc w:val="center"/>
                    <w:rPr>
                      <w:rFonts w:ascii="Times New Roman" w:hAnsi="Times New Roman" w:eastAsia="宋体"/>
                      <w:color w:val="000000" w:themeColor="text1"/>
                      <w:sz w:val="21"/>
                      <w:szCs w:val="21"/>
                      <w14:textFill>
                        <w14:solidFill>
                          <w14:schemeClr w14:val="tx1"/>
                        </w14:solidFill>
                      </w14:textFill>
                    </w:rPr>
                  </w:pPr>
                  <w:r>
                    <w:rPr>
                      <w:rFonts w:ascii="Times New Roman" w:hAnsi="Times New Roman" w:eastAsia="宋体"/>
                      <w:color w:val="000000" w:themeColor="text1"/>
                      <w:sz w:val="21"/>
                      <w:szCs w:val="21"/>
                      <w14:textFill>
                        <w14:solidFill>
                          <w14:schemeClr w14:val="tx1"/>
                        </w14:solidFill>
                      </w14:textFill>
                    </w:rPr>
                    <w:t>折算浓度（mg/m</w:t>
                  </w:r>
                  <w:r>
                    <w:rPr>
                      <w:rFonts w:ascii="Times New Roman" w:hAnsi="Times New Roman" w:eastAsia="宋体"/>
                      <w:color w:val="000000" w:themeColor="text1"/>
                      <w:sz w:val="21"/>
                      <w:szCs w:val="21"/>
                      <w:vertAlign w:val="superscript"/>
                      <w14:textFill>
                        <w14:solidFill>
                          <w14:schemeClr w14:val="tx1"/>
                        </w14:solidFill>
                      </w14:textFill>
                    </w:rPr>
                    <w:t>3</w:t>
                  </w:r>
                  <w:r>
                    <w:rPr>
                      <w:rFonts w:ascii="Times New Roman" w:hAnsi="Times New Roman" w:eastAsia="宋体"/>
                      <w:color w:val="000000" w:themeColor="text1"/>
                      <w:sz w:val="21"/>
                      <w:szCs w:val="21"/>
                      <w14:textFill>
                        <w14:solidFill>
                          <w14:schemeClr w14:val="tx1"/>
                        </w14:solidFill>
                      </w14:textFill>
                    </w:rPr>
                    <w:t>）</w:t>
                  </w:r>
                </w:p>
              </w:tc>
              <w:tc>
                <w:tcPr>
                  <w:tcW w:w="547" w:type="pct"/>
                  <w:vAlign w:val="center"/>
                </w:tcPr>
                <w:p w14:paraId="58858CBD">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1.72</w:t>
                  </w:r>
                </w:p>
              </w:tc>
              <w:tc>
                <w:tcPr>
                  <w:tcW w:w="548" w:type="pct"/>
                  <w:vAlign w:val="center"/>
                </w:tcPr>
                <w:p w14:paraId="3626C32C">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1.84</w:t>
                  </w:r>
                </w:p>
              </w:tc>
              <w:tc>
                <w:tcPr>
                  <w:tcW w:w="547" w:type="pct"/>
                  <w:vAlign w:val="center"/>
                </w:tcPr>
                <w:p w14:paraId="47843CD0">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1.62</w:t>
                  </w:r>
                </w:p>
              </w:tc>
              <w:tc>
                <w:tcPr>
                  <w:tcW w:w="548" w:type="pct"/>
                  <w:vAlign w:val="center"/>
                </w:tcPr>
                <w:p w14:paraId="5A9CB764">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1.73</w:t>
                  </w:r>
                </w:p>
              </w:tc>
              <w:tc>
                <w:tcPr>
                  <w:tcW w:w="548" w:type="pct"/>
                  <w:gridSpan w:val="2"/>
                  <w:vAlign w:val="center"/>
                </w:tcPr>
                <w:p w14:paraId="4B77C425">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1697F9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gridAfter w:val="1"/>
                <w:wAfter w:w="13" w:type="pct"/>
                <w:trHeight w:val="337" w:hRule="atLeast"/>
              </w:trPr>
              <w:tc>
                <w:tcPr>
                  <w:tcW w:w="534" w:type="pct"/>
                  <w:vAlign w:val="center"/>
                </w:tcPr>
                <w:p w14:paraId="0CFD8919">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备注</w:t>
                  </w:r>
                </w:p>
              </w:tc>
              <w:tc>
                <w:tcPr>
                  <w:tcW w:w="4453" w:type="pct"/>
                  <w:gridSpan w:val="7"/>
                  <w:vAlign w:val="center"/>
                </w:tcPr>
                <w:p w14:paraId="425F1CEF">
                  <w:pPr>
                    <w:jc w:val="left"/>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1、折算浓度=实测浓度×[（21-基准氧含量）/（21-实测的氧含量）]，人工干燥及焙烧窑的干烟气基准含氧量为18%；</w:t>
                  </w:r>
                </w:p>
                <w:p w14:paraId="5E12B5F8">
                  <w:pPr>
                    <w:widowControl/>
                    <w:jc w:val="left"/>
                    <w:textAlignment w:val="center"/>
                    <w:rPr>
                      <w:rFonts w:ascii="Times New Roman" w:hAnsi="Times New Roman" w:eastAsia="宋体" w:cs="Times New Roman"/>
                      <w:color w:val="000000" w:themeColor="text1"/>
                      <w:kern w:val="0"/>
                      <w:szCs w:val="21"/>
                      <w:lang w:bidi="ar"/>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2、排气筒高度高出周围200m半径距离内的建筑&gt;3m。</w:t>
                  </w:r>
                </w:p>
              </w:tc>
            </w:tr>
          </w:tbl>
          <w:p w14:paraId="3D963DFC">
            <w:pPr>
              <w:snapToGrid w:val="0"/>
              <w:jc w:val="center"/>
              <w:textAlignment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30</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ascii="Times New Roman" w:hAnsi="Times New Roman" w:eastAsia="宋体" w:cs="Times New Roman"/>
                <w:b/>
                <w:bCs/>
                <w:color w:val="000000" w:themeColor="text1"/>
                <w:szCs w:val="24"/>
                <w14:textFill>
                  <w14:solidFill>
                    <w14:schemeClr w14:val="tx1"/>
                  </w14:solidFill>
                </w14:textFill>
              </w:rPr>
              <w:t>2#湿式脱硫塔废气有组织检测结果（验收检测）</w:t>
            </w:r>
          </w:p>
          <w:tbl>
            <w:tblPr>
              <w:tblStyle w:val="2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844"/>
              <w:gridCol w:w="1119"/>
              <w:gridCol w:w="1555"/>
              <w:gridCol w:w="895"/>
              <w:gridCol w:w="895"/>
              <w:gridCol w:w="895"/>
              <w:gridCol w:w="898"/>
              <w:gridCol w:w="712"/>
            </w:tblGrid>
            <w:tr w14:paraId="2A13E6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restart"/>
                  <w:vAlign w:val="center"/>
                </w:tcPr>
                <w:p w14:paraId="07DB1A67">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检测点位</w:t>
                  </w:r>
                </w:p>
              </w:tc>
              <w:tc>
                <w:tcPr>
                  <w:tcW w:w="1711" w:type="pct"/>
                  <w:gridSpan w:val="2"/>
                  <w:vMerge w:val="restart"/>
                  <w:vAlign w:val="center"/>
                </w:tcPr>
                <w:p w14:paraId="78C921AA">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检测项目</w:t>
                  </w:r>
                </w:p>
              </w:tc>
              <w:tc>
                <w:tcPr>
                  <w:tcW w:w="2749" w:type="pct"/>
                  <w:gridSpan w:val="5"/>
                  <w:vAlign w:val="center"/>
                </w:tcPr>
                <w:p w14:paraId="3339B283">
                  <w:pPr>
                    <w:tabs>
                      <w:tab w:val="left" w:pos="1924"/>
                      <w:tab w:val="center" w:pos="3477"/>
                    </w:tabs>
                    <w:overflowPunct w:val="0"/>
                    <w:adjustRightInd w:val="0"/>
                    <w:snapToGrid w:val="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采样日期、检测频次及检测结果</w:t>
                  </w:r>
                </w:p>
              </w:tc>
            </w:tr>
            <w:tr w14:paraId="5A539D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369D407B">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1711" w:type="pct"/>
                  <w:gridSpan w:val="2"/>
                  <w:vMerge w:val="continue"/>
                  <w:vAlign w:val="center"/>
                </w:tcPr>
                <w:p w14:paraId="05B4723A">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2749" w:type="pct"/>
                  <w:gridSpan w:val="5"/>
                  <w:vAlign w:val="center"/>
                </w:tcPr>
                <w:p w14:paraId="7EEF5E4B">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5月13日</w:t>
                  </w:r>
                </w:p>
              </w:tc>
            </w:tr>
            <w:tr w14:paraId="727DDE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313149FA">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1711" w:type="pct"/>
                  <w:gridSpan w:val="2"/>
                  <w:vMerge w:val="continue"/>
                  <w:vAlign w:val="center"/>
                </w:tcPr>
                <w:p w14:paraId="287963A2">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573" w:type="pct"/>
                  <w:vAlign w:val="center"/>
                </w:tcPr>
                <w:p w14:paraId="12CFD979">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第1次</w:t>
                  </w:r>
                </w:p>
              </w:tc>
              <w:tc>
                <w:tcPr>
                  <w:tcW w:w="573" w:type="pct"/>
                  <w:vAlign w:val="center"/>
                </w:tcPr>
                <w:p w14:paraId="1797DA56">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第2次</w:t>
                  </w:r>
                </w:p>
              </w:tc>
              <w:tc>
                <w:tcPr>
                  <w:tcW w:w="573" w:type="pct"/>
                  <w:vAlign w:val="center"/>
                </w:tcPr>
                <w:p w14:paraId="7F69A163">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第3次</w:t>
                  </w:r>
                </w:p>
              </w:tc>
              <w:tc>
                <w:tcPr>
                  <w:tcW w:w="575" w:type="pct"/>
                  <w:vAlign w:val="center"/>
                </w:tcPr>
                <w:p w14:paraId="17D3EBB1">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均值</w:t>
                  </w:r>
                </w:p>
              </w:tc>
              <w:tc>
                <w:tcPr>
                  <w:tcW w:w="455" w:type="pct"/>
                  <w:vAlign w:val="center"/>
                </w:tcPr>
                <w:p w14:paraId="3653D4A7">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均值</w:t>
                  </w:r>
                </w:p>
                <w:p w14:paraId="0A002A41">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评价</w:t>
                  </w:r>
                </w:p>
              </w:tc>
            </w:tr>
            <w:tr w14:paraId="65BD53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restart"/>
                  <w:vAlign w:val="center"/>
                </w:tcPr>
                <w:p w14:paraId="709695B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2#湿式脱硫塔排气筒进口</w:t>
                  </w:r>
                </w:p>
              </w:tc>
              <w:tc>
                <w:tcPr>
                  <w:tcW w:w="716" w:type="pct"/>
                  <w:vMerge w:val="restart"/>
                  <w:vAlign w:val="center"/>
                </w:tcPr>
                <w:p w14:paraId="4476CBD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排气参数</w:t>
                  </w:r>
                </w:p>
              </w:tc>
              <w:tc>
                <w:tcPr>
                  <w:tcW w:w="995" w:type="pct"/>
                  <w:vAlign w:val="center"/>
                </w:tcPr>
                <w:p w14:paraId="1FE8A35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流量（Nm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/h）</w:t>
                  </w:r>
                </w:p>
              </w:tc>
              <w:tc>
                <w:tcPr>
                  <w:tcW w:w="573" w:type="pct"/>
                  <w:vAlign w:val="center"/>
                </w:tcPr>
                <w:p w14:paraId="7D82143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51158</w:t>
                  </w:r>
                </w:p>
              </w:tc>
              <w:tc>
                <w:tcPr>
                  <w:tcW w:w="573" w:type="pct"/>
                  <w:vAlign w:val="center"/>
                </w:tcPr>
                <w:p w14:paraId="7143081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52308</w:t>
                  </w:r>
                </w:p>
              </w:tc>
              <w:tc>
                <w:tcPr>
                  <w:tcW w:w="573" w:type="pct"/>
                  <w:vAlign w:val="center"/>
                </w:tcPr>
                <w:p w14:paraId="7FFB7CE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52873</w:t>
                  </w:r>
                </w:p>
              </w:tc>
              <w:tc>
                <w:tcPr>
                  <w:tcW w:w="575" w:type="pct"/>
                  <w:vAlign w:val="center"/>
                </w:tcPr>
                <w:p w14:paraId="4014E7F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52113</w:t>
                  </w:r>
                </w:p>
              </w:tc>
              <w:tc>
                <w:tcPr>
                  <w:tcW w:w="455" w:type="pct"/>
                  <w:vAlign w:val="center"/>
                </w:tcPr>
                <w:p w14:paraId="5A42AFDA">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402DA0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5EA613D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6C0C630B">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6F19E73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烟温（</w:t>
                  </w:r>
                  <w:r>
                    <w:rPr>
                      <w:rFonts w:hint="eastAsia" w:ascii="宋体" w:hAnsi="宋体" w:eastAsia="宋体" w:cs="宋体"/>
                      <w:color w:val="000000" w:themeColor="text1"/>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07BC254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78</w:t>
                  </w:r>
                </w:p>
              </w:tc>
              <w:tc>
                <w:tcPr>
                  <w:tcW w:w="573" w:type="pct"/>
                  <w:vAlign w:val="center"/>
                </w:tcPr>
                <w:p w14:paraId="63D625C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78</w:t>
                  </w:r>
                </w:p>
              </w:tc>
              <w:tc>
                <w:tcPr>
                  <w:tcW w:w="573" w:type="pct"/>
                  <w:vAlign w:val="center"/>
                </w:tcPr>
                <w:p w14:paraId="5A15A7E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78</w:t>
                  </w:r>
                </w:p>
              </w:tc>
              <w:tc>
                <w:tcPr>
                  <w:tcW w:w="575" w:type="pct"/>
                  <w:vAlign w:val="center"/>
                </w:tcPr>
                <w:p w14:paraId="72347EE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78</w:t>
                  </w:r>
                </w:p>
              </w:tc>
              <w:tc>
                <w:tcPr>
                  <w:tcW w:w="455" w:type="pct"/>
                  <w:vAlign w:val="center"/>
                </w:tcPr>
                <w:p w14:paraId="7EEB35F0">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50761B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6814E5E3">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36C5C81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78FB627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烟气流速（m/s）</w:t>
                  </w:r>
                </w:p>
              </w:tc>
              <w:tc>
                <w:tcPr>
                  <w:tcW w:w="573" w:type="pct"/>
                  <w:vAlign w:val="center"/>
                </w:tcPr>
                <w:p w14:paraId="2773F93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8.0</w:t>
                  </w:r>
                </w:p>
              </w:tc>
              <w:tc>
                <w:tcPr>
                  <w:tcW w:w="573" w:type="pct"/>
                  <w:vAlign w:val="center"/>
                </w:tcPr>
                <w:p w14:paraId="1EA61C7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8.1</w:t>
                  </w:r>
                </w:p>
              </w:tc>
              <w:tc>
                <w:tcPr>
                  <w:tcW w:w="573" w:type="pct"/>
                  <w:vAlign w:val="center"/>
                </w:tcPr>
                <w:p w14:paraId="00A5BD7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8.2</w:t>
                  </w:r>
                </w:p>
              </w:tc>
              <w:tc>
                <w:tcPr>
                  <w:tcW w:w="575" w:type="pct"/>
                  <w:vAlign w:val="center"/>
                </w:tcPr>
                <w:p w14:paraId="0395754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8.1</w:t>
                  </w:r>
                </w:p>
              </w:tc>
              <w:tc>
                <w:tcPr>
                  <w:tcW w:w="455" w:type="pct"/>
                  <w:vAlign w:val="center"/>
                </w:tcPr>
                <w:p w14:paraId="48CA1013">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1EF75B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1074C21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3B8FDCB6">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5512491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含氧量（%）</w:t>
                  </w:r>
                </w:p>
              </w:tc>
              <w:tc>
                <w:tcPr>
                  <w:tcW w:w="573" w:type="pct"/>
                  <w:vAlign w:val="center"/>
                </w:tcPr>
                <w:p w14:paraId="6263844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19.5</w:t>
                  </w:r>
                </w:p>
              </w:tc>
              <w:tc>
                <w:tcPr>
                  <w:tcW w:w="573" w:type="pct"/>
                  <w:vAlign w:val="center"/>
                </w:tcPr>
                <w:p w14:paraId="61E66B7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19.4</w:t>
                  </w:r>
                </w:p>
              </w:tc>
              <w:tc>
                <w:tcPr>
                  <w:tcW w:w="573" w:type="pct"/>
                  <w:vAlign w:val="center"/>
                </w:tcPr>
                <w:p w14:paraId="1C5C440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19.2</w:t>
                  </w:r>
                </w:p>
              </w:tc>
              <w:tc>
                <w:tcPr>
                  <w:tcW w:w="575" w:type="pct"/>
                  <w:vAlign w:val="center"/>
                </w:tcPr>
                <w:p w14:paraId="02CA041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19.4</w:t>
                  </w:r>
                </w:p>
              </w:tc>
              <w:tc>
                <w:tcPr>
                  <w:tcW w:w="455" w:type="pct"/>
                  <w:vAlign w:val="center"/>
                </w:tcPr>
                <w:p w14:paraId="30C513C4">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23BA98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5A521C2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Align w:val="center"/>
                </w:tcPr>
                <w:p w14:paraId="09F973DD">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995" w:type="pct"/>
                  <w:vAlign w:val="center"/>
                </w:tcPr>
                <w:p w14:paraId="6685161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28BD2E7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28</w:t>
                  </w:r>
                </w:p>
              </w:tc>
              <w:tc>
                <w:tcPr>
                  <w:tcW w:w="573" w:type="pct"/>
                  <w:vAlign w:val="center"/>
                </w:tcPr>
                <w:p w14:paraId="67493C0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23</w:t>
                  </w:r>
                </w:p>
              </w:tc>
              <w:tc>
                <w:tcPr>
                  <w:tcW w:w="573" w:type="pct"/>
                  <w:vAlign w:val="center"/>
                </w:tcPr>
                <w:p w14:paraId="0CBE0CF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26</w:t>
                  </w:r>
                </w:p>
              </w:tc>
              <w:tc>
                <w:tcPr>
                  <w:tcW w:w="575" w:type="pct"/>
                  <w:vAlign w:val="center"/>
                </w:tcPr>
                <w:p w14:paraId="4E923A3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26</w:t>
                  </w:r>
                </w:p>
              </w:tc>
              <w:tc>
                <w:tcPr>
                  <w:tcW w:w="455" w:type="pct"/>
                  <w:vAlign w:val="center"/>
                </w:tcPr>
                <w:p w14:paraId="242DC3AC">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1E9F6C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59804D0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Align w:val="center"/>
                </w:tcPr>
                <w:p w14:paraId="518EA8F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二氧化硫</w:t>
                  </w:r>
                </w:p>
              </w:tc>
              <w:tc>
                <w:tcPr>
                  <w:tcW w:w="995" w:type="pct"/>
                  <w:vAlign w:val="center"/>
                </w:tcPr>
                <w:p w14:paraId="1468182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71E075C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139</w:t>
                  </w:r>
                </w:p>
              </w:tc>
              <w:tc>
                <w:tcPr>
                  <w:tcW w:w="573" w:type="pct"/>
                  <w:vAlign w:val="center"/>
                </w:tcPr>
                <w:p w14:paraId="3306E40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143</w:t>
                  </w:r>
                </w:p>
              </w:tc>
              <w:tc>
                <w:tcPr>
                  <w:tcW w:w="573" w:type="pct"/>
                  <w:vAlign w:val="center"/>
                </w:tcPr>
                <w:p w14:paraId="373C293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132</w:t>
                  </w:r>
                </w:p>
              </w:tc>
              <w:tc>
                <w:tcPr>
                  <w:tcW w:w="575" w:type="pct"/>
                  <w:vAlign w:val="center"/>
                </w:tcPr>
                <w:p w14:paraId="44940C1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138</w:t>
                  </w:r>
                </w:p>
              </w:tc>
              <w:tc>
                <w:tcPr>
                  <w:tcW w:w="455" w:type="pct"/>
                  <w:vAlign w:val="center"/>
                </w:tcPr>
                <w:p w14:paraId="11554FB6">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7E2F7A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2A4CBA4F">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Align w:val="center"/>
                </w:tcPr>
                <w:p w14:paraId="1DC203F1">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氮氧化物</w:t>
                  </w:r>
                </w:p>
              </w:tc>
              <w:tc>
                <w:tcPr>
                  <w:tcW w:w="995" w:type="pct"/>
                  <w:vAlign w:val="center"/>
                </w:tcPr>
                <w:p w14:paraId="4FFFE6F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05969AE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w:t>
                  </w:r>
                </w:p>
              </w:tc>
              <w:tc>
                <w:tcPr>
                  <w:tcW w:w="573" w:type="pct"/>
                  <w:vAlign w:val="center"/>
                </w:tcPr>
                <w:p w14:paraId="28A3EF9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23</w:t>
                  </w:r>
                </w:p>
              </w:tc>
              <w:tc>
                <w:tcPr>
                  <w:tcW w:w="573" w:type="pct"/>
                  <w:vAlign w:val="center"/>
                </w:tcPr>
                <w:p w14:paraId="7151638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17</w:t>
                  </w:r>
                </w:p>
              </w:tc>
              <w:tc>
                <w:tcPr>
                  <w:tcW w:w="575" w:type="pct"/>
                  <w:vAlign w:val="center"/>
                </w:tcPr>
                <w:p w14:paraId="576CED1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20</w:t>
                  </w:r>
                </w:p>
              </w:tc>
              <w:tc>
                <w:tcPr>
                  <w:tcW w:w="455" w:type="pct"/>
                  <w:vAlign w:val="center"/>
                </w:tcPr>
                <w:p w14:paraId="3725D274">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300466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2FE41D1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restart"/>
                  <w:vAlign w:val="center"/>
                </w:tcPr>
                <w:p w14:paraId="56CD728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排气参数</w:t>
                  </w:r>
                </w:p>
              </w:tc>
              <w:tc>
                <w:tcPr>
                  <w:tcW w:w="995" w:type="pct"/>
                  <w:vAlign w:val="center"/>
                </w:tcPr>
                <w:p w14:paraId="77C4EAB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流量（Nm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/h）</w:t>
                  </w:r>
                </w:p>
              </w:tc>
              <w:tc>
                <w:tcPr>
                  <w:tcW w:w="573" w:type="pct"/>
                  <w:vAlign w:val="center"/>
                </w:tcPr>
                <w:p w14:paraId="6FC1F18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52280</w:t>
                  </w:r>
                </w:p>
              </w:tc>
              <w:tc>
                <w:tcPr>
                  <w:tcW w:w="573" w:type="pct"/>
                  <w:vAlign w:val="center"/>
                </w:tcPr>
                <w:p w14:paraId="1CAA71A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51709</w:t>
                  </w:r>
                </w:p>
              </w:tc>
              <w:tc>
                <w:tcPr>
                  <w:tcW w:w="573" w:type="pct"/>
                  <w:vAlign w:val="center"/>
                </w:tcPr>
                <w:p w14:paraId="5997090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53958</w:t>
                  </w:r>
                </w:p>
              </w:tc>
              <w:tc>
                <w:tcPr>
                  <w:tcW w:w="575" w:type="pct"/>
                  <w:vAlign w:val="center"/>
                </w:tcPr>
                <w:p w14:paraId="2F4E257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52694</w:t>
                  </w:r>
                </w:p>
              </w:tc>
              <w:tc>
                <w:tcPr>
                  <w:tcW w:w="455" w:type="pct"/>
                  <w:vAlign w:val="center"/>
                </w:tcPr>
                <w:p w14:paraId="6F6C6876">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23DC11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7FF2BE80">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216FE85C">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02B9736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烟温（</w:t>
                  </w:r>
                  <w:r>
                    <w:rPr>
                      <w:rFonts w:hint="eastAsia" w:ascii="宋体" w:hAnsi="宋体" w:eastAsia="宋体" w:cs="宋体"/>
                      <w:color w:val="000000" w:themeColor="text1"/>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438FA22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78</w:t>
                  </w:r>
                </w:p>
              </w:tc>
              <w:tc>
                <w:tcPr>
                  <w:tcW w:w="573" w:type="pct"/>
                  <w:vAlign w:val="center"/>
                </w:tcPr>
                <w:p w14:paraId="6093911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78</w:t>
                  </w:r>
                </w:p>
              </w:tc>
              <w:tc>
                <w:tcPr>
                  <w:tcW w:w="573" w:type="pct"/>
                  <w:vAlign w:val="center"/>
                </w:tcPr>
                <w:p w14:paraId="1DC9418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78</w:t>
                  </w:r>
                </w:p>
              </w:tc>
              <w:tc>
                <w:tcPr>
                  <w:tcW w:w="575" w:type="pct"/>
                  <w:vAlign w:val="center"/>
                </w:tcPr>
                <w:p w14:paraId="6B9C47D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78</w:t>
                  </w:r>
                </w:p>
              </w:tc>
              <w:tc>
                <w:tcPr>
                  <w:tcW w:w="455" w:type="pct"/>
                  <w:vAlign w:val="center"/>
                </w:tcPr>
                <w:p w14:paraId="59BF4D93">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7BB637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0578942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7703E55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0DE22F8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烟气流速（m/s）</w:t>
                  </w:r>
                </w:p>
              </w:tc>
              <w:tc>
                <w:tcPr>
                  <w:tcW w:w="573" w:type="pct"/>
                  <w:vAlign w:val="center"/>
                </w:tcPr>
                <w:p w14:paraId="0176A00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8.1</w:t>
                  </w:r>
                </w:p>
              </w:tc>
              <w:tc>
                <w:tcPr>
                  <w:tcW w:w="573" w:type="pct"/>
                  <w:vAlign w:val="center"/>
                </w:tcPr>
                <w:p w14:paraId="6B6DE1F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8.0</w:t>
                  </w:r>
                </w:p>
              </w:tc>
              <w:tc>
                <w:tcPr>
                  <w:tcW w:w="573" w:type="pct"/>
                  <w:vAlign w:val="center"/>
                </w:tcPr>
                <w:p w14:paraId="3A807E3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8.4</w:t>
                  </w:r>
                </w:p>
              </w:tc>
              <w:tc>
                <w:tcPr>
                  <w:tcW w:w="575" w:type="pct"/>
                  <w:vAlign w:val="center"/>
                </w:tcPr>
                <w:p w14:paraId="00D6925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8.2</w:t>
                  </w:r>
                </w:p>
              </w:tc>
              <w:tc>
                <w:tcPr>
                  <w:tcW w:w="455" w:type="pct"/>
                  <w:vAlign w:val="center"/>
                </w:tcPr>
                <w:p w14:paraId="1481D5DF">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7DE6D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1253F823">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4E10859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7823CCE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含氧量（%）</w:t>
                  </w:r>
                </w:p>
              </w:tc>
              <w:tc>
                <w:tcPr>
                  <w:tcW w:w="573" w:type="pct"/>
                  <w:vAlign w:val="center"/>
                </w:tcPr>
                <w:p w14:paraId="5AB014E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19.5</w:t>
                  </w:r>
                </w:p>
              </w:tc>
              <w:tc>
                <w:tcPr>
                  <w:tcW w:w="573" w:type="pct"/>
                  <w:vAlign w:val="center"/>
                </w:tcPr>
                <w:p w14:paraId="5E4BD4E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19.4</w:t>
                  </w:r>
                </w:p>
              </w:tc>
              <w:tc>
                <w:tcPr>
                  <w:tcW w:w="573" w:type="pct"/>
                  <w:vAlign w:val="center"/>
                </w:tcPr>
                <w:p w14:paraId="75A8302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19.2</w:t>
                  </w:r>
                </w:p>
              </w:tc>
              <w:tc>
                <w:tcPr>
                  <w:tcW w:w="575" w:type="pct"/>
                  <w:vAlign w:val="center"/>
                </w:tcPr>
                <w:p w14:paraId="6B03C9B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19.4</w:t>
                  </w:r>
                </w:p>
              </w:tc>
              <w:tc>
                <w:tcPr>
                  <w:tcW w:w="455" w:type="pct"/>
                  <w:vAlign w:val="center"/>
                </w:tcPr>
                <w:p w14:paraId="4426D739">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489665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1CADEB0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Align w:val="center"/>
                </w:tcPr>
                <w:p w14:paraId="524A72FC">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995" w:type="pct"/>
                  <w:vAlign w:val="center"/>
                </w:tcPr>
                <w:p w14:paraId="6F1884D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58CD3DD2">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2.61</w:t>
                  </w:r>
                </w:p>
              </w:tc>
              <w:tc>
                <w:tcPr>
                  <w:tcW w:w="573" w:type="pct"/>
                  <w:vAlign w:val="center"/>
                </w:tcPr>
                <w:p w14:paraId="1B35E00B">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2.47</w:t>
                  </w:r>
                </w:p>
              </w:tc>
              <w:tc>
                <w:tcPr>
                  <w:tcW w:w="573" w:type="pct"/>
                  <w:vAlign w:val="center"/>
                </w:tcPr>
                <w:p w14:paraId="64B616BB">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2.40</w:t>
                  </w:r>
                </w:p>
              </w:tc>
              <w:tc>
                <w:tcPr>
                  <w:tcW w:w="575" w:type="pct"/>
                  <w:vAlign w:val="center"/>
                </w:tcPr>
                <w:p w14:paraId="7B8EB071">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2.49</w:t>
                  </w:r>
                </w:p>
              </w:tc>
              <w:tc>
                <w:tcPr>
                  <w:tcW w:w="455" w:type="pct"/>
                  <w:vAlign w:val="center"/>
                </w:tcPr>
                <w:p w14:paraId="7E1A96B2">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7FD301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restart"/>
                  <w:vAlign w:val="center"/>
                </w:tcPr>
                <w:p w14:paraId="2A9305D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2#湿式脱硫塔排气筒出口</w:t>
                  </w:r>
                </w:p>
              </w:tc>
              <w:tc>
                <w:tcPr>
                  <w:tcW w:w="716" w:type="pct"/>
                  <w:vAlign w:val="center"/>
                </w:tcPr>
                <w:p w14:paraId="475A3F5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排气筒参数</w:t>
                  </w:r>
                </w:p>
              </w:tc>
              <w:tc>
                <w:tcPr>
                  <w:tcW w:w="995" w:type="pct"/>
                  <w:vAlign w:val="center"/>
                </w:tcPr>
                <w:p w14:paraId="5A0E4F5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高度（m）</w:t>
                  </w:r>
                </w:p>
              </w:tc>
              <w:tc>
                <w:tcPr>
                  <w:tcW w:w="2749" w:type="pct"/>
                  <w:gridSpan w:val="5"/>
                  <w:vAlign w:val="center"/>
                </w:tcPr>
                <w:p w14:paraId="38673C4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18</w:t>
                  </w:r>
                </w:p>
              </w:tc>
            </w:tr>
            <w:tr w14:paraId="0BA895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33A179D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restart"/>
                  <w:vAlign w:val="center"/>
                </w:tcPr>
                <w:p w14:paraId="025014D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排气参数</w:t>
                  </w:r>
                </w:p>
              </w:tc>
              <w:tc>
                <w:tcPr>
                  <w:tcW w:w="995" w:type="pct"/>
                  <w:vAlign w:val="center"/>
                </w:tcPr>
                <w:p w14:paraId="3109FB2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流量（Nm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/h）</w:t>
                  </w:r>
                </w:p>
              </w:tc>
              <w:tc>
                <w:tcPr>
                  <w:tcW w:w="573" w:type="pct"/>
                  <w:vAlign w:val="center"/>
                </w:tcPr>
                <w:p w14:paraId="10C99D8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51457</w:t>
                  </w:r>
                </w:p>
              </w:tc>
              <w:tc>
                <w:tcPr>
                  <w:tcW w:w="573" w:type="pct"/>
                  <w:vAlign w:val="center"/>
                </w:tcPr>
                <w:p w14:paraId="24CA76A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54318</w:t>
                  </w:r>
                </w:p>
              </w:tc>
              <w:tc>
                <w:tcPr>
                  <w:tcW w:w="573" w:type="pct"/>
                  <w:vAlign w:val="center"/>
                </w:tcPr>
                <w:p w14:paraId="7C20AD0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52187</w:t>
                  </w:r>
                </w:p>
              </w:tc>
              <w:tc>
                <w:tcPr>
                  <w:tcW w:w="575" w:type="pct"/>
                  <w:vAlign w:val="center"/>
                </w:tcPr>
                <w:p w14:paraId="27287BE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52654</w:t>
                  </w:r>
                </w:p>
              </w:tc>
              <w:tc>
                <w:tcPr>
                  <w:tcW w:w="455" w:type="pct"/>
                  <w:vAlign w:val="center"/>
                </w:tcPr>
                <w:p w14:paraId="3EA50A1B">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4A3937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1E62C920">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64D6AA4E">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5C9A61D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烟温（</w:t>
                  </w:r>
                  <w:r>
                    <w:rPr>
                      <w:rFonts w:hint="eastAsia" w:ascii="宋体" w:hAnsi="宋体" w:eastAsia="宋体" w:cs="宋体"/>
                      <w:color w:val="000000" w:themeColor="text1"/>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706B05F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32</w:t>
                  </w:r>
                </w:p>
              </w:tc>
              <w:tc>
                <w:tcPr>
                  <w:tcW w:w="573" w:type="pct"/>
                  <w:vAlign w:val="center"/>
                </w:tcPr>
                <w:p w14:paraId="2552948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32</w:t>
                  </w:r>
                </w:p>
              </w:tc>
              <w:tc>
                <w:tcPr>
                  <w:tcW w:w="573" w:type="pct"/>
                  <w:vAlign w:val="center"/>
                </w:tcPr>
                <w:p w14:paraId="05A0C0D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32</w:t>
                  </w:r>
                </w:p>
              </w:tc>
              <w:tc>
                <w:tcPr>
                  <w:tcW w:w="575" w:type="pct"/>
                  <w:vAlign w:val="center"/>
                </w:tcPr>
                <w:p w14:paraId="7451094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32</w:t>
                  </w:r>
                </w:p>
              </w:tc>
              <w:tc>
                <w:tcPr>
                  <w:tcW w:w="455" w:type="pct"/>
                  <w:vAlign w:val="center"/>
                </w:tcPr>
                <w:p w14:paraId="3608EC6E">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76DB27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52BAE85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67519D00">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45BABE1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烟气流速（m/s）</w:t>
                  </w:r>
                </w:p>
              </w:tc>
              <w:tc>
                <w:tcPr>
                  <w:tcW w:w="573" w:type="pct"/>
                  <w:vAlign w:val="center"/>
                </w:tcPr>
                <w:p w14:paraId="045BF2F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6.6</w:t>
                  </w:r>
                </w:p>
              </w:tc>
              <w:tc>
                <w:tcPr>
                  <w:tcW w:w="573" w:type="pct"/>
                  <w:vAlign w:val="center"/>
                </w:tcPr>
                <w:p w14:paraId="7B44DD6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7.0</w:t>
                  </w:r>
                </w:p>
              </w:tc>
              <w:tc>
                <w:tcPr>
                  <w:tcW w:w="573" w:type="pct"/>
                  <w:vAlign w:val="center"/>
                </w:tcPr>
                <w:p w14:paraId="6B8F930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6.7</w:t>
                  </w:r>
                </w:p>
              </w:tc>
              <w:tc>
                <w:tcPr>
                  <w:tcW w:w="575" w:type="pct"/>
                  <w:vAlign w:val="center"/>
                </w:tcPr>
                <w:p w14:paraId="23147D9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6.8</w:t>
                  </w:r>
                </w:p>
              </w:tc>
              <w:tc>
                <w:tcPr>
                  <w:tcW w:w="455" w:type="pct"/>
                  <w:vAlign w:val="center"/>
                </w:tcPr>
                <w:p w14:paraId="5624B7F5">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47DACB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120077D6">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302DEC4F">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121B485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含氧量（%）</w:t>
                  </w:r>
                </w:p>
              </w:tc>
              <w:tc>
                <w:tcPr>
                  <w:tcW w:w="573" w:type="pct"/>
                  <w:vAlign w:val="center"/>
                </w:tcPr>
                <w:p w14:paraId="1ABBFE3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19.7</w:t>
                  </w:r>
                </w:p>
              </w:tc>
              <w:tc>
                <w:tcPr>
                  <w:tcW w:w="573" w:type="pct"/>
                  <w:vAlign w:val="center"/>
                </w:tcPr>
                <w:p w14:paraId="08FA505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19.5</w:t>
                  </w:r>
                </w:p>
              </w:tc>
              <w:tc>
                <w:tcPr>
                  <w:tcW w:w="573" w:type="pct"/>
                  <w:vAlign w:val="center"/>
                </w:tcPr>
                <w:p w14:paraId="07DBEAF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19.3</w:t>
                  </w:r>
                </w:p>
              </w:tc>
              <w:tc>
                <w:tcPr>
                  <w:tcW w:w="575" w:type="pct"/>
                  <w:vAlign w:val="center"/>
                </w:tcPr>
                <w:p w14:paraId="0FB4888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19.5</w:t>
                  </w:r>
                </w:p>
              </w:tc>
              <w:tc>
                <w:tcPr>
                  <w:tcW w:w="455" w:type="pct"/>
                  <w:vAlign w:val="center"/>
                </w:tcPr>
                <w:p w14:paraId="438DF1E6">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1B0E2F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1058BF0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restart"/>
                  <w:vAlign w:val="center"/>
                </w:tcPr>
                <w:p w14:paraId="227C359C">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995" w:type="pct"/>
                  <w:vAlign w:val="center"/>
                </w:tcPr>
                <w:p w14:paraId="08A9129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1F6DC13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11.4</w:t>
                  </w:r>
                </w:p>
              </w:tc>
              <w:tc>
                <w:tcPr>
                  <w:tcW w:w="573" w:type="pct"/>
                  <w:vAlign w:val="center"/>
                </w:tcPr>
                <w:p w14:paraId="3002189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14.3</w:t>
                  </w:r>
                </w:p>
              </w:tc>
              <w:tc>
                <w:tcPr>
                  <w:tcW w:w="573" w:type="pct"/>
                  <w:vAlign w:val="center"/>
                </w:tcPr>
                <w:p w14:paraId="5F81EEE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12.5</w:t>
                  </w:r>
                </w:p>
              </w:tc>
              <w:tc>
                <w:tcPr>
                  <w:tcW w:w="575" w:type="pct"/>
                  <w:vAlign w:val="center"/>
                </w:tcPr>
                <w:p w14:paraId="214474C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12.7</w:t>
                  </w:r>
                </w:p>
              </w:tc>
              <w:tc>
                <w:tcPr>
                  <w:tcW w:w="455" w:type="pct"/>
                  <w:vAlign w:val="center"/>
                </w:tcPr>
                <w:p w14:paraId="761B2090">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102660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1363ED60">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20D228D3">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0702C8BE">
                  <w:pPr>
                    <w:pStyle w:val="21"/>
                    <w:spacing w:line="240" w:lineRule="auto"/>
                    <w:jc w:val="center"/>
                    <w:rPr>
                      <w:rFonts w:ascii="Times New Roman" w:hAnsi="Times New Roman" w:eastAsia="宋体"/>
                      <w:color w:val="000000" w:themeColor="text1"/>
                      <w:sz w:val="21"/>
                      <w:szCs w:val="21"/>
                      <w14:textFill>
                        <w14:solidFill>
                          <w14:schemeClr w14:val="tx1"/>
                        </w14:solidFill>
                      </w14:textFill>
                    </w:rPr>
                  </w:pPr>
                  <w:r>
                    <w:rPr>
                      <w:rFonts w:ascii="Times New Roman" w:hAnsi="Times New Roman" w:eastAsia="宋体"/>
                      <w:color w:val="000000" w:themeColor="text1"/>
                      <w:sz w:val="21"/>
                      <w:szCs w:val="21"/>
                      <w14:textFill>
                        <w14:solidFill>
                          <w14:schemeClr w14:val="tx1"/>
                        </w14:solidFill>
                      </w14:textFill>
                    </w:rPr>
                    <w:t>折算浓度（mg/m</w:t>
                  </w:r>
                  <w:r>
                    <w:rPr>
                      <w:rFonts w:ascii="Times New Roman" w:hAnsi="Times New Roman" w:eastAsia="宋体"/>
                      <w:color w:val="000000" w:themeColor="text1"/>
                      <w:sz w:val="21"/>
                      <w:szCs w:val="21"/>
                      <w:vertAlign w:val="superscript"/>
                      <w14:textFill>
                        <w14:solidFill>
                          <w14:schemeClr w14:val="tx1"/>
                        </w14:solidFill>
                      </w14:textFill>
                    </w:rPr>
                    <w:t>3</w:t>
                  </w:r>
                  <w:r>
                    <w:rPr>
                      <w:rFonts w:ascii="Times New Roman" w:hAnsi="Times New Roman" w:eastAsia="宋体"/>
                      <w:color w:val="000000" w:themeColor="text1"/>
                      <w:sz w:val="21"/>
                      <w:szCs w:val="21"/>
                      <w14:textFill>
                        <w14:solidFill>
                          <w14:schemeClr w14:val="tx1"/>
                        </w14:solidFill>
                      </w14:textFill>
                    </w:rPr>
                    <w:t>）</w:t>
                  </w:r>
                </w:p>
              </w:tc>
              <w:tc>
                <w:tcPr>
                  <w:tcW w:w="573" w:type="pct"/>
                  <w:vAlign w:val="center"/>
                </w:tcPr>
                <w:p w14:paraId="25D240E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26.3</w:t>
                  </w:r>
                </w:p>
              </w:tc>
              <w:tc>
                <w:tcPr>
                  <w:tcW w:w="573" w:type="pct"/>
                  <w:vAlign w:val="center"/>
                </w:tcPr>
                <w:p w14:paraId="24D82C1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28.6</w:t>
                  </w:r>
                </w:p>
              </w:tc>
              <w:tc>
                <w:tcPr>
                  <w:tcW w:w="573" w:type="pct"/>
                  <w:vAlign w:val="center"/>
                </w:tcPr>
                <w:p w14:paraId="352E2F7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22.0</w:t>
                  </w:r>
                </w:p>
              </w:tc>
              <w:tc>
                <w:tcPr>
                  <w:tcW w:w="575" w:type="pct"/>
                  <w:vAlign w:val="center"/>
                </w:tcPr>
                <w:p w14:paraId="4BC216B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25.6</w:t>
                  </w:r>
                </w:p>
              </w:tc>
              <w:tc>
                <w:tcPr>
                  <w:tcW w:w="455" w:type="pct"/>
                  <w:vAlign w:val="center"/>
                </w:tcPr>
                <w:p w14:paraId="7BAEC5B8">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56295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2944E2A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restart"/>
                  <w:vAlign w:val="center"/>
                </w:tcPr>
                <w:p w14:paraId="28C1B68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二氧化硫</w:t>
                  </w:r>
                </w:p>
              </w:tc>
              <w:tc>
                <w:tcPr>
                  <w:tcW w:w="995" w:type="pct"/>
                  <w:vAlign w:val="center"/>
                </w:tcPr>
                <w:p w14:paraId="27FC01E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7BB95B2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w:t>
                  </w:r>
                </w:p>
              </w:tc>
              <w:tc>
                <w:tcPr>
                  <w:tcW w:w="573" w:type="pct"/>
                  <w:vAlign w:val="center"/>
                </w:tcPr>
                <w:p w14:paraId="2C0C5CC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10</w:t>
                  </w:r>
                </w:p>
              </w:tc>
              <w:tc>
                <w:tcPr>
                  <w:tcW w:w="573" w:type="pct"/>
                  <w:vAlign w:val="center"/>
                </w:tcPr>
                <w:p w14:paraId="5126CFD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w:t>
                  </w:r>
                </w:p>
              </w:tc>
              <w:tc>
                <w:tcPr>
                  <w:tcW w:w="575" w:type="pct"/>
                  <w:vAlign w:val="center"/>
                </w:tcPr>
                <w:p w14:paraId="3AA5227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10</w:t>
                  </w:r>
                </w:p>
              </w:tc>
              <w:tc>
                <w:tcPr>
                  <w:tcW w:w="455" w:type="pct"/>
                  <w:vAlign w:val="center"/>
                </w:tcPr>
                <w:p w14:paraId="2CC287F8">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749823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7AA2654C">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0CA542B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4E250DB9">
                  <w:pPr>
                    <w:pStyle w:val="21"/>
                    <w:spacing w:line="240" w:lineRule="auto"/>
                    <w:jc w:val="center"/>
                    <w:rPr>
                      <w:rFonts w:ascii="Times New Roman" w:hAnsi="Times New Roman" w:eastAsia="宋体"/>
                      <w:color w:val="000000" w:themeColor="text1"/>
                      <w:sz w:val="21"/>
                      <w:szCs w:val="21"/>
                      <w14:textFill>
                        <w14:solidFill>
                          <w14:schemeClr w14:val="tx1"/>
                        </w14:solidFill>
                      </w14:textFill>
                    </w:rPr>
                  </w:pPr>
                  <w:r>
                    <w:rPr>
                      <w:rFonts w:ascii="Times New Roman" w:hAnsi="Times New Roman" w:eastAsia="宋体"/>
                      <w:color w:val="000000" w:themeColor="text1"/>
                      <w:sz w:val="21"/>
                      <w:szCs w:val="21"/>
                      <w14:textFill>
                        <w14:solidFill>
                          <w14:schemeClr w14:val="tx1"/>
                        </w14:solidFill>
                      </w14:textFill>
                    </w:rPr>
                    <w:t>折算浓度（mg/m</w:t>
                  </w:r>
                  <w:r>
                    <w:rPr>
                      <w:rFonts w:ascii="Times New Roman" w:hAnsi="Times New Roman" w:eastAsia="宋体"/>
                      <w:color w:val="000000" w:themeColor="text1"/>
                      <w:sz w:val="21"/>
                      <w:szCs w:val="21"/>
                      <w:vertAlign w:val="superscript"/>
                      <w14:textFill>
                        <w14:solidFill>
                          <w14:schemeClr w14:val="tx1"/>
                        </w14:solidFill>
                      </w14:textFill>
                    </w:rPr>
                    <w:t>3</w:t>
                  </w:r>
                  <w:r>
                    <w:rPr>
                      <w:rFonts w:ascii="Times New Roman" w:hAnsi="Times New Roman" w:eastAsia="宋体"/>
                      <w:color w:val="000000" w:themeColor="text1"/>
                      <w:sz w:val="21"/>
                      <w:szCs w:val="21"/>
                      <w14:textFill>
                        <w14:solidFill>
                          <w14:schemeClr w14:val="tx1"/>
                        </w14:solidFill>
                      </w14:textFill>
                    </w:rPr>
                    <w:t>）</w:t>
                  </w:r>
                </w:p>
              </w:tc>
              <w:tc>
                <w:tcPr>
                  <w:tcW w:w="573" w:type="pct"/>
                  <w:vAlign w:val="center"/>
                </w:tcPr>
                <w:p w14:paraId="3A896B0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21</w:t>
                  </w:r>
                </w:p>
              </w:tc>
              <w:tc>
                <w:tcPr>
                  <w:tcW w:w="573" w:type="pct"/>
                  <w:vAlign w:val="center"/>
                </w:tcPr>
                <w:p w14:paraId="4062857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20</w:t>
                  </w:r>
                </w:p>
              </w:tc>
              <w:tc>
                <w:tcPr>
                  <w:tcW w:w="573" w:type="pct"/>
                  <w:vAlign w:val="center"/>
                </w:tcPr>
                <w:p w14:paraId="06C3E0D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21</w:t>
                  </w:r>
                </w:p>
              </w:tc>
              <w:tc>
                <w:tcPr>
                  <w:tcW w:w="575" w:type="pct"/>
                  <w:vAlign w:val="center"/>
                </w:tcPr>
                <w:p w14:paraId="45EB984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21</w:t>
                  </w:r>
                </w:p>
              </w:tc>
              <w:tc>
                <w:tcPr>
                  <w:tcW w:w="455" w:type="pct"/>
                  <w:vAlign w:val="center"/>
                </w:tcPr>
                <w:p w14:paraId="398C15BD">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2F204C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5E7FBE6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restart"/>
                  <w:vAlign w:val="center"/>
                </w:tcPr>
                <w:p w14:paraId="73AE0335">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氮氧化物</w:t>
                  </w:r>
                </w:p>
              </w:tc>
              <w:tc>
                <w:tcPr>
                  <w:tcW w:w="995" w:type="pct"/>
                  <w:vAlign w:val="center"/>
                </w:tcPr>
                <w:p w14:paraId="4E6E3D3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61EED6C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10</w:t>
                  </w:r>
                </w:p>
              </w:tc>
              <w:tc>
                <w:tcPr>
                  <w:tcW w:w="573" w:type="pct"/>
                  <w:vAlign w:val="center"/>
                </w:tcPr>
                <w:p w14:paraId="6BAA6BF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w:t>
                  </w:r>
                </w:p>
              </w:tc>
              <w:tc>
                <w:tcPr>
                  <w:tcW w:w="573" w:type="pct"/>
                  <w:vAlign w:val="center"/>
                </w:tcPr>
                <w:p w14:paraId="557B686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w:t>
                  </w:r>
                </w:p>
              </w:tc>
              <w:tc>
                <w:tcPr>
                  <w:tcW w:w="575" w:type="pct"/>
                  <w:vAlign w:val="center"/>
                </w:tcPr>
                <w:p w14:paraId="1F890E79">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10</w:t>
                  </w:r>
                </w:p>
              </w:tc>
              <w:tc>
                <w:tcPr>
                  <w:tcW w:w="455" w:type="pct"/>
                  <w:vAlign w:val="center"/>
                </w:tcPr>
                <w:p w14:paraId="1C9D3A3B">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144F6F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623A6AEE">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1ED26F80">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6077A9B0">
                  <w:pPr>
                    <w:pStyle w:val="21"/>
                    <w:spacing w:line="240" w:lineRule="auto"/>
                    <w:jc w:val="center"/>
                    <w:rPr>
                      <w:rFonts w:ascii="Times New Roman" w:hAnsi="Times New Roman" w:eastAsia="宋体"/>
                      <w:color w:val="000000" w:themeColor="text1"/>
                      <w:sz w:val="21"/>
                      <w:szCs w:val="21"/>
                      <w14:textFill>
                        <w14:solidFill>
                          <w14:schemeClr w14:val="tx1"/>
                        </w14:solidFill>
                      </w14:textFill>
                    </w:rPr>
                  </w:pPr>
                  <w:r>
                    <w:rPr>
                      <w:rFonts w:ascii="Times New Roman" w:hAnsi="Times New Roman" w:eastAsia="宋体"/>
                      <w:color w:val="000000" w:themeColor="text1"/>
                      <w:sz w:val="21"/>
                      <w:szCs w:val="21"/>
                      <w14:textFill>
                        <w14:solidFill>
                          <w14:schemeClr w14:val="tx1"/>
                        </w14:solidFill>
                      </w14:textFill>
                    </w:rPr>
                    <w:t>折算浓度（mg/m</w:t>
                  </w:r>
                  <w:r>
                    <w:rPr>
                      <w:rFonts w:ascii="Times New Roman" w:hAnsi="Times New Roman" w:eastAsia="宋体"/>
                      <w:color w:val="000000" w:themeColor="text1"/>
                      <w:sz w:val="21"/>
                      <w:szCs w:val="21"/>
                      <w:vertAlign w:val="superscript"/>
                      <w14:textFill>
                        <w14:solidFill>
                          <w14:schemeClr w14:val="tx1"/>
                        </w14:solidFill>
                      </w14:textFill>
                    </w:rPr>
                    <w:t>3</w:t>
                  </w:r>
                  <w:r>
                    <w:rPr>
                      <w:rFonts w:ascii="Times New Roman" w:hAnsi="Times New Roman" w:eastAsia="宋体"/>
                      <w:color w:val="000000" w:themeColor="text1"/>
                      <w:sz w:val="21"/>
                      <w:szCs w:val="21"/>
                      <w14:textFill>
                        <w14:solidFill>
                          <w14:schemeClr w14:val="tx1"/>
                        </w14:solidFill>
                      </w14:textFill>
                    </w:rPr>
                    <w:t>）</w:t>
                  </w:r>
                </w:p>
              </w:tc>
              <w:tc>
                <w:tcPr>
                  <w:tcW w:w="573" w:type="pct"/>
                  <w:vAlign w:val="center"/>
                </w:tcPr>
                <w:p w14:paraId="3D42863F">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23</w:t>
                  </w:r>
                </w:p>
              </w:tc>
              <w:tc>
                <w:tcPr>
                  <w:tcW w:w="573" w:type="pct"/>
                  <w:vAlign w:val="center"/>
                </w:tcPr>
                <w:p w14:paraId="386E6D87">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18</w:t>
                  </w:r>
                </w:p>
              </w:tc>
              <w:tc>
                <w:tcPr>
                  <w:tcW w:w="573" w:type="pct"/>
                  <w:vAlign w:val="center"/>
                </w:tcPr>
                <w:p w14:paraId="6B8C6BB5">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w:t>
                  </w:r>
                </w:p>
              </w:tc>
              <w:tc>
                <w:tcPr>
                  <w:tcW w:w="575" w:type="pct"/>
                  <w:vAlign w:val="center"/>
                </w:tcPr>
                <w:p w14:paraId="59854C28">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20</w:t>
                  </w:r>
                </w:p>
              </w:tc>
              <w:tc>
                <w:tcPr>
                  <w:tcW w:w="455" w:type="pct"/>
                  <w:vAlign w:val="center"/>
                </w:tcPr>
                <w:p w14:paraId="4EF000EE">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60E30F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43FEA77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restart"/>
                  <w:vAlign w:val="center"/>
                </w:tcPr>
                <w:p w14:paraId="513EA26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排气参数</w:t>
                  </w:r>
                </w:p>
              </w:tc>
              <w:tc>
                <w:tcPr>
                  <w:tcW w:w="995" w:type="pct"/>
                  <w:vAlign w:val="center"/>
                </w:tcPr>
                <w:p w14:paraId="24BEF64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流量（Nm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/h）</w:t>
                  </w:r>
                </w:p>
              </w:tc>
              <w:tc>
                <w:tcPr>
                  <w:tcW w:w="573" w:type="pct"/>
                  <w:vAlign w:val="center"/>
                </w:tcPr>
                <w:p w14:paraId="0AAD803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53617</w:t>
                  </w:r>
                </w:p>
              </w:tc>
              <w:tc>
                <w:tcPr>
                  <w:tcW w:w="573" w:type="pct"/>
                  <w:vAlign w:val="center"/>
                </w:tcPr>
                <w:p w14:paraId="306E186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55010</w:t>
                  </w:r>
                </w:p>
              </w:tc>
              <w:tc>
                <w:tcPr>
                  <w:tcW w:w="573" w:type="pct"/>
                  <w:vAlign w:val="center"/>
                </w:tcPr>
                <w:p w14:paraId="283CEA5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52906</w:t>
                  </w:r>
                </w:p>
              </w:tc>
              <w:tc>
                <w:tcPr>
                  <w:tcW w:w="575" w:type="pct"/>
                  <w:vAlign w:val="center"/>
                </w:tcPr>
                <w:p w14:paraId="1ADD5A2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53844</w:t>
                  </w:r>
                </w:p>
              </w:tc>
              <w:tc>
                <w:tcPr>
                  <w:tcW w:w="455" w:type="pct"/>
                  <w:vAlign w:val="center"/>
                </w:tcPr>
                <w:p w14:paraId="2EB46294">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3752B5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42A13820">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0D72484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04CBDDA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烟温（</w:t>
                  </w:r>
                  <w:r>
                    <w:rPr>
                      <w:rFonts w:hint="eastAsia" w:ascii="宋体" w:hAnsi="宋体" w:eastAsia="宋体" w:cs="宋体"/>
                      <w:color w:val="000000" w:themeColor="text1"/>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600A4A5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32</w:t>
                  </w:r>
                </w:p>
              </w:tc>
              <w:tc>
                <w:tcPr>
                  <w:tcW w:w="573" w:type="pct"/>
                  <w:vAlign w:val="center"/>
                </w:tcPr>
                <w:p w14:paraId="66D1617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32</w:t>
                  </w:r>
                </w:p>
              </w:tc>
              <w:tc>
                <w:tcPr>
                  <w:tcW w:w="573" w:type="pct"/>
                  <w:vAlign w:val="center"/>
                </w:tcPr>
                <w:p w14:paraId="297D806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32</w:t>
                  </w:r>
                </w:p>
              </w:tc>
              <w:tc>
                <w:tcPr>
                  <w:tcW w:w="575" w:type="pct"/>
                  <w:vAlign w:val="center"/>
                </w:tcPr>
                <w:p w14:paraId="3592105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32</w:t>
                  </w:r>
                </w:p>
              </w:tc>
              <w:tc>
                <w:tcPr>
                  <w:tcW w:w="455" w:type="pct"/>
                  <w:vAlign w:val="center"/>
                </w:tcPr>
                <w:p w14:paraId="6C37B617">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669A11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717C2AAA">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37D630BE">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729CA1B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烟气流速（m/s）</w:t>
                  </w:r>
                </w:p>
              </w:tc>
              <w:tc>
                <w:tcPr>
                  <w:tcW w:w="573" w:type="pct"/>
                  <w:vAlign w:val="center"/>
                </w:tcPr>
                <w:p w14:paraId="04D993F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6.9</w:t>
                  </w:r>
                </w:p>
              </w:tc>
              <w:tc>
                <w:tcPr>
                  <w:tcW w:w="573" w:type="pct"/>
                  <w:vAlign w:val="center"/>
                </w:tcPr>
                <w:p w14:paraId="67BF82D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7.1</w:t>
                  </w:r>
                </w:p>
              </w:tc>
              <w:tc>
                <w:tcPr>
                  <w:tcW w:w="573" w:type="pct"/>
                  <w:vAlign w:val="center"/>
                </w:tcPr>
                <w:p w14:paraId="30931C6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6.8</w:t>
                  </w:r>
                </w:p>
              </w:tc>
              <w:tc>
                <w:tcPr>
                  <w:tcW w:w="575" w:type="pct"/>
                  <w:vAlign w:val="center"/>
                </w:tcPr>
                <w:p w14:paraId="6482344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6.9</w:t>
                  </w:r>
                </w:p>
              </w:tc>
              <w:tc>
                <w:tcPr>
                  <w:tcW w:w="455" w:type="pct"/>
                  <w:vAlign w:val="center"/>
                </w:tcPr>
                <w:p w14:paraId="15619018">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3D2211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20FD56C2">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04113AAE">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613A324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含氧量（%）</w:t>
                  </w:r>
                </w:p>
              </w:tc>
              <w:tc>
                <w:tcPr>
                  <w:tcW w:w="573" w:type="pct"/>
                  <w:vAlign w:val="center"/>
                </w:tcPr>
                <w:p w14:paraId="79FAF8B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19.7</w:t>
                  </w:r>
                </w:p>
              </w:tc>
              <w:tc>
                <w:tcPr>
                  <w:tcW w:w="573" w:type="pct"/>
                  <w:vAlign w:val="center"/>
                </w:tcPr>
                <w:p w14:paraId="30BC263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19.5</w:t>
                  </w:r>
                </w:p>
              </w:tc>
              <w:tc>
                <w:tcPr>
                  <w:tcW w:w="573" w:type="pct"/>
                  <w:vAlign w:val="center"/>
                </w:tcPr>
                <w:p w14:paraId="102B169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19.3</w:t>
                  </w:r>
                </w:p>
              </w:tc>
              <w:tc>
                <w:tcPr>
                  <w:tcW w:w="575" w:type="pct"/>
                  <w:vAlign w:val="center"/>
                </w:tcPr>
                <w:p w14:paraId="2351C27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19.5</w:t>
                  </w:r>
                </w:p>
              </w:tc>
              <w:tc>
                <w:tcPr>
                  <w:tcW w:w="455" w:type="pct"/>
                  <w:vAlign w:val="center"/>
                </w:tcPr>
                <w:p w14:paraId="6338BF80">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1A7CB3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4564C216">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restart"/>
                  <w:vAlign w:val="center"/>
                </w:tcPr>
                <w:p w14:paraId="1839096D">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995" w:type="pct"/>
                  <w:vAlign w:val="center"/>
                </w:tcPr>
                <w:p w14:paraId="17EB877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33BFC9DB">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0.95</w:t>
                  </w:r>
                </w:p>
              </w:tc>
              <w:tc>
                <w:tcPr>
                  <w:tcW w:w="573" w:type="pct"/>
                  <w:vAlign w:val="center"/>
                </w:tcPr>
                <w:p w14:paraId="7B83C747">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0.90</w:t>
                  </w:r>
                </w:p>
              </w:tc>
              <w:tc>
                <w:tcPr>
                  <w:tcW w:w="573" w:type="pct"/>
                  <w:vAlign w:val="center"/>
                </w:tcPr>
                <w:p w14:paraId="15103FE9">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0.89</w:t>
                  </w:r>
                </w:p>
              </w:tc>
              <w:tc>
                <w:tcPr>
                  <w:tcW w:w="575" w:type="pct"/>
                  <w:vAlign w:val="center"/>
                </w:tcPr>
                <w:p w14:paraId="7F0FB829">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0.91</w:t>
                  </w:r>
                </w:p>
              </w:tc>
              <w:tc>
                <w:tcPr>
                  <w:tcW w:w="455" w:type="pct"/>
                  <w:vAlign w:val="center"/>
                </w:tcPr>
                <w:p w14:paraId="22CFCC33">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12E3D7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56744A11">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19FA2CEE">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318BA1C1">
                  <w:pPr>
                    <w:pStyle w:val="21"/>
                    <w:spacing w:line="240" w:lineRule="auto"/>
                    <w:jc w:val="center"/>
                    <w:rPr>
                      <w:rFonts w:ascii="Times New Roman" w:hAnsi="Times New Roman" w:eastAsia="宋体"/>
                      <w:color w:val="000000" w:themeColor="text1"/>
                      <w:sz w:val="21"/>
                      <w:szCs w:val="21"/>
                      <w14:textFill>
                        <w14:solidFill>
                          <w14:schemeClr w14:val="tx1"/>
                        </w14:solidFill>
                      </w14:textFill>
                    </w:rPr>
                  </w:pPr>
                  <w:r>
                    <w:rPr>
                      <w:rFonts w:ascii="Times New Roman" w:hAnsi="Times New Roman" w:eastAsia="宋体"/>
                      <w:color w:val="000000" w:themeColor="text1"/>
                      <w:sz w:val="21"/>
                      <w:szCs w:val="21"/>
                      <w14:textFill>
                        <w14:solidFill>
                          <w14:schemeClr w14:val="tx1"/>
                        </w14:solidFill>
                      </w14:textFill>
                    </w:rPr>
                    <w:t>折算浓度（mg/m</w:t>
                  </w:r>
                  <w:r>
                    <w:rPr>
                      <w:rFonts w:ascii="Times New Roman" w:hAnsi="Times New Roman" w:eastAsia="宋体"/>
                      <w:color w:val="000000" w:themeColor="text1"/>
                      <w:sz w:val="21"/>
                      <w:szCs w:val="21"/>
                      <w:vertAlign w:val="superscript"/>
                      <w14:textFill>
                        <w14:solidFill>
                          <w14:schemeClr w14:val="tx1"/>
                        </w14:solidFill>
                      </w14:textFill>
                    </w:rPr>
                    <w:t>3</w:t>
                  </w:r>
                  <w:r>
                    <w:rPr>
                      <w:rFonts w:ascii="Times New Roman" w:hAnsi="Times New Roman" w:eastAsia="宋体"/>
                      <w:color w:val="000000" w:themeColor="text1"/>
                      <w:sz w:val="21"/>
                      <w:szCs w:val="21"/>
                      <w14:textFill>
                        <w14:solidFill>
                          <w14:schemeClr w14:val="tx1"/>
                        </w14:solidFill>
                      </w14:textFill>
                    </w:rPr>
                    <w:t>）</w:t>
                  </w:r>
                </w:p>
              </w:tc>
              <w:tc>
                <w:tcPr>
                  <w:tcW w:w="573" w:type="pct"/>
                  <w:vAlign w:val="center"/>
                </w:tcPr>
                <w:p w14:paraId="75A8EAC1">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2.19</w:t>
                  </w:r>
                </w:p>
              </w:tc>
              <w:tc>
                <w:tcPr>
                  <w:tcW w:w="573" w:type="pct"/>
                  <w:vAlign w:val="center"/>
                </w:tcPr>
                <w:p w14:paraId="2D995D38">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1.80</w:t>
                  </w:r>
                </w:p>
              </w:tc>
              <w:tc>
                <w:tcPr>
                  <w:tcW w:w="573" w:type="pct"/>
                  <w:vAlign w:val="center"/>
                </w:tcPr>
                <w:p w14:paraId="1E01F47C">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1.57</w:t>
                  </w:r>
                </w:p>
              </w:tc>
              <w:tc>
                <w:tcPr>
                  <w:tcW w:w="575" w:type="pct"/>
                  <w:vAlign w:val="center"/>
                </w:tcPr>
                <w:p w14:paraId="2D21BE52">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1.85</w:t>
                  </w:r>
                </w:p>
              </w:tc>
              <w:tc>
                <w:tcPr>
                  <w:tcW w:w="455" w:type="pct"/>
                  <w:vAlign w:val="center"/>
                </w:tcPr>
                <w:p w14:paraId="6C26B1F9">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215170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restart"/>
                  <w:vAlign w:val="center"/>
                </w:tcPr>
                <w:p w14:paraId="2674A9E4">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检测点位</w:t>
                  </w:r>
                </w:p>
              </w:tc>
              <w:tc>
                <w:tcPr>
                  <w:tcW w:w="1711" w:type="pct"/>
                  <w:gridSpan w:val="2"/>
                  <w:vMerge w:val="restart"/>
                  <w:vAlign w:val="center"/>
                </w:tcPr>
                <w:p w14:paraId="51D52226">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检测项目</w:t>
                  </w:r>
                </w:p>
              </w:tc>
              <w:tc>
                <w:tcPr>
                  <w:tcW w:w="2749" w:type="pct"/>
                  <w:gridSpan w:val="5"/>
                  <w:vAlign w:val="center"/>
                </w:tcPr>
                <w:p w14:paraId="29F8BDD3">
                  <w:pPr>
                    <w:tabs>
                      <w:tab w:val="left" w:pos="1924"/>
                      <w:tab w:val="center" w:pos="3477"/>
                    </w:tabs>
                    <w:overflowPunct w:val="0"/>
                    <w:adjustRightInd w:val="0"/>
                    <w:snapToGrid w:val="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采样日期、检测频次及检测结果</w:t>
                  </w:r>
                </w:p>
              </w:tc>
            </w:tr>
            <w:tr w14:paraId="7E4438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7D5632C1">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1711" w:type="pct"/>
                  <w:gridSpan w:val="2"/>
                  <w:vMerge w:val="continue"/>
                  <w:vAlign w:val="center"/>
                </w:tcPr>
                <w:p w14:paraId="41B5400B">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2749" w:type="pct"/>
                  <w:gridSpan w:val="5"/>
                  <w:vAlign w:val="center"/>
                </w:tcPr>
                <w:p w14:paraId="2C6FFDA1">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5月14日</w:t>
                  </w:r>
                </w:p>
              </w:tc>
            </w:tr>
            <w:tr w14:paraId="601F31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1EC0D841">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1711" w:type="pct"/>
                  <w:gridSpan w:val="2"/>
                  <w:vMerge w:val="continue"/>
                  <w:vAlign w:val="center"/>
                </w:tcPr>
                <w:p w14:paraId="6F42F7CE">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573" w:type="pct"/>
                  <w:vAlign w:val="center"/>
                </w:tcPr>
                <w:p w14:paraId="46133C17">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第1次</w:t>
                  </w:r>
                </w:p>
              </w:tc>
              <w:tc>
                <w:tcPr>
                  <w:tcW w:w="573" w:type="pct"/>
                  <w:vAlign w:val="center"/>
                </w:tcPr>
                <w:p w14:paraId="442582BF">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第2次</w:t>
                  </w:r>
                </w:p>
              </w:tc>
              <w:tc>
                <w:tcPr>
                  <w:tcW w:w="573" w:type="pct"/>
                  <w:vAlign w:val="center"/>
                </w:tcPr>
                <w:p w14:paraId="4D012072">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第3次</w:t>
                  </w:r>
                </w:p>
              </w:tc>
              <w:tc>
                <w:tcPr>
                  <w:tcW w:w="575" w:type="pct"/>
                  <w:vAlign w:val="center"/>
                </w:tcPr>
                <w:p w14:paraId="2E0E6DCF">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均值</w:t>
                  </w:r>
                </w:p>
              </w:tc>
              <w:tc>
                <w:tcPr>
                  <w:tcW w:w="455" w:type="pct"/>
                  <w:vAlign w:val="center"/>
                </w:tcPr>
                <w:p w14:paraId="3737FD28">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均值</w:t>
                  </w:r>
                </w:p>
                <w:p w14:paraId="5A5F6F7C">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评价</w:t>
                  </w:r>
                </w:p>
              </w:tc>
            </w:tr>
            <w:tr w14:paraId="2387FC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restart"/>
                  <w:vAlign w:val="center"/>
                </w:tcPr>
                <w:p w14:paraId="070E40F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2#湿式脱硫塔排气筒进口</w:t>
                  </w:r>
                </w:p>
              </w:tc>
              <w:tc>
                <w:tcPr>
                  <w:tcW w:w="716" w:type="pct"/>
                  <w:vMerge w:val="restart"/>
                  <w:vAlign w:val="center"/>
                </w:tcPr>
                <w:p w14:paraId="2C9BFCE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排气参数</w:t>
                  </w:r>
                </w:p>
              </w:tc>
              <w:tc>
                <w:tcPr>
                  <w:tcW w:w="995" w:type="pct"/>
                  <w:vAlign w:val="center"/>
                </w:tcPr>
                <w:p w14:paraId="5D618D9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流量（Nm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/h）</w:t>
                  </w:r>
                </w:p>
              </w:tc>
              <w:tc>
                <w:tcPr>
                  <w:tcW w:w="573" w:type="pct"/>
                  <w:vAlign w:val="center"/>
                </w:tcPr>
                <w:p w14:paraId="0A027CE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51982</w:t>
                  </w:r>
                </w:p>
              </w:tc>
              <w:tc>
                <w:tcPr>
                  <w:tcW w:w="573" w:type="pct"/>
                  <w:vAlign w:val="center"/>
                </w:tcPr>
                <w:p w14:paraId="075B6B5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53106</w:t>
                  </w:r>
                </w:p>
              </w:tc>
              <w:tc>
                <w:tcPr>
                  <w:tcW w:w="573" w:type="pct"/>
                  <w:vAlign w:val="center"/>
                </w:tcPr>
                <w:p w14:paraId="05E8CFC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51982</w:t>
                  </w:r>
                </w:p>
              </w:tc>
              <w:tc>
                <w:tcPr>
                  <w:tcW w:w="575" w:type="pct"/>
                  <w:vAlign w:val="center"/>
                </w:tcPr>
                <w:p w14:paraId="433C4CF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52356</w:t>
                  </w:r>
                </w:p>
              </w:tc>
              <w:tc>
                <w:tcPr>
                  <w:tcW w:w="455" w:type="pct"/>
                  <w:vAlign w:val="center"/>
                </w:tcPr>
                <w:p w14:paraId="2685A3DE">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42563D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17E90D3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12D688F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73E32CB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烟温（</w:t>
                  </w:r>
                  <w:r>
                    <w:rPr>
                      <w:rFonts w:hint="eastAsia" w:ascii="宋体" w:hAnsi="宋体" w:eastAsia="宋体" w:cs="宋体"/>
                      <w:color w:val="000000" w:themeColor="text1"/>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534EF4B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79</w:t>
                  </w:r>
                </w:p>
              </w:tc>
              <w:tc>
                <w:tcPr>
                  <w:tcW w:w="573" w:type="pct"/>
                  <w:vAlign w:val="center"/>
                </w:tcPr>
                <w:p w14:paraId="560D38B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79</w:t>
                  </w:r>
                </w:p>
              </w:tc>
              <w:tc>
                <w:tcPr>
                  <w:tcW w:w="573" w:type="pct"/>
                  <w:vAlign w:val="center"/>
                </w:tcPr>
                <w:p w14:paraId="3189D85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79</w:t>
                  </w:r>
                </w:p>
              </w:tc>
              <w:tc>
                <w:tcPr>
                  <w:tcW w:w="575" w:type="pct"/>
                  <w:vAlign w:val="center"/>
                </w:tcPr>
                <w:p w14:paraId="398280B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79</w:t>
                  </w:r>
                </w:p>
              </w:tc>
              <w:tc>
                <w:tcPr>
                  <w:tcW w:w="455" w:type="pct"/>
                  <w:vAlign w:val="center"/>
                </w:tcPr>
                <w:p w14:paraId="62B221AA">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22D05F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5500ED60">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7653D830">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4AC92A7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烟气流速（m/s）</w:t>
                  </w:r>
                </w:p>
              </w:tc>
              <w:tc>
                <w:tcPr>
                  <w:tcW w:w="573" w:type="pct"/>
                  <w:vAlign w:val="center"/>
                </w:tcPr>
                <w:p w14:paraId="545476C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8.2</w:t>
                  </w:r>
                </w:p>
              </w:tc>
              <w:tc>
                <w:tcPr>
                  <w:tcW w:w="573" w:type="pct"/>
                  <w:vAlign w:val="center"/>
                </w:tcPr>
                <w:p w14:paraId="6C5E856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8.4</w:t>
                  </w:r>
                </w:p>
              </w:tc>
              <w:tc>
                <w:tcPr>
                  <w:tcW w:w="573" w:type="pct"/>
                  <w:vAlign w:val="center"/>
                </w:tcPr>
                <w:p w14:paraId="3FA624D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8.2</w:t>
                  </w:r>
                </w:p>
              </w:tc>
              <w:tc>
                <w:tcPr>
                  <w:tcW w:w="575" w:type="pct"/>
                  <w:vAlign w:val="center"/>
                </w:tcPr>
                <w:p w14:paraId="236EFE9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8.3</w:t>
                  </w:r>
                </w:p>
              </w:tc>
              <w:tc>
                <w:tcPr>
                  <w:tcW w:w="455" w:type="pct"/>
                  <w:vAlign w:val="center"/>
                </w:tcPr>
                <w:p w14:paraId="2B731D79">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3931C9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2C189ADA">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705F9C5F">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4E3505E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含氧量（%）</w:t>
                  </w:r>
                </w:p>
              </w:tc>
              <w:tc>
                <w:tcPr>
                  <w:tcW w:w="573" w:type="pct"/>
                  <w:vAlign w:val="center"/>
                </w:tcPr>
                <w:p w14:paraId="6CBC020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19.4</w:t>
                  </w:r>
                </w:p>
              </w:tc>
              <w:tc>
                <w:tcPr>
                  <w:tcW w:w="573" w:type="pct"/>
                  <w:vAlign w:val="center"/>
                </w:tcPr>
                <w:p w14:paraId="7A89DD9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19.3</w:t>
                  </w:r>
                </w:p>
              </w:tc>
              <w:tc>
                <w:tcPr>
                  <w:tcW w:w="573" w:type="pct"/>
                  <w:vAlign w:val="center"/>
                </w:tcPr>
                <w:p w14:paraId="5F7D074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19.5</w:t>
                  </w:r>
                </w:p>
              </w:tc>
              <w:tc>
                <w:tcPr>
                  <w:tcW w:w="575" w:type="pct"/>
                  <w:vAlign w:val="center"/>
                </w:tcPr>
                <w:p w14:paraId="6790655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19.4</w:t>
                  </w:r>
                </w:p>
              </w:tc>
              <w:tc>
                <w:tcPr>
                  <w:tcW w:w="455" w:type="pct"/>
                  <w:vAlign w:val="center"/>
                </w:tcPr>
                <w:p w14:paraId="6CBB6608">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5193F5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05ACCC47">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Align w:val="center"/>
                </w:tcPr>
                <w:p w14:paraId="6B487F1C">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995" w:type="pct"/>
                  <w:vAlign w:val="center"/>
                </w:tcPr>
                <w:p w14:paraId="1D4C6B1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564FF52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24</w:t>
                  </w:r>
                </w:p>
              </w:tc>
              <w:tc>
                <w:tcPr>
                  <w:tcW w:w="573" w:type="pct"/>
                  <w:vAlign w:val="center"/>
                </w:tcPr>
                <w:p w14:paraId="00BD5A7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27</w:t>
                  </w:r>
                </w:p>
              </w:tc>
              <w:tc>
                <w:tcPr>
                  <w:tcW w:w="573" w:type="pct"/>
                  <w:vAlign w:val="center"/>
                </w:tcPr>
                <w:p w14:paraId="48ECA01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23</w:t>
                  </w:r>
                </w:p>
              </w:tc>
              <w:tc>
                <w:tcPr>
                  <w:tcW w:w="575" w:type="pct"/>
                  <w:vAlign w:val="center"/>
                </w:tcPr>
                <w:p w14:paraId="33C2158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25</w:t>
                  </w:r>
                </w:p>
              </w:tc>
              <w:tc>
                <w:tcPr>
                  <w:tcW w:w="455" w:type="pct"/>
                  <w:vAlign w:val="center"/>
                </w:tcPr>
                <w:p w14:paraId="2984BB35">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112985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76A768A7">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Align w:val="center"/>
                </w:tcPr>
                <w:p w14:paraId="36C622F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二氧化硫</w:t>
                  </w:r>
                </w:p>
              </w:tc>
              <w:tc>
                <w:tcPr>
                  <w:tcW w:w="995" w:type="pct"/>
                  <w:vAlign w:val="center"/>
                </w:tcPr>
                <w:p w14:paraId="272490A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2C34D20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137</w:t>
                  </w:r>
                </w:p>
              </w:tc>
              <w:tc>
                <w:tcPr>
                  <w:tcW w:w="573" w:type="pct"/>
                  <w:vAlign w:val="center"/>
                </w:tcPr>
                <w:p w14:paraId="2BD007B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144</w:t>
                  </w:r>
                </w:p>
              </w:tc>
              <w:tc>
                <w:tcPr>
                  <w:tcW w:w="573" w:type="pct"/>
                  <w:vAlign w:val="center"/>
                </w:tcPr>
                <w:p w14:paraId="7412C7B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141</w:t>
                  </w:r>
                </w:p>
              </w:tc>
              <w:tc>
                <w:tcPr>
                  <w:tcW w:w="575" w:type="pct"/>
                  <w:vAlign w:val="center"/>
                </w:tcPr>
                <w:p w14:paraId="3E1C1FA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141</w:t>
                  </w:r>
                </w:p>
              </w:tc>
              <w:tc>
                <w:tcPr>
                  <w:tcW w:w="455" w:type="pct"/>
                  <w:vAlign w:val="center"/>
                </w:tcPr>
                <w:p w14:paraId="7CE760E9">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560797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32315092">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Align w:val="center"/>
                </w:tcPr>
                <w:p w14:paraId="201A0555">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氮氧化物</w:t>
                  </w:r>
                </w:p>
              </w:tc>
              <w:tc>
                <w:tcPr>
                  <w:tcW w:w="995" w:type="pct"/>
                  <w:vAlign w:val="center"/>
                </w:tcPr>
                <w:p w14:paraId="578375B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3BAB776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30</w:t>
                  </w:r>
                </w:p>
              </w:tc>
              <w:tc>
                <w:tcPr>
                  <w:tcW w:w="573" w:type="pct"/>
                  <w:vAlign w:val="center"/>
                </w:tcPr>
                <w:p w14:paraId="6CAA0CC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23</w:t>
                  </w:r>
                </w:p>
              </w:tc>
              <w:tc>
                <w:tcPr>
                  <w:tcW w:w="573" w:type="pct"/>
                  <w:vAlign w:val="center"/>
                </w:tcPr>
                <w:p w14:paraId="7B40E4C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26</w:t>
                  </w:r>
                </w:p>
              </w:tc>
              <w:tc>
                <w:tcPr>
                  <w:tcW w:w="575" w:type="pct"/>
                  <w:vAlign w:val="center"/>
                </w:tcPr>
                <w:p w14:paraId="5C6BE02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26</w:t>
                  </w:r>
                </w:p>
              </w:tc>
              <w:tc>
                <w:tcPr>
                  <w:tcW w:w="455" w:type="pct"/>
                  <w:vAlign w:val="center"/>
                </w:tcPr>
                <w:p w14:paraId="32635344">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558FE0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3015AC87">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restart"/>
                  <w:vAlign w:val="center"/>
                </w:tcPr>
                <w:p w14:paraId="180B0CD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排气参数</w:t>
                  </w:r>
                </w:p>
              </w:tc>
              <w:tc>
                <w:tcPr>
                  <w:tcW w:w="995" w:type="pct"/>
                  <w:vAlign w:val="center"/>
                </w:tcPr>
                <w:p w14:paraId="45BB269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流量（Nm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/h）</w:t>
                  </w:r>
                </w:p>
              </w:tc>
              <w:tc>
                <w:tcPr>
                  <w:tcW w:w="573" w:type="pct"/>
                  <w:vAlign w:val="center"/>
                </w:tcPr>
                <w:p w14:paraId="2D09818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52547</w:t>
                  </w:r>
                </w:p>
              </w:tc>
              <w:tc>
                <w:tcPr>
                  <w:tcW w:w="573" w:type="pct"/>
                  <w:vAlign w:val="center"/>
                </w:tcPr>
                <w:p w14:paraId="45E2CC3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52544</w:t>
                  </w:r>
                </w:p>
              </w:tc>
              <w:tc>
                <w:tcPr>
                  <w:tcW w:w="573" w:type="pct"/>
                  <w:vAlign w:val="center"/>
                </w:tcPr>
                <w:p w14:paraId="4785CFF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54198</w:t>
                  </w:r>
                </w:p>
              </w:tc>
              <w:tc>
                <w:tcPr>
                  <w:tcW w:w="575" w:type="pct"/>
                  <w:vAlign w:val="center"/>
                </w:tcPr>
                <w:p w14:paraId="6255893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53096</w:t>
                  </w:r>
                </w:p>
              </w:tc>
              <w:tc>
                <w:tcPr>
                  <w:tcW w:w="455" w:type="pct"/>
                  <w:vAlign w:val="center"/>
                </w:tcPr>
                <w:p w14:paraId="55C7D8DC">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01F455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0837E16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010BB4C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12A9F4C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烟温（</w:t>
                  </w:r>
                  <w:r>
                    <w:rPr>
                      <w:rFonts w:hint="eastAsia" w:ascii="宋体" w:hAnsi="宋体" w:eastAsia="宋体" w:cs="宋体"/>
                      <w:color w:val="000000" w:themeColor="text1"/>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6E515BC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79</w:t>
                  </w:r>
                </w:p>
              </w:tc>
              <w:tc>
                <w:tcPr>
                  <w:tcW w:w="573" w:type="pct"/>
                  <w:vAlign w:val="center"/>
                </w:tcPr>
                <w:p w14:paraId="55AD99B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79</w:t>
                  </w:r>
                </w:p>
              </w:tc>
              <w:tc>
                <w:tcPr>
                  <w:tcW w:w="573" w:type="pct"/>
                  <w:vAlign w:val="center"/>
                </w:tcPr>
                <w:p w14:paraId="03839E7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79</w:t>
                  </w:r>
                </w:p>
              </w:tc>
              <w:tc>
                <w:tcPr>
                  <w:tcW w:w="575" w:type="pct"/>
                  <w:vAlign w:val="center"/>
                </w:tcPr>
                <w:p w14:paraId="62E66A1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79</w:t>
                  </w:r>
                </w:p>
              </w:tc>
              <w:tc>
                <w:tcPr>
                  <w:tcW w:w="455" w:type="pct"/>
                  <w:vAlign w:val="center"/>
                </w:tcPr>
                <w:p w14:paraId="04CD15AF">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2A5883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6747788F">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3519295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76371ED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烟气流速（m/s）</w:t>
                  </w:r>
                </w:p>
              </w:tc>
              <w:tc>
                <w:tcPr>
                  <w:tcW w:w="573" w:type="pct"/>
                  <w:vAlign w:val="center"/>
                </w:tcPr>
                <w:p w14:paraId="5927A1F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8.3</w:t>
                  </w:r>
                </w:p>
              </w:tc>
              <w:tc>
                <w:tcPr>
                  <w:tcW w:w="573" w:type="pct"/>
                  <w:vAlign w:val="center"/>
                </w:tcPr>
                <w:p w14:paraId="2DD5C77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8.3</w:t>
                  </w:r>
                </w:p>
              </w:tc>
              <w:tc>
                <w:tcPr>
                  <w:tcW w:w="573" w:type="pct"/>
                  <w:vAlign w:val="center"/>
                </w:tcPr>
                <w:p w14:paraId="0DB6700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8.5</w:t>
                  </w:r>
                </w:p>
              </w:tc>
              <w:tc>
                <w:tcPr>
                  <w:tcW w:w="575" w:type="pct"/>
                  <w:vAlign w:val="center"/>
                </w:tcPr>
                <w:p w14:paraId="1894529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8.4</w:t>
                  </w:r>
                </w:p>
              </w:tc>
              <w:tc>
                <w:tcPr>
                  <w:tcW w:w="455" w:type="pct"/>
                  <w:vAlign w:val="center"/>
                </w:tcPr>
                <w:p w14:paraId="12A2D9C8">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1C6279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17B56F3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38F1941E">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0781A9D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含氧量（%）</w:t>
                  </w:r>
                </w:p>
              </w:tc>
              <w:tc>
                <w:tcPr>
                  <w:tcW w:w="573" w:type="pct"/>
                  <w:vAlign w:val="center"/>
                </w:tcPr>
                <w:p w14:paraId="7490BE3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19.4</w:t>
                  </w:r>
                </w:p>
              </w:tc>
              <w:tc>
                <w:tcPr>
                  <w:tcW w:w="573" w:type="pct"/>
                  <w:vAlign w:val="center"/>
                </w:tcPr>
                <w:p w14:paraId="4ADC0C6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19.2</w:t>
                  </w:r>
                </w:p>
              </w:tc>
              <w:tc>
                <w:tcPr>
                  <w:tcW w:w="573" w:type="pct"/>
                  <w:vAlign w:val="center"/>
                </w:tcPr>
                <w:p w14:paraId="1CF60E9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19.3</w:t>
                  </w:r>
                </w:p>
              </w:tc>
              <w:tc>
                <w:tcPr>
                  <w:tcW w:w="575" w:type="pct"/>
                  <w:vAlign w:val="center"/>
                </w:tcPr>
                <w:p w14:paraId="460CEC9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19.3</w:t>
                  </w:r>
                </w:p>
              </w:tc>
              <w:tc>
                <w:tcPr>
                  <w:tcW w:w="455" w:type="pct"/>
                  <w:vAlign w:val="center"/>
                </w:tcPr>
                <w:p w14:paraId="620043B8">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3621B2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07622DD0">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Align w:val="center"/>
                </w:tcPr>
                <w:p w14:paraId="42043CD9">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995" w:type="pct"/>
                  <w:vAlign w:val="center"/>
                </w:tcPr>
                <w:p w14:paraId="58BD165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2313736A">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2.59</w:t>
                  </w:r>
                </w:p>
              </w:tc>
              <w:tc>
                <w:tcPr>
                  <w:tcW w:w="573" w:type="pct"/>
                  <w:vAlign w:val="center"/>
                </w:tcPr>
                <w:p w14:paraId="75F6BBC3">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2.41</w:t>
                  </w:r>
                </w:p>
              </w:tc>
              <w:tc>
                <w:tcPr>
                  <w:tcW w:w="573" w:type="pct"/>
                  <w:vAlign w:val="center"/>
                </w:tcPr>
                <w:p w14:paraId="26BBB80E">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2.46</w:t>
                  </w:r>
                </w:p>
              </w:tc>
              <w:tc>
                <w:tcPr>
                  <w:tcW w:w="575" w:type="pct"/>
                  <w:vAlign w:val="center"/>
                </w:tcPr>
                <w:p w14:paraId="34A7A0FE">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2.49</w:t>
                  </w:r>
                </w:p>
              </w:tc>
              <w:tc>
                <w:tcPr>
                  <w:tcW w:w="455" w:type="pct"/>
                  <w:vAlign w:val="center"/>
                </w:tcPr>
                <w:p w14:paraId="75F24E20">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67C00D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restart"/>
                  <w:vAlign w:val="center"/>
                </w:tcPr>
                <w:p w14:paraId="08C7E75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2#湿式脱硫塔排气筒出口</w:t>
                  </w:r>
                </w:p>
              </w:tc>
              <w:tc>
                <w:tcPr>
                  <w:tcW w:w="716" w:type="pct"/>
                  <w:vAlign w:val="center"/>
                </w:tcPr>
                <w:p w14:paraId="15E9BE8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排气筒参数</w:t>
                  </w:r>
                </w:p>
              </w:tc>
              <w:tc>
                <w:tcPr>
                  <w:tcW w:w="995" w:type="pct"/>
                  <w:vAlign w:val="center"/>
                </w:tcPr>
                <w:p w14:paraId="42D26FA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高度（m）</w:t>
                  </w:r>
                </w:p>
              </w:tc>
              <w:tc>
                <w:tcPr>
                  <w:tcW w:w="2749" w:type="pct"/>
                  <w:gridSpan w:val="5"/>
                  <w:vAlign w:val="center"/>
                </w:tcPr>
                <w:p w14:paraId="6F656F1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18</w:t>
                  </w:r>
                </w:p>
              </w:tc>
            </w:tr>
            <w:tr w14:paraId="09B549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63E1E1C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restart"/>
                  <w:vAlign w:val="center"/>
                </w:tcPr>
                <w:p w14:paraId="136BCCD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排气参数</w:t>
                  </w:r>
                </w:p>
              </w:tc>
              <w:tc>
                <w:tcPr>
                  <w:tcW w:w="995" w:type="pct"/>
                  <w:vAlign w:val="center"/>
                </w:tcPr>
                <w:p w14:paraId="57611BB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流量（Nm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/h）</w:t>
                  </w:r>
                </w:p>
              </w:tc>
              <w:tc>
                <w:tcPr>
                  <w:tcW w:w="573" w:type="pct"/>
                  <w:vAlign w:val="center"/>
                </w:tcPr>
                <w:p w14:paraId="6297A87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49485</w:t>
                  </w:r>
                </w:p>
              </w:tc>
              <w:tc>
                <w:tcPr>
                  <w:tcW w:w="573" w:type="pct"/>
                  <w:vAlign w:val="center"/>
                </w:tcPr>
                <w:p w14:paraId="1874C1A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51755</w:t>
                  </w:r>
                </w:p>
              </w:tc>
              <w:tc>
                <w:tcPr>
                  <w:tcW w:w="573" w:type="pct"/>
                  <w:vAlign w:val="center"/>
                </w:tcPr>
                <w:p w14:paraId="17F70E6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48708</w:t>
                  </w:r>
                </w:p>
              </w:tc>
              <w:tc>
                <w:tcPr>
                  <w:tcW w:w="575" w:type="pct"/>
                  <w:vAlign w:val="center"/>
                </w:tcPr>
                <w:p w14:paraId="3CB5700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49983</w:t>
                  </w:r>
                </w:p>
              </w:tc>
              <w:tc>
                <w:tcPr>
                  <w:tcW w:w="455" w:type="pct"/>
                  <w:vAlign w:val="center"/>
                </w:tcPr>
                <w:p w14:paraId="019CD3E7">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1C5A57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470EF18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5D6A965F">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7B91E4E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烟温（</w:t>
                  </w:r>
                  <w:r>
                    <w:rPr>
                      <w:rFonts w:hint="eastAsia" w:ascii="宋体" w:hAnsi="宋体" w:eastAsia="宋体" w:cs="宋体"/>
                      <w:color w:val="000000" w:themeColor="text1"/>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0660528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28</w:t>
                  </w:r>
                </w:p>
              </w:tc>
              <w:tc>
                <w:tcPr>
                  <w:tcW w:w="573" w:type="pct"/>
                  <w:vAlign w:val="center"/>
                </w:tcPr>
                <w:p w14:paraId="7273E4B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28</w:t>
                  </w:r>
                </w:p>
              </w:tc>
              <w:tc>
                <w:tcPr>
                  <w:tcW w:w="573" w:type="pct"/>
                  <w:vAlign w:val="center"/>
                </w:tcPr>
                <w:p w14:paraId="4D046DA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28</w:t>
                  </w:r>
                </w:p>
              </w:tc>
              <w:tc>
                <w:tcPr>
                  <w:tcW w:w="575" w:type="pct"/>
                  <w:vAlign w:val="center"/>
                </w:tcPr>
                <w:p w14:paraId="6B75CB2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28</w:t>
                  </w:r>
                </w:p>
              </w:tc>
              <w:tc>
                <w:tcPr>
                  <w:tcW w:w="455" w:type="pct"/>
                  <w:vAlign w:val="center"/>
                </w:tcPr>
                <w:p w14:paraId="0F0A23DF">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1A8E3B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79CE9C62">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6D02A76A">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2885B1B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烟气流速（m/s）</w:t>
                  </w:r>
                </w:p>
              </w:tc>
              <w:tc>
                <w:tcPr>
                  <w:tcW w:w="573" w:type="pct"/>
                  <w:vAlign w:val="center"/>
                </w:tcPr>
                <w:p w14:paraId="7C96FED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6.3</w:t>
                  </w:r>
                </w:p>
              </w:tc>
              <w:tc>
                <w:tcPr>
                  <w:tcW w:w="573" w:type="pct"/>
                  <w:vAlign w:val="center"/>
                </w:tcPr>
                <w:p w14:paraId="280CAD2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6.6</w:t>
                  </w:r>
                </w:p>
              </w:tc>
              <w:tc>
                <w:tcPr>
                  <w:tcW w:w="573" w:type="pct"/>
                  <w:vAlign w:val="center"/>
                </w:tcPr>
                <w:p w14:paraId="15F3EC0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6.2</w:t>
                  </w:r>
                </w:p>
              </w:tc>
              <w:tc>
                <w:tcPr>
                  <w:tcW w:w="575" w:type="pct"/>
                  <w:vAlign w:val="center"/>
                </w:tcPr>
                <w:p w14:paraId="129843E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6.4</w:t>
                  </w:r>
                </w:p>
              </w:tc>
              <w:tc>
                <w:tcPr>
                  <w:tcW w:w="455" w:type="pct"/>
                  <w:vAlign w:val="center"/>
                </w:tcPr>
                <w:p w14:paraId="5F71AC3E">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796194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346F8B1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20B76B5B">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05282F0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含氧量（%）</w:t>
                  </w:r>
                </w:p>
              </w:tc>
              <w:tc>
                <w:tcPr>
                  <w:tcW w:w="573" w:type="pct"/>
                  <w:vAlign w:val="center"/>
                </w:tcPr>
                <w:p w14:paraId="49E7D9E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19.4</w:t>
                  </w:r>
                </w:p>
              </w:tc>
              <w:tc>
                <w:tcPr>
                  <w:tcW w:w="573" w:type="pct"/>
                  <w:vAlign w:val="center"/>
                </w:tcPr>
                <w:p w14:paraId="5391E9D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19.5</w:t>
                  </w:r>
                </w:p>
              </w:tc>
              <w:tc>
                <w:tcPr>
                  <w:tcW w:w="573" w:type="pct"/>
                  <w:vAlign w:val="center"/>
                </w:tcPr>
                <w:p w14:paraId="0A9F1BB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19.6</w:t>
                  </w:r>
                </w:p>
              </w:tc>
              <w:tc>
                <w:tcPr>
                  <w:tcW w:w="575" w:type="pct"/>
                  <w:vAlign w:val="center"/>
                </w:tcPr>
                <w:p w14:paraId="196AFF6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19.5</w:t>
                  </w:r>
                </w:p>
              </w:tc>
              <w:tc>
                <w:tcPr>
                  <w:tcW w:w="455" w:type="pct"/>
                  <w:vAlign w:val="center"/>
                </w:tcPr>
                <w:p w14:paraId="32935236">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62DE26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07F61FB7">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restart"/>
                  <w:vAlign w:val="center"/>
                </w:tcPr>
                <w:p w14:paraId="19D2E981">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995" w:type="pct"/>
                  <w:vAlign w:val="center"/>
                </w:tcPr>
                <w:p w14:paraId="5102605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3BB2450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12.8</w:t>
                  </w:r>
                </w:p>
              </w:tc>
              <w:tc>
                <w:tcPr>
                  <w:tcW w:w="573" w:type="pct"/>
                  <w:vAlign w:val="center"/>
                </w:tcPr>
                <w:p w14:paraId="4DDC623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13.9</w:t>
                  </w:r>
                </w:p>
              </w:tc>
              <w:tc>
                <w:tcPr>
                  <w:tcW w:w="573" w:type="pct"/>
                  <w:vAlign w:val="center"/>
                </w:tcPr>
                <w:p w14:paraId="37B1AF4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12.0</w:t>
                  </w:r>
                </w:p>
              </w:tc>
              <w:tc>
                <w:tcPr>
                  <w:tcW w:w="575" w:type="pct"/>
                  <w:vAlign w:val="center"/>
                </w:tcPr>
                <w:p w14:paraId="427C9AD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12.9</w:t>
                  </w:r>
                </w:p>
              </w:tc>
              <w:tc>
                <w:tcPr>
                  <w:tcW w:w="455" w:type="pct"/>
                  <w:vAlign w:val="center"/>
                </w:tcPr>
                <w:p w14:paraId="0BFBE3CF">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67DC67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4E7CE2B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202D466A">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70CD4B08">
                  <w:pPr>
                    <w:pStyle w:val="21"/>
                    <w:spacing w:line="240" w:lineRule="auto"/>
                    <w:jc w:val="center"/>
                    <w:rPr>
                      <w:rFonts w:ascii="Times New Roman" w:hAnsi="Times New Roman" w:eastAsia="宋体"/>
                      <w:color w:val="000000" w:themeColor="text1"/>
                      <w:sz w:val="21"/>
                      <w:szCs w:val="21"/>
                      <w14:textFill>
                        <w14:solidFill>
                          <w14:schemeClr w14:val="tx1"/>
                        </w14:solidFill>
                      </w14:textFill>
                    </w:rPr>
                  </w:pPr>
                  <w:r>
                    <w:rPr>
                      <w:rFonts w:ascii="Times New Roman" w:hAnsi="Times New Roman" w:eastAsia="宋体"/>
                      <w:color w:val="000000" w:themeColor="text1"/>
                      <w:sz w:val="21"/>
                      <w:szCs w:val="21"/>
                      <w14:textFill>
                        <w14:solidFill>
                          <w14:schemeClr w14:val="tx1"/>
                        </w14:solidFill>
                      </w14:textFill>
                    </w:rPr>
                    <w:t>折算浓度（mg/m</w:t>
                  </w:r>
                  <w:r>
                    <w:rPr>
                      <w:rFonts w:ascii="Times New Roman" w:hAnsi="Times New Roman" w:eastAsia="宋体"/>
                      <w:color w:val="000000" w:themeColor="text1"/>
                      <w:sz w:val="21"/>
                      <w:szCs w:val="21"/>
                      <w:vertAlign w:val="superscript"/>
                      <w14:textFill>
                        <w14:solidFill>
                          <w14:schemeClr w14:val="tx1"/>
                        </w14:solidFill>
                      </w14:textFill>
                    </w:rPr>
                    <w:t>3</w:t>
                  </w:r>
                  <w:r>
                    <w:rPr>
                      <w:rFonts w:ascii="Times New Roman" w:hAnsi="Times New Roman" w:eastAsia="宋体"/>
                      <w:color w:val="000000" w:themeColor="text1"/>
                      <w:sz w:val="21"/>
                      <w:szCs w:val="21"/>
                      <w14:textFill>
                        <w14:solidFill>
                          <w14:schemeClr w14:val="tx1"/>
                        </w14:solidFill>
                      </w14:textFill>
                    </w:rPr>
                    <w:t>）</w:t>
                  </w:r>
                </w:p>
              </w:tc>
              <w:tc>
                <w:tcPr>
                  <w:tcW w:w="573" w:type="pct"/>
                  <w:vAlign w:val="center"/>
                </w:tcPr>
                <w:p w14:paraId="73AB054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24.0</w:t>
                  </w:r>
                </w:p>
              </w:tc>
              <w:tc>
                <w:tcPr>
                  <w:tcW w:w="573" w:type="pct"/>
                  <w:vAlign w:val="center"/>
                </w:tcPr>
                <w:p w14:paraId="04233AA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27.8</w:t>
                  </w:r>
                </w:p>
              </w:tc>
              <w:tc>
                <w:tcPr>
                  <w:tcW w:w="573" w:type="pct"/>
                  <w:vAlign w:val="center"/>
                </w:tcPr>
                <w:p w14:paraId="69D42C3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25.7</w:t>
                  </w:r>
                </w:p>
              </w:tc>
              <w:tc>
                <w:tcPr>
                  <w:tcW w:w="575" w:type="pct"/>
                  <w:vAlign w:val="center"/>
                </w:tcPr>
                <w:p w14:paraId="0DA74E6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25.8</w:t>
                  </w:r>
                </w:p>
              </w:tc>
              <w:tc>
                <w:tcPr>
                  <w:tcW w:w="455" w:type="pct"/>
                  <w:vAlign w:val="center"/>
                </w:tcPr>
                <w:p w14:paraId="5FC4CADF">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434F9B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69DE231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restart"/>
                  <w:vAlign w:val="center"/>
                </w:tcPr>
                <w:p w14:paraId="1D25421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二氧化硫</w:t>
                  </w:r>
                </w:p>
              </w:tc>
              <w:tc>
                <w:tcPr>
                  <w:tcW w:w="995" w:type="pct"/>
                  <w:vAlign w:val="center"/>
                </w:tcPr>
                <w:p w14:paraId="25575B4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6717D3E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14</w:t>
                  </w:r>
                </w:p>
              </w:tc>
              <w:tc>
                <w:tcPr>
                  <w:tcW w:w="573" w:type="pct"/>
                  <w:vAlign w:val="center"/>
                </w:tcPr>
                <w:p w14:paraId="52EEFF3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w:t>
                  </w:r>
                </w:p>
              </w:tc>
              <w:tc>
                <w:tcPr>
                  <w:tcW w:w="573" w:type="pct"/>
                  <w:vAlign w:val="center"/>
                </w:tcPr>
                <w:p w14:paraId="397DE4B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w:t>
                  </w:r>
                </w:p>
              </w:tc>
              <w:tc>
                <w:tcPr>
                  <w:tcW w:w="575" w:type="pct"/>
                  <w:vAlign w:val="center"/>
                </w:tcPr>
                <w:p w14:paraId="13A4AAA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w:t>
                  </w:r>
                </w:p>
              </w:tc>
              <w:tc>
                <w:tcPr>
                  <w:tcW w:w="455" w:type="pct"/>
                  <w:vAlign w:val="center"/>
                </w:tcPr>
                <w:p w14:paraId="06F03ECF">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2F39E0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409BD1B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4A7676F2">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4AF2DE13">
                  <w:pPr>
                    <w:pStyle w:val="21"/>
                    <w:spacing w:line="240" w:lineRule="auto"/>
                    <w:jc w:val="center"/>
                    <w:rPr>
                      <w:rFonts w:ascii="Times New Roman" w:hAnsi="Times New Roman" w:eastAsia="宋体"/>
                      <w:color w:val="000000" w:themeColor="text1"/>
                      <w:sz w:val="21"/>
                      <w:szCs w:val="21"/>
                      <w14:textFill>
                        <w14:solidFill>
                          <w14:schemeClr w14:val="tx1"/>
                        </w14:solidFill>
                      </w14:textFill>
                    </w:rPr>
                  </w:pPr>
                  <w:r>
                    <w:rPr>
                      <w:rFonts w:ascii="Times New Roman" w:hAnsi="Times New Roman" w:eastAsia="宋体"/>
                      <w:color w:val="000000" w:themeColor="text1"/>
                      <w:sz w:val="21"/>
                      <w:szCs w:val="21"/>
                      <w14:textFill>
                        <w14:solidFill>
                          <w14:schemeClr w14:val="tx1"/>
                        </w14:solidFill>
                      </w14:textFill>
                    </w:rPr>
                    <w:t>折算浓度（mg/m</w:t>
                  </w:r>
                  <w:r>
                    <w:rPr>
                      <w:rFonts w:ascii="Times New Roman" w:hAnsi="Times New Roman" w:eastAsia="宋体"/>
                      <w:color w:val="000000" w:themeColor="text1"/>
                      <w:sz w:val="21"/>
                      <w:szCs w:val="21"/>
                      <w:vertAlign w:val="superscript"/>
                      <w14:textFill>
                        <w14:solidFill>
                          <w14:schemeClr w14:val="tx1"/>
                        </w14:solidFill>
                      </w14:textFill>
                    </w:rPr>
                    <w:t>3</w:t>
                  </w:r>
                  <w:r>
                    <w:rPr>
                      <w:rFonts w:ascii="Times New Roman" w:hAnsi="Times New Roman" w:eastAsia="宋体"/>
                      <w:color w:val="000000" w:themeColor="text1"/>
                      <w:sz w:val="21"/>
                      <w:szCs w:val="21"/>
                      <w14:textFill>
                        <w14:solidFill>
                          <w14:schemeClr w14:val="tx1"/>
                        </w14:solidFill>
                      </w14:textFill>
                    </w:rPr>
                    <w:t>）</w:t>
                  </w:r>
                </w:p>
              </w:tc>
              <w:tc>
                <w:tcPr>
                  <w:tcW w:w="573" w:type="pct"/>
                  <w:vAlign w:val="center"/>
                </w:tcPr>
                <w:p w14:paraId="0195C05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26</w:t>
                  </w:r>
                </w:p>
              </w:tc>
              <w:tc>
                <w:tcPr>
                  <w:tcW w:w="573" w:type="pct"/>
                  <w:vAlign w:val="center"/>
                </w:tcPr>
                <w:p w14:paraId="398E1E3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26</w:t>
                  </w:r>
                </w:p>
              </w:tc>
              <w:tc>
                <w:tcPr>
                  <w:tcW w:w="573" w:type="pct"/>
                  <w:vAlign w:val="center"/>
                </w:tcPr>
                <w:p w14:paraId="5B7F69C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26</w:t>
                  </w:r>
                </w:p>
              </w:tc>
              <w:tc>
                <w:tcPr>
                  <w:tcW w:w="575" w:type="pct"/>
                  <w:vAlign w:val="center"/>
                </w:tcPr>
                <w:p w14:paraId="45224D7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26</w:t>
                  </w:r>
                </w:p>
              </w:tc>
              <w:tc>
                <w:tcPr>
                  <w:tcW w:w="455" w:type="pct"/>
                  <w:vAlign w:val="center"/>
                </w:tcPr>
                <w:p w14:paraId="5974067D">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04B471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59FEA84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restart"/>
                  <w:vAlign w:val="center"/>
                </w:tcPr>
                <w:p w14:paraId="59345E72">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氮氧化物</w:t>
                  </w:r>
                </w:p>
              </w:tc>
              <w:tc>
                <w:tcPr>
                  <w:tcW w:w="995" w:type="pct"/>
                  <w:vAlign w:val="center"/>
                </w:tcPr>
                <w:p w14:paraId="5F079EF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46CDFCE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15</w:t>
                  </w:r>
                </w:p>
              </w:tc>
              <w:tc>
                <w:tcPr>
                  <w:tcW w:w="573" w:type="pct"/>
                  <w:vAlign w:val="center"/>
                </w:tcPr>
                <w:p w14:paraId="072F2A8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w:t>
                  </w:r>
                </w:p>
              </w:tc>
              <w:tc>
                <w:tcPr>
                  <w:tcW w:w="573" w:type="pct"/>
                  <w:vAlign w:val="center"/>
                </w:tcPr>
                <w:p w14:paraId="74EBAAF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14</w:t>
                  </w:r>
                </w:p>
              </w:tc>
              <w:tc>
                <w:tcPr>
                  <w:tcW w:w="575" w:type="pct"/>
                  <w:vAlign w:val="center"/>
                </w:tcPr>
                <w:p w14:paraId="6E9DB95D">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14</w:t>
                  </w:r>
                </w:p>
              </w:tc>
              <w:tc>
                <w:tcPr>
                  <w:tcW w:w="455" w:type="pct"/>
                  <w:vAlign w:val="center"/>
                </w:tcPr>
                <w:p w14:paraId="5CC569E3">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4841A3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1752DAE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77FE5C37">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11F1D133">
                  <w:pPr>
                    <w:pStyle w:val="21"/>
                    <w:spacing w:line="240" w:lineRule="auto"/>
                    <w:jc w:val="center"/>
                    <w:rPr>
                      <w:rFonts w:ascii="Times New Roman" w:hAnsi="Times New Roman" w:eastAsia="宋体"/>
                      <w:color w:val="000000" w:themeColor="text1"/>
                      <w:sz w:val="21"/>
                      <w:szCs w:val="21"/>
                      <w14:textFill>
                        <w14:solidFill>
                          <w14:schemeClr w14:val="tx1"/>
                        </w14:solidFill>
                      </w14:textFill>
                    </w:rPr>
                  </w:pPr>
                  <w:r>
                    <w:rPr>
                      <w:rFonts w:ascii="Times New Roman" w:hAnsi="Times New Roman" w:eastAsia="宋体"/>
                      <w:color w:val="000000" w:themeColor="text1"/>
                      <w:sz w:val="21"/>
                      <w:szCs w:val="21"/>
                      <w14:textFill>
                        <w14:solidFill>
                          <w14:schemeClr w14:val="tx1"/>
                        </w14:solidFill>
                      </w14:textFill>
                    </w:rPr>
                    <w:t>折算浓度（mg/m</w:t>
                  </w:r>
                  <w:r>
                    <w:rPr>
                      <w:rFonts w:ascii="Times New Roman" w:hAnsi="Times New Roman" w:eastAsia="宋体"/>
                      <w:color w:val="000000" w:themeColor="text1"/>
                      <w:sz w:val="21"/>
                      <w:szCs w:val="21"/>
                      <w:vertAlign w:val="superscript"/>
                      <w14:textFill>
                        <w14:solidFill>
                          <w14:schemeClr w14:val="tx1"/>
                        </w14:solidFill>
                      </w14:textFill>
                    </w:rPr>
                    <w:t>3</w:t>
                  </w:r>
                  <w:r>
                    <w:rPr>
                      <w:rFonts w:ascii="Times New Roman" w:hAnsi="Times New Roman" w:eastAsia="宋体"/>
                      <w:color w:val="000000" w:themeColor="text1"/>
                      <w:sz w:val="21"/>
                      <w:szCs w:val="21"/>
                      <w14:textFill>
                        <w14:solidFill>
                          <w14:schemeClr w14:val="tx1"/>
                        </w14:solidFill>
                      </w14:textFill>
                    </w:rPr>
                    <w:t>）</w:t>
                  </w:r>
                </w:p>
              </w:tc>
              <w:tc>
                <w:tcPr>
                  <w:tcW w:w="573" w:type="pct"/>
                  <w:vAlign w:val="center"/>
                </w:tcPr>
                <w:p w14:paraId="2C66FB17">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28</w:t>
                  </w:r>
                </w:p>
              </w:tc>
              <w:tc>
                <w:tcPr>
                  <w:tcW w:w="573" w:type="pct"/>
                  <w:vAlign w:val="center"/>
                </w:tcPr>
                <w:p w14:paraId="75E4110B">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26</w:t>
                  </w:r>
                </w:p>
              </w:tc>
              <w:tc>
                <w:tcPr>
                  <w:tcW w:w="573" w:type="pct"/>
                  <w:vAlign w:val="center"/>
                </w:tcPr>
                <w:p w14:paraId="5B4D9886">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30</w:t>
                  </w:r>
                </w:p>
              </w:tc>
              <w:tc>
                <w:tcPr>
                  <w:tcW w:w="575" w:type="pct"/>
                  <w:vAlign w:val="center"/>
                </w:tcPr>
                <w:p w14:paraId="3A4995F6">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28</w:t>
                  </w:r>
                </w:p>
              </w:tc>
              <w:tc>
                <w:tcPr>
                  <w:tcW w:w="455" w:type="pct"/>
                  <w:vAlign w:val="center"/>
                </w:tcPr>
                <w:p w14:paraId="24666F85">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3470C9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6477F57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restart"/>
                  <w:vAlign w:val="center"/>
                </w:tcPr>
                <w:p w14:paraId="2B3B359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排气参数</w:t>
                  </w:r>
                </w:p>
              </w:tc>
              <w:tc>
                <w:tcPr>
                  <w:tcW w:w="995" w:type="pct"/>
                  <w:vAlign w:val="center"/>
                </w:tcPr>
                <w:p w14:paraId="028F780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流量（Nm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/h）</w:t>
                  </w:r>
                </w:p>
              </w:tc>
              <w:tc>
                <w:tcPr>
                  <w:tcW w:w="573" w:type="pct"/>
                  <w:vAlign w:val="center"/>
                </w:tcPr>
                <w:p w14:paraId="7C53007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48706</w:t>
                  </w:r>
                </w:p>
              </w:tc>
              <w:tc>
                <w:tcPr>
                  <w:tcW w:w="573" w:type="pct"/>
                  <w:vAlign w:val="center"/>
                </w:tcPr>
                <w:p w14:paraId="3F6CE98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51011</w:t>
                  </w:r>
                </w:p>
              </w:tc>
              <w:tc>
                <w:tcPr>
                  <w:tcW w:w="573" w:type="pct"/>
                  <w:vAlign w:val="center"/>
                </w:tcPr>
                <w:p w14:paraId="2BBF022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50252</w:t>
                  </w:r>
                </w:p>
              </w:tc>
              <w:tc>
                <w:tcPr>
                  <w:tcW w:w="575" w:type="pct"/>
                  <w:vAlign w:val="center"/>
                </w:tcPr>
                <w:p w14:paraId="144A866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49990</w:t>
                  </w:r>
                </w:p>
              </w:tc>
              <w:tc>
                <w:tcPr>
                  <w:tcW w:w="455" w:type="pct"/>
                  <w:vAlign w:val="center"/>
                </w:tcPr>
                <w:p w14:paraId="4262FC84">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2D4116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041553F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0C36FC51">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4A0D021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烟温（</w:t>
                  </w:r>
                  <w:r>
                    <w:rPr>
                      <w:rFonts w:hint="eastAsia" w:ascii="宋体" w:hAnsi="宋体" w:eastAsia="宋体" w:cs="宋体"/>
                      <w:color w:val="000000" w:themeColor="text1"/>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2A65A9D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28</w:t>
                  </w:r>
                </w:p>
              </w:tc>
              <w:tc>
                <w:tcPr>
                  <w:tcW w:w="573" w:type="pct"/>
                  <w:vAlign w:val="center"/>
                </w:tcPr>
                <w:p w14:paraId="276BF4E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28</w:t>
                  </w:r>
                </w:p>
              </w:tc>
              <w:tc>
                <w:tcPr>
                  <w:tcW w:w="573" w:type="pct"/>
                  <w:vAlign w:val="center"/>
                </w:tcPr>
                <w:p w14:paraId="49E5F5B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28</w:t>
                  </w:r>
                </w:p>
              </w:tc>
              <w:tc>
                <w:tcPr>
                  <w:tcW w:w="575" w:type="pct"/>
                  <w:vAlign w:val="center"/>
                </w:tcPr>
                <w:p w14:paraId="3969742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28</w:t>
                  </w:r>
                </w:p>
              </w:tc>
              <w:tc>
                <w:tcPr>
                  <w:tcW w:w="455" w:type="pct"/>
                  <w:vAlign w:val="center"/>
                </w:tcPr>
                <w:p w14:paraId="3338BCB8">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49C191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6B64AEE6">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33180757">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3C5BFC8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烟气流速（m/s）</w:t>
                  </w:r>
                </w:p>
              </w:tc>
              <w:tc>
                <w:tcPr>
                  <w:tcW w:w="573" w:type="pct"/>
                  <w:vAlign w:val="center"/>
                </w:tcPr>
                <w:p w14:paraId="00CFAAD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6.2</w:t>
                  </w:r>
                </w:p>
              </w:tc>
              <w:tc>
                <w:tcPr>
                  <w:tcW w:w="573" w:type="pct"/>
                  <w:vAlign w:val="center"/>
                </w:tcPr>
                <w:p w14:paraId="78F7603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6.5</w:t>
                  </w:r>
                </w:p>
              </w:tc>
              <w:tc>
                <w:tcPr>
                  <w:tcW w:w="573" w:type="pct"/>
                  <w:vAlign w:val="center"/>
                </w:tcPr>
                <w:p w14:paraId="19BC68E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6.4</w:t>
                  </w:r>
                </w:p>
              </w:tc>
              <w:tc>
                <w:tcPr>
                  <w:tcW w:w="575" w:type="pct"/>
                  <w:vAlign w:val="center"/>
                </w:tcPr>
                <w:p w14:paraId="718036B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6.4</w:t>
                  </w:r>
                </w:p>
              </w:tc>
              <w:tc>
                <w:tcPr>
                  <w:tcW w:w="455" w:type="pct"/>
                  <w:vAlign w:val="center"/>
                </w:tcPr>
                <w:p w14:paraId="68822D2D">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471190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70ADD8C2">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72E41621">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7A0A706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含氧量（%）</w:t>
                  </w:r>
                </w:p>
              </w:tc>
              <w:tc>
                <w:tcPr>
                  <w:tcW w:w="573" w:type="pct"/>
                  <w:vAlign w:val="center"/>
                </w:tcPr>
                <w:p w14:paraId="7F97C6D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19.3</w:t>
                  </w:r>
                </w:p>
              </w:tc>
              <w:tc>
                <w:tcPr>
                  <w:tcW w:w="573" w:type="pct"/>
                  <w:vAlign w:val="center"/>
                </w:tcPr>
                <w:p w14:paraId="2F821E6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19.5</w:t>
                  </w:r>
                </w:p>
              </w:tc>
              <w:tc>
                <w:tcPr>
                  <w:tcW w:w="573" w:type="pct"/>
                  <w:vAlign w:val="center"/>
                </w:tcPr>
                <w:p w14:paraId="1FF7C45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19.7</w:t>
                  </w:r>
                </w:p>
              </w:tc>
              <w:tc>
                <w:tcPr>
                  <w:tcW w:w="575" w:type="pct"/>
                  <w:vAlign w:val="center"/>
                </w:tcPr>
                <w:p w14:paraId="34683F3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19.5</w:t>
                  </w:r>
                </w:p>
              </w:tc>
              <w:tc>
                <w:tcPr>
                  <w:tcW w:w="455" w:type="pct"/>
                  <w:vAlign w:val="center"/>
                </w:tcPr>
                <w:p w14:paraId="1462C96A">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42F971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7900D2F6">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restart"/>
                  <w:vAlign w:val="center"/>
                </w:tcPr>
                <w:p w14:paraId="19A943BD">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995" w:type="pct"/>
                  <w:vAlign w:val="center"/>
                </w:tcPr>
                <w:p w14:paraId="218B6BB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实测浓度（mg/m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573" w:type="pct"/>
                  <w:vAlign w:val="center"/>
                </w:tcPr>
                <w:p w14:paraId="214710BC">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0.89</w:t>
                  </w:r>
                </w:p>
              </w:tc>
              <w:tc>
                <w:tcPr>
                  <w:tcW w:w="573" w:type="pct"/>
                  <w:vAlign w:val="center"/>
                </w:tcPr>
                <w:p w14:paraId="1C98FBFB">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0.80</w:t>
                  </w:r>
                </w:p>
              </w:tc>
              <w:tc>
                <w:tcPr>
                  <w:tcW w:w="573" w:type="pct"/>
                  <w:vAlign w:val="center"/>
                </w:tcPr>
                <w:p w14:paraId="7C55C2BF">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0.86</w:t>
                  </w:r>
                </w:p>
              </w:tc>
              <w:tc>
                <w:tcPr>
                  <w:tcW w:w="575" w:type="pct"/>
                  <w:vAlign w:val="center"/>
                </w:tcPr>
                <w:p w14:paraId="15A72DBA">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0.85</w:t>
                  </w:r>
                </w:p>
              </w:tc>
              <w:tc>
                <w:tcPr>
                  <w:tcW w:w="455" w:type="pct"/>
                  <w:vAlign w:val="center"/>
                </w:tcPr>
                <w:p w14:paraId="751FD04D">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48F0A4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Merge w:val="continue"/>
                  <w:vAlign w:val="center"/>
                </w:tcPr>
                <w:p w14:paraId="26E4ED1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16" w:type="pct"/>
                  <w:vMerge w:val="continue"/>
                  <w:vAlign w:val="center"/>
                </w:tcPr>
                <w:p w14:paraId="4E54F163">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995" w:type="pct"/>
                  <w:vAlign w:val="center"/>
                </w:tcPr>
                <w:p w14:paraId="37BC008D">
                  <w:pPr>
                    <w:pStyle w:val="21"/>
                    <w:spacing w:line="240" w:lineRule="auto"/>
                    <w:jc w:val="center"/>
                    <w:rPr>
                      <w:rFonts w:ascii="Times New Roman" w:hAnsi="Times New Roman" w:eastAsia="宋体"/>
                      <w:color w:val="000000" w:themeColor="text1"/>
                      <w:sz w:val="21"/>
                      <w:szCs w:val="21"/>
                      <w14:textFill>
                        <w14:solidFill>
                          <w14:schemeClr w14:val="tx1"/>
                        </w14:solidFill>
                      </w14:textFill>
                    </w:rPr>
                  </w:pPr>
                  <w:r>
                    <w:rPr>
                      <w:rFonts w:ascii="Times New Roman" w:hAnsi="Times New Roman" w:eastAsia="宋体"/>
                      <w:color w:val="000000" w:themeColor="text1"/>
                      <w:sz w:val="21"/>
                      <w:szCs w:val="21"/>
                      <w14:textFill>
                        <w14:solidFill>
                          <w14:schemeClr w14:val="tx1"/>
                        </w14:solidFill>
                      </w14:textFill>
                    </w:rPr>
                    <w:t>折算浓度（mg/m</w:t>
                  </w:r>
                  <w:r>
                    <w:rPr>
                      <w:rFonts w:ascii="Times New Roman" w:hAnsi="Times New Roman" w:eastAsia="宋体"/>
                      <w:color w:val="000000" w:themeColor="text1"/>
                      <w:sz w:val="21"/>
                      <w:szCs w:val="21"/>
                      <w:vertAlign w:val="superscript"/>
                      <w14:textFill>
                        <w14:solidFill>
                          <w14:schemeClr w14:val="tx1"/>
                        </w14:solidFill>
                      </w14:textFill>
                    </w:rPr>
                    <w:t>3</w:t>
                  </w:r>
                  <w:r>
                    <w:rPr>
                      <w:rFonts w:ascii="Times New Roman" w:hAnsi="Times New Roman" w:eastAsia="宋体"/>
                      <w:color w:val="000000" w:themeColor="text1"/>
                      <w:sz w:val="21"/>
                      <w:szCs w:val="21"/>
                      <w14:textFill>
                        <w14:solidFill>
                          <w14:schemeClr w14:val="tx1"/>
                        </w14:solidFill>
                      </w14:textFill>
                    </w:rPr>
                    <w:t>）</w:t>
                  </w:r>
                </w:p>
              </w:tc>
              <w:tc>
                <w:tcPr>
                  <w:tcW w:w="573" w:type="pct"/>
                  <w:vAlign w:val="center"/>
                </w:tcPr>
                <w:p w14:paraId="0B98E803">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1.57</w:t>
                  </w:r>
                </w:p>
              </w:tc>
              <w:tc>
                <w:tcPr>
                  <w:tcW w:w="573" w:type="pct"/>
                  <w:vAlign w:val="center"/>
                </w:tcPr>
                <w:p w14:paraId="7FB9FD7D">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1.60</w:t>
                  </w:r>
                </w:p>
              </w:tc>
              <w:tc>
                <w:tcPr>
                  <w:tcW w:w="573" w:type="pct"/>
                  <w:vAlign w:val="center"/>
                </w:tcPr>
                <w:p w14:paraId="7928F2F3">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1.98</w:t>
                  </w:r>
                </w:p>
              </w:tc>
              <w:tc>
                <w:tcPr>
                  <w:tcW w:w="575" w:type="pct"/>
                  <w:vAlign w:val="center"/>
                </w:tcPr>
                <w:p w14:paraId="79070A53">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1.72</w:t>
                  </w:r>
                </w:p>
              </w:tc>
              <w:tc>
                <w:tcPr>
                  <w:tcW w:w="455" w:type="pct"/>
                  <w:vAlign w:val="center"/>
                </w:tcPr>
                <w:p w14:paraId="724D851A">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7E4492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540" w:type="pct"/>
                  <w:vAlign w:val="center"/>
                </w:tcPr>
                <w:p w14:paraId="22A8DEA2">
                  <w:pPr>
                    <w:widowControl/>
                    <w:jc w:val="center"/>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备注</w:t>
                  </w:r>
                </w:p>
              </w:tc>
              <w:tc>
                <w:tcPr>
                  <w:tcW w:w="4460" w:type="pct"/>
                  <w:gridSpan w:val="7"/>
                  <w:vAlign w:val="center"/>
                </w:tcPr>
                <w:p w14:paraId="388D20D3">
                  <w:pPr>
                    <w:jc w:val="left"/>
                    <w:textAlignment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1、折算浓度=实测浓度×[（21-基准氧含量）/（21-实测的氧含量）]，人工干燥及焙烧窑的干烟气基准含氧量为18%；</w:t>
                  </w:r>
                </w:p>
                <w:p w14:paraId="4E49B99E">
                  <w:pPr>
                    <w:widowControl/>
                    <w:jc w:val="left"/>
                    <w:textAlignment w:val="center"/>
                    <w:rPr>
                      <w:rFonts w:ascii="Times New Roman" w:hAnsi="Times New Roman" w:eastAsia="宋体" w:cs="Times New Roman"/>
                      <w:color w:val="000000" w:themeColor="text1"/>
                      <w:kern w:val="0"/>
                      <w:szCs w:val="21"/>
                      <w:lang w:bidi="ar"/>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2、排气筒高度高出周围200m半径距离内的建筑&gt;3m。</w:t>
                  </w:r>
                </w:p>
              </w:tc>
            </w:tr>
          </w:tbl>
          <w:p w14:paraId="32D48AA8">
            <w:pPr>
              <w:snapToGrid w:val="0"/>
              <w:jc w:val="center"/>
              <w:textAlignment w:val="center"/>
              <w:rPr>
                <w:rFonts w:ascii="Times New Roman" w:hAnsi="Times New Roman" w:eastAsia="宋体" w:cs="Times New Roman"/>
                <w:color w:val="FF0000"/>
                <w:sz w:val="24"/>
                <w:szCs w:val="24"/>
              </w:rPr>
            </w:pPr>
            <w:bookmarkStart w:id="15" w:name="_Ref143617577"/>
            <w:bookmarkStart w:id="16" w:name="_Ref150787406"/>
            <w:r>
              <w:rPr>
                <w:rFonts w:ascii="Times New Roman" w:hAnsi="Times New Roman" w:eastAsia="宋体" w:cs="Times New Roman"/>
                <w:b/>
                <w:color w:val="FF0000"/>
                <w:szCs w:val="24"/>
              </w:rPr>
              <w:t xml:space="preserve">表2- </w:t>
            </w:r>
            <w:r>
              <w:rPr>
                <w:rFonts w:ascii="Times New Roman" w:hAnsi="Times New Roman" w:eastAsia="宋体" w:cs="Times New Roman"/>
                <w:b/>
                <w:color w:val="FF0000"/>
                <w:szCs w:val="24"/>
              </w:rPr>
              <w:fldChar w:fldCharType="begin"/>
            </w:r>
            <w:r>
              <w:rPr>
                <w:rFonts w:ascii="Times New Roman" w:hAnsi="Times New Roman" w:eastAsia="宋体" w:cs="Times New Roman"/>
                <w:b/>
                <w:color w:val="FF0000"/>
                <w:szCs w:val="24"/>
              </w:rPr>
              <w:instrText xml:space="preserve"> SEQ 表2- \* ARABIC </w:instrText>
            </w:r>
            <w:r>
              <w:rPr>
                <w:rFonts w:ascii="Times New Roman" w:hAnsi="Times New Roman" w:eastAsia="宋体" w:cs="Times New Roman"/>
                <w:b/>
                <w:color w:val="FF0000"/>
                <w:szCs w:val="24"/>
              </w:rPr>
              <w:fldChar w:fldCharType="separate"/>
            </w:r>
            <w:r>
              <w:rPr>
                <w:rFonts w:ascii="Times New Roman" w:hAnsi="Times New Roman" w:eastAsia="宋体" w:cs="Times New Roman"/>
                <w:b/>
                <w:color w:val="FF0000"/>
                <w:szCs w:val="24"/>
              </w:rPr>
              <w:t>31</w:t>
            </w:r>
            <w:r>
              <w:rPr>
                <w:rFonts w:ascii="Times New Roman" w:hAnsi="Times New Roman" w:eastAsia="宋体" w:cs="Times New Roman"/>
                <w:b/>
                <w:color w:val="FF0000"/>
                <w:szCs w:val="24"/>
              </w:rPr>
              <w:fldChar w:fldCharType="end"/>
            </w:r>
            <w:bookmarkEnd w:id="15"/>
            <w:r>
              <w:rPr>
                <w:rFonts w:ascii="Times New Roman" w:hAnsi="Times New Roman" w:eastAsia="宋体" w:cs="Times New Roman"/>
                <w:b/>
                <w:color w:val="FF0000"/>
                <w:szCs w:val="24"/>
              </w:rPr>
              <w:t xml:space="preserve">  </w:t>
            </w:r>
            <w:r>
              <w:rPr>
                <w:rFonts w:ascii="Times New Roman" w:hAnsi="Times New Roman" w:eastAsia="宋体" w:cs="Times New Roman"/>
                <w:b/>
                <w:bCs/>
                <w:color w:val="FF0000"/>
                <w:szCs w:val="24"/>
              </w:rPr>
              <w:t>隧道窑脱硫塔（1#湿式脱硫塔）重金属</w:t>
            </w:r>
            <w:r>
              <w:rPr>
                <w:rFonts w:hint="eastAsia" w:ascii="Times New Roman" w:hAnsi="Times New Roman" w:eastAsia="宋体" w:cs="Times New Roman"/>
                <w:b/>
                <w:bCs/>
                <w:color w:val="FF0000"/>
                <w:szCs w:val="24"/>
              </w:rPr>
              <w:t>及</w:t>
            </w:r>
            <w:r>
              <w:rPr>
                <w:rFonts w:ascii="Times New Roman" w:hAnsi="Times New Roman" w:eastAsia="宋体" w:cs="Times New Roman"/>
                <w:b/>
                <w:bCs/>
                <w:color w:val="FF0000"/>
                <w:szCs w:val="24"/>
              </w:rPr>
              <w:t>二噁英废气有组织补充检测结果</w:t>
            </w:r>
            <w:bookmarkEnd w:id="16"/>
            <w:r>
              <w:rPr>
                <w:rFonts w:ascii="Times New Roman" w:hAnsi="Times New Roman" w:eastAsia="宋体" w:cs="Times New Roman"/>
                <w:b/>
                <w:bCs/>
                <w:color w:val="FF0000"/>
                <w:szCs w:val="24"/>
              </w:rPr>
              <w:t xml:space="preserve"> </w:t>
            </w:r>
          </w:p>
          <w:tbl>
            <w:tblPr>
              <w:tblStyle w:val="2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7" w:type="dxa"/>
                <w:bottom w:w="0" w:type="dxa"/>
                <w:right w:w="57" w:type="dxa"/>
              </w:tblCellMar>
            </w:tblPr>
            <w:tblGrid>
              <w:gridCol w:w="394"/>
              <w:gridCol w:w="1121"/>
              <w:gridCol w:w="1331"/>
              <w:gridCol w:w="993"/>
              <w:gridCol w:w="993"/>
              <w:gridCol w:w="993"/>
              <w:gridCol w:w="994"/>
              <w:gridCol w:w="994"/>
            </w:tblGrid>
            <w:tr w14:paraId="314E37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restart"/>
                  <w:vAlign w:val="center"/>
                </w:tcPr>
                <w:p w14:paraId="40DD55F3">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检测点位</w:t>
                  </w:r>
                </w:p>
              </w:tc>
              <w:tc>
                <w:tcPr>
                  <w:tcW w:w="0" w:type="auto"/>
                  <w:gridSpan w:val="2"/>
                  <w:vMerge w:val="restart"/>
                  <w:vAlign w:val="center"/>
                </w:tcPr>
                <w:p w14:paraId="6BA1F81C">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检测项目</w:t>
                  </w:r>
                </w:p>
              </w:tc>
              <w:tc>
                <w:tcPr>
                  <w:tcW w:w="0" w:type="auto"/>
                  <w:gridSpan w:val="5"/>
                  <w:vAlign w:val="center"/>
                </w:tcPr>
                <w:p w14:paraId="0B3CDC07">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bCs/>
                      <w:color w:val="FF0000"/>
                      <w:szCs w:val="21"/>
                    </w:rPr>
                    <w:t>采样日期、检测频次及检测结果</w:t>
                  </w:r>
                </w:p>
              </w:tc>
            </w:tr>
            <w:tr w14:paraId="5671EA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55323349">
                  <w:pPr>
                    <w:overflowPunct w:val="0"/>
                    <w:adjustRightInd w:val="0"/>
                    <w:snapToGrid w:val="0"/>
                    <w:jc w:val="center"/>
                    <w:rPr>
                      <w:rFonts w:ascii="Times New Roman" w:hAnsi="Times New Roman" w:eastAsia="宋体" w:cs="Times New Roman"/>
                      <w:color w:val="FF0000"/>
                      <w:szCs w:val="21"/>
                    </w:rPr>
                  </w:pPr>
                </w:p>
              </w:tc>
              <w:tc>
                <w:tcPr>
                  <w:tcW w:w="0" w:type="auto"/>
                  <w:gridSpan w:val="2"/>
                  <w:vMerge w:val="continue"/>
                  <w:vAlign w:val="center"/>
                </w:tcPr>
                <w:p w14:paraId="7B83964A">
                  <w:pPr>
                    <w:overflowPunct w:val="0"/>
                    <w:adjustRightInd w:val="0"/>
                    <w:snapToGrid w:val="0"/>
                    <w:jc w:val="center"/>
                    <w:rPr>
                      <w:rFonts w:ascii="Times New Roman" w:hAnsi="Times New Roman" w:eastAsia="宋体" w:cs="Times New Roman"/>
                      <w:color w:val="FF0000"/>
                      <w:szCs w:val="21"/>
                    </w:rPr>
                  </w:pPr>
                </w:p>
              </w:tc>
              <w:tc>
                <w:tcPr>
                  <w:tcW w:w="0" w:type="auto"/>
                  <w:gridSpan w:val="5"/>
                  <w:vAlign w:val="center"/>
                </w:tcPr>
                <w:p w14:paraId="0169293A">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2023年7月16日</w:t>
                  </w:r>
                </w:p>
              </w:tc>
            </w:tr>
            <w:tr w14:paraId="31769E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2B8FC074">
                  <w:pPr>
                    <w:overflowPunct w:val="0"/>
                    <w:adjustRightInd w:val="0"/>
                    <w:snapToGrid w:val="0"/>
                    <w:jc w:val="center"/>
                    <w:rPr>
                      <w:rFonts w:ascii="Times New Roman" w:hAnsi="Times New Roman" w:eastAsia="宋体" w:cs="Times New Roman"/>
                      <w:color w:val="FF0000"/>
                      <w:szCs w:val="21"/>
                    </w:rPr>
                  </w:pPr>
                </w:p>
              </w:tc>
              <w:tc>
                <w:tcPr>
                  <w:tcW w:w="0" w:type="auto"/>
                  <w:gridSpan w:val="2"/>
                  <w:vMerge w:val="continue"/>
                  <w:vAlign w:val="center"/>
                </w:tcPr>
                <w:p w14:paraId="2EC70EA3">
                  <w:pPr>
                    <w:overflowPunct w:val="0"/>
                    <w:adjustRightInd w:val="0"/>
                    <w:snapToGrid w:val="0"/>
                    <w:jc w:val="center"/>
                    <w:rPr>
                      <w:rFonts w:ascii="Times New Roman" w:hAnsi="Times New Roman" w:eastAsia="宋体" w:cs="Times New Roman"/>
                      <w:color w:val="FF0000"/>
                      <w:szCs w:val="21"/>
                    </w:rPr>
                  </w:pPr>
                </w:p>
              </w:tc>
              <w:tc>
                <w:tcPr>
                  <w:tcW w:w="0" w:type="auto"/>
                  <w:vAlign w:val="center"/>
                </w:tcPr>
                <w:p w14:paraId="53E22F26">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第1次</w:t>
                  </w:r>
                </w:p>
              </w:tc>
              <w:tc>
                <w:tcPr>
                  <w:tcW w:w="0" w:type="auto"/>
                  <w:vAlign w:val="center"/>
                </w:tcPr>
                <w:p w14:paraId="68D682C0">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第2次</w:t>
                  </w:r>
                </w:p>
              </w:tc>
              <w:tc>
                <w:tcPr>
                  <w:tcW w:w="0" w:type="auto"/>
                  <w:vAlign w:val="center"/>
                </w:tcPr>
                <w:p w14:paraId="5520266A">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第3次</w:t>
                  </w:r>
                </w:p>
              </w:tc>
              <w:tc>
                <w:tcPr>
                  <w:tcW w:w="0" w:type="auto"/>
                  <w:vAlign w:val="center"/>
                </w:tcPr>
                <w:p w14:paraId="3BC30967">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第4次</w:t>
                  </w:r>
                </w:p>
              </w:tc>
              <w:tc>
                <w:tcPr>
                  <w:tcW w:w="0" w:type="auto"/>
                  <w:vAlign w:val="center"/>
                </w:tcPr>
                <w:p w14:paraId="6F5EF9EB">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均值</w:t>
                  </w:r>
                </w:p>
              </w:tc>
            </w:tr>
            <w:tr w14:paraId="075764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restart"/>
                  <w:vAlign w:val="center"/>
                </w:tcPr>
                <w:p w14:paraId="0FE7159D">
                  <w:pPr>
                    <w:pStyle w:val="22"/>
                    <w:spacing w:before="0" w:beforeAutospacing="0" w:after="0" w:afterAutospacing="0"/>
                    <w:jc w:val="center"/>
                    <w:rPr>
                      <w:rFonts w:ascii="Times New Roman" w:hAnsi="Times New Roman" w:cs="Times New Roman"/>
                      <w:color w:val="FF0000"/>
                      <w:sz w:val="21"/>
                      <w:szCs w:val="21"/>
                    </w:rPr>
                  </w:pPr>
                  <w:r>
                    <w:rPr>
                      <w:rFonts w:ascii="Times New Roman" w:hAnsi="Times New Roman" w:cs="Times New Roman"/>
                      <w:color w:val="FF0000"/>
                      <w:sz w:val="21"/>
                      <w:szCs w:val="21"/>
                    </w:rPr>
                    <w:t>隧道窑</w:t>
                  </w:r>
                </w:p>
                <w:p w14:paraId="1B59BC51">
                  <w:pPr>
                    <w:pStyle w:val="22"/>
                    <w:spacing w:before="0" w:beforeAutospacing="0" w:after="0" w:afterAutospacing="0"/>
                    <w:jc w:val="center"/>
                    <w:rPr>
                      <w:rFonts w:ascii="Times New Roman" w:hAnsi="Times New Roman" w:cs="Times New Roman"/>
                      <w:color w:val="FF0000"/>
                      <w:sz w:val="21"/>
                      <w:szCs w:val="21"/>
                    </w:rPr>
                  </w:pPr>
                  <w:r>
                    <w:rPr>
                      <w:rFonts w:ascii="Times New Roman" w:hAnsi="Times New Roman" w:cs="Times New Roman"/>
                      <w:color w:val="FF0000"/>
                      <w:sz w:val="21"/>
                      <w:szCs w:val="21"/>
                    </w:rPr>
                    <w:t>脱硫塔</w:t>
                  </w:r>
                </w:p>
              </w:tc>
              <w:tc>
                <w:tcPr>
                  <w:tcW w:w="0" w:type="auto"/>
                  <w:vAlign w:val="center"/>
                </w:tcPr>
                <w:p w14:paraId="6BF12602">
                  <w:pPr>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排气筒参数</w:t>
                  </w:r>
                </w:p>
              </w:tc>
              <w:tc>
                <w:tcPr>
                  <w:tcW w:w="0" w:type="auto"/>
                  <w:vAlign w:val="center"/>
                </w:tcPr>
                <w:p w14:paraId="1F436C5A">
                  <w:pPr>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高度（m）</w:t>
                  </w:r>
                </w:p>
              </w:tc>
              <w:tc>
                <w:tcPr>
                  <w:tcW w:w="0" w:type="auto"/>
                  <w:gridSpan w:val="4"/>
                  <w:vAlign w:val="center"/>
                </w:tcPr>
                <w:p w14:paraId="3530794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18</w:t>
                  </w:r>
                </w:p>
              </w:tc>
              <w:tc>
                <w:tcPr>
                  <w:tcW w:w="0" w:type="auto"/>
                  <w:vAlign w:val="center"/>
                </w:tcPr>
                <w:p w14:paraId="7A0C6A1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w:t>
                  </w:r>
                </w:p>
              </w:tc>
            </w:tr>
            <w:tr w14:paraId="125D0F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05C7D57E">
                  <w:pPr>
                    <w:pStyle w:val="22"/>
                    <w:spacing w:beforeAutospacing="0" w:afterAutospacing="0"/>
                    <w:jc w:val="center"/>
                    <w:rPr>
                      <w:rFonts w:ascii="Times New Roman" w:hAnsi="Times New Roman" w:cs="Times New Roman"/>
                      <w:color w:val="FF0000"/>
                      <w:sz w:val="21"/>
                      <w:szCs w:val="21"/>
                    </w:rPr>
                  </w:pPr>
                </w:p>
              </w:tc>
              <w:tc>
                <w:tcPr>
                  <w:tcW w:w="0" w:type="auto"/>
                  <w:vMerge w:val="restart"/>
                  <w:vAlign w:val="center"/>
                </w:tcPr>
                <w:p w14:paraId="7EFF5BE7">
                  <w:pPr>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排气参数</w:t>
                  </w:r>
                </w:p>
              </w:tc>
              <w:tc>
                <w:tcPr>
                  <w:tcW w:w="0" w:type="auto"/>
                  <w:vAlign w:val="center"/>
                </w:tcPr>
                <w:p w14:paraId="2324E535">
                  <w:pPr>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流量（Nm</w:t>
                  </w:r>
                  <w:r>
                    <w:rPr>
                      <w:rFonts w:ascii="Times New Roman" w:hAnsi="Times New Roman" w:eastAsia="宋体" w:cs="Times New Roman"/>
                      <w:color w:val="FF0000"/>
                      <w:szCs w:val="21"/>
                      <w:vertAlign w:val="superscript"/>
                    </w:rPr>
                    <w:t>3</w:t>
                  </w:r>
                  <w:r>
                    <w:rPr>
                      <w:rFonts w:ascii="Times New Roman" w:hAnsi="Times New Roman" w:eastAsia="宋体" w:cs="Times New Roman"/>
                      <w:color w:val="FF0000"/>
                      <w:szCs w:val="21"/>
                    </w:rPr>
                    <w:t>/h）</w:t>
                  </w:r>
                </w:p>
              </w:tc>
              <w:tc>
                <w:tcPr>
                  <w:tcW w:w="0" w:type="auto"/>
                  <w:vAlign w:val="center"/>
                </w:tcPr>
                <w:p w14:paraId="336DF639">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51817</w:t>
                  </w:r>
                </w:p>
              </w:tc>
              <w:tc>
                <w:tcPr>
                  <w:tcW w:w="0" w:type="auto"/>
                  <w:vAlign w:val="center"/>
                </w:tcPr>
                <w:p w14:paraId="05827D2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54085</w:t>
                  </w:r>
                </w:p>
              </w:tc>
              <w:tc>
                <w:tcPr>
                  <w:tcW w:w="0" w:type="auto"/>
                  <w:vAlign w:val="center"/>
                </w:tcPr>
                <w:p w14:paraId="7297B2C4">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51986</w:t>
                  </w:r>
                </w:p>
              </w:tc>
              <w:tc>
                <w:tcPr>
                  <w:tcW w:w="0" w:type="auto"/>
                  <w:vAlign w:val="center"/>
                </w:tcPr>
                <w:p w14:paraId="4F1DDD90">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50011</w:t>
                  </w:r>
                </w:p>
              </w:tc>
              <w:tc>
                <w:tcPr>
                  <w:tcW w:w="0" w:type="auto"/>
                  <w:vAlign w:val="center"/>
                </w:tcPr>
                <w:p w14:paraId="323CC54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51975</w:t>
                  </w:r>
                </w:p>
              </w:tc>
            </w:tr>
            <w:tr w14:paraId="34B90F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4F8FC01B">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313126D2">
                  <w:pPr>
                    <w:tabs>
                      <w:tab w:val="center" w:pos="4153"/>
                      <w:tab w:val="right" w:pos="8306"/>
                    </w:tabs>
                    <w:autoSpaceDE w:val="0"/>
                    <w:autoSpaceDN w:val="0"/>
                    <w:adjustRightInd w:val="0"/>
                    <w:snapToGrid w:val="0"/>
                    <w:jc w:val="center"/>
                    <w:rPr>
                      <w:rFonts w:ascii="Times New Roman" w:hAnsi="Times New Roman" w:eastAsia="宋体" w:cs="Times New Roman"/>
                      <w:color w:val="FF0000"/>
                      <w:szCs w:val="21"/>
                    </w:rPr>
                  </w:pPr>
                </w:p>
              </w:tc>
              <w:tc>
                <w:tcPr>
                  <w:tcW w:w="0" w:type="auto"/>
                  <w:vAlign w:val="center"/>
                </w:tcPr>
                <w:p w14:paraId="6D47AA57">
                  <w:pPr>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烟温（</w:t>
                  </w:r>
                  <w:r>
                    <w:rPr>
                      <w:rFonts w:hint="eastAsia" w:ascii="宋体" w:hAnsi="宋体" w:eastAsia="宋体" w:cs="宋体"/>
                      <w:color w:val="FF0000"/>
                      <w:szCs w:val="21"/>
                    </w:rPr>
                    <w:t>℃</w:t>
                  </w:r>
                  <w:r>
                    <w:rPr>
                      <w:rFonts w:ascii="Times New Roman" w:hAnsi="Times New Roman" w:eastAsia="宋体" w:cs="Times New Roman"/>
                      <w:color w:val="FF0000"/>
                      <w:szCs w:val="21"/>
                    </w:rPr>
                    <w:t>）</w:t>
                  </w:r>
                </w:p>
              </w:tc>
              <w:tc>
                <w:tcPr>
                  <w:tcW w:w="0" w:type="auto"/>
                  <w:vAlign w:val="center"/>
                </w:tcPr>
                <w:p w14:paraId="67471D78">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79.7</w:t>
                  </w:r>
                </w:p>
              </w:tc>
              <w:tc>
                <w:tcPr>
                  <w:tcW w:w="0" w:type="auto"/>
                  <w:vAlign w:val="center"/>
                </w:tcPr>
                <w:p w14:paraId="67ABFE79">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78.9</w:t>
                  </w:r>
                </w:p>
              </w:tc>
              <w:tc>
                <w:tcPr>
                  <w:tcW w:w="0" w:type="auto"/>
                  <w:vAlign w:val="center"/>
                </w:tcPr>
                <w:p w14:paraId="3C8490F8">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79.1</w:t>
                  </w:r>
                </w:p>
              </w:tc>
              <w:tc>
                <w:tcPr>
                  <w:tcW w:w="0" w:type="auto"/>
                  <w:vAlign w:val="center"/>
                </w:tcPr>
                <w:p w14:paraId="11205A87">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79.5</w:t>
                  </w:r>
                </w:p>
              </w:tc>
              <w:tc>
                <w:tcPr>
                  <w:tcW w:w="0" w:type="auto"/>
                  <w:vAlign w:val="center"/>
                </w:tcPr>
                <w:p w14:paraId="0FF34A3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79.3</w:t>
                  </w:r>
                </w:p>
              </w:tc>
            </w:tr>
            <w:tr w14:paraId="59AEC4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76D2D24D">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2B24A85F">
                  <w:pPr>
                    <w:tabs>
                      <w:tab w:val="center" w:pos="4153"/>
                      <w:tab w:val="right" w:pos="8306"/>
                    </w:tabs>
                    <w:autoSpaceDE w:val="0"/>
                    <w:autoSpaceDN w:val="0"/>
                    <w:adjustRightInd w:val="0"/>
                    <w:snapToGrid w:val="0"/>
                    <w:jc w:val="center"/>
                    <w:rPr>
                      <w:rFonts w:ascii="Times New Roman" w:hAnsi="Times New Roman" w:eastAsia="宋体" w:cs="Times New Roman"/>
                      <w:color w:val="FF0000"/>
                      <w:szCs w:val="21"/>
                    </w:rPr>
                  </w:pPr>
                </w:p>
              </w:tc>
              <w:tc>
                <w:tcPr>
                  <w:tcW w:w="0" w:type="auto"/>
                  <w:vAlign w:val="center"/>
                </w:tcPr>
                <w:p w14:paraId="6B7AB2FE">
                  <w:pPr>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烟气流速（m/s）</w:t>
                  </w:r>
                </w:p>
              </w:tc>
              <w:tc>
                <w:tcPr>
                  <w:tcW w:w="0" w:type="auto"/>
                  <w:vAlign w:val="center"/>
                </w:tcPr>
                <w:p w14:paraId="60F0868A">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6.47</w:t>
                  </w:r>
                </w:p>
              </w:tc>
              <w:tc>
                <w:tcPr>
                  <w:tcW w:w="0" w:type="auto"/>
                  <w:vAlign w:val="center"/>
                </w:tcPr>
                <w:p w14:paraId="048E3E13">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6.75</w:t>
                  </w:r>
                </w:p>
              </w:tc>
              <w:tc>
                <w:tcPr>
                  <w:tcW w:w="0" w:type="auto"/>
                  <w:vAlign w:val="center"/>
                </w:tcPr>
                <w:p w14:paraId="25D8C713">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6.49</w:t>
                  </w:r>
                </w:p>
              </w:tc>
              <w:tc>
                <w:tcPr>
                  <w:tcW w:w="0" w:type="auto"/>
                  <w:vAlign w:val="center"/>
                </w:tcPr>
                <w:p w14:paraId="47E3A624">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6.25</w:t>
                  </w:r>
                </w:p>
              </w:tc>
              <w:tc>
                <w:tcPr>
                  <w:tcW w:w="0" w:type="auto"/>
                  <w:vAlign w:val="center"/>
                </w:tcPr>
                <w:p w14:paraId="28CB111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6.49</w:t>
                  </w:r>
                </w:p>
              </w:tc>
            </w:tr>
            <w:tr w14:paraId="0A3258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549EB58A">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2D776BEA">
                  <w:pPr>
                    <w:tabs>
                      <w:tab w:val="center" w:pos="4153"/>
                      <w:tab w:val="right" w:pos="8306"/>
                    </w:tabs>
                    <w:autoSpaceDE w:val="0"/>
                    <w:autoSpaceDN w:val="0"/>
                    <w:adjustRightInd w:val="0"/>
                    <w:snapToGrid w:val="0"/>
                    <w:jc w:val="center"/>
                    <w:rPr>
                      <w:rFonts w:ascii="Times New Roman" w:hAnsi="Times New Roman" w:eastAsia="宋体" w:cs="Times New Roman"/>
                      <w:color w:val="FF0000"/>
                      <w:szCs w:val="21"/>
                    </w:rPr>
                  </w:pPr>
                </w:p>
              </w:tc>
              <w:tc>
                <w:tcPr>
                  <w:tcW w:w="0" w:type="auto"/>
                  <w:vAlign w:val="center"/>
                </w:tcPr>
                <w:p w14:paraId="26350C12">
                  <w:pPr>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含氧量（%）</w:t>
                  </w:r>
                </w:p>
              </w:tc>
              <w:tc>
                <w:tcPr>
                  <w:tcW w:w="0" w:type="auto"/>
                  <w:vAlign w:val="center"/>
                </w:tcPr>
                <w:p w14:paraId="7CBEC580">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19.2</w:t>
                  </w:r>
                </w:p>
              </w:tc>
              <w:tc>
                <w:tcPr>
                  <w:tcW w:w="0" w:type="auto"/>
                  <w:vAlign w:val="center"/>
                </w:tcPr>
                <w:p w14:paraId="679DEC86">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19.3</w:t>
                  </w:r>
                </w:p>
              </w:tc>
              <w:tc>
                <w:tcPr>
                  <w:tcW w:w="0" w:type="auto"/>
                  <w:vAlign w:val="center"/>
                </w:tcPr>
                <w:p w14:paraId="2A962E0B">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19.5</w:t>
                  </w:r>
                </w:p>
              </w:tc>
              <w:tc>
                <w:tcPr>
                  <w:tcW w:w="0" w:type="auto"/>
                  <w:vAlign w:val="center"/>
                </w:tcPr>
                <w:p w14:paraId="360BD41B">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19.2</w:t>
                  </w:r>
                </w:p>
              </w:tc>
              <w:tc>
                <w:tcPr>
                  <w:tcW w:w="0" w:type="auto"/>
                  <w:vAlign w:val="center"/>
                </w:tcPr>
                <w:p w14:paraId="495CD88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19.3</w:t>
                  </w:r>
                </w:p>
              </w:tc>
            </w:tr>
            <w:tr w14:paraId="7526BE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69CB4E73">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421F7FE5">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汞及其化合物</w:t>
                  </w:r>
                </w:p>
              </w:tc>
              <w:tc>
                <w:tcPr>
                  <w:tcW w:w="0" w:type="auto"/>
                  <w:vAlign w:val="center"/>
                </w:tcPr>
                <w:p w14:paraId="430EBB7C">
                  <w:pPr>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实测浓度（mg/m</w:t>
                  </w:r>
                  <w:r>
                    <w:rPr>
                      <w:rFonts w:ascii="Times New Roman" w:hAnsi="Times New Roman" w:eastAsia="宋体" w:cs="Times New Roman"/>
                      <w:color w:val="FF0000"/>
                      <w:szCs w:val="21"/>
                      <w:vertAlign w:val="superscript"/>
                    </w:rPr>
                    <w:t>3</w:t>
                  </w:r>
                  <w:r>
                    <w:rPr>
                      <w:rFonts w:ascii="Times New Roman" w:hAnsi="Times New Roman" w:eastAsia="宋体" w:cs="Times New Roman"/>
                      <w:color w:val="FF0000"/>
                      <w:szCs w:val="21"/>
                    </w:rPr>
                    <w:t>）</w:t>
                  </w:r>
                </w:p>
              </w:tc>
              <w:tc>
                <w:tcPr>
                  <w:tcW w:w="0" w:type="auto"/>
                  <w:vAlign w:val="center"/>
                </w:tcPr>
                <w:p w14:paraId="1BB00FB1">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11918026">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6BE14CC1">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672A69E0">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7800EAB7">
                  <w:pPr>
                    <w:widowControl/>
                    <w:jc w:val="center"/>
                    <w:textAlignment w:val="center"/>
                    <w:rPr>
                      <w:rFonts w:ascii="Times New Roman" w:hAnsi="Times New Roman" w:eastAsia="宋体" w:cs="Times New Roman"/>
                      <w:color w:val="FF0000"/>
                      <w:kern w:val="0"/>
                      <w:szCs w:val="21"/>
                      <w:lang w:bidi="ar"/>
                    </w:rPr>
                  </w:pPr>
                  <w:r>
                    <w:rPr>
                      <w:rFonts w:ascii="Times New Roman" w:hAnsi="Times New Roman" w:eastAsia="宋体" w:cs="Times New Roman"/>
                      <w:color w:val="FF0000"/>
                      <w:szCs w:val="21"/>
                    </w:rPr>
                    <w:t>未检出</w:t>
                  </w:r>
                </w:p>
              </w:tc>
            </w:tr>
            <w:tr w14:paraId="44027E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2904E3E4">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4A951B3C">
                  <w:pPr>
                    <w:overflowPunct w:val="0"/>
                    <w:adjustRightInd w:val="0"/>
                    <w:snapToGrid w:val="0"/>
                    <w:jc w:val="center"/>
                    <w:rPr>
                      <w:rFonts w:ascii="Times New Roman" w:hAnsi="Times New Roman" w:eastAsia="宋体" w:cs="Times New Roman"/>
                      <w:color w:val="FF0000"/>
                      <w:szCs w:val="21"/>
                    </w:rPr>
                  </w:pPr>
                </w:p>
              </w:tc>
              <w:tc>
                <w:tcPr>
                  <w:tcW w:w="0" w:type="auto"/>
                  <w:vAlign w:val="center"/>
                </w:tcPr>
                <w:p w14:paraId="57F25C58">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18E2D50A">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3E98C4E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353C16A7">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7788A3A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0385AEB9">
                  <w:pPr>
                    <w:widowControl/>
                    <w:jc w:val="center"/>
                    <w:textAlignment w:val="center"/>
                    <w:rPr>
                      <w:rFonts w:ascii="Times New Roman" w:hAnsi="Times New Roman" w:eastAsia="宋体" w:cs="Times New Roman"/>
                      <w:color w:val="FF0000"/>
                      <w:kern w:val="0"/>
                      <w:szCs w:val="21"/>
                      <w:lang w:bidi="ar"/>
                    </w:rPr>
                  </w:pPr>
                  <w:r>
                    <w:rPr>
                      <w:rFonts w:ascii="Times New Roman" w:hAnsi="Times New Roman" w:eastAsia="宋体" w:cs="Times New Roman"/>
                      <w:color w:val="FF0000"/>
                      <w:szCs w:val="21"/>
                    </w:rPr>
                    <w:t>未检出</w:t>
                  </w:r>
                </w:p>
              </w:tc>
            </w:tr>
            <w:tr w14:paraId="1C113C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2D6B46AC">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7A60DF26">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砷及其化合物</w:t>
                  </w:r>
                </w:p>
              </w:tc>
              <w:tc>
                <w:tcPr>
                  <w:tcW w:w="0" w:type="auto"/>
                  <w:vAlign w:val="center"/>
                </w:tcPr>
                <w:p w14:paraId="737E5CAB">
                  <w:pPr>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实测浓度（mg/m</w:t>
                  </w:r>
                  <w:r>
                    <w:rPr>
                      <w:rFonts w:ascii="Times New Roman" w:hAnsi="Times New Roman" w:eastAsia="宋体" w:cs="Times New Roman"/>
                      <w:color w:val="FF0000"/>
                      <w:szCs w:val="21"/>
                      <w:vertAlign w:val="superscript"/>
                    </w:rPr>
                    <w:t>3</w:t>
                  </w:r>
                  <w:r>
                    <w:rPr>
                      <w:rFonts w:ascii="Times New Roman" w:hAnsi="Times New Roman" w:eastAsia="宋体" w:cs="Times New Roman"/>
                      <w:color w:val="FF0000"/>
                      <w:szCs w:val="21"/>
                    </w:rPr>
                    <w:t>）</w:t>
                  </w:r>
                </w:p>
              </w:tc>
              <w:tc>
                <w:tcPr>
                  <w:tcW w:w="0" w:type="auto"/>
                  <w:vAlign w:val="center"/>
                </w:tcPr>
                <w:p w14:paraId="27A3DD4D">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436EDF0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587DB5C4">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09C1EFB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272A01ED">
                  <w:pPr>
                    <w:widowControl/>
                    <w:jc w:val="center"/>
                    <w:textAlignment w:val="center"/>
                    <w:rPr>
                      <w:rFonts w:ascii="Times New Roman" w:hAnsi="Times New Roman" w:eastAsia="宋体" w:cs="Times New Roman"/>
                      <w:color w:val="FF0000"/>
                      <w:kern w:val="0"/>
                      <w:szCs w:val="21"/>
                      <w:lang w:bidi="ar"/>
                    </w:rPr>
                  </w:pPr>
                  <w:r>
                    <w:rPr>
                      <w:rFonts w:ascii="Times New Roman" w:hAnsi="Times New Roman" w:eastAsia="宋体" w:cs="Times New Roman"/>
                      <w:color w:val="FF0000"/>
                      <w:szCs w:val="21"/>
                    </w:rPr>
                    <w:t>未检出</w:t>
                  </w:r>
                </w:p>
              </w:tc>
            </w:tr>
            <w:tr w14:paraId="7BB0FF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239E81BB">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1DA69890">
                  <w:pPr>
                    <w:overflowPunct w:val="0"/>
                    <w:adjustRightInd w:val="0"/>
                    <w:snapToGrid w:val="0"/>
                    <w:jc w:val="center"/>
                    <w:rPr>
                      <w:rFonts w:ascii="Times New Roman" w:hAnsi="Times New Roman" w:eastAsia="宋体" w:cs="Times New Roman"/>
                      <w:color w:val="FF0000"/>
                      <w:szCs w:val="21"/>
                    </w:rPr>
                  </w:pPr>
                </w:p>
              </w:tc>
              <w:tc>
                <w:tcPr>
                  <w:tcW w:w="0" w:type="auto"/>
                  <w:vAlign w:val="center"/>
                </w:tcPr>
                <w:p w14:paraId="173E82F0">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7903A9E9">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0707BC60">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4B08855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166CA7AA">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3CEC7E47">
                  <w:pPr>
                    <w:widowControl/>
                    <w:jc w:val="center"/>
                    <w:textAlignment w:val="center"/>
                    <w:rPr>
                      <w:rFonts w:ascii="Times New Roman" w:hAnsi="Times New Roman" w:eastAsia="宋体" w:cs="Times New Roman"/>
                      <w:color w:val="FF0000"/>
                      <w:kern w:val="0"/>
                      <w:szCs w:val="21"/>
                      <w:lang w:bidi="ar"/>
                    </w:rPr>
                  </w:pPr>
                  <w:r>
                    <w:rPr>
                      <w:rFonts w:ascii="Times New Roman" w:hAnsi="Times New Roman" w:eastAsia="宋体" w:cs="Times New Roman"/>
                      <w:color w:val="FF0000"/>
                      <w:szCs w:val="21"/>
                    </w:rPr>
                    <w:t>未检出</w:t>
                  </w:r>
                </w:p>
              </w:tc>
            </w:tr>
            <w:tr w14:paraId="36DB7C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90" w:hRule="atLeast"/>
                <w:jc w:val="center"/>
              </w:trPr>
              <w:tc>
                <w:tcPr>
                  <w:tcW w:w="0" w:type="auto"/>
                  <w:vMerge w:val="continue"/>
                  <w:vAlign w:val="center"/>
                </w:tcPr>
                <w:p w14:paraId="57488036">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3C86964F">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镉及其</w:t>
                  </w:r>
                </w:p>
                <w:p w14:paraId="6738CCC5">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化合物</w:t>
                  </w:r>
                </w:p>
              </w:tc>
              <w:tc>
                <w:tcPr>
                  <w:tcW w:w="0" w:type="auto"/>
                  <w:vAlign w:val="center"/>
                </w:tcPr>
                <w:p w14:paraId="10E44BD6">
                  <w:pPr>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实测浓度（mg/m</w:t>
                  </w:r>
                  <w:r>
                    <w:rPr>
                      <w:rFonts w:ascii="Times New Roman" w:hAnsi="Times New Roman" w:eastAsia="宋体" w:cs="Times New Roman"/>
                      <w:color w:val="FF0000"/>
                      <w:szCs w:val="21"/>
                      <w:vertAlign w:val="superscript"/>
                    </w:rPr>
                    <w:t>3</w:t>
                  </w:r>
                  <w:r>
                    <w:rPr>
                      <w:rFonts w:ascii="Times New Roman" w:hAnsi="Times New Roman" w:eastAsia="宋体" w:cs="Times New Roman"/>
                      <w:color w:val="FF0000"/>
                      <w:szCs w:val="21"/>
                    </w:rPr>
                    <w:t>）</w:t>
                  </w:r>
                </w:p>
              </w:tc>
              <w:tc>
                <w:tcPr>
                  <w:tcW w:w="0" w:type="auto"/>
                  <w:vAlign w:val="center"/>
                </w:tcPr>
                <w:p w14:paraId="1DA61894">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1.00×10</w:t>
                  </w:r>
                  <w:r>
                    <w:rPr>
                      <w:rFonts w:ascii="Times New Roman" w:hAnsi="Times New Roman" w:eastAsia="宋体" w:cs="Times New Roman"/>
                      <w:color w:val="FF0000"/>
                      <w:szCs w:val="21"/>
                      <w:vertAlign w:val="superscript"/>
                    </w:rPr>
                    <w:t>-3</w:t>
                  </w:r>
                </w:p>
              </w:tc>
              <w:tc>
                <w:tcPr>
                  <w:tcW w:w="0" w:type="auto"/>
                  <w:vAlign w:val="center"/>
                </w:tcPr>
                <w:p w14:paraId="5CD03E8E">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8×10</w:t>
                  </w:r>
                  <w:r>
                    <w:rPr>
                      <w:rFonts w:ascii="Times New Roman" w:hAnsi="Times New Roman" w:eastAsia="宋体" w:cs="Times New Roman"/>
                      <w:color w:val="FF0000"/>
                      <w:szCs w:val="21"/>
                      <w:vertAlign w:val="superscript"/>
                    </w:rPr>
                    <w:t>-4</w:t>
                  </w:r>
                </w:p>
              </w:tc>
              <w:tc>
                <w:tcPr>
                  <w:tcW w:w="0" w:type="auto"/>
                  <w:vAlign w:val="center"/>
                </w:tcPr>
                <w:p w14:paraId="678E546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0551CA21">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4046E4FE">
                  <w:pPr>
                    <w:widowControl/>
                    <w:jc w:val="center"/>
                    <w:textAlignment w:val="center"/>
                    <w:rPr>
                      <w:rFonts w:ascii="Times New Roman" w:hAnsi="Times New Roman" w:eastAsia="宋体" w:cs="Times New Roman"/>
                      <w:color w:val="FF0000"/>
                      <w:kern w:val="0"/>
                      <w:szCs w:val="21"/>
                      <w:lang w:bidi="ar"/>
                    </w:rPr>
                  </w:pPr>
                  <w:r>
                    <w:rPr>
                      <w:rFonts w:ascii="Times New Roman" w:hAnsi="Times New Roman" w:eastAsia="宋体" w:cs="Times New Roman"/>
                      <w:color w:val="FF0000"/>
                      <w:szCs w:val="21"/>
                    </w:rPr>
                    <w:t>未检出</w:t>
                  </w:r>
                </w:p>
              </w:tc>
            </w:tr>
            <w:tr w14:paraId="2C7EC1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67ED737F">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0ADAFF1D">
                  <w:pPr>
                    <w:overflowPunct w:val="0"/>
                    <w:adjustRightInd w:val="0"/>
                    <w:snapToGrid w:val="0"/>
                    <w:jc w:val="center"/>
                    <w:rPr>
                      <w:rFonts w:ascii="Times New Roman" w:hAnsi="Times New Roman" w:eastAsia="宋体" w:cs="Times New Roman"/>
                      <w:color w:val="FF0000"/>
                      <w:szCs w:val="21"/>
                    </w:rPr>
                  </w:pPr>
                </w:p>
              </w:tc>
              <w:tc>
                <w:tcPr>
                  <w:tcW w:w="0" w:type="auto"/>
                  <w:vAlign w:val="center"/>
                </w:tcPr>
                <w:p w14:paraId="3537C954">
                  <w:pPr>
                    <w:pStyle w:val="21"/>
                    <w:spacing w:line="240" w:lineRule="auto"/>
                    <w:jc w:val="center"/>
                    <w:rPr>
                      <w:rFonts w:ascii="Times New Roman" w:hAnsi="Times New Roman" w:eastAsia="宋体"/>
                      <w:color w:val="FF0000"/>
                      <w:sz w:val="21"/>
                      <w:szCs w:val="21"/>
                      <w:lang w:bidi="ar"/>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4668420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5.56×10</w:t>
                  </w:r>
                  <w:r>
                    <w:rPr>
                      <w:rFonts w:ascii="Times New Roman" w:hAnsi="Times New Roman" w:eastAsia="宋体" w:cs="Times New Roman"/>
                      <w:color w:val="FF0000"/>
                      <w:szCs w:val="21"/>
                      <w:vertAlign w:val="superscript"/>
                    </w:rPr>
                    <w:t>-3</w:t>
                  </w:r>
                </w:p>
              </w:tc>
              <w:tc>
                <w:tcPr>
                  <w:tcW w:w="0" w:type="auto"/>
                  <w:vAlign w:val="center"/>
                </w:tcPr>
                <w:p w14:paraId="52116D49">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4.71×10</w:t>
                  </w:r>
                  <w:r>
                    <w:rPr>
                      <w:rFonts w:ascii="Times New Roman" w:hAnsi="Times New Roman" w:eastAsia="宋体" w:cs="Times New Roman"/>
                      <w:color w:val="FF0000"/>
                      <w:szCs w:val="21"/>
                      <w:vertAlign w:val="superscript"/>
                    </w:rPr>
                    <w:t>-3</w:t>
                  </w:r>
                </w:p>
              </w:tc>
              <w:tc>
                <w:tcPr>
                  <w:tcW w:w="0" w:type="auto"/>
                  <w:vAlign w:val="center"/>
                </w:tcPr>
                <w:p w14:paraId="6D978136">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24C9E71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2ADC003C">
                  <w:pPr>
                    <w:widowControl/>
                    <w:jc w:val="center"/>
                    <w:textAlignment w:val="center"/>
                    <w:rPr>
                      <w:rFonts w:ascii="Times New Roman" w:hAnsi="Times New Roman" w:eastAsia="宋体" w:cs="Times New Roman"/>
                      <w:color w:val="FF0000"/>
                      <w:kern w:val="0"/>
                      <w:szCs w:val="21"/>
                      <w:lang w:bidi="ar"/>
                    </w:rPr>
                  </w:pPr>
                  <w:r>
                    <w:rPr>
                      <w:rFonts w:ascii="Times New Roman" w:hAnsi="Times New Roman" w:eastAsia="宋体" w:cs="Times New Roman"/>
                      <w:color w:val="FF0000"/>
                      <w:szCs w:val="21"/>
                    </w:rPr>
                    <w:t>未检出</w:t>
                  </w:r>
                </w:p>
              </w:tc>
            </w:tr>
            <w:tr w14:paraId="74A8AE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316E619D">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63B0A408">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铜及其</w:t>
                  </w:r>
                </w:p>
                <w:p w14:paraId="41F8F4E2">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化合物</w:t>
                  </w:r>
                </w:p>
              </w:tc>
              <w:tc>
                <w:tcPr>
                  <w:tcW w:w="0" w:type="auto"/>
                  <w:vAlign w:val="center"/>
                </w:tcPr>
                <w:p w14:paraId="0FBA0C52">
                  <w:pPr>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实测浓度（mg/m</w:t>
                  </w:r>
                  <w:r>
                    <w:rPr>
                      <w:rFonts w:ascii="Times New Roman" w:hAnsi="Times New Roman" w:eastAsia="宋体" w:cs="Times New Roman"/>
                      <w:color w:val="FF0000"/>
                      <w:szCs w:val="21"/>
                      <w:vertAlign w:val="superscript"/>
                    </w:rPr>
                    <w:t>3</w:t>
                  </w:r>
                  <w:r>
                    <w:rPr>
                      <w:rFonts w:ascii="Times New Roman" w:hAnsi="Times New Roman" w:eastAsia="宋体" w:cs="Times New Roman"/>
                      <w:color w:val="FF0000"/>
                      <w:szCs w:val="21"/>
                    </w:rPr>
                    <w:t>）</w:t>
                  </w:r>
                </w:p>
              </w:tc>
              <w:tc>
                <w:tcPr>
                  <w:tcW w:w="0" w:type="auto"/>
                  <w:vAlign w:val="center"/>
                </w:tcPr>
                <w:p w14:paraId="04A81279">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4.28×10</w:t>
                  </w:r>
                  <w:r>
                    <w:rPr>
                      <w:rFonts w:ascii="Times New Roman" w:hAnsi="Times New Roman" w:eastAsia="宋体" w:cs="Times New Roman"/>
                      <w:color w:val="FF0000"/>
                      <w:szCs w:val="21"/>
                      <w:vertAlign w:val="superscript"/>
                    </w:rPr>
                    <w:t>-3</w:t>
                  </w:r>
                </w:p>
              </w:tc>
              <w:tc>
                <w:tcPr>
                  <w:tcW w:w="0" w:type="auto"/>
                  <w:vAlign w:val="center"/>
                </w:tcPr>
                <w:p w14:paraId="7499A5B4">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4.55×10</w:t>
                  </w:r>
                  <w:r>
                    <w:rPr>
                      <w:rFonts w:ascii="Times New Roman" w:hAnsi="Times New Roman" w:eastAsia="宋体" w:cs="Times New Roman"/>
                      <w:color w:val="FF0000"/>
                      <w:szCs w:val="21"/>
                      <w:vertAlign w:val="superscript"/>
                    </w:rPr>
                    <w:t>-3</w:t>
                  </w:r>
                </w:p>
              </w:tc>
              <w:tc>
                <w:tcPr>
                  <w:tcW w:w="0" w:type="auto"/>
                  <w:vAlign w:val="center"/>
                </w:tcPr>
                <w:p w14:paraId="4C19790D">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4.91×10</w:t>
                  </w:r>
                  <w:r>
                    <w:rPr>
                      <w:rFonts w:ascii="Times New Roman" w:hAnsi="Times New Roman" w:eastAsia="宋体" w:cs="Times New Roman"/>
                      <w:color w:val="FF0000"/>
                      <w:szCs w:val="21"/>
                      <w:vertAlign w:val="superscript"/>
                    </w:rPr>
                    <w:t>-3</w:t>
                  </w:r>
                </w:p>
              </w:tc>
              <w:tc>
                <w:tcPr>
                  <w:tcW w:w="0" w:type="auto"/>
                  <w:vAlign w:val="center"/>
                </w:tcPr>
                <w:p w14:paraId="68A4E8D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4.77×10</w:t>
                  </w:r>
                  <w:r>
                    <w:rPr>
                      <w:rFonts w:ascii="Times New Roman" w:hAnsi="Times New Roman" w:eastAsia="宋体" w:cs="Times New Roman"/>
                      <w:color w:val="FF0000"/>
                      <w:szCs w:val="21"/>
                      <w:vertAlign w:val="superscript"/>
                    </w:rPr>
                    <w:t>-3</w:t>
                  </w:r>
                </w:p>
              </w:tc>
              <w:tc>
                <w:tcPr>
                  <w:tcW w:w="0" w:type="auto"/>
                  <w:vAlign w:val="center"/>
                </w:tcPr>
                <w:p w14:paraId="5ED3668B">
                  <w:pPr>
                    <w:widowControl/>
                    <w:jc w:val="center"/>
                    <w:textAlignment w:val="center"/>
                    <w:rPr>
                      <w:rFonts w:ascii="Times New Roman" w:hAnsi="Times New Roman" w:eastAsia="宋体" w:cs="Times New Roman"/>
                      <w:color w:val="FF0000"/>
                      <w:kern w:val="0"/>
                      <w:szCs w:val="21"/>
                      <w:lang w:bidi="ar"/>
                    </w:rPr>
                  </w:pPr>
                  <w:r>
                    <w:rPr>
                      <w:rFonts w:ascii="Times New Roman" w:hAnsi="Times New Roman" w:eastAsia="宋体" w:cs="Times New Roman"/>
                      <w:color w:val="FF0000"/>
                      <w:szCs w:val="21"/>
                    </w:rPr>
                    <w:t>4.63×10</w:t>
                  </w:r>
                  <w:r>
                    <w:rPr>
                      <w:rFonts w:ascii="Times New Roman" w:hAnsi="Times New Roman" w:eastAsia="宋体" w:cs="Times New Roman"/>
                      <w:color w:val="FF0000"/>
                      <w:szCs w:val="21"/>
                      <w:vertAlign w:val="superscript"/>
                    </w:rPr>
                    <w:t>-3</w:t>
                  </w:r>
                </w:p>
              </w:tc>
            </w:tr>
            <w:tr w14:paraId="688AF1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34DCCF8D">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332D93C1">
                  <w:pPr>
                    <w:overflowPunct w:val="0"/>
                    <w:adjustRightInd w:val="0"/>
                    <w:snapToGrid w:val="0"/>
                    <w:jc w:val="center"/>
                    <w:rPr>
                      <w:rFonts w:ascii="Times New Roman" w:hAnsi="Times New Roman" w:eastAsia="宋体" w:cs="Times New Roman"/>
                      <w:color w:val="FF0000"/>
                      <w:szCs w:val="21"/>
                    </w:rPr>
                  </w:pPr>
                </w:p>
              </w:tc>
              <w:tc>
                <w:tcPr>
                  <w:tcW w:w="0" w:type="auto"/>
                  <w:vAlign w:val="center"/>
                </w:tcPr>
                <w:p w14:paraId="36A03E98">
                  <w:pPr>
                    <w:pStyle w:val="21"/>
                    <w:spacing w:line="240" w:lineRule="auto"/>
                    <w:jc w:val="center"/>
                    <w:rPr>
                      <w:rFonts w:ascii="Times New Roman" w:hAnsi="Times New Roman" w:eastAsia="宋体"/>
                      <w:color w:val="FF0000"/>
                      <w:sz w:val="21"/>
                      <w:szCs w:val="21"/>
                      <w:lang w:bidi="ar"/>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11B5F91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2.38×10</w:t>
                  </w:r>
                  <w:r>
                    <w:rPr>
                      <w:rFonts w:ascii="Times New Roman" w:hAnsi="Times New Roman" w:eastAsia="宋体" w:cs="Times New Roman"/>
                      <w:color w:val="FF0000"/>
                      <w:szCs w:val="21"/>
                      <w:vertAlign w:val="superscript"/>
                    </w:rPr>
                    <w:t>-2</w:t>
                  </w:r>
                </w:p>
              </w:tc>
              <w:tc>
                <w:tcPr>
                  <w:tcW w:w="0" w:type="auto"/>
                  <w:vAlign w:val="center"/>
                </w:tcPr>
                <w:p w14:paraId="171DC5A0">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2.68×10</w:t>
                  </w:r>
                  <w:r>
                    <w:rPr>
                      <w:rFonts w:ascii="Times New Roman" w:hAnsi="Times New Roman" w:eastAsia="宋体" w:cs="Times New Roman"/>
                      <w:color w:val="FF0000"/>
                      <w:szCs w:val="21"/>
                      <w:vertAlign w:val="superscript"/>
                    </w:rPr>
                    <w:t>-2</w:t>
                  </w:r>
                </w:p>
              </w:tc>
              <w:tc>
                <w:tcPr>
                  <w:tcW w:w="0" w:type="auto"/>
                  <w:vAlign w:val="center"/>
                </w:tcPr>
                <w:p w14:paraId="1755113D">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3.27×10</w:t>
                  </w:r>
                  <w:r>
                    <w:rPr>
                      <w:rFonts w:ascii="Times New Roman" w:hAnsi="Times New Roman" w:eastAsia="宋体" w:cs="Times New Roman"/>
                      <w:color w:val="FF0000"/>
                      <w:szCs w:val="21"/>
                      <w:vertAlign w:val="superscript"/>
                    </w:rPr>
                    <w:t>-2</w:t>
                  </w:r>
                </w:p>
              </w:tc>
              <w:tc>
                <w:tcPr>
                  <w:tcW w:w="0" w:type="auto"/>
                  <w:vAlign w:val="center"/>
                </w:tcPr>
                <w:p w14:paraId="3EB09ED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2.65×10</w:t>
                  </w:r>
                  <w:r>
                    <w:rPr>
                      <w:rFonts w:ascii="Times New Roman" w:hAnsi="Times New Roman" w:eastAsia="宋体" w:cs="Times New Roman"/>
                      <w:color w:val="FF0000"/>
                      <w:szCs w:val="21"/>
                      <w:vertAlign w:val="superscript"/>
                    </w:rPr>
                    <w:t>-2</w:t>
                  </w:r>
                </w:p>
              </w:tc>
              <w:tc>
                <w:tcPr>
                  <w:tcW w:w="0" w:type="auto"/>
                  <w:vAlign w:val="center"/>
                </w:tcPr>
                <w:p w14:paraId="496E358E">
                  <w:pPr>
                    <w:widowControl/>
                    <w:jc w:val="center"/>
                    <w:textAlignment w:val="center"/>
                    <w:rPr>
                      <w:rFonts w:ascii="Times New Roman" w:hAnsi="Times New Roman" w:eastAsia="宋体" w:cs="Times New Roman"/>
                      <w:color w:val="FF0000"/>
                      <w:kern w:val="0"/>
                      <w:szCs w:val="21"/>
                      <w:lang w:bidi="ar"/>
                    </w:rPr>
                  </w:pPr>
                  <w:r>
                    <w:rPr>
                      <w:rFonts w:ascii="Times New Roman" w:hAnsi="Times New Roman" w:eastAsia="宋体" w:cs="Times New Roman"/>
                      <w:color w:val="FF0000"/>
                      <w:szCs w:val="21"/>
                    </w:rPr>
                    <w:t>2.74×10</w:t>
                  </w:r>
                  <w:r>
                    <w:rPr>
                      <w:rFonts w:ascii="Times New Roman" w:hAnsi="Times New Roman" w:eastAsia="宋体" w:cs="Times New Roman"/>
                      <w:color w:val="FF0000"/>
                      <w:szCs w:val="21"/>
                      <w:vertAlign w:val="superscript"/>
                    </w:rPr>
                    <w:t>-2</w:t>
                  </w:r>
                </w:p>
              </w:tc>
            </w:tr>
            <w:tr w14:paraId="6A670D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71DF441F">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2D4E9DD5">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锰及其化合物</w:t>
                  </w:r>
                </w:p>
              </w:tc>
              <w:tc>
                <w:tcPr>
                  <w:tcW w:w="0" w:type="auto"/>
                  <w:vAlign w:val="center"/>
                </w:tcPr>
                <w:p w14:paraId="7D684CB0">
                  <w:pPr>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实测浓度（mg/m</w:t>
                  </w:r>
                  <w:r>
                    <w:rPr>
                      <w:rFonts w:ascii="Times New Roman" w:hAnsi="Times New Roman" w:eastAsia="宋体" w:cs="Times New Roman"/>
                      <w:color w:val="FF0000"/>
                      <w:szCs w:val="21"/>
                      <w:vertAlign w:val="superscript"/>
                    </w:rPr>
                    <w:t>3</w:t>
                  </w:r>
                  <w:r>
                    <w:rPr>
                      <w:rFonts w:ascii="Times New Roman" w:hAnsi="Times New Roman" w:eastAsia="宋体" w:cs="Times New Roman"/>
                      <w:color w:val="FF0000"/>
                      <w:szCs w:val="21"/>
                    </w:rPr>
                    <w:t>）</w:t>
                  </w:r>
                </w:p>
              </w:tc>
              <w:tc>
                <w:tcPr>
                  <w:tcW w:w="0" w:type="auto"/>
                  <w:vAlign w:val="center"/>
                </w:tcPr>
                <w:p w14:paraId="7F4165D0">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677CD6AD">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6C06B32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311065D4">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6423E53A">
                  <w:pPr>
                    <w:widowControl/>
                    <w:jc w:val="center"/>
                    <w:textAlignment w:val="center"/>
                    <w:rPr>
                      <w:rFonts w:ascii="Times New Roman" w:hAnsi="Times New Roman" w:eastAsia="宋体" w:cs="Times New Roman"/>
                      <w:color w:val="FF0000"/>
                      <w:kern w:val="0"/>
                      <w:szCs w:val="21"/>
                      <w:lang w:bidi="ar"/>
                    </w:rPr>
                  </w:pPr>
                  <w:r>
                    <w:rPr>
                      <w:rFonts w:ascii="Times New Roman" w:hAnsi="Times New Roman" w:eastAsia="宋体" w:cs="Times New Roman"/>
                      <w:color w:val="FF0000"/>
                      <w:szCs w:val="21"/>
                    </w:rPr>
                    <w:t>未检出</w:t>
                  </w:r>
                </w:p>
              </w:tc>
            </w:tr>
            <w:tr w14:paraId="51B171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0D2A3788">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7AE8EF29">
                  <w:pPr>
                    <w:overflowPunct w:val="0"/>
                    <w:adjustRightInd w:val="0"/>
                    <w:snapToGrid w:val="0"/>
                    <w:jc w:val="center"/>
                    <w:rPr>
                      <w:rFonts w:ascii="Times New Roman" w:hAnsi="Times New Roman" w:eastAsia="宋体" w:cs="Times New Roman"/>
                      <w:color w:val="FF0000"/>
                      <w:szCs w:val="21"/>
                    </w:rPr>
                  </w:pPr>
                </w:p>
              </w:tc>
              <w:tc>
                <w:tcPr>
                  <w:tcW w:w="0" w:type="auto"/>
                  <w:vAlign w:val="center"/>
                </w:tcPr>
                <w:p w14:paraId="3B457C1B">
                  <w:pPr>
                    <w:pStyle w:val="21"/>
                    <w:spacing w:line="240" w:lineRule="auto"/>
                    <w:jc w:val="center"/>
                    <w:rPr>
                      <w:rFonts w:ascii="Times New Roman" w:hAnsi="Times New Roman" w:eastAsia="宋体"/>
                      <w:color w:val="FF0000"/>
                      <w:sz w:val="21"/>
                      <w:szCs w:val="21"/>
                      <w:lang w:bidi="ar"/>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675BDCDE">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07BB01A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57E9FFB6">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1380D307">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095BA645">
                  <w:pPr>
                    <w:widowControl/>
                    <w:jc w:val="center"/>
                    <w:textAlignment w:val="center"/>
                    <w:rPr>
                      <w:rFonts w:ascii="Times New Roman" w:hAnsi="Times New Roman" w:eastAsia="宋体" w:cs="Times New Roman"/>
                      <w:color w:val="FF0000"/>
                      <w:kern w:val="0"/>
                      <w:szCs w:val="21"/>
                      <w:lang w:bidi="ar"/>
                    </w:rPr>
                  </w:pPr>
                  <w:r>
                    <w:rPr>
                      <w:rFonts w:ascii="Times New Roman" w:hAnsi="Times New Roman" w:eastAsia="宋体" w:cs="Times New Roman"/>
                      <w:color w:val="FF0000"/>
                      <w:szCs w:val="21"/>
                    </w:rPr>
                    <w:t>未检出</w:t>
                  </w:r>
                </w:p>
              </w:tc>
            </w:tr>
            <w:tr w14:paraId="616BC1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2A96D117">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33B61444">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镍及其化合物</w:t>
                  </w:r>
                </w:p>
              </w:tc>
              <w:tc>
                <w:tcPr>
                  <w:tcW w:w="0" w:type="auto"/>
                  <w:vAlign w:val="center"/>
                </w:tcPr>
                <w:p w14:paraId="50ECD3D0">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实测浓度（mg/m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71ACF7F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1.93×10</w:t>
                  </w:r>
                  <w:r>
                    <w:rPr>
                      <w:rFonts w:ascii="Times New Roman" w:hAnsi="Times New Roman" w:eastAsia="宋体" w:cs="Times New Roman"/>
                      <w:color w:val="FF0000"/>
                      <w:szCs w:val="21"/>
                      <w:vertAlign w:val="superscript"/>
                    </w:rPr>
                    <w:t>-2</w:t>
                  </w:r>
                </w:p>
              </w:tc>
              <w:tc>
                <w:tcPr>
                  <w:tcW w:w="0" w:type="auto"/>
                  <w:vAlign w:val="center"/>
                </w:tcPr>
                <w:p w14:paraId="02644634">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1.92×10</w:t>
                  </w:r>
                  <w:r>
                    <w:rPr>
                      <w:rFonts w:ascii="Times New Roman" w:hAnsi="Times New Roman" w:eastAsia="宋体" w:cs="Times New Roman"/>
                      <w:color w:val="FF0000"/>
                      <w:szCs w:val="21"/>
                      <w:vertAlign w:val="superscript"/>
                    </w:rPr>
                    <w:t>-2</w:t>
                  </w:r>
                </w:p>
              </w:tc>
              <w:tc>
                <w:tcPr>
                  <w:tcW w:w="0" w:type="auto"/>
                  <w:vAlign w:val="center"/>
                </w:tcPr>
                <w:p w14:paraId="6D3B305E">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1.97×10</w:t>
                  </w:r>
                  <w:r>
                    <w:rPr>
                      <w:rFonts w:ascii="Times New Roman" w:hAnsi="Times New Roman" w:eastAsia="宋体" w:cs="Times New Roman"/>
                      <w:color w:val="FF0000"/>
                      <w:szCs w:val="21"/>
                      <w:vertAlign w:val="superscript"/>
                    </w:rPr>
                    <w:t>-2</w:t>
                  </w:r>
                </w:p>
              </w:tc>
              <w:tc>
                <w:tcPr>
                  <w:tcW w:w="0" w:type="auto"/>
                  <w:vAlign w:val="center"/>
                </w:tcPr>
                <w:p w14:paraId="36A3C58D">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1.92×10</w:t>
                  </w:r>
                  <w:r>
                    <w:rPr>
                      <w:rFonts w:ascii="Times New Roman" w:hAnsi="Times New Roman" w:eastAsia="宋体" w:cs="Times New Roman"/>
                      <w:color w:val="FF0000"/>
                      <w:szCs w:val="21"/>
                      <w:vertAlign w:val="superscript"/>
                    </w:rPr>
                    <w:t>-2</w:t>
                  </w:r>
                </w:p>
              </w:tc>
              <w:tc>
                <w:tcPr>
                  <w:tcW w:w="0" w:type="auto"/>
                  <w:vAlign w:val="center"/>
                </w:tcPr>
                <w:p w14:paraId="3CEBD25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1.94×10</w:t>
                  </w:r>
                  <w:r>
                    <w:rPr>
                      <w:rFonts w:ascii="Times New Roman" w:hAnsi="Times New Roman" w:eastAsia="宋体" w:cs="Times New Roman"/>
                      <w:color w:val="FF0000"/>
                      <w:szCs w:val="21"/>
                      <w:vertAlign w:val="superscript"/>
                    </w:rPr>
                    <w:t>-2</w:t>
                  </w:r>
                </w:p>
              </w:tc>
            </w:tr>
            <w:tr w14:paraId="64D54C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0186B691">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1C4D8F9F">
                  <w:pPr>
                    <w:overflowPunct w:val="0"/>
                    <w:adjustRightInd w:val="0"/>
                    <w:snapToGrid w:val="0"/>
                    <w:jc w:val="center"/>
                    <w:rPr>
                      <w:rFonts w:ascii="Times New Roman" w:hAnsi="Times New Roman" w:eastAsia="宋体" w:cs="Times New Roman"/>
                      <w:color w:val="FF0000"/>
                      <w:szCs w:val="21"/>
                    </w:rPr>
                  </w:pPr>
                </w:p>
              </w:tc>
              <w:tc>
                <w:tcPr>
                  <w:tcW w:w="0" w:type="auto"/>
                  <w:vAlign w:val="center"/>
                </w:tcPr>
                <w:p w14:paraId="03CD413B">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2F915A96">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0.107</w:t>
                  </w:r>
                </w:p>
              </w:tc>
              <w:tc>
                <w:tcPr>
                  <w:tcW w:w="0" w:type="auto"/>
                  <w:vAlign w:val="center"/>
                </w:tcPr>
                <w:p w14:paraId="1595709E">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0.113</w:t>
                  </w:r>
                </w:p>
              </w:tc>
              <w:tc>
                <w:tcPr>
                  <w:tcW w:w="0" w:type="auto"/>
                  <w:vAlign w:val="center"/>
                </w:tcPr>
                <w:p w14:paraId="325A8620">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0.131</w:t>
                  </w:r>
                </w:p>
              </w:tc>
              <w:tc>
                <w:tcPr>
                  <w:tcW w:w="0" w:type="auto"/>
                  <w:vAlign w:val="center"/>
                </w:tcPr>
                <w:p w14:paraId="0A7E29EB">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0.107</w:t>
                  </w:r>
                </w:p>
              </w:tc>
              <w:tc>
                <w:tcPr>
                  <w:tcW w:w="0" w:type="auto"/>
                  <w:vAlign w:val="center"/>
                </w:tcPr>
                <w:p w14:paraId="77046FCD">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kern w:val="0"/>
                      <w:szCs w:val="21"/>
                      <w:lang w:bidi="ar"/>
                    </w:rPr>
                    <w:t>0.114</w:t>
                  </w:r>
                </w:p>
              </w:tc>
            </w:tr>
            <w:tr w14:paraId="40B03E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39A64EE2">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1B5F16CF">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铅及其化合物</w:t>
                  </w:r>
                </w:p>
              </w:tc>
              <w:tc>
                <w:tcPr>
                  <w:tcW w:w="0" w:type="auto"/>
                  <w:vAlign w:val="center"/>
                </w:tcPr>
                <w:p w14:paraId="13ED3B97">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实测浓度（mg/m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46862CA6">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2.30×10</w:t>
                  </w:r>
                  <w:r>
                    <w:rPr>
                      <w:rFonts w:ascii="Times New Roman" w:hAnsi="Times New Roman" w:eastAsia="宋体" w:cs="Times New Roman"/>
                      <w:color w:val="FF0000"/>
                      <w:szCs w:val="21"/>
                      <w:vertAlign w:val="superscript"/>
                    </w:rPr>
                    <w:t>-2</w:t>
                  </w:r>
                </w:p>
              </w:tc>
              <w:tc>
                <w:tcPr>
                  <w:tcW w:w="0" w:type="auto"/>
                  <w:vAlign w:val="center"/>
                </w:tcPr>
                <w:p w14:paraId="055FE40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2.23×10</w:t>
                  </w:r>
                  <w:r>
                    <w:rPr>
                      <w:rFonts w:ascii="Times New Roman" w:hAnsi="Times New Roman" w:eastAsia="宋体" w:cs="Times New Roman"/>
                      <w:color w:val="FF0000"/>
                      <w:szCs w:val="21"/>
                      <w:vertAlign w:val="superscript"/>
                    </w:rPr>
                    <w:t>-2</w:t>
                  </w:r>
                </w:p>
              </w:tc>
              <w:tc>
                <w:tcPr>
                  <w:tcW w:w="0" w:type="auto"/>
                  <w:vAlign w:val="center"/>
                </w:tcPr>
                <w:p w14:paraId="0A1CC246">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2.22×10</w:t>
                  </w:r>
                  <w:r>
                    <w:rPr>
                      <w:rFonts w:ascii="Times New Roman" w:hAnsi="Times New Roman" w:eastAsia="宋体" w:cs="Times New Roman"/>
                      <w:color w:val="FF0000"/>
                      <w:szCs w:val="21"/>
                      <w:vertAlign w:val="superscript"/>
                    </w:rPr>
                    <w:t>-2</w:t>
                  </w:r>
                </w:p>
              </w:tc>
              <w:tc>
                <w:tcPr>
                  <w:tcW w:w="0" w:type="auto"/>
                  <w:vAlign w:val="center"/>
                </w:tcPr>
                <w:p w14:paraId="0E0D835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2.29×10</w:t>
                  </w:r>
                  <w:r>
                    <w:rPr>
                      <w:rFonts w:ascii="Times New Roman" w:hAnsi="Times New Roman" w:eastAsia="宋体" w:cs="Times New Roman"/>
                      <w:color w:val="FF0000"/>
                      <w:szCs w:val="21"/>
                      <w:vertAlign w:val="superscript"/>
                    </w:rPr>
                    <w:t>-2</w:t>
                  </w:r>
                </w:p>
              </w:tc>
              <w:tc>
                <w:tcPr>
                  <w:tcW w:w="0" w:type="auto"/>
                  <w:vAlign w:val="center"/>
                </w:tcPr>
                <w:p w14:paraId="14E00558">
                  <w:pPr>
                    <w:widowControl/>
                    <w:jc w:val="center"/>
                    <w:textAlignment w:val="center"/>
                    <w:rPr>
                      <w:rFonts w:ascii="Times New Roman" w:hAnsi="Times New Roman" w:eastAsia="宋体" w:cs="Times New Roman"/>
                      <w:color w:val="FF0000"/>
                      <w:kern w:val="0"/>
                      <w:szCs w:val="21"/>
                      <w:lang w:bidi="ar"/>
                    </w:rPr>
                  </w:pPr>
                  <w:r>
                    <w:rPr>
                      <w:rFonts w:ascii="Times New Roman" w:hAnsi="Times New Roman" w:eastAsia="宋体" w:cs="Times New Roman"/>
                      <w:color w:val="FF0000"/>
                      <w:szCs w:val="21"/>
                    </w:rPr>
                    <w:t>2.26×10</w:t>
                  </w:r>
                  <w:r>
                    <w:rPr>
                      <w:rFonts w:ascii="Times New Roman" w:hAnsi="Times New Roman" w:eastAsia="宋体" w:cs="Times New Roman"/>
                      <w:color w:val="FF0000"/>
                      <w:szCs w:val="21"/>
                      <w:vertAlign w:val="superscript"/>
                    </w:rPr>
                    <w:t>-2</w:t>
                  </w:r>
                </w:p>
              </w:tc>
            </w:tr>
            <w:tr w14:paraId="580D8D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07575571">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1581AAF4">
                  <w:pPr>
                    <w:overflowPunct w:val="0"/>
                    <w:adjustRightInd w:val="0"/>
                    <w:snapToGrid w:val="0"/>
                    <w:jc w:val="center"/>
                    <w:rPr>
                      <w:rFonts w:ascii="Times New Roman" w:hAnsi="Times New Roman" w:eastAsia="宋体" w:cs="Times New Roman"/>
                      <w:color w:val="FF0000"/>
                      <w:szCs w:val="21"/>
                    </w:rPr>
                  </w:pPr>
                </w:p>
              </w:tc>
              <w:tc>
                <w:tcPr>
                  <w:tcW w:w="0" w:type="auto"/>
                  <w:vAlign w:val="center"/>
                </w:tcPr>
                <w:p w14:paraId="1DDD94D9">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214CF697">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0.128</w:t>
                  </w:r>
                </w:p>
              </w:tc>
              <w:tc>
                <w:tcPr>
                  <w:tcW w:w="0" w:type="auto"/>
                  <w:vAlign w:val="center"/>
                </w:tcPr>
                <w:p w14:paraId="6AA53591">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0.131</w:t>
                  </w:r>
                </w:p>
              </w:tc>
              <w:tc>
                <w:tcPr>
                  <w:tcW w:w="0" w:type="auto"/>
                  <w:vAlign w:val="center"/>
                </w:tcPr>
                <w:p w14:paraId="6C9F6911">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0.148</w:t>
                  </w:r>
                </w:p>
              </w:tc>
              <w:tc>
                <w:tcPr>
                  <w:tcW w:w="0" w:type="auto"/>
                  <w:vAlign w:val="center"/>
                </w:tcPr>
                <w:p w14:paraId="4FBD238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0.127</w:t>
                  </w:r>
                </w:p>
              </w:tc>
              <w:tc>
                <w:tcPr>
                  <w:tcW w:w="0" w:type="auto"/>
                  <w:vAlign w:val="center"/>
                </w:tcPr>
                <w:p w14:paraId="3B5E3A2B">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kern w:val="0"/>
                      <w:szCs w:val="21"/>
                      <w:lang w:bidi="ar"/>
                    </w:rPr>
                    <w:t>0.134</w:t>
                  </w:r>
                </w:p>
              </w:tc>
            </w:tr>
            <w:tr w14:paraId="5270C1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66BFA5BB">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2CF7BC6A">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铊及其化合物</w:t>
                  </w:r>
                </w:p>
              </w:tc>
              <w:tc>
                <w:tcPr>
                  <w:tcW w:w="0" w:type="auto"/>
                  <w:vAlign w:val="center"/>
                </w:tcPr>
                <w:p w14:paraId="045C2D9D">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实测浓度（mg/m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6BBA7914">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4.73×10</w:t>
                  </w:r>
                  <w:r>
                    <w:rPr>
                      <w:rFonts w:ascii="Times New Roman" w:hAnsi="Times New Roman" w:eastAsia="宋体" w:cs="Times New Roman"/>
                      <w:color w:val="FF0000"/>
                      <w:szCs w:val="21"/>
                      <w:vertAlign w:val="superscript"/>
                    </w:rPr>
                    <w:t>-3</w:t>
                  </w:r>
                </w:p>
              </w:tc>
              <w:tc>
                <w:tcPr>
                  <w:tcW w:w="0" w:type="auto"/>
                  <w:vAlign w:val="center"/>
                </w:tcPr>
                <w:p w14:paraId="68C5B95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4.46×10</w:t>
                  </w:r>
                  <w:r>
                    <w:rPr>
                      <w:rFonts w:ascii="Times New Roman" w:hAnsi="Times New Roman" w:eastAsia="宋体" w:cs="Times New Roman"/>
                      <w:color w:val="FF0000"/>
                      <w:szCs w:val="21"/>
                      <w:vertAlign w:val="superscript"/>
                    </w:rPr>
                    <w:t>-3</w:t>
                  </w:r>
                </w:p>
              </w:tc>
              <w:tc>
                <w:tcPr>
                  <w:tcW w:w="0" w:type="auto"/>
                  <w:vAlign w:val="center"/>
                </w:tcPr>
                <w:p w14:paraId="5AFE44E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4.30×10</w:t>
                  </w:r>
                  <w:r>
                    <w:rPr>
                      <w:rFonts w:ascii="Times New Roman" w:hAnsi="Times New Roman" w:eastAsia="宋体" w:cs="Times New Roman"/>
                      <w:color w:val="FF0000"/>
                      <w:szCs w:val="21"/>
                      <w:vertAlign w:val="superscript"/>
                    </w:rPr>
                    <w:t>-3</w:t>
                  </w:r>
                </w:p>
              </w:tc>
              <w:tc>
                <w:tcPr>
                  <w:tcW w:w="0" w:type="auto"/>
                  <w:vAlign w:val="center"/>
                </w:tcPr>
                <w:p w14:paraId="458D66D0">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4.77×10</w:t>
                  </w:r>
                  <w:r>
                    <w:rPr>
                      <w:rFonts w:ascii="Times New Roman" w:hAnsi="Times New Roman" w:eastAsia="宋体" w:cs="Times New Roman"/>
                      <w:color w:val="FF0000"/>
                      <w:szCs w:val="21"/>
                      <w:vertAlign w:val="superscript"/>
                    </w:rPr>
                    <w:t>-3</w:t>
                  </w:r>
                </w:p>
              </w:tc>
              <w:tc>
                <w:tcPr>
                  <w:tcW w:w="0" w:type="auto"/>
                  <w:vAlign w:val="center"/>
                </w:tcPr>
                <w:p w14:paraId="4981EA4A">
                  <w:pPr>
                    <w:widowControl/>
                    <w:jc w:val="center"/>
                    <w:textAlignment w:val="center"/>
                    <w:rPr>
                      <w:rFonts w:ascii="Times New Roman" w:hAnsi="Times New Roman" w:eastAsia="宋体" w:cs="Times New Roman"/>
                      <w:color w:val="FF0000"/>
                      <w:kern w:val="0"/>
                      <w:szCs w:val="21"/>
                      <w:lang w:bidi="ar"/>
                    </w:rPr>
                  </w:pPr>
                  <w:r>
                    <w:rPr>
                      <w:rFonts w:ascii="Times New Roman" w:hAnsi="Times New Roman" w:eastAsia="宋体" w:cs="Times New Roman"/>
                      <w:color w:val="FF0000"/>
                      <w:szCs w:val="21"/>
                    </w:rPr>
                    <w:t>4.56×10</w:t>
                  </w:r>
                  <w:r>
                    <w:rPr>
                      <w:rFonts w:ascii="Times New Roman" w:hAnsi="Times New Roman" w:eastAsia="宋体" w:cs="Times New Roman"/>
                      <w:color w:val="FF0000"/>
                      <w:szCs w:val="21"/>
                      <w:vertAlign w:val="superscript"/>
                    </w:rPr>
                    <w:t>-3</w:t>
                  </w:r>
                </w:p>
              </w:tc>
            </w:tr>
            <w:tr w14:paraId="1F4472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0B73C64D">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6AD69CBF">
                  <w:pPr>
                    <w:overflowPunct w:val="0"/>
                    <w:adjustRightInd w:val="0"/>
                    <w:snapToGrid w:val="0"/>
                    <w:jc w:val="center"/>
                    <w:rPr>
                      <w:rFonts w:ascii="Times New Roman" w:hAnsi="Times New Roman" w:eastAsia="宋体" w:cs="Times New Roman"/>
                      <w:color w:val="FF0000"/>
                      <w:szCs w:val="21"/>
                    </w:rPr>
                  </w:pPr>
                </w:p>
              </w:tc>
              <w:tc>
                <w:tcPr>
                  <w:tcW w:w="0" w:type="auto"/>
                  <w:vAlign w:val="center"/>
                </w:tcPr>
                <w:p w14:paraId="509CAE2F">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75F6C4D9">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2.63×10</w:t>
                  </w:r>
                  <w:r>
                    <w:rPr>
                      <w:rFonts w:ascii="Times New Roman" w:hAnsi="Times New Roman" w:eastAsia="宋体" w:cs="Times New Roman"/>
                      <w:color w:val="FF0000"/>
                      <w:szCs w:val="21"/>
                      <w:vertAlign w:val="superscript"/>
                    </w:rPr>
                    <w:t>-2</w:t>
                  </w:r>
                </w:p>
              </w:tc>
              <w:tc>
                <w:tcPr>
                  <w:tcW w:w="0" w:type="auto"/>
                  <w:vAlign w:val="center"/>
                </w:tcPr>
                <w:p w14:paraId="2256F676">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2.62×10</w:t>
                  </w:r>
                  <w:r>
                    <w:rPr>
                      <w:rFonts w:ascii="Times New Roman" w:hAnsi="Times New Roman" w:eastAsia="宋体" w:cs="Times New Roman"/>
                      <w:color w:val="FF0000"/>
                      <w:szCs w:val="21"/>
                      <w:vertAlign w:val="superscript"/>
                    </w:rPr>
                    <w:t>-2</w:t>
                  </w:r>
                </w:p>
              </w:tc>
              <w:tc>
                <w:tcPr>
                  <w:tcW w:w="0" w:type="auto"/>
                  <w:vAlign w:val="center"/>
                </w:tcPr>
                <w:p w14:paraId="5A361F2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2.87×10</w:t>
                  </w:r>
                  <w:r>
                    <w:rPr>
                      <w:rFonts w:ascii="Times New Roman" w:hAnsi="Times New Roman" w:eastAsia="宋体" w:cs="Times New Roman"/>
                      <w:color w:val="FF0000"/>
                      <w:szCs w:val="21"/>
                      <w:vertAlign w:val="superscript"/>
                    </w:rPr>
                    <w:t>-2</w:t>
                  </w:r>
                </w:p>
              </w:tc>
              <w:tc>
                <w:tcPr>
                  <w:tcW w:w="0" w:type="auto"/>
                  <w:vAlign w:val="center"/>
                </w:tcPr>
                <w:p w14:paraId="751BFF76">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2.65×10</w:t>
                  </w:r>
                  <w:r>
                    <w:rPr>
                      <w:rFonts w:ascii="Times New Roman" w:hAnsi="Times New Roman" w:eastAsia="宋体" w:cs="Times New Roman"/>
                      <w:color w:val="FF0000"/>
                      <w:szCs w:val="21"/>
                      <w:vertAlign w:val="superscript"/>
                    </w:rPr>
                    <w:t>-2</w:t>
                  </w:r>
                </w:p>
              </w:tc>
              <w:tc>
                <w:tcPr>
                  <w:tcW w:w="0" w:type="auto"/>
                  <w:vAlign w:val="center"/>
                </w:tcPr>
                <w:p w14:paraId="08CC20F4">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2.69×10</w:t>
                  </w:r>
                  <w:r>
                    <w:rPr>
                      <w:rFonts w:ascii="Times New Roman" w:hAnsi="Times New Roman" w:eastAsia="宋体" w:cs="Times New Roman"/>
                      <w:color w:val="FF0000"/>
                      <w:szCs w:val="21"/>
                      <w:vertAlign w:val="superscript"/>
                    </w:rPr>
                    <w:t>-2</w:t>
                  </w:r>
                </w:p>
              </w:tc>
            </w:tr>
            <w:tr w14:paraId="22ED34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6D7B686F">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10BCD7B4">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铬及其化合物</w:t>
                  </w:r>
                </w:p>
              </w:tc>
              <w:tc>
                <w:tcPr>
                  <w:tcW w:w="0" w:type="auto"/>
                  <w:vAlign w:val="center"/>
                </w:tcPr>
                <w:p w14:paraId="65B4E4C4">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实测浓度（mg/m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0D1B117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1.68×10</w:t>
                  </w:r>
                  <w:r>
                    <w:rPr>
                      <w:rFonts w:ascii="Times New Roman" w:hAnsi="Times New Roman" w:eastAsia="宋体" w:cs="Times New Roman"/>
                      <w:color w:val="FF0000"/>
                      <w:szCs w:val="21"/>
                      <w:vertAlign w:val="superscript"/>
                    </w:rPr>
                    <w:t>-3</w:t>
                  </w:r>
                </w:p>
              </w:tc>
              <w:tc>
                <w:tcPr>
                  <w:tcW w:w="0" w:type="auto"/>
                  <w:vAlign w:val="center"/>
                </w:tcPr>
                <w:p w14:paraId="6A72940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1.49×10</w:t>
                  </w:r>
                  <w:r>
                    <w:rPr>
                      <w:rFonts w:ascii="Times New Roman" w:hAnsi="Times New Roman" w:eastAsia="宋体" w:cs="Times New Roman"/>
                      <w:color w:val="FF0000"/>
                      <w:szCs w:val="21"/>
                      <w:vertAlign w:val="superscript"/>
                    </w:rPr>
                    <w:t>-3</w:t>
                  </w:r>
                </w:p>
              </w:tc>
              <w:tc>
                <w:tcPr>
                  <w:tcW w:w="0" w:type="auto"/>
                  <w:vAlign w:val="center"/>
                </w:tcPr>
                <w:p w14:paraId="6909F40B">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1.46×10</w:t>
                  </w:r>
                  <w:r>
                    <w:rPr>
                      <w:rFonts w:ascii="Times New Roman" w:hAnsi="Times New Roman" w:eastAsia="宋体" w:cs="Times New Roman"/>
                      <w:color w:val="FF0000"/>
                      <w:szCs w:val="21"/>
                      <w:vertAlign w:val="superscript"/>
                    </w:rPr>
                    <w:t>-3</w:t>
                  </w:r>
                </w:p>
              </w:tc>
              <w:tc>
                <w:tcPr>
                  <w:tcW w:w="0" w:type="auto"/>
                  <w:vAlign w:val="center"/>
                </w:tcPr>
                <w:p w14:paraId="1CCBE371">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1.60×10</w:t>
                  </w:r>
                  <w:r>
                    <w:rPr>
                      <w:rFonts w:ascii="Times New Roman" w:hAnsi="Times New Roman" w:eastAsia="宋体" w:cs="Times New Roman"/>
                      <w:color w:val="FF0000"/>
                      <w:szCs w:val="21"/>
                      <w:vertAlign w:val="superscript"/>
                    </w:rPr>
                    <w:t>-3</w:t>
                  </w:r>
                </w:p>
              </w:tc>
              <w:tc>
                <w:tcPr>
                  <w:tcW w:w="0" w:type="auto"/>
                  <w:vAlign w:val="center"/>
                </w:tcPr>
                <w:p w14:paraId="300124B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1.56×10</w:t>
                  </w:r>
                  <w:r>
                    <w:rPr>
                      <w:rFonts w:ascii="Times New Roman" w:hAnsi="Times New Roman" w:eastAsia="宋体" w:cs="Times New Roman"/>
                      <w:color w:val="FF0000"/>
                      <w:szCs w:val="21"/>
                      <w:vertAlign w:val="superscript"/>
                    </w:rPr>
                    <w:t>-3</w:t>
                  </w:r>
                </w:p>
              </w:tc>
            </w:tr>
            <w:tr w14:paraId="792431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471DC081">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536D68C9">
                  <w:pPr>
                    <w:overflowPunct w:val="0"/>
                    <w:adjustRightInd w:val="0"/>
                    <w:snapToGrid w:val="0"/>
                    <w:jc w:val="center"/>
                    <w:rPr>
                      <w:rFonts w:ascii="Times New Roman" w:hAnsi="Times New Roman" w:eastAsia="宋体" w:cs="Times New Roman"/>
                      <w:color w:val="FF0000"/>
                      <w:szCs w:val="21"/>
                    </w:rPr>
                  </w:pPr>
                </w:p>
              </w:tc>
              <w:tc>
                <w:tcPr>
                  <w:tcW w:w="0" w:type="auto"/>
                  <w:vAlign w:val="center"/>
                </w:tcPr>
                <w:p w14:paraId="691D6770">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6CFF28E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9.33×10</w:t>
                  </w:r>
                  <w:r>
                    <w:rPr>
                      <w:rFonts w:ascii="Times New Roman" w:hAnsi="Times New Roman" w:eastAsia="宋体" w:cs="Times New Roman"/>
                      <w:color w:val="FF0000"/>
                      <w:szCs w:val="21"/>
                      <w:vertAlign w:val="superscript"/>
                    </w:rPr>
                    <w:t>-3</w:t>
                  </w:r>
                </w:p>
              </w:tc>
              <w:tc>
                <w:tcPr>
                  <w:tcW w:w="0" w:type="auto"/>
                  <w:vAlign w:val="center"/>
                </w:tcPr>
                <w:p w14:paraId="03B09824">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8.76×10</w:t>
                  </w:r>
                  <w:r>
                    <w:rPr>
                      <w:rFonts w:ascii="Times New Roman" w:hAnsi="Times New Roman" w:eastAsia="宋体" w:cs="Times New Roman"/>
                      <w:color w:val="FF0000"/>
                      <w:szCs w:val="21"/>
                      <w:vertAlign w:val="superscript"/>
                    </w:rPr>
                    <w:t>-3</w:t>
                  </w:r>
                </w:p>
              </w:tc>
              <w:tc>
                <w:tcPr>
                  <w:tcW w:w="0" w:type="auto"/>
                  <w:vAlign w:val="center"/>
                </w:tcPr>
                <w:p w14:paraId="36871EF9">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9.73×10</w:t>
                  </w:r>
                  <w:r>
                    <w:rPr>
                      <w:rFonts w:ascii="Times New Roman" w:hAnsi="Times New Roman" w:eastAsia="宋体" w:cs="Times New Roman"/>
                      <w:color w:val="FF0000"/>
                      <w:szCs w:val="21"/>
                      <w:vertAlign w:val="superscript"/>
                    </w:rPr>
                    <w:t>-3</w:t>
                  </w:r>
                </w:p>
              </w:tc>
              <w:tc>
                <w:tcPr>
                  <w:tcW w:w="0" w:type="auto"/>
                  <w:vAlign w:val="center"/>
                </w:tcPr>
                <w:p w14:paraId="73F21AF1">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8.89×10</w:t>
                  </w:r>
                  <w:r>
                    <w:rPr>
                      <w:rFonts w:ascii="Times New Roman" w:hAnsi="Times New Roman" w:eastAsia="宋体" w:cs="Times New Roman"/>
                      <w:color w:val="FF0000"/>
                      <w:szCs w:val="21"/>
                      <w:vertAlign w:val="superscript"/>
                    </w:rPr>
                    <w:t>-3</w:t>
                  </w:r>
                </w:p>
              </w:tc>
              <w:tc>
                <w:tcPr>
                  <w:tcW w:w="0" w:type="auto"/>
                  <w:vAlign w:val="center"/>
                </w:tcPr>
                <w:p w14:paraId="014D19D4">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9.18×10</w:t>
                  </w:r>
                  <w:r>
                    <w:rPr>
                      <w:rFonts w:ascii="Times New Roman" w:hAnsi="Times New Roman" w:eastAsia="宋体" w:cs="Times New Roman"/>
                      <w:color w:val="FF0000"/>
                      <w:szCs w:val="21"/>
                      <w:vertAlign w:val="superscript"/>
                    </w:rPr>
                    <w:t>-3</w:t>
                  </w:r>
                </w:p>
              </w:tc>
            </w:tr>
            <w:tr w14:paraId="132C60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2B5A5FDE">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6AE1D838">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钴及其化合物</w:t>
                  </w:r>
                </w:p>
              </w:tc>
              <w:tc>
                <w:tcPr>
                  <w:tcW w:w="0" w:type="auto"/>
                  <w:vAlign w:val="center"/>
                </w:tcPr>
                <w:p w14:paraId="2BE9AE83">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实测浓度（mg/m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55B3D3C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1.29×10</w:t>
                  </w:r>
                  <w:r>
                    <w:rPr>
                      <w:rFonts w:ascii="Times New Roman" w:hAnsi="Times New Roman" w:eastAsia="宋体" w:cs="Times New Roman"/>
                      <w:color w:val="FF0000"/>
                      <w:szCs w:val="21"/>
                      <w:vertAlign w:val="superscript"/>
                    </w:rPr>
                    <w:t>-5</w:t>
                  </w:r>
                </w:p>
              </w:tc>
              <w:tc>
                <w:tcPr>
                  <w:tcW w:w="0" w:type="auto"/>
                  <w:vAlign w:val="center"/>
                </w:tcPr>
                <w:p w14:paraId="67E7DDAD">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1.11×10</w:t>
                  </w:r>
                  <w:r>
                    <w:rPr>
                      <w:rFonts w:ascii="Times New Roman" w:hAnsi="Times New Roman" w:eastAsia="宋体" w:cs="Times New Roman"/>
                      <w:color w:val="FF0000"/>
                      <w:szCs w:val="21"/>
                      <w:vertAlign w:val="superscript"/>
                    </w:rPr>
                    <w:t>-5</w:t>
                  </w:r>
                </w:p>
              </w:tc>
              <w:tc>
                <w:tcPr>
                  <w:tcW w:w="0" w:type="auto"/>
                  <w:vAlign w:val="center"/>
                </w:tcPr>
                <w:p w14:paraId="3BA4F50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1.06×10</w:t>
                  </w:r>
                  <w:r>
                    <w:rPr>
                      <w:rFonts w:ascii="Times New Roman" w:hAnsi="Times New Roman" w:eastAsia="宋体" w:cs="Times New Roman"/>
                      <w:color w:val="FF0000"/>
                      <w:szCs w:val="21"/>
                      <w:vertAlign w:val="superscript"/>
                    </w:rPr>
                    <w:t>-5</w:t>
                  </w:r>
                </w:p>
              </w:tc>
              <w:tc>
                <w:tcPr>
                  <w:tcW w:w="0" w:type="auto"/>
                  <w:vAlign w:val="center"/>
                </w:tcPr>
                <w:p w14:paraId="66AB949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1.22×10</w:t>
                  </w:r>
                  <w:r>
                    <w:rPr>
                      <w:rFonts w:ascii="Times New Roman" w:hAnsi="Times New Roman" w:eastAsia="宋体" w:cs="Times New Roman"/>
                      <w:color w:val="FF0000"/>
                      <w:szCs w:val="21"/>
                      <w:vertAlign w:val="superscript"/>
                    </w:rPr>
                    <w:t>-5</w:t>
                  </w:r>
                </w:p>
              </w:tc>
              <w:tc>
                <w:tcPr>
                  <w:tcW w:w="0" w:type="auto"/>
                  <w:vAlign w:val="center"/>
                </w:tcPr>
                <w:p w14:paraId="262D245A">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1.17×10</w:t>
                  </w:r>
                  <w:r>
                    <w:rPr>
                      <w:rFonts w:ascii="Times New Roman" w:hAnsi="Times New Roman" w:eastAsia="宋体" w:cs="Times New Roman"/>
                      <w:color w:val="FF0000"/>
                      <w:szCs w:val="21"/>
                      <w:vertAlign w:val="superscript"/>
                    </w:rPr>
                    <w:t>-5</w:t>
                  </w:r>
                </w:p>
              </w:tc>
            </w:tr>
            <w:tr w14:paraId="497090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6074863B">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51A5DFD8">
                  <w:pPr>
                    <w:overflowPunct w:val="0"/>
                    <w:adjustRightInd w:val="0"/>
                    <w:snapToGrid w:val="0"/>
                    <w:jc w:val="center"/>
                    <w:rPr>
                      <w:rFonts w:ascii="Times New Roman" w:hAnsi="Times New Roman" w:eastAsia="宋体" w:cs="Times New Roman"/>
                      <w:color w:val="FF0000"/>
                      <w:szCs w:val="21"/>
                    </w:rPr>
                  </w:pPr>
                </w:p>
              </w:tc>
              <w:tc>
                <w:tcPr>
                  <w:tcW w:w="0" w:type="auto"/>
                  <w:vAlign w:val="center"/>
                </w:tcPr>
                <w:p w14:paraId="65421FB1">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4F01CDE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7.17×10</w:t>
                  </w:r>
                  <w:r>
                    <w:rPr>
                      <w:rFonts w:ascii="Times New Roman" w:hAnsi="Times New Roman" w:eastAsia="宋体" w:cs="Times New Roman"/>
                      <w:color w:val="FF0000"/>
                      <w:szCs w:val="21"/>
                      <w:vertAlign w:val="superscript"/>
                    </w:rPr>
                    <w:t>-5</w:t>
                  </w:r>
                </w:p>
              </w:tc>
              <w:tc>
                <w:tcPr>
                  <w:tcW w:w="0" w:type="auto"/>
                  <w:vAlign w:val="center"/>
                </w:tcPr>
                <w:p w14:paraId="2A08633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6.53×10</w:t>
                  </w:r>
                  <w:r>
                    <w:rPr>
                      <w:rFonts w:ascii="Times New Roman" w:hAnsi="Times New Roman" w:eastAsia="宋体" w:cs="Times New Roman"/>
                      <w:color w:val="FF0000"/>
                      <w:szCs w:val="21"/>
                      <w:vertAlign w:val="superscript"/>
                    </w:rPr>
                    <w:t>-5</w:t>
                  </w:r>
                </w:p>
              </w:tc>
              <w:tc>
                <w:tcPr>
                  <w:tcW w:w="0" w:type="auto"/>
                  <w:vAlign w:val="center"/>
                </w:tcPr>
                <w:p w14:paraId="29E26537">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7.07×10</w:t>
                  </w:r>
                  <w:r>
                    <w:rPr>
                      <w:rFonts w:ascii="Times New Roman" w:hAnsi="Times New Roman" w:eastAsia="宋体" w:cs="Times New Roman"/>
                      <w:color w:val="FF0000"/>
                      <w:szCs w:val="21"/>
                      <w:vertAlign w:val="superscript"/>
                    </w:rPr>
                    <w:t>-5</w:t>
                  </w:r>
                </w:p>
              </w:tc>
              <w:tc>
                <w:tcPr>
                  <w:tcW w:w="0" w:type="auto"/>
                  <w:vAlign w:val="center"/>
                </w:tcPr>
                <w:p w14:paraId="4D9A384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6.78×10</w:t>
                  </w:r>
                  <w:r>
                    <w:rPr>
                      <w:rFonts w:ascii="Times New Roman" w:hAnsi="Times New Roman" w:eastAsia="宋体" w:cs="Times New Roman"/>
                      <w:color w:val="FF0000"/>
                      <w:szCs w:val="21"/>
                      <w:vertAlign w:val="superscript"/>
                    </w:rPr>
                    <w:t>-5</w:t>
                  </w:r>
                </w:p>
              </w:tc>
              <w:tc>
                <w:tcPr>
                  <w:tcW w:w="0" w:type="auto"/>
                  <w:vAlign w:val="center"/>
                </w:tcPr>
                <w:p w14:paraId="55912CD9">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6.89×10</w:t>
                  </w:r>
                  <w:r>
                    <w:rPr>
                      <w:rFonts w:ascii="Times New Roman" w:hAnsi="Times New Roman" w:eastAsia="宋体" w:cs="Times New Roman"/>
                      <w:color w:val="FF0000"/>
                      <w:szCs w:val="21"/>
                      <w:vertAlign w:val="superscript"/>
                    </w:rPr>
                    <w:t>-5</w:t>
                  </w:r>
                </w:p>
              </w:tc>
            </w:tr>
            <w:tr w14:paraId="6F67D7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52A0E7B8">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40C50773">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锡及其化合物</w:t>
                  </w:r>
                </w:p>
              </w:tc>
              <w:tc>
                <w:tcPr>
                  <w:tcW w:w="0" w:type="auto"/>
                  <w:vAlign w:val="center"/>
                </w:tcPr>
                <w:p w14:paraId="486B2979">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实测浓度（mg/m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32CAF35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4.14×10</w:t>
                  </w:r>
                  <w:r>
                    <w:rPr>
                      <w:rFonts w:ascii="Times New Roman" w:hAnsi="Times New Roman" w:eastAsia="宋体" w:cs="Times New Roman"/>
                      <w:color w:val="FF0000"/>
                      <w:szCs w:val="21"/>
                      <w:vertAlign w:val="superscript"/>
                    </w:rPr>
                    <w:t>-4</w:t>
                  </w:r>
                </w:p>
              </w:tc>
              <w:tc>
                <w:tcPr>
                  <w:tcW w:w="0" w:type="auto"/>
                  <w:vAlign w:val="center"/>
                </w:tcPr>
                <w:p w14:paraId="25471E86">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4.11×10</w:t>
                  </w:r>
                  <w:r>
                    <w:rPr>
                      <w:rFonts w:ascii="Times New Roman" w:hAnsi="Times New Roman" w:eastAsia="宋体" w:cs="Times New Roman"/>
                      <w:color w:val="FF0000"/>
                      <w:szCs w:val="21"/>
                      <w:vertAlign w:val="superscript"/>
                    </w:rPr>
                    <w:t>-4</w:t>
                  </w:r>
                </w:p>
              </w:tc>
              <w:tc>
                <w:tcPr>
                  <w:tcW w:w="0" w:type="auto"/>
                  <w:vAlign w:val="center"/>
                </w:tcPr>
                <w:p w14:paraId="6CB0AC9A">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4.17×10</w:t>
                  </w:r>
                  <w:r>
                    <w:rPr>
                      <w:rFonts w:ascii="Times New Roman" w:hAnsi="Times New Roman" w:eastAsia="宋体" w:cs="Times New Roman"/>
                      <w:color w:val="FF0000"/>
                      <w:szCs w:val="21"/>
                      <w:vertAlign w:val="superscript"/>
                    </w:rPr>
                    <w:t>-4</w:t>
                  </w:r>
                </w:p>
              </w:tc>
              <w:tc>
                <w:tcPr>
                  <w:tcW w:w="0" w:type="auto"/>
                  <w:vAlign w:val="center"/>
                </w:tcPr>
                <w:p w14:paraId="1835AD09">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3.90×10</w:t>
                  </w:r>
                  <w:r>
                    <w:rPr>
                      <w:rFonts w:ascii="Times New Roman" w:hAnsi="Times New Roman" w:eastAsia="宋体" w:cs="Times New Roman"/>
                      <w:color w:val="FF0000"/>
                      <w:szCs w:val="21"/>
                      <w:vertAlign w:val="superscript"/>
                    </w:rPr>
                    <w:t>-4</w:t>
                  </w:r>
                </w:p>
              </w:tc>
              <w:tc>
                <w:tcPr>
                  <w:tcW w:w="0" w:type="auto"/>
                  <w:vAlign w:val="center"/>
                </w:tcPr>
                <w:p w14:paraId="60E113FA">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4.08×10</w:t>
                  </w:r>
                  <w:r>
                    <w:rPr>
                      <w:rFonts w:ascii="Times New Roman" w:hAnsi="Times New Roman" w:eastAsia="宋体" w:cs="Times New Roman"/>
                      <w:color w:val="FF0000"/>
                      <w:szCs w:val="21"/>
                      <w:vertAlign w:val="superscript"/>
                    </w:rPr>
                    <w:t>-4</w:t>
                  </w:r>
                </w:p>
              </w:tc>
            </w:tr>
            <w:tr w14:paraId="704FAE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7B5EA0D2">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326793CC">
                  <w:pPr>
                    <w:overflowPunct w:val="0"/>
                    <w:adjustRightInd w:val="0"/>
                    <w:snapToGrid w:val="0"/>
                    <w:jc w:val="center"/>
                    <w:rPr>
                      <w:rFonts w:ascii="Times New Roman" w:hAnsi="Times New Roman" w:eastAsia="宋体" w:cs="Times New Roman"/>
                      <w:color w:val="FF0000"/>
                      <w:szCs w:val="21"/>
                    </w:rPr>
                  </w:pPr>
                </w:p>
              </w:tc>
              <w:tc>
                <w:tcPr>
                  <w:tcW w:w="0" w:type="auto"/>
                  <w:vAlign w:val="center"/>
                </w:tcPr>
                <w:p w14:paraId="61B9AE1D">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08CFA25B">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2.30×10</w:t>
                  </w:r>
                  <w:r>
                    <w:rPr>
                      <w:rFonts w:ascii="Times New Roman" w:hAnsi="Times New Roman" w:eastAsia="宋体" w:cs="Times New Roman"/>
                      <w:color w:val="FF0000"/>
                      <w:szCs w:val="21"/>
                      <w:vertAlign w:val="superscript"/>
                    </w:rPr>
                    <w:t>-3</w:t>
                  </w:r>
                </w:p>
              </w:tc>
              <w:tc>
                <w:tcPr>
                  <w:tcW w:w="0" w:type="auto"/>
                  <w:vAlign w:val="center"/>
                </w:tcPr>
                <w:p w14:paraId="29F94756">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2.42×10</w:t>
                  </w:r>
                  <w:r>
                    <w:rPr>
                      <w:rFonts w:ascii="Times New Roman" w:hAnsi="Times New Roman" w:eastAsia="宋体" w:cs="Times New Roman"/>
                      <w:color w:val="FF0000"/>
                      <w:szCs w:val="21"/>
                      <w:vertAlign w:val="superscript"/>
                    </w:rPr>
                    <w:t>-3</w:t>
                  </w:r>
                </w:p>
              </w:tc>
              <w:tc>
                <w:tcPr>
                  <w:tcW w:w="0" w:type="auto"/>
                  <w:vAlign w:val="center"/>
                </w:tcPr>
                <w:p w14:paraId="3A76A791">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2.78×10</w:t>
                  </w:r>
                  <w:r>
                    <w:rPr>
                      <w:rFonts w:ascii="Times New Roman" w:hAnsi="Times New Roman" w:eastAsia="宋体" w:cs="Times New Roman"/>
                      <w:color w:val="FF0000"/>
                      <w:szCs w:val="21"/>
                      <w:vertAlign w:val="superscript"/>
                    </w:rPr>
                    <w:t>-3</w:t>
                  </w:r>
                </w:p>
              </w:tc>
              <w:tc>
                <w:tcPr>
                  <w:tcW w:w="0" w:type="auto"/>
                  <w:vAlign w:val="center"/>
                </w:tcPr>
                <w:p w14:paraId="791E0C0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2.17×10</w:t>
                  </w:r>
                  <w:r>
                    <w:rPr>
                      <w:rFonts w:ascii="Times New Roman" w:hAnsi="Times New Roman" w:eastAsia="宋体" w:cs="Times New Roman"/>
                      <w:color w:val="FF0000"/>
                      <w:szCs w:val="21"/>
                      <w:vertAlign w:val="superscript"/>
                    </w:rPr>
                    <w:t>-3</w:t>
                  </w:r>
                </w:p>
              </w:tc>
              <w:tc>
                <w:tcPr>
                  <w:tcW w:w="0" w:type="auto"/>
                  <w:vAlign w:val="center"/>
                </w:tcPr>
                <w:p w14:paraId="679A471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2.42×10</w:t>
                  </w:r>
                  <w:r>
                    <w:rPr>
                      <w:rFonts w:ascii="Times New Roman" w:hAnsi="Times New Roman" w:eastAsia="宋体" w:cs="Times New Roman"/>
                      <w:color w:val="FF0000"/>
                      <w:szCs w:val="21"/>
                      <w:vertAlign w:val="superscript"/>
                    </w:rPr>
                    <w:t>-3</w:t>
                  </w:r>
                </w:p>
              </w:tc>
            </w:tr>
            <w:tr w14:paraId="7EF97A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46B1A817">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21A9624F">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锑及其化合物</w:t>
                  </w:r>
                </w:p>
              </w:tc>
              <w:tc>
                <w:tcPr>
                  <w:tcW w:w="0" w:type="auto"/>
                  <w:vAlign w:val="center"/>
                </w:tcPr>
                <w:p w14:paraId="2B93096A">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实测浓度（mg/m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17B2141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1.60×10</w:t>
                  </w:r>
                  <w:r>
                    <w:rPr>
                      <w:rFonts w:ascii="Times New Roman" w:hAnsi="Times New Roman" w:eastAsia="宋体" w:cs="Times New Roman"/>
                      <w:color w:val="FF0000"/>
                      <w:szCs w:val="21"/>
                      <w:vertAlign w:val="superscript"/>
                    </w:rPr>
                    <w:t>-4</w:t>
                  </w:r>
                </w:p>
              </w:tc>
              <w:tc>
                <w:tcPr>
                  <w:tcW w:w="0" w:type="auto"/>
                  <w:vAlign w:val="center"/>
                </w:tcPr>
                <w:p w14:paraId="1B41808D">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1.66×10</w:t>
                  </w:r>
                  <w:r>
                    <w:rPr>
                      <w:rFonts w:ascii="Times New Roman" w:hAnsi="Times New Roman" w:eastAsia="宋体" w:cs="Times New Roman"/>
                      <w:color w:val="FF0000"/>
                      <w:szCs w:val="21"/>
                      <w:vertAlign w:val="superscript"/>
                    </w:rPr>
                    <w:t>-4</w:t>
                  </w:r>
                </w:p>
              </w:tc>
              <w:tc>
                <w:tcPr>
                  <w:tcW w:w="0" w:type="auto"/>
                  <w:vAlign w:val="center"/>
                </w:tcPr>
                <w:p w14:paraId="34978100">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1.60×10</w:t>
                  </w:r>
                  <w:r>
                    <w:rPr>
                      <w:rFonts w:ascii="Times New Roman" w:hAnsi="Times New Roman" w:eastAsia="宋体" w:cs="Times New Roman"/>
                      <w:color w:val="FF0000"/>
                      <w:szCs w:val="21"/>
                      <w:vertAlign w:val="superscript"/>
                    </w:rPr>
                    <w:t>-4</w:t>
                  </w:r>
                </w:p>
              </w:tc>
              <w:tc>
                <w:tcPr>
                  <w:tcW w:w="0" w:type="auto"/>
                  <w:vAlign w:val="center"/>
                </w:tcPr>
                <w:p w14:paraId="24987F0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1.39×10</w:t>
                  </w:r>
                  <w:r>
                    <w:rPr>
                      <w:rFonts w:ascii="Times New Roman" w:hAnsi="Times New Roman" w:eastAsia="宋体" w:cs="Times New Roman"/>
                      <w:color w:val="FF0000"/>
                      <w:szCs w:val="21"/>
                      <w:vertAlign w:val="superscript"/>
                    </w:rPr>
                    <w:t>-4</w:t>
                  </w:r>
                </w:p>
              </w:tc>
              <w:tc>
                <w:tcPr>
                  <w:tcW w:w="0" w:type="auto"/>
                  <w:vAlign w:val="center"/>
                </w:tcPr>
                <w:p w14:paraId="30FC28A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1.56×10</w:t>
                  </w:r>
                  <w:r>
                    <w:rPr>
                      <w:rFonts w:ascii="Times New Roman" w:hAnsi="Times New Roman" w:eastAsia="宋体" w:cs="Times New Roman"/>
                      <w:color w:val="FF0000"/>
                      <w:szCs w:val="21"/>
                      <w:vertAlign w:val="superscript"/>
                    </w:rPr>
                    <w:t>-4</w:t>
                  </w:r>
                </w:p>
              </w:tc>
            </w:tr>
            <w:tr w14:paraId="1973B5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284452CF">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42E6CADC">
                  <w:pPr>
                    <w:overflowPunct w:val="0"/>
                    <w:adjustRightInd w:val="0"/>
                    <w:snapToGrid w:val="0"/>
                    <w:jc w:val="center"/>
                    <w:rPr>
                      <w:rFonts w:ascii="Times New Roman" w:hAnsi="Times New Roman" w:eastAsia="宋体" w:cs="Times New Roman"/>
                      <w:color w:val="FF0000"/>
                      <w:szCs w:val="21"/>
                    </w:rPr>
                  </w:pPr>
                </w:p>
              </w:tc>
              <w:tc>
                <w:tcPr>
                  <w:tcW w:w="0" w:type="auto"/>
                  <w:vAlign w:val="center"/>
                </w:tcPr>
                <w:p w14:paraId="417F1DA6">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236845B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8.89×10</w:t>
                  </w:r>
                  <w:r>
                    <w:rPr>
                      <w:rFonts w:ascii="Times New Roman" w:hAnsi="Times New Roman" w:eastAsia="宋体" w:cs="Times New Roman"/>
                      <w:color w:val="FF0000"/>
                      <w:szCs w:val="21"/>
                      <w:vertAlign w:val="superscript"/>
                    </w:rPr>
                    <w:t>-4</w:t>
                  </w:r>
                </w:p>
              </w:tc>
              <w:tc>
                <w:tcPr>
                  <w:tcW w:w="0" w:type="auto"/>
                  <w:vAlign w:val="center"/>
                </w:tcPr>
                <w:p w14:paraId="3232B344">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9.76×10</w:t>
                  </w:r>
                  <w:r>
                    <w:rPr>
                      <w:rFonts w:ascii="Times New Roman" w:hAnsi="Times New Roman" w:eastAsia="宋体" w:cs="Times New Roman"/>
                      <w:color w:val="FF0000"/>
                      <w:szCs w:val="21"/>
                      <w:vertAlign w:val="superscript"/>
                    </w:rPr>
                    <w:t>-4</w:t>
                  </w:r>
                </w:p>
              </w:tc>
              <w:tc>
                <w:tcPr>
                  <w:tcW w:w="0" w:type="auto"/>
                  <w:vAlign w:val="center"/>
                </w:tcPr>
                <w:p w14:paraId="5AAEC26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1.07×10</w:t>
                  </w:r>
                  <w:r>
                    <w:rPr>
                      <w:rFonts w:ascii="Times New Roman" w:hAnsi="Times New Roman" w:eastAsia="宋体" w:cs="Times New Roman"/>
                      <w:color w:val="FF0000"/>
                      <w:szCs w:val="21"/>
                      <w:vertAlign w:val="superscript"/>
                    </w:rPr>
                    <w:t>-3</w:t>
                  </w:r>
                </w:p>
              </w:tc>
              <w:tc>
                <w:tcPr>
                  <w:tcW w:w="0" w:type="auto"/>
                  <w:vAlign w:val="center"/>
                </w:tcPr>
                <w:p w14:paraId="07D8620B">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7.72×10</w:t>
                  </w:r>
                  <w:r>
                    <w:rPr>
                      <w:rFonts w:ascii="Times New Roman" w:hAnsi="Times New Roman" w:eastAsia="宋体" w:cs="Times New Roman"/>
                      <w:color w:val="FF0000"/>
                      <w:szCs w:val="21"/>
                      <w:vertAlign w:val="superscript"/>
                    </w:rPr>
                    <w:t>-4</w:t>
                  </w:r>
                </w:p>
              </w:tc>
              <w:tc>
                <w:tcPr>
                  <w:tcW w:w="0" w:type="auto"/>
                  <w:vAlign w:val="center"/>
                </w:tcPr>
                <w:p w14:paraId="307408F1">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kern w:val="0"/>
                      <w:szCs w:val="21"/>
                      <w:lang w:bidi="ar"/>
                    </w:rPr>
                    <w:t>9.27</w:t>
                  </w:r>
                  <w:r>
                    <w:rPr>
                      <w:rFonts w:ascii="Times New Roman" w:hAnsi="Times New Roman" w:eastAsia="宋体" w:cs="Times New Roman"/>
                      <w:color w:val="FF0000"/>
                      <w:szCs w:val="21"/>
                    </w:rPr>
                    <w:t>×10</w:t>
                  </w:r>
                  <w:r>
                    <w:rPr>
                      <w:rFonts w:ascii="Times New Roman" w:hAnsi="Times New Roman" w:eastAsia="宋体" w:cs="Times New Roman"/>
                      <w:color w:val="FF0000"/>
                      <w:szCs w:val="21"/>
                      <w:vertAlign w:val="superscript"/>
                    </w:rPr>
                    <w:t>-4</w:t>
                  </w:r>
                </w:p>
              </w:tc>
            </w:tr>
            <w:tr w14:paraId="6F5E89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37372423">
                  <w:pPr>
                    <w:overflowPunct w:val="0"/>
                    <w:adjustRightInd w:val="0"/>
                    <w:snapToGrid w:val="0"/>
                    <w:jc w:val="center"/>
                    <w:rPr>
                      <w:rFonts w:ascii="Times New Roman" w:hAnsi="Times New Roman" w:eastAsia="宋体" w:cs="Times New Roman"/>
                      <w:color w:val="FF0000"/>
                      <w:szCs w:val="21"/>
                    </w:rPr>
                  </w:pPr>
                </w:p>
              </w:tc>
              <w:tc>
                <w:tcPr>
                  <w:tcW w:w="0" w:type="auto"/>
                  <w:vAlign w:val="center"/>
                </w:tcPr>
                <w:p w14:paraId="1214A827">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锡、锑、铜、锰、镍、钴及其化合物</w:t>
                  </w:r>
                </w:p>
              </w:tc>
              <w:tc>
                <w:tcPr>
                  <w:tcW w:w="0" w:type="auto"/>
                  <w:vAlign w:val="center"/>
                </w:tcPr>
                <w:p w14:paraId="0FAFDD1F">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49BAD88B">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w:t>
                  </w:r>
                </w:p>
              </w:tc>
              <w:tc>
                <w:tcPr>
                  <w:tcW w:w="0" w:type="auto"/>
                  <w:vAlign w:val="center"/>
                </w:tcPr>
                <w:p w14:paraId="71EA21CA">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w:t>
                  </w:r>
                </w:p>
              </w:tc>
              <w:tc>
                <w:tcPr>
                  <w:tcW w:w="0" w:type="auto"/>
                  <w:vAlign w:val="center"/>
                </w:tcPr>
                <w:p w14:paraId="74123FF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w:t>
                  </w:r>
                </w:p>
              </w:tc>
              <w:tc>
                <w:tcPr>
                  <w:tcW w:w="0" w:type="auto"/>
                  <w:vAlign w:val="center"/>
                </w:tcPr>
                <w:p w14:paraId="35FD73A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w:t>
                  </w:r>
                </w:p>
              </w:tc>
              <w:tc>
                <w:tcPr>
                  <w:tcW w:w="0" w:type="auto"/>
                  <w:vAlign w:val="center"/>
                </w:tcPr>
                <w:p w14:paraId="2B4EB241">
                  <w:pPr>
                    <w:widowControl/>
                    <w:jc w:val="center"/>
                    <w:textAlignment w:val="center"/>
                    <w:rPr>
                      <w:rFonts w:ascii="Times New Roman" w:hAnsi="Times New Roman" w:eastAsia="宋体" w:cs="Times New Roman"/>
                      <w:color w:val="FF0000"/>
                      <w:kern w:val="0"/>
                      <w:szCs w:val="21"/>
                      <w:lang w:bidi="ar"/>
                    </w:rPr>
                  </w:pPr>
                  <w:r>
                    <w:rPr>
                      <w:rFonts w:ascii="Times New Roman" w:hAnsi="Times New Roman" w:eastAsia="宋体" w:cs="Times New Roman"/>
                      <w:color w:val="FF0000"/>
                      <w:kern w:val="0"/>
                      <w:szCs w:val="21"/>
                      <w:lang w:bidi="ar"/>
                    </w:rPr>
                    <w:t>0.145</w:t>
                  </w:r>
                </w:p>
              </w:tc>
            </w:tr>
            <w:tr w14:paraId="7EC74C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67944943">
                  <w:pPr>
                    <w:overflowPunct w:val="0"/>
                    <w:adjustRightInd w:val="0"/>
                    <w:snapToGrid w:val="0"/>
                    <w:jc w:val="center"/>
                    <w:rPr>
                      <w:rFonts w:ascii="Times New Roman" w:hAnsi="Times New Roman" w:eastAsia="宋体" w:cs="Times New Roman"/>
                      <w:color w:val="FF0000"/>
                      <w:szCs w:val="21"/>
                    </w:rPr>
                  </w:pPr>
                </w:p>
              </w:tc>
              <w:tc>
                <w:tcPr>
                  <w:tcW w:w="0" w:type="auto"/>
                  <w:vAlign w:val="center"/>
                </w:tcPr>
                <w:p w14:paraId="3D50C3BB">
                  <w:pPr>
                    <w:overflowPunct w:val="0"/>
                    <w:adjustRightInd w:val="0"/>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二噁英</w:t>
                  </w:r>
                </w:p>
              </w:tc>
              <w:tc>
                <w:tcPr>
                  <w:tcW w:w="0" w:type="auto"/>
                  <w:vAlign w:val="center"/>
                </w:tcPr>
                <w:p w14:paraId="214630DF">
                  <w:pPr>
                    <w:pStyle w:val="21"/>
                    <w:spacing w:line="240" w:lineRule="auto"/>
                    <w:jc w:val="center"/>
                    <w:rPr>
                      <w:rFonts w:ascii="Times New Roman" w:hAnsi="Times New Roman" w:eastAsia="宋体"/>
                      <w:color w:val="FF0000"/>
                      <w:sz w:val="21"/>
                      <w:szCs w:val="21"/>
                    </w:rPr>
                  </w:pPr>
                  <w:r>
                    <w:rPr>
                      <w:rFonts w:hint="eastAsia" w:ascii="Times New Roman" w:hAnsi="Times New Roman" w:eastAsia="宋体"/>
                      <w:color w:val="FF0000"/>
                      <w:sz w:val="21"/>
                      <w:szCs w:val="21"/>
                    </w:rPr>
                    <w:t>检测浓度</w:t>
                  </w:r>
                </w:p>
                <w:p w14:paraId="7E6298FB">
                  <w:pPr>
                    <w:pStyle w:val="21"/>
                    <w:spacing w:line="240" w:lineRule="auto"/>
                    <w:jc w:val="center"/>
                    <w:rPr>
                      <w:rFonts w:ascii="Times New Roman" w:hAnsi="Times New Roman" w:eastAsia="宋体"/>
                      <w:color w:val="FF0000"/>
                      <w:sz w:val="21"/>
                      <w:szCs w:val="21"/>
                    </w:rPr>
                  </w:pPr>
                  <w:r>
                    <w:rPr>
                      <w:rFonts w:hint="eastAsia" w:ascii="Times New Roman" w:hAnsi="Times New Roman" w:eastAsia="宋体"/>
                      <w:color w:val="FF0000"/>
                      <w:sz w:val="21"/>
                      <w:szCs w:val="21"/>
                    </w:rPr>
                    <w:t>（ng</w:t>
                  </w:r>
                  <w:r>
                    <w:rPr>
                      <w:rFonts w:ascii="Times New Roman" w:hAnsi="Times New Roman" w:eastAsia="宋体"/>
                      <w:color w:val="FF0000"/>
                      <w:sz w:val="21"/>
                      <w:szCs w:val="21"/>
                    </w:rPr>
                    <w:t>-TEQ/ m</w:t>
                  </w:r>
                  <w:r>
                    <w:rPr>
                      <w:rFonts w:ascii="Times New Roman" w:hAnsi="Times New Roman" w:eastAsia="宋体"/>
                      <w:color w:val="FF0000"/>
                      <w:sz w:val="21"/>
                      <w:szCs w:val="21"/>
                      <w:vertAlign w:val="superscript"/>
                    </w:rPr>
                    <w:t>3</w:t>
                  </w:r>
                  <w:r>
                    <w:rPr>
                      <w:rFonts w:hint="eastAsia" w:ascii="Times New Roman" w:hAnsi="Times New Roman" w:eastAsia="宋体"/>
                      <w:color w:val="FF0000"/>
                      <w:sz w:val="21"/>
                      <w:szCs w:val="21"/>
                    </w:rPr>
                    <w:t>）</w:t>
                  </w:r>
                </w:p>
              </w:tc>
              <w:tc>
                <w:tcPr>
                  <w:tcW w:w="0" w:type="auto"/>
                  <w:vAlign w:val="center"/>
                </w:tcPr>
                <w:p w14:paraId="5F82E1E3">
                  <w:pPr>
                    <w:widowControl/>
                    <w:jc w:val="center"/>
                    <w:textAlignment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0.058</w:t>
                  </w:r>
                </w:p>
              </w:tc>
              <w:tc>
                <w:tcPr>
                  <w:tcW w:w="0" w:type="auto"/>
                  <w:vAlign w:val="center"/>
                </w:tcPr>
                <w:p w14:paraId="79D976F3">
                  <w:pPr>
                    <w:widowControl/>
                    <w:jc w:val="center"/>
                    <w:textAlignment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0.30</w:t>
                  </w:r>
                </w:p>
              </w:tc>
              <w:tc>
                <w:tcPr>
                  <w:tcW w:w="0" w:type="auto"/>
                  <w:vAlign w:val="center"/>
                </w:tcPr>
                <w:p w14:paraId="6BC6AA70">
                  <w:pPr>
                    <w:widowControl/>
                    <w:jc w:val="center"/>
                    <w:textAlignment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0.12</w:t>
                  </w:r>
                </w:p>
              </w:tc>
              <w:tc>
                <w:tcPr>
                  <w:tcW w:w="0" w:type="auto"/>
                  <w:vAlign w:val="center"/>
                </w:tcPr>
                <w:p w14:paraId="1BB281C8">
                  <w:pPr>
                    <w:widowControl/>
                    <w:jc w:val="center"/>
                    <w:textAlignment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0.23</w:t>
                  </w:r>
                </w:p>
              </w:tc>
              <w:tc>
                <w:tcPr>
                  <w:tcW w:w="0" w:type="auto"/>
                  <w:vAlign w:val="center"/>
                </w:tcPr>
                <w:p w14:paraId="4A41D096">
                  <w:pPr>
                    <w:widowControl/>
                    <w:jc w:val="center"/>
                    <w:textAlignment w:val="center"/>
                    <w:rPr>
                      <w:rFonts w:ascii="Times New Roman" w:hAnsi="Times New Roman" w:eastAsia="宋体" w:cs="Times New Roman"/>
                      <w:color w:val="FF0000"/>
                      <w:kern w:val="0"/>
                      <w:szCs w:val="21"/>
                      <w:lang w:bidi="ar"/>
                    </w:rPr>
                  </w:pPr>
                  <w:r>
                    <w:rPr>
                      <w:rFonts w:hint="eastAsia" w:ascii="Times New Roman" w:hAnsi="Times New Roman" w:eastAsia="宋体" w:cs="Times New Roman"/>
                      <w:color w:val="FF0000"/>
                      <w:kern w:val="0"/>
                      <w:szCs w:val="21"/>
                      <w:lang w:bidi="ar"/>
                    </w:rPr>
                    <w:t>0.18</w:t>
                  </w:r>
                </w:p>
              </w:tc>
            </w:tr>
            <w:tr w14:paraId="78996E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restart"/>
                  <w:vAlign w:val="center"/>
                </w:tcPr>
                <w:p w14:paraId="4837A753">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检测点位</w:t>
                  </w:r>
                </w:p>
              </w:tc>
              <w:tc>
                <w:tcPr>
                  <w:tcW w:w="0" w:type="auto"/>
                  <w:gridSpan w:val="2"/>
                  <w:vMerge w:val="restart"/>
                  <w:vAlign w:val="center"/>
                </w:tcPr>
                <w:p w14:paraId="124793EF">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kern w:val="2"/>
                      <w:sz w:val="21"/>
                      <w:szCs w:val="21"/>
                    </w:rPr>
                    <w:t>检测项目</w:t>
                  </w:r>
                </w:p>
              </w:tc>
              <w:tc>
                <w:tcPr>
                  <w:tcW w:w="0" w:type="auto"/>
                  <w:gridSpan w:val="5"/>
                  <w:vAlign w:val="center"/>
                </w:tcPr>
                <w:p w14:paraId="4B5E9143">
                  <w:pPr>
                    <w:widowControl/>
                    <w:jc w:val="center"/>
                    <w:textAlignment w:val="center"/>
                    <w:rPr>
                      <w:rFonts w:ascii="Times New Roman" w:hAnsi="Times New Roman" w:eastAsia="宋体" w:cs="Times New Roman"/>
                      <w:color w:val="FF0000"/>
                      <w:kern w:val="0"/>
                      <w:szCs w:val="21"/>
                      <w:lang w:bidi="ar"/>
                    </w:rPr>
                  </w:pPr>
                  <w:r>
                    <w:rPr>
                      <w:rFonts w:ascii="Times New Roman" w:hAnsi="Times New Roman" w:eastAsia="宋体" w:cs="Times New Roman"/>
                      <w:bCs/>
                      <w:color w:val="FF0000"/>
                      <w:szCs w:val="21"/>
                    </w:rPr>
                    <w:t>采样日期、检测频次及检测结果</w:t>
                  </w:r>
                </w:p>
              </w:tc>
            </w:tr>
            <w:tr w14:paraId="7D3A47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7A7E6D94">
                  <w:pPr>
                    <w:overflowPunct w:val="0"/>
                    <w:adjustRightInd w:val="0"/>
                    <w:snapToGrid w:val="0"/>
                    <w:jc w:val="center"/>
                    <w:rPr>
                      <w:rFonts w:ascii="Times New Roman" w:hAnsi="Times New Roman" w:eastAsia="宋体" w:cs="Times New Roman"/>
                      <w:color w:val="FF0000"/>
                      <w:szCs w:val="21"/>
                    </w:rPr>
                  </w:pPr>
                </w:p>
              </w:tc>
              <w:tc>
                <w:tcPr>
                  <w:tcW w:w="0" w:type="auto"/>
                  <w:gridSpan w:val="2"/>
                  <w:vMerge w:val="continue"/>
                  <w:vAlign w:val="center"/>
                </w:tcPr>
                <w:p w14:paraId="06C24D08">
                  <w:pPr>
                    <w:pStyle w:val="21"/>
                    <w:spacing w:line="240" w:lineRule="auto"/>
                    <w:jc w:val="center"/>
                    <w:rPr>
                      <w:rFonts w:ascii="Times New Roman" w:hAnsi="Times New Roman" w:eastAsia="宋体"/>
                      <w:color w:val="FF0000"/>
                      <w:sz w:val="21"/>
                      <w:szCs w:val="21"/>
                    </w:rPr>
                  </w:pPr>
                </w:p>
              </w:tc>
              <w:tc>
                <w:tcPr>
                  <w:tcW w:w="0" w:type="auto"/>
                  <w:gridSpan w:val="5"/>
                  <w:vAlign w:val="center"/>
                </w:tcPr>
                <w:p w14:paraId="38C6D53A">
                  <w:pPr>
                    <w:widowControl/>
                    <w:jc w:val="center"/>
                    <w:textAlignment w:val="center"/>
                    <w:rPr>
                      <w:rFonts w:ascii="Times New Roman" w:hAnsi="Times New Roman" w:eastAsia="宋体" w:cs="Times New Roman"/>
                      <w:color w:val="FF0000"/>
                      <w:kern w:val="0"/>
                      <w:szCs w:val="21"/>
                      <w:lang w:bidi="ar"/>
                    </w:rPr>
                  </w:pPr>
                  <w:r>
                    <w:rPr>
                      <w:rFonts w:ascii="Times New Roman" w:hAnsi="Times New Roman" w:eastAsia="宋体" w:cs="Times New Roman"/>
                      <w:color w:val="FF0000"/>
                      <w:szCs w:val="21"/>
                    </w:rPr>
                    <w:t>2023年7月17日</w:t>
                  </w:r>
                </w:p>
              </w:tc>
            </w:tr>
            <w:tr w14:paraId="3A9869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5A4E30C5">
                  <w:pPr>
                    <w:overflowPunct w:val="0"/>
                    <w:adjustRightInd w:val="0"/>
                    <w:snapToGrid w:val="0"/>
                    <w:jc w:val="center"/>
                    <w:rPr>
                      <w:rFonts w:ascii="Times New Roman" w:hAnsi="Times New Roman" w:eastAsia="宋体" w:cs="Times New Roman"/>
                      <w:color w:val="FF0000"/>
                      <w:szCs w:val="21"/>
                    </w:rPr>
                  </w:pPr>
                </w:p>
              </w:tc>
              <w:tc>
                <w:tcPr>
                  <w:tcW w:w="0" w:type="auto"/>
                  <w:gridSpan w:val="2"/>
                  <w:vMerge w:val="continue"/>
                  <w:vAlign w:val="center"/>
                </w:tcPr>
                <w:p w14:paraId="0F159825">
                  <w:pPr>
                    <w:pStyle w:val="21"/>
                    <w:spacing w:line="240" w:lineRule="auto"/>
                    <w:jc w:val="center"/>
                    <w:rPr>
                      <w:rFonts w:ascii="Times New Roman" w:hAnsi="Times New Roman" w:eastAsia="宋体"/>
                      <w:color w:val="FF0000"/>
                      <w:sz w:val="21"/>
                      <w:szCs w:val="21"/>
                    </w:rPr>
                  </w:pPr>
                </w:p>
              </w:tc>
              <w:tc>
                <w:tcPr>
                  <w:tcW w:w="0" w:type="auto"/>
                  <w:vAlign w:val="center"/>
                </w:tcPr>
                <w:p w14:paraId="521FC33D">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第1次</w:t>
                  </w:r>
                </w:p>
              </w:tc>
              <w:tc>
                <w:tcPr>
                  <w:tcW w:w="0" w:type="auto"/>
                  <w:vAlign w:val="center"/>
                </w:tcPr>
                <w:p w14:paraId="2051D5EB">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第2次</w:t>
                  </w:r>
                </w:p>
              </w:tc>
              <w:tc>
                <w:tcPr>
                  <w:tcW w:w="0" w:type="auto"/>
                  <w:vAlign w:val="center"/>
                </w:tcPr>
                <w:p w14:paraId="31D98651">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第3次</w:t>
                  </w:r>
                </w:p>
              </w:tc>
              <w:tc>
                <w:tcPr>
                  <w:tcW w:w="0" w:type="auto"/>
                  <w:vAlign w:val="center"/>
                </w:tcPr>
                <w:p w14:paraId="30EC292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第4次</w:t>
                  </w:r>
                </w:p>
              </w:tc>
              <w:tc>
                <w:tcPr>
                  <w:tcW w:w="0" w:type="auto"/>
                  <w:vAlign w:val="center"/>
                </w:tcPr>
                <w:p w14:paraId="66F07E31">
                  <w:pPr>
                    <w:widowControl/>
                    <w:jc w:val="center"/>
                    <w:textAlignment w:val="center"/>
                    <w:rPr>
                      <w:rFonts w:ascii="Times New Roman" w:hAnsi="Times New Roman" w:eastAsia="宋体" w:cs="Times New Roman"/>
                      <w:color w:val="FF0000"/>
                      <w:kern w:val="0"/>
                      <w:szCs w:val="21"/>
                      <w:lang w:bidi="ar"/>
                    </w:rPr>
                  </w:pPr>
                  <w:r>
                    <w:rPr>
                      <w:rFonts w:ascii="Times New Roman" w:hAnsi="Times New Roman" w:eastAsia="宋体" w:cs="Times New Roman"/>
                      <w:color w:val="FF0000"/>
                      <w:szCs w:val="21"/>
                    </w:rPr>
                    <w:t>均值</w:t>
                  </w:r>
                </w:p>
              </w:tc>
            </w:tr>
            <w:tr w14:paraId="5EBE76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restart"/>
                  <w:vAlign w:val="center"/>
                </w:tcPr>
                <w:p w14:paraId="1793777A">
                  <w:pPr>
                    <w:pStyle w:val="22"/>
                    <w:spacing w:before="0" w:beforeAutospacing="0" w:after="0" w:afterAutospacing="0"/>
                    <w:jc w:val="center"/>
                    <w:rPr>
                      <w:rFonts w:ascii="Times New Roman" w:hAnsi="Times New Roman" w:cs="Times New Roman"/>
                      <w:color w:val="FF0000"/>
                      <w:sz w:val="21"/>
                      <w:szCs w:val="21"/>
                    </w:rPr>
                  </w:pPr>
                  <w:r>
                    <w:rPr>
                      <w:rFonts w:ascii="Times New Roman" w:hAnsi="Times New Roman" w:cs="Times New Roman"/>
                      <w:color w:val="FF0000"/>
                      <w:sz w:val="21"/>
                      <w:szCs w:val="21"/>
                    </w:rPr>
                    <w:t>隧道窑</w:t>
                  </w:r>
                </w:p>
                <w:p w14:paraId="1434D5DC">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脱硫塔</w:t>
                  </w:r>
                </w:p>
              </w:tc>
              <w:tc>
                <w:tcPr>
                  <w:tcW w:w="0" w:type="auto"/>
                  <w:gridSpan w:val="2"/>
                  <w:vAlign w:val="center"/>
                </w:tcPr>
                <w:p w14:paraId="29996536">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高度（m）</w:t>
                  </w:r>
                </w:p>
              </w:tc>
              <w:tc>
                <w:tcPr>
                  <w:tcW w:w="0" w:type="auto"/>
                  <w:gridSpan w:val="4"/>
                  <w:vAlign w:val="center"/>
                </w:tcPr>
                <w:p w14:paraId="6A8DFFFD">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18</w:t>
                  </w:r>
                </w:p>
              </w:tc>
              <w:tc>
                <w:tcPr>
                  <w:tcW w:w="0" w:type="auto"/>
                  <w:vAlign w:val="center"/>
                </w:tcPr>
                <w:p w14:paraId="12C5F0A1">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w:t>
                  </w:r>
                </w:p>
              </w:tc>
            </w:tr>
            <w:tr w14:paraId="692B4C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0098BAAD">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3765699C">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排气参数</w:t>
                  </w:r>
                </w:p>
              </w:tc>
              <w:tc>
                <w:tcPr>
                  <w:tcW w:w="0" w:type="auto"/>
                  <w:vAlign w:val="center"/>
                </w:tcPr>
                <w:p w14:paraId="7FAD3350">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流量（Nm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/h）</w:t>
                  </w:r>
                </w:p>
              </w:tc>
              <w:tc>
                <w:tcPr>
                  <w:tcW w:w="0" w:type="auto"/>
                  <w:vAlign w:val="center"/>
                </w:tcPr>
                <w:p w14:paraId="3BCEC64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49554</w:t>
                  </w:r>
                </w:p>
              </w:tc>
              <w:tc>
                <w:tcPr>
                  <w:tcW w:w="0" w:type="auto"/>
                  <w:vAlign w:val="center"/>
                </w:tcPr>
                <w:p w14:paraId="5D12839B">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50098</w:t>
                  </w:r>
                </w:p>
              </w:tc>
              <w:tc>
                <w:tcPr>
                  <w:tcW w:w="0" w:type="auto"/>
                  <w:vAlign w:val="center"/>
                </w:tcPr>
                <w:p w14:paraId="6D4E3FB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51913</w:t>
                  </w:r>
                </w:p>
              </w:tc>
              <w:tc>
                <w:tcPr>
                  <w:tcW w:w="0" w:type="auto"/>
                  <w:vAlign w:val="center"/>
                </w:tcPr>
                <w:p w14:paraId="70E4B81E">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53032</w:t>
                  </w:r>
                </w:p>
              </w:tc>
              <w:tc>
                <w:tcPr>
                  <w:tcW w:w="0" w:type="auto"/>
                  <w:vAlign w:val="center"/>
                </w:tcPr>
                <w:p w14:paraId="4FB232BD">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51149</w:t>
                  </w:r>
                </w:p>
              </w:tc>
            </w:tr>
            <w:tr w14:paraId="649966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793C7733">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6AC0BB74">
                  <w:pPr>
                    <w:pStyle w:val="21"/>
                    <w:spacing w:line="240" w:lineRule="auto"/>
                    <w:jc w:val="center"/>
                    <w:rPr>
                      <w:rFonts w:ascii="Times New Roman" w:hAnsi="Times New Roman" w:eastAsia="宋体"/>
                      <w:color w:val="FF0000"/>
                      <w:sz w:val="21"/>
                      <w:szCs w:val="21"/>
                    </w:rPr>
                  </w:pPr>
                </w:p>
              </w:tc>
              <w:tc>
                <w:tcPr>
                  <w:tcW w:w="0" w:type="auto"/>
                  <w:vAlign w:val="center"/>
                </w:tcPr>
                <w:p w14:paraId="4D48E35A">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烟温（</w:t>
                  </w:r>
                  <w:r>
                    <w:rPr>
                      <w:rFonts w:hint="eastAsia" w:ascii="宋体" w:hAnsi="宋体" w:eastAsia="宋体" w:cs="宋体"/>
                      <w:color w:val="FF0000"/>
                      <w:sz w:val="21"/>
                      <w:szCs w:val="21"/>
                    </w:rPr>
                    <w:t>℃</w:t>
                  </w:r>
                  <w:r>
                    <w:rPr>
                      <w:rFonts w:ascii="Times New Roman" w:hAnsi="Times New Roman" w:eastAsia="宋体"/>
                      <w:color w:val="FF0000"/>
                      <w:sz w:val="21"/>
                      <w:szCs w:val="21"/>
                    </w:rPr>
                    <w:t>）</w:t>
                  </w:r>
                </w:p>
              </w:tc>
              <w:tc>
                <w:tcPr>
                  <w:tcW w:w="0" w:type="auto"/>
                  <w:vAlign w:val="center"/>
                </w:tcPr>
                <w:p w14:paraId="6C914B4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77.6</w:t>
                  </w:r>
                </w:p>
              </w:tc>
              <w:tc>
                <w:tcPr>
                  <w:tcW w:w="0" w:type="auto"/>
                  <w:vAlign w:val="center"/>
                </w:tcPr>
                <w:p w14:paraId="0233896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76.7</w:t>
                  </w:r>
                </w:p>
              </w:tc>
              <w:tc>
                <w:tcPr>
                  <w:tcW w:w="0" w:type="auto"/>
                  <w:vAlign w:val="center"/>
                </w:tcPr>
                <w:p w14:paraId="4A7F513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76.9</w:t>
                  </w:r>
                </w:p>
              </w:tc>
              <w:tc>
                <w:tcPr>
                  <w:tcW w:w="0" w:type="auto"/>
                  <w:vAlign w:val="center"/>
                </w:tcPr>
                <w:p w14:paraId="3AF9E08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77.4</w:t>
                  </w:r>
                </w:p>
              </w:tc>
              <w:tc>
                <w:tcPr>
                  <w:tcW w:w="0" w:type="auto"/>
                  <w:vAlign w:val="center"/>
                </w:tcPr>
                <w:p w14:paraId="5136FC6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77.2</w:t>
                  </w:r>
                </w:p>
              </w:tc>
            </w:tr>
            <w:tr w14:paraId="3A76BF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19A85AD2">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1181215F">
                  <w:pPr>
                    <w:pStyle w:val="21"/>
                    <w:spacing w:line="240" w:lineRule="auto"/>
                    <w:jc w:val="center"/>
                    <w:rPr>
                      <w:rFonts w:ascii="Times New Roman" w:hAnsi="Times New Roman" w:eastAsia="宋体"/>
                      <w:color w:val="FF0000"/>
                      <w:sz w:val="21"/>
                      <w:szCs w:val="21"/>
                    </w:rPr>
                  </w:pPr>
                </w:p>
              </w:tc>
              <w:tc>
                <w:tcPr>
                  <w:tcW w:w="0" w:type="auto"/>
                  <w:vAlign w:val="center"/>
                </w:tcPr>
                <w:p w14:paraId="70AE4058">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烟气流速（m/s）</w:t>
                  </w:r>
                </w:p>
              </w:tc>
              <w:tc>
                <w:tcPr>
                  <w:tcW w:w="0" w:type="auto"/>
                  <w:vAlign w:val="center"/>
                </w:tcPr>
                <w:p w14:paraId="0179539D">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6.16</w:t>
                  </w:r>
                </w:p>
              </w:tc>
              <w:tc>
                <w:tcPr>
                  <w:tcW w:w="0" w:type="auto"/>
                  <w:vAlign w:val="center"/>
                </w:tcPr>
                <w:p w14:paraId="62F46F7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6.21</w:t>
                  </w:r>
                </w:p>
              </w:tc>
              <w:tc>
                <w:tcPr>
                  <w:tcW w:w="0" w:type="auto"/>
                  <w:vAlign w:val="center"/>
                </w:tcPr>
                <w:p w14:paraId="0A84516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6.45</w:t>
                  </w:r>
                </w:p>
              </w:tc>
              <w:tc>
                <w:tcPr>
                  <w:tcW w:w="0" w:type="auto"/>
                  <w:vAlign w:val="center"/>
                </w:tcPr>
                <w:p w14:paraId="149DD69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6.60</w:t>
                  </w:r>
                </w:p>
              </w:tc>
              <w:tc>
                <w:tcPr>
                  <w:tcW w:w="0" w:type="auto"/>
                  <w:vAlign w:val="center"/>
                </w:tcPr>
                <w:p w14:paraId="5EE5B99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6.36</w:t>
                  </w:r>
                </w:p>
              </w:tc>
            </w:tr>
            <w:tr w14:paraId="77E0BC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411A40E0">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07FD37EF">
                  <w:pPr>
                    <w:pStyle w:val="21"/>
                    <w:spacing w:line="240" w:lineRule="auto"/>
                    <w:jc w:val="center"/>
                    <w:rPr>
                      <w:rFonts w:ascii="Times New Roman" w:hAnsi="Times New Roman" w:eastAsia="宋体"/>
                      <w:color w:val="FF0000"/>
                      <w:sz w:val="21"/>
                      <w:szCs w:val="21"/>
                    </w:rPr>
                  </w:pPr>
                </w:p>
              </w:tc>
              <w:tc>
                <w:tcPr>
                  <w:tcW w:w="0" w:type="auto"/>
                  <w:vAlign w:val="center"/>
                </w:tcPr>
                <w:p w14:paraId="44FEFDA2">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含氧量（%）</w:t>
                  </w:r>
                </w:p>
              </w:tc>
              <w:tc>
                <w:tcPr>
                  <w:tcW w:w="0" w:type="auto"/>
                  <w:vAlign w:val="center"/>
                </w:tcPr>
                <w:p w14:paraId="51B1E02A">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19.3</w:t>
                  </w:r>
                </w:p>
              </w:tc>
              <w:tc>
                <w:tcPr>
                  <w:tcW w:w="0" w:type="auto"/>
                  <w:vAlign w:val="center"/>
                </w:tcPr>
                <w:p w14:paraId="3E4F6F9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19.3</w:t>
                  </w:r>
                </w:p>
              </w:tc>
              <w:tc>
                <w:tcPr>
                  <w:tcW w:w="0" w:type="auto"/>
                  <w:vAlign w:val="center"/>
                </w:tcPr>
                <w:p w14:paraId="0EAFEBA7">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19.5</w:t>
                  </w:r>
                </w:p>
              </w:tc>
              <w:tc>
                <w:tcPr>
                  <w:tcW w:w="0" w:type="auto"/>
                  <w:vAlign w:val="center"/>
                </w:tcPr>
                <w:p w14:paraId="25B53480">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19.3</w:t>
                  </w:r>
                </w:p>
              </w:tc>
              <w:tc>
                <w:tcPr>
                  <w:tcW w:w="0" w:type="auto"/>
                  <w:vAlign w:val="center"/>
                </w:tcPr>
                <w:p w14:paraId="26E5C750">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19.4</w:t>
                  </w:r>
                </w:p>
              </w:tc>
            </w:tr>
            <w:tr w14:paraId="2A82E7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402BE6FA">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5E816219">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汞及其化合物</w:t>
                  </w:r>
                </w:p>
              </w:tc>
              <w:tc>
                <w:tcPr>
                  <w:tcW w:w="0" w:type="auto"/>
                  <w:vAlign w:val="center"/>
                </w:tcPr>
                <w:p w14:paraId="0CAF640E">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实测浓度（mg/m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48B33B1B">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3D3B224E">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0C3DEE51">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571E47E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0E9536EB">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r>
            <w:tr w14:paraId="3F0499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57DD2EFC">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64AD1738">
                  <w:pPr>
                    <w:pStyle w:val="21"/>
                    <w:spacing w:line="240" w:lineRule="auto"/>
                    <w:jc w:val="center"/>
                    <w:rPr>
                      <w:rFonts w:ascii="Times New Roman" w:hAnsi="Times New Roman" w:eastAsia="宋体"/>
                      <w:color w:val="FF0000"/>
                      <w:sz w:val="21"/>
                      <w:szCs w:val="21"/>
                    </w:rPr>
                  </w:pPr>
                </w:p>
              </w:tc>
              <w:tc>
                <w:tcPr>
                  <w:tcW w:w="0" w:type="auto"/>
                  <w:vAlign w:val="center"/>
                </w:tcPr>
                <w:p w14:paraId="79A8685D">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7AF14C1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0873895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51D1C80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2F9A9BD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4220247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r>
            <w:tr w14:paraId="3D140B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4D013F23">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77FEFC0F">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砷及其化合物</w:t>
                  </w:r>
                </w:p>
              </w:tc>
              <w:tc>
                <w:tcPr>
                  <w:tcW w:w="0" w:type="auto"/>
                  <w:vAlign w:val="center"/>
                </w:tcPr>
                <w:p w14:paraId="7EABF83E">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实测浓度（mg/m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745DB27B">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48ED53D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5922152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0869563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302217B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r>
            <w:tr w14:paraId="1D2FC2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6001028F">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125EE8FA">
                  <w:pPr>
                    <w:pStyle w:val="21"/>
                    <w:spacing w:line="240" w:lineRule="auto"/>
                    <w:jc w:val="center"/>
                    <w:rPr>
                      <w:rFonts w:ascii="Times New Roman" w:hAnsi="Times New Roman" w:eastAsia="宋体"/>
                      <w:color w:val="FF0000"/>
                      <w:sz w:val="21"/>
                      <w:szCs w:val="21"/>
                    </w:rPr>
                  </w:pPr>
                </w:p>
              </w:tc>
              <w:tc>
                <w:tcPr>
                  <w:tcW w:w="0" w:type="auto"/>
                  <w:vAlign w:val="center"/>
                </w:tcPr>
                <w:p w14:paraId="4C132B1E">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4707C30B">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6C6D23A9">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70E13C7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120FD86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58B13374">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r>
            <w:tr w14:paraId="7DA489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0E3D8672">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1866CA5D">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镉及其化合物</w:t>
                  </w:r>
                </w:p>
              </w:tc>
              <w:tc>
                <w:tcPr>
                  <w:tcW w:w="0" w:type="auto"/>
                  <w:vAlign w:val="center"/>
                </w:tcPr>
                <w:p w14:paraId="1C331557">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实测浓度（mg/m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396D2189">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5B73B7F6">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00A9F19A">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4FEF9D7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5AC9D374">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r>
            <w:tr w14:paraId="013B9F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20A98A9A">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1E040248">
                  <w:pPr>
                    <w:pStyle w:val="21"/>
                    <w:spacing w:line="240" w:lineRule="auto"/>
                    <w:jc w:val="center"/>
                    <w:rPr>
                      <w:rFonts w:ascii="Times New Roman" w:hAnsi="Times New Roman" w:eastAsia="宋体"/>
                      <w:color w:val="FF0000"/>
                      <w:sz w:val="21"/>
                      <w:szCs w:val="21"/>
                    </w:rPr>
                  </w:pPr>
                </w:p>
              </w:tc>
              <w:tc>
                <w:tcPr>
                  <w:tcW w:w="0" w:type="auto"/>
                  <w:vAlign w:val="center"/>
                </w:tcPr>
                <w:p w14:paraId="544762A4">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4EDB445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5BE29F6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254B52E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6ED17FA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7A338D1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r>
            <w:tr w14:paraId="465B6A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587923E5">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457F3B07">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铜及其化合物</w:t>
                  </w:r>
                </w:p>
              </w:tc>
              <w:tc>
                <w:tcPr>
                  <w:tcW w:w="0" w:type="auto"/>
                  <w:vAlign w:val="center"/>
                </w:tcPr>
                <w:p w14:paraId="61A483AE">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实测浓度（mg/m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10A70F19">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4.43×10</w:t>
                  </w:r>
                  <w:r>
                    <w:rPr>
                      <w:rFonts w:ascii="Times New Roman" w:hAnsi="Times New Roman" w:eastAsia="宋体" w:cs="Times New Roman"/>
                      <w:color w:val="FF0000"/>
                      <w:szCs w:val="21"/>
                      <w:vertAlign w:val="superscript"/>
                    </w:rPr>
                    <w:t>-3</w:t>
                  </w:r>
                </w:p>
              </w:tc>
              <w:tc>
                <w:tcPr>
                  <w:tcW w:w="0" w:type="auto"/>
                  <w:vAlign w:val="center"/>
                </w:tcPr>
                <w:p w14:paraId="5C85F0D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4.45×10</w:t>
                  </w:r>
                  <w:r>
                    <w:rPr>
                      <w:rFonts w:ascii="Times New Roman" w:hAnsi="Times New Roman" w:eastAsia="宋体" w:cs="Times New Roman"/>
                      <w:color w:val="FF0000"/>
                      <w:szCs w:val="21"/>
                      <w:vertAlign w:val="superscript"/>
                    </w:rPr>
                    <w:t>-3</w:t>
                  </w:r>
                </w:p>
              </w:tc>
              <w:tc>
                <w:tcPr>
                  <w:tcW w:w="0" w:type="auto"/>
                  <w:vAlign w:val="center"/>
                </w:tcPr>
                <w:p w14:paraId="70E98F4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4.45×10</w:t>
                  </w:r>
                  <w:r>
                    <w:rPr>
                      <w:rFonts w:ascii="Times New Roman" w:hAnsi="Times New Roman" w:eastAsia="宋体" w:cs="Times New Roman"/>
                      <w:color w:val="FF0000"/>
                      <w:szCs w:val="21"/>
                      <w:vertAlign w:val="superscript"/>
                    </w:rPr>
                    <w:t>-3</w:t>
                  </w:r>
                </w:p>
              </w:tc>
              <w:tc>
                <w:tcPr>
                  <w:tcW w:w="0" w:type="auto"/>
                  <w:vAlign w:val="center"/>
                </w:tcPr>
                <w:p w14:paraId="59286D27">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4.21×10</w:t>
                  </w:r>
                  <w:r>
                    <w:rPr>
                      <w:rFonts w:ascii="Times New Roman" w:hAnsi="Times New Roman" w:eastAsia="宋体" w:cs="Times New Roman"/>
                      <w:color w:val="FF0000"/>
                      <w:szCs w:val="21"/>
                      <w:vertAlign w:val="superscript"/>
                    </w:rPr>
                    <w:t>-3</w:t>
                  </w:r>
                </w:p>
              </w:tc>
              <w:tc>
                <w:tcPr>
                  <w:tcW w:w="0" w:type="auto"/>
                  <w:vAlign w:val="center"/>
                </w:tcPr>
                <w:p w14:paraId="0D20140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4.38×10</w:t>
                  </w:r>
                  <w:r>
                    <w:rPr>
                      <w:rFonts w:ascii="Times New Roman" w:hAnsi="Times New Roman" w:eastAsia="宋体" w:cs="Times New Roman"/>
                      <w:color w:val="FF0000"/>
                      <w:szCs w:val="21"/>
                      <w:vertAlign w:val="superscript"/>
                    </w:rPr>
                    <w:t>-3</w:t>
                  </w:r>
                </w:p>
              </w:tc>
            </w:tr>
            <w:tr w14:paraId="17F88B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7609EC56">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04A24D1D">
                  <w:pPr>
                    <w:pStyle w:val="21"/>
                    <w:spacing w:line="240" w:lineRule="auto"/>
                    <w:jc w:val="center"/>
                    <w:rPr>
                      <w:rFonts w:ascii="Times New Roman" w:hAnsi="Times New Roman" w:eastAsia="宋体"/>
                      <w:color w:val="FF0000"/>
                      <w:sz w:val="21"/>
                      <w:szCs w:val="21"/>
                    </w:rPr>
                  </w:pPr>
                </w:p>
              </w:tc>
              <w:tc>
                <w:tcPr>
                  <w:tcW w:w="0" w:type="auto"/>
                  <w:vAlign w:val="center"/>
                </w:tcPr>
                <w:p w14:paraId="5A3F6F72">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3E2A7F0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9.41×10</w:t>
                  </w:r>
                  <w:r>
                    <w:rPr>
                      <w:rFonts w:ascii="Times New Roman" w:hAnsi="Times New Roman" w:eastAsia="宋体" w:cs="Times New Roman"/>
                      <w:color w:val="FF0000"/>
                      <w:szCs w:val="21"/>
                      <w:vertAlign w:val="superscript"/>
                    </w:rPr>
                    <w:t>-3</w:t>
                  </w:r>
                </w:p>
              </w:tc>
              <w:tc>
                <w:tcPr>
                  <w:tcW w:w="0" w:type="auto"/>
                  <w:vAlign w:val="center"/>
                </w:tcPr>
                <w:p w14:paraId="03A67DFE">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9.76×10</w:t>
                  </w:r>
                  <w:r>
                    <w:rPr>
                      <w:rFonts w:ascii="Times New Roman" w:hAnsi="Times New Roman" w:eastAsia="宋体" w:cs="Times New Roman"/>
                      <w:color w:val="FF0000"/>
                      <w:szCs w:val="21"/>
                      <w:vertAlign w:val="superscript"/>
                    </w:rPr>
                    <w:t>-3</w:t>
                  </w:r>
                </w:p>
              </w:tc>
              <w:tc>
                <w:tcPr>
                  <w:tcW w:w="0" w:type="auto"/>
                  <w:vAlign w:val="center"/>
                </w:tcPr>
                <w:p w14:paraId="79D5BDC6">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1.07×10</w:t>
                  </w:r>
                  <w:r>
                    <w:rPr>
                      <w:rFonts w:ascii="Times New Roman" w:hAnsi="Times New Roman" w:eastAsia="宋体" w:cs="Times New Roman"/>
                      <w:color w:val="FF0000"/>
                      <w:szCs w:val="21"/>
                      <w:vertAlign w:val="superscript"/>
                    </w:rPr>
                    <w:t>-2</w:t>
                  </w:r>
                </w:p>
              </w:tc>
              <w:tc>
                <w:tcPr>
                  <w:tcW w:w="0" w:type="auto"/>
                  <w:vAlign w:val="center"/>
                </w:tcPr>
                <w:p w14:paraId="32BF5247">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8.18×10</w:t>
                  </w:r>
                  <w:r>
                    <w:rPr>
                      <w:rFonts w:ascii="Times New Roman" w:hAnsi="Times New Roman" w:eastAsia="宋体" w:cs="Times New Roman"/>
                      <w:color w:val="FF0000"/>
                      <w:szCs w:val="21"/>
                      <w:vertAlign w:val="superscript"/>
                    </w:rPr>
                    <w:t>-3</w:t>
                  </w:r>
                </w:p>
              </w:tc>
              <w:tc>
                <w:tcPr>
                  <w:tcW w:w="0" w:type="auto"/>
                  <w:vAlign w:val="center"/>
                </w:tcPr>
                <w:p w14:paraId="246E1B8E">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9.51×10</w:t>
                  </w:r>
                  <w:r>
                    <w:rPr>
                      <w:rFonts w:ascii="Times New Roman" w:hAnsi="Times New Roman" w:eastAsia="宋体" w:cs="Times New Roman"/>
                      <w:color w:val="FF0000"/>
                      <w:szCs w:val="21"/>
                      <w:vertAlign w:val="superscript"/>
                    </w:rPr>
                    <w:t>-3</w:t>
                  </w:r>
                </w:p>
              </w:tc>
            </w:tr>
            <w:tr w14:paraId="5E3CF2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7B30ACE4">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62E79F14">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锰及其化合物</w:t>
                  </w:r>
                </w:p>
              </w:tc>
              <w:tc>
                <w:tcPr>
                  <w:tcW w:w="0" w:type="auto"/>
                  <w:vAlign w:val="center"/>
                </w:tcPr>
                <w:p w14:paraId="0829682F">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实测浓度（mg/m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4B82431B">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51EE2E56">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473F1C30">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2FA5B0DA">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0A97A44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r>
            <w:tr w14:paraId="14B10B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450C8FA5">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0469DC6D">
                  <w:pPr>
                    <w:pStyle w:val="21"/>
                    <w:spacing w:line="240" w:lineRule="auto"/>
                    <w:jc w:val="center"/>
                    <w:rPr>
                      <w:rFonts w:ascii="Times New Roman" w:hAnsi="Times New Roman" w:eastAsia="宋体"/>
                      <w:color w:val="FF0000"/>
                      <w:sz w:val="21"/>
                      <w:szCs w:val="21"/>
                    </w:rPr>
                  </w:pPr>
                </w:p>
              </w:tc>
              <w:tc>
                <w:tcPr>
                  <w:tcW w:w="0" w:type="auto"/>
                  <w:vAlign w:val="center"/>
                </w:tcPr>
                <w:p w14:paraId="42608CE8">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164D929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5168C47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2C0C1CB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4E47368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c>
                <w:tcPr>
                  <w:tcW w:w="0" w:type="auto"/>
                  <w:vAlign w:val="center"/>
                </w:tcPr>
                <w:p w14:paraId="0CDF922D">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未检出</w:t>
                  </w:r>
                </w:p>
              </w:tc>
            </w:tr>
            <w:tr w14:paraId="28BB00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0DE5AE8A">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20F46C3B">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镍及其化合物</w:t>
                  </w:r>
                </w:p>
              </w:tc>
              <w:tc>
                <w:tcPr>
                  <w:tcW w:w="0" w:type="auto"/>
                  <w:vAlign w:val="center"/>
                </w:tcPr>
                <w:p w14:paraId="397BB521">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实测浓度（mg/m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347B6AB0">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2.23×10</w:t>
                  </w:r>
                  <w:r>
                    <w:rPr>
                      <w:rFonts w:ascii="Times New Roman" w:hAnsi="Times New Roman" w:eastAsia="宋体" w:cs="Times New Roman"/>
                      <w:color w:val="FF0000"/>
                      <w:szCs w:val="21"/>
                      <w:vertAlign w:val="superscript"/>
                    </w:rPr>
                    <w:t>-2</w:t>
                  </w:r>
                </w:p>
              </w:tc>
              <w:tc>
                <w:tcPr>
                  <w:tcW w:w="0" w:type="auto"/>
                  <w:vAlign w:val="center"/>
                </w:tcPr>
                <w:p w14:paraId="3E9E050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2.30×10</w:t>
                  </w:r>
                  <w:r>
                    <w:rPr>
                      <w:rFonts w:ascii="Times New Roman" w:hAnsi="Times New Roman" w:eastAsia="宋体" w:cs="Times New Roman"/>
                      <w:color w:val="FF0000"/>
                      <w:szCs w:val="21"/>
                      <w:vertAlign w:val="superscript"/>
                    </w:rPr>
                    <w:t>-2</w:t>
                  </w:r>
                </w:p>
              </w:tc>
              <w:tc>
                <w:tcPr>
                  <w:tcW w:w="0" w:type="auto"/>
                  <w:vAlign w:val="center"/>
                </w:tcPr>
                <w:p w14:paraId="0C74BB2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2.28×10</w:t>
                  </w:r>
                  <w:r>
                    <w:rPr>
                      <w:rFonts w:ascii="Times New Roman" w:hAnsi="Times New Roman" w:eastAsia="宋体" w:cs="Times New Roman"/>
                      <w:color w:val="FF0000"/>
                      <w:szCs w:val="21"/>
                      <w:vertAlign w:val="superscript"/>
                    </w:rPr>
                    <w:t>-2</w:t>
                  </w:r>
                </w:p>
              </w:tc>
              <w:tc>
                <w:tcPr>
                  <w:tcW w:w="0" w:type="auto"/>
                  <w:vAlign w:val="center"/>
                </w:tcPr>
                <w:p w14:paraId="17903D6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2.32×10</w:t>
                  </w:r>
                  <w:r>
                    <w:rPr>
                      <w:rFonts w:ascii="Times New Roman" w:hAnsi="Times New Roman" w:eastAsia="宋体" w:cs="Times New Roman"/>
                      <w:color w:val="FF0000"/>
                      <w:szCs w:val="21"/>
                      <w:vertAlign w:val="superscript"/>
                    </w:rPr>
                    <w:t>-2</w:t>
                  </w:r>
                </w:p>
              </w:tc>
              <w:tc>
                <w:tcPr>
                  <w:tcW w:w="0" w:type="auto"/>
                  <w:vAlign w:val="center"/>
                </w:tcPr>
                <w:p w14:paraId="595DC65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2.28×10</w:t>
                  </w:r>
                  <w:r>
                    <w:rPr>
                      <w:rFonts w:ascii="Times New Roman" w:hAnsi="Times New Roman" w:eastAsia="宋体" w:cs="Times New Roman"/>
                      <w:color w:val="FF0000"/>
                      <w:szCs w:val="21"/>
                      <w:vertAlign w:val="superscript"/>
                    </w:rPr>
                    <w:t>-2</w:t>
                  </w:r>
                </w:p>
              </w:tc>
            </w:tr>
            <w:tr w14:paraId="7277BE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4C4B0130">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3BC42F72">
                  <w:pPr>
                    <w:pStyle w:val="21"/>
                    <w:spacing w:line="240" w:lineRule="auto"/>
                    <w:jc w:val="center"/>
                    <w:rPr>
                      <w:rFonts w:ascii="Times New Roman" w:hAnsi="Times New Roman" w:eastAsia="宋体"/>
                      <w:color w:val="FF0000"/>
                      <w:sz w:val="21"/>
                      <w:szCs w:val="21"/>
                    </w:rPr>
                  </w:pPr>
                </w:p>
              </w:tc>
              <w:tc>
                <w:tcPr>
                  <w:tcW w:w="0" w:type="auto"/>
                  <w:vAlign w:val="center"/>
                </w:tcPr>
                <w:p w14:paraId="756B0E6B">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7D999DB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0.131</w:t>
                  </w:r>
                </w:p>
              </w:tc>
              <w:tc>
                <w:tcPr>
                  <w:tcW w:w="0" w:type="auto"/>
                  <w:vAlign w:val="center"/>
                </w:tcPr>
                <w:p w14:paraId="245635CB">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0.135</w:t>
                  </w:r>
                </w:p>
              </w:tc>
              <w:tc>
                <w:tcPr>
                  <w:tcW w:w="0" w:type="auto"/>
                  <w:vAlign w:val="center"/>
                </w:tcPr>
                <w:p w14:paraId="72280CD4">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0.152</w:t>
                  </w:r>
                </w:p>
              </w:tc>
              <w:tc>
                <w:tcPr>
                  <w:tcW w:w="0" w:type="auto"/>
                  <w:vAlign w:val="center"/>
                </w:tcPr>
                <w:p w14:paraId="0C93159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0.136</w:t>
                  </w:r>
                </w:p>
              </w:tc>
              <w:tc>
                <w:tcPr>
                  <w:tcW w:w="0" w:type="auto"/>
                  <w:vAlign w:val="center"/>
                </w:tcPr>
                <w:p w14:paraId="3C0D30F0">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kern w:val="0"/>
                      <w:szCs w:val="21"/>
                      <w:lang w:bidi="ar"/>
                    </w:rPr>
                    <w:t>0.138</w:t>
                  </w:r>
                </w:p>
              </w:tc>
            </w:tr>
            <w:tr w14:paraId="1CF62A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529C8353">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39D29222">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铅及其化合物</w:t>
                  </w:r>
                </w:p>
              </w:tc>
              <w:tc>
                <w:tcPr>
                  <w:tcW w:w="0" w:type="auto"/>
                  <w:vAlign w:val="center"/>
                </w:tcPr>
                <w:p w14:paraId="1313CFCE">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实测浓度（mg/m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41201FE7">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1.59×10</w:t>
                  </w:r>
                  <w:r>
                    <w:rPr>
                      <w:rFonts w:ascii="Times New Roman" w:hAnsi="Times New Roman" w:eastAsia="宋体" w:cs="Times New Roman"/>
                      <w:color w:val="FF0000"/>
                      <w:szCs w:val="21"/>
                      <w:vertAlign w:val="superscript"/>
                    </w:rPr>
                    <w:t>-2</w:t>
                  </w:r>
                </w:p>
              </w:tc>
              <w:tc>
                <w:tcPr>
                  <w:tcW w:w="0" w:type="auto"/>
                  <w:vAlign w:val="center"/>
                </w:tcPr>
                <w:p w14:paraId="75DFB4C9">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1.67×10</w:t>
                  </w:r>
                  <w:r>
                    <w:rPr>
                      <w:rFonts w:ascii="Times New Roman" w:hAnsi="Times New Roman" w:eastAsia="宋体" w:cs="Times New Roman"/>
                      <w:color w:val="FF0000"/>
                      <w:szCs w:val="21"/>
                      <w:vertAlign w:val="superscript"/>
                    </w:rPr>
                    <w:t>-2</w:t>
                  </w:r>
                </w:p>
              </w:tc>
              <w:tc>
                <w:tcPr>
                  <w:tcW w:w="0" w:type="auto"/>
                  <w:vAlign w:val="center"/>
                </w:tcPr>
                <w:p w14:paraId="187BCD5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1.57×10</w:t>
                  </w:r>
                  <w:r>
                    <w:rPr>
                      <w:rFonts w:ascii="Times New Roman" w:hAnsi="Times New Roman" w:eastAsia="宋体" w:cs="Times New Roman"/>
                      <w:color w:val="FF0000"/>
                      <w:szCs w:val="21"/>
                      <w:vertAlign w:val="superscript"/>
                    </w:rPr>
                    <w:t>-2</w:t>
                  </w:r>
                </w:p>
              </w:tc>
              <w:tc>
                <w:tcPr>
                  <w:tcW w:w="0" w:type="auto"/>
                  <w:vAlign w:val="center"/>
                </w:tcPr>
                <w:p w14:paraId="27CE76A1">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1.70×10</w:t>
                  </w:r>
                  <w:r>
                    <w:rPr>
                      <w:rFonts w:ascii="Times New Roman" w:hAnsi="Times New Roman" w:eastAsia="宋体" w:cs="Times New Roman"/>
                      <w:color w:val="FF0000"/>
                      <w:szCs w:val="21"/>
                      <w:vertAlign w:val="superscript"/>
                    </w:rPr>
                    <w:t>-2</w:t>
                  </w:r>
                </w:p>
              </w:tc>
              <w:tc>
                <w:tcPr>
                  <w:tcW w:w="0" w:type="auto"/>
                  <w:vAlign w:val="center"/>
                </w:tcPr>
                <w:p w14:paraId="03FC7E9B">
                  <w:pPr>
                    <w:widowControl/>
                    <w:jc w:val="center"/>
                    <w:textAlignment w:val="center"/>
                    <w:rPr>
                      <w:rFonts w:ascii="Times New Roman" w:hAnsi="Times New Roman" w:eastAsia="宋体" w:cs="Times New Roman"/>
                      <w:color w:val="FF0000"/>
                      <w:kern w:val="0"/>
                      <w:szCs w:val="21"/>
                      <w:lang w:bidi="ar"/>
                    </w:rPr>
                  </w:pPr>
                  <w:r>
                    <w:rPr>
                      <w:rFonts w:ascii="Times New Roman" w:hAnsi="Times New Roman" w:eastAsia="宋体" w:cs="Times New Roman"/>
                      <w:color w:val="FF0000"/>
                      <w:szCs w:val="21"/>
                    </w:rPr>
                    <w:t>1.63×10</w:t>
                  </w:r>
                  <w:r>
                    <w:rPr>
                      <w:rFonts w:ascii="Times New Roman" w:hAnsi="Times New Roman" w:eastAsia="宋体" w:cs="Times New Roman"/>
                      <w:color w:val="FF0000"/>
                      <w:szCs w:val="21"/>
                      <w:vertAlign w:val="superscript"/>
                    </w:rPr>
                    <w:t>-2</w:t>
                  </w:r>
                </w:p>
              </w:tc>
            </w:tr>
            <w:tr w14:paraId="178E65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36F66C70">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197CBC78">
                  <w:pPr>
                    <w:pStyle w:val="21"/>
                    <w:spacing w:line="240" w:lineRule="auto"/>
                    <w:jc w:val="center"/>
                    <w:rPr>
                      <w:rFonts w:ascii="Times New Roman" w:hAnsi="Times New Roman" w:eastAsia="宋体"/>
                      <w:color w:val="FF0000"/>
                      <w:sz w:val="21"/>
                      <w:szCs w:val="21"/>
                    </w:rPr>
                  </w:pPr>
                </w:p>
              </w:tc>
              <w:tc>
                <w:tcPr>
                  <w:tcW w:w="0" w:type="auto"/>
                  <w:vAlign w:val="center"/>
                </w:tcPr>
                <w:p w14:paraId="0138FBB4">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0F93948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9.35×10</w:t>
                  </w:r>
                  <w:r>
                    <w:rPr>
                      <w:rFonts w:ascii="Times New Roman" w:hAnsi="Times New Roman" w:eastAsia="宋体" w:cs="Times New Roman"/>
                      <w:color w:val="FF0000"/>
                      <w:szCs w:val="21"/>
                      <w:vertAlign w:val="superscript"/>
                    </w:rPr>
                    <w:t>-2</w:t>
                  </w:r>
                </w:p>
              </w:tc>
              <w:tc>
                <w:tcPr>
                  <w:tcW w:w="0" w:type="auto"/>
                  <w:vAlign w:val="center"/>
                </w:tcPr>
                <w:p w14:paraId="6E644B07">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9.82×10</w:t>
                  </w:r>
                  <w:r>
                    <w:rPr>
                      <w:rFonts w:ascii="Times New Roman" w:hAnsi="Times New Roman" w:eastAsia="宋体" w:cs="Times New Roman"/>
                      <w:color w:val="FF0000"/>
                      <w:szCs w:val="21"/>
                      <w:vertAlign w:val="superscript"/>
                    </w:rPr>
                    <w:t>-2</w:t>
                  </w:r>
                </w:p>
              </w:tc>
              <w:tc>
                <w:tcPr>
                  <w:tcW w:w="0" w:type="auto"/>
                  <w:vAlign w:val="center"/>
                </w:tcPr>
                <w:p w14:paraId="394282A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0.105</w:t>
                  </w:r>
                </w:p>
              </w:tc>
              <w:tc>
                <w:tcPr>
                  <w:tcW w:w="0" w:type="auto"/>
                  <w:vAlign w:val="center"/>
                </w:tcPr>
                <w:p w14:paraId="7F9FF35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0.100</w:t>
                  </w:r>
                </w:p>
              </w:tc>
              <w:tc>
                <w:tcPr>
                  <w:tcW w:w="0" w:type="auto"/>
                  <w:vAlign w:val="center"/>
                </w:tcPr>
                <w:p w14:paraId="7CC38D5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9.92×10</w:t>
                  </w:r>
                  <w:r>
                    <w:rPr>
                      <w:rFonts w:ascii="Times New Roman" w:hAnsi="Times New Roman" w:eastAsia="宋体" w:cs="Times New Roman"/>
                      <w:color w:val="FF0000"/>
                      <w:szCs w:val="21"/>
                      <w:vertAlign w:val="superscript"/>
                    </w:rPr>
                    <w:t>-2</w:t>
                  </w:r>
                </w:p>
              </w:tc>
            </w:tr>
            <w:tr w14:paraId="00F76E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1440C213">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5DFF9954">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铊及其化合物</w:t>
                  </w:r>
                </w:p>
              </w:tc>
              <w:tc>
                <w:tcPr>
                  <w:tcW w:w="0" w:type="auto"/>
                  <w:vAlign w:val="center"/>
                </w:tcPr>
                <w:p w14:paraId="3AB3B94C">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实测浓度（mg/m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7C21973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5.49×10</w:t>
                  </w:r>
                  <w:r>
                    <w:rPr>
                      <w:rFonts w:ascii="Times New Roman" w:hAnsi="Times New Roman" w:eastAsia="宋体" w:cs="Times New Roman"/>
                      <w:color w:val="FF0000"/>
                      <w:szCs w:val="21"/>
                      <w:vertAlign w:val="superscript"/>
                    </w:rPr>
                    <w:t>-3</w:t>
                  </w:r>
                </w:p>
              </w:tc>
              <w:tc>
                <w:tcPr>
                  <w:tcW w:w="0" w:type="auto"/>
                  <w:vAlign w:val="center"/>
                </w:tcPr>
                <w:p w14:paraId="54E09B1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5.35×10</w:t>
                  </w:r>
                  <w:r>
                    <w:rPr>
                      <w:rFonts w:ascii="Times New Roman" w:hAnsi="Times New Roman" w:eastAsia="宋体" w:cs="Times New Roman"/>
                      <w:color w:val="FF0000"/>
                      <w:szCs w:val="21"/>
                      <w:vertAlign w:val="superscript"/>
                    </w:rPr>
                    <w:t>-3</w:t>
                  </w:r>
                </w:p>
              </w:tc>
              <w:tc>
                <w:tcPr>
                  <w:tcW w:w="0" w:type="auto"/>
                  <w:vAlign w:val="center"/>
                </w:tcPr>
                <w:p w14:paraId="1A78A020">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5.39×10</w:t>
                  </w:r>
                  <w:r>
                    <w:rPr>
                      <w:rFonts w:ascii="Times New Roman" w:hAnsi="Times New Roman" w:eastAsia="宋体" w:cs="Times New Roman"/>
                      <w:color w:val="FF0000"/>
                      <w:szCs w:val="21"/>
                      <w:vertAlign w:val="superscript"/>
                    </w:rPr>
                    <w:t>-3</w:t>
                  </w:r>
                </w:p>
              </w:tc>
              <w:tc>
                <w:tcPr>
                  <w:tcW w:w="0" w:type="auto"/>
                  <w:vAlign w:val="center"/>
                </w:tcPr>
                <w:p w14:paraId="0E07C6C4">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5.44×10</w:t>
                  </w:r>
                  <w:r>
                    <w:rPr>
                      <w:rFonts w:ascii="Times New Roman" w:hAnsi="Times New Roman" w:eastAsia="宋体" w:cs="Times New Roman"/>
                      <w:color w:val="FF0000"/>
                      <w:szCs w:val="21"/>
                      <w:vertAlign w:val="superscript"/>
                    </w:rPr>
                    <w:t>-3</w:t>
                  </w:r>
                </w:p>
              </w:tc>
              <w:tc>
                <w:tcPr>
                  <w:tcW w:w="0" w:type="auto"/>
                  <w:vAlign w:val="center"/>
                </w:tcPr>
                <w:p w14:paraId="172568C6">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5.42×10</w:t>
                  </w:r>
                  <w:r>
                    <w:rPr>
                      <w:rFonts w:ascii="Times New Roman" w:hAnsi="Times New Roman" w:eastAsia="宋体" w:cs="Times New Roman"/>
                      <w:color w:val="FF0000"/>
                      <w:szCs w:val="21"/>
                      <w:vertAlign w:val="superscript"/>
                    </w:rPr>
                    <w:t>-3</w:t>
                  </w:r>
                </w:p>
              </w:tc>
            </w:tr>
            <w:tr w14:paraId="6EDDFB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0043E516">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44C7B1D5">
                  <w:pPr>
                    <w:pStyle w:val="21"/>
                    <w:spacing w:line="240" w:lineRule="auto"/>
                    <w:jc w:val="center"/>
                    <w:rPr>
                      <w:rFonts w:ascii="Times New Roman" w:hAnsi="Times New Roman" w:eastAsia="宋体"/>
                      <w:color w:val="FF0000"/>
                      <w:sz w:val="21"/>
                      <w:szCs w:val="21"/>
                    </w:rPr>
                  </w:pPr>
                </w:p>
              </w:tc>
              <w:tc>
                <w:tcPr>
                  <w:tcW w:w="0" w:type="auto"/>
                  <w:vAlign w:val="center"/>
                </w:tcPr>
                <w:p w14:paraId="3227115F">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0029FF8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3.23×10</w:t>
                  </w:r>
                  <w:r>
                    <w:rPr>
                      <w:rFonts w:ascii="Times New Roman" w:hAnsi="Times New Roman" w:eastAsia="宋体" w:cs="Times New Roman"/>
                      <w:color w:val="FF0000"/>
                      <w:szCs w:val="21"/>
                      <w:vertAlign w:val="superscript"/>
                    </w:rPr>
                    <w:t>-2</w:t>
                  </w:r>
                </w:p>
              </w:tc>
              <w:tc>
                <w:tcPr>
                  <w:tcW w:w="0" w:type="auto"/>
                  <w:vAlign w:val="center"/>
                </w:tcPr>
                <w:p w14:paraId="36D8A8B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3.15×10</w:t>
                  </w:r>
                  <w:r>
                    <w:rPr>
                      <w:rFonts w:ascii="Times New Roman" w:hAnsi="Times New Roman" w:eastAsia="宋体" w:cs="Times New Roman"/>
                      <w:color w:val="FF0000"/>
                      <w:szCs w:val="21"/>
                      <w:vertAlign w:val="superscript"/>
                    </w:rPr>
                    <w:t>-2</w:t>
                  </w:r>
                </w:p>
              </w:tc>
              <w:tc>
                <w:tcPr>
                  <w:tcW w:w="0" w:type="auto"/>
                  <w:vAlign w:val="center"/>
                </w:tcPr>
                <w:p w14:paraId="4D13693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3.59×10</w:t>
                  </w:r>
                  <w:r>
                    <w:rPr>
                      <w:rFonts w:ascii="Times New Roman" w:hAnsi="Times New Roman" w:eastAsia="宋体" w:cs="Times New Roman"/>
                      <w:color w:val="FF0000"/>
                      <w:szCs w:val="21"/>
                      <w:vertAlign w:val="superscript"/>
                    </w:rPr>
                    <w:t>-2</w:t>
                  </w:r>
                </w:p>
              </w:tc>
              <w:tc>
                <w:tcPr>
                  <w:tcW w:w="0" w:type="auto"/>
                  <w:vAlign w:val="center"/>
                </w:tcPr>
                <w:p w14:paraId="17539666">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3.20×10</w:t>
                  </w:r>
                  <w:r>
                    <w:rPr>
                      <w:rFonts w:ascii="Times New Roman" w:hAnsi="Times New Roman" w:eastAsia="宋体" w:cs="Times New Roman"/>
                      <w:color w:val="FF0000"/>
                      <w:szCs w:val="21"/>
                      <w:vertAlign w:val="superscript"/>
                    </w:rPr>
                    <w:t>-2</w:t>
                  </w:r>
                </w:p>
              </w:tc>
              <w:tc>
                <w:tcPr>
                  <w:tcW w:w="0" w:type="auto"/>
                  <w:vAlign w:val="center"/>
                </w:tcPr>
                <w:p w14:paraId="15970E8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3.29×10</w:t>
                  </w:r>
                  <w:r>
                    <w:rPr>
                      <w:rFonts w:ascii="Times New Roman" w:hAnsi="Times New Roman" w:eastAsia="宋体" w:cs="Times New Roman"/>
                      <w:color w:val="FF0000"/>
                      <w:szCs w:val="21"/>
                      <w:vertAlign w:val="superscript"/>
                    </w:rPr>
                    <w:t>-2</w:t>
                  </w:r>
                </w:p>
              </w:tc>
            </w:tr>
            <w:tr w14:paraId="2AF1C9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6066386B">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0B103BE5">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铬及其化合物</w:t>
                  </w:r>
                </w:p>
              </w:tc>
              <w:tc>
                <w:tcPr>
                  <w:tcW w:w="0" w:type="auto"/>
                  <w:vAlign w:val="center"/>
                </w:tcPr>
                <w:p w14:paraId="3EB45319">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实测浓度（mg/m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379064C1">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1.28×10</w:t>
                  </w:r>
                  <w:r>
                    <w:rPr>
                      <w:rFonts w:ascii="Times New Roman" w:hAnsi="Times New Roman" w:eastAsia="宋体" w:cs="Times New Roman"/>
                      <w:color w:val="FF0000"/>
                      <w:szCs w:val="21"/>
                      <w:vertAlign w:val="superscript"/>
                    </w:rPr>
                    <w:t>-3</w:t>
                  </w:r>
                </w:p>
              </w:tc>
              <w:tc>
                <w:tcPr>
                  <w:tcW w:w="0" w:type="auto"/>
                  <w:vAlign w:val="center"/>
                </w:tcPr>
                <w:p w14:paraId="4D0CE473">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1.23×10</w:t>
                  </w:r>
                  <w:r>
                    <w:rPr>
                      <w:rFonts w:ascii="Times New Roman" w:hAnsi="Times New Roman" w:eastAsia="宋体" w:cs="Times New Roman"/>
                      <w:color w:val="FF0000"/>
                      <w:szCs w:val="21"/>
                      <w:vertAlign w:val="superscript"/>
                    </w:rPr>
                    <w:t>-3</w:t>
                  </w:r>
                </w:p>
              </w:tc>
              <w:tc>
                <w:tcPr>
                  <w:tcW w:w="0" w:type="auto"/>
                  <w:vAlign w:val="center"/>
                </w:tcPr>
                <w:p w14:paraId="06D6874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1.23×10</w:t>
                  </w:r>
                  <w:r>
                    <w:rPr>
                      <w:rFonts w:ascii="Times New Roman" w:hAnsi="Times New Roman" w:eastAsia="宋体" w:cs="Times New Roman"/>
                      <w:color w:val="FF0000"/>
                      <w:szCs w:val="21"/>
                      <w:vertAlign w:val="superscript"/>
                    </w:rPr>
                    <w:t>-3</w:t>
                  </w:r>
                </w:p>
              </w:tc>
              <w:tc>
                <w:tcPr>
                  <w:tcW w:w="0" w:type="auto"/>
                  <w:vAlign w:val="center"/>
                </w:tcPr>
                <w:p w14:paraId="05BF12A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1.31×10</w:t>
                  </w:r>
                  <w:r>
                    <w:rPr>
                      <w:rFonts w:ascii="Times New Roman" w:hAnsi="Times New Roman" w:eastAsia="宋体" w:cs="Times New Roman"/>
                      <w:color w:val="FF0000"/>
                      <w:szCs w:val="21"/>
                      <w:vertAlign w:val="superscript"/>
                    </w:rPr>
                    <w:t>-3</w:t>
                  </w:r>
                </w:p>
              </w:tc>
              <w:tc>
                <w:tcPr>
                  <w:tcW w:w="0" w:type="auto"/>
                  <w:vAlign w:val="center"/>
                </w:tcPr>
                <w:p w14:paraId="75081E5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1.26×10</w:t>
                  </w:r>
                  <w:r>
                    <w:rPr>
                      <w:rFonts w:ascii="Times New Roman" w:hAnsi="Times New Roman" w:eastAsia="宋体" w:cs="Times New Roman"/>
                      <w:color w:val="FF0000"/>
                      <w:szCs w:val="21"/>
                      <w:vertAlign w:val="superscript"/>
                    </w:rPr>
                    <w:t>-3</w:t>
                  </w:r>
                </w:p>
              </w:tc>
            </w:tr>
            <w:tr w14:paraId="790E93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7C9214C1">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19996C57">
                  <w:pPr>
                    <w:pStyle w:val="21"/>
                    <w:spacing w:line="240" w:lineRule="auto"/>
                    <w:jc w:val="center"/>
                    <w:rPr>
                      <w:rFonts w:ascii="Times New Roman" w:hAnsi="Times New Roman" w:eastAsia="宋体"/>
                      <w:color w:val="FF0000"/>
                      <w:sz w:val="21"/>
                      <w:szCs w:val="21"/>
                    </w:rPr>
                  </w:pPr>
                </w:p>
              </w:tc>
              <w:tc>
                <w:tcPr>
                  <w:tcW w:w="0" w:type="auto"/>
                  <w:vAlign w:val="center"/>
                </w:tcPr>
                <w:p w14:paraId="3FC2DFA5">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35CE87D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7.53×10</w:t>
                  </w:r>
                  <w:r>
                    <w:rPr>
                      <w:rFonts w:ascii="Times New Roman" w:hAnsi="Times New Roman" w:eastAsia="宋体" w:cs="Times New Roman"/>
                      <w:color w:val="FF0000"/>
                      <w:szCs w:val="21"/>
                      <w:vertAlign w:val="superscript"/>
                    </w:rPr>
                    <w:t>-3</w:t>
                  </w:r>
                </w:p>
              </w:tc>
              <w:tc>
                <w:tcPr>
                  <w:tcW w:w="0" w:type="auto"/>
                  <w:vAlign w:val="center"/>
                </w:tcPr>
                <w:p w14:paraId="7F6E4C14">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7.24×10</w:t>
                  </w:r>
                  <w:r>
                    <w:rPr>
                      <w:rFonts w:ascii="Times New Roman" w:hAnsi="Times New Roman" w:eastAsia="宋体" w:cs="Times New Roman"/>
                      <w:color w:val="FF0000"/>
                      <w:szCs w:val="21"/>
                      <w:vertAlign w:val="superscript"/>
                    </w:rPr>
                    <w:t>-3</w:t>
                  </w:r>
                </w:p>
              </w:tc>
              <w:tc>
                <w:tcPr>
                  <w:tcW w:w="0" w:type="auto"/>
                  <w:vAlign w:val="center"/>
                </w:tcPr>
                <w:p w14:paraId="45BD663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8.20×10</w:t>
                  </w:r>
                  <w:r>
                    <w:rPr>
                      <w:rFonts w:ascii="Times New Roman" w:hAnsi="Times New Roman" w:eastAsia="宋体" w:cs="Times New Roman"/>
                      <w:color w:val="FF0000"/>
                      <w:szCs w:val="21"/>
                      <w:vertAlign w:val="superscript"/>
                    </w:rPr>
                    <w:t>-3</w:t>
                  </w:r>
                </w:p>
              </w:tc>
              <w:tc>
                <w:tcPr>
                  <w:tcW w:w="0" w:type="auto"/>
                  <w:vAlign w:val="center"/>
                </w:tcPr>
                <w:p w14:paraId="7B81195D">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7.71×10</w:t>
                  </w:r>
                  <w:r>
                    <w:rPr>
                      <w:rFonts w:ascii="Times New Roman" w:hAnsi="Times New Roman" w:eastAsia="宋体" w:cs="Times New Roman"/>
                      <w:color w:val="FF0000"/>
                      <w:szCs w:val="21"/>
                      <w:vertAlign w:val="superscript"/>
                    </w:rPr>
                    <w:t>-3</w:t>
                  </w:r>
                </w:p>
              </w:tc>
              <w:tc>
                <w:tcPr>
                  <w:tcW w:w="0" w:type="auto"/>
                  <w:vAlign w:val="center"/>
                </w:tcPr>
                <w:p w14:paraId="4AED45EE">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7.67×10</w:t>
                  </w:r>
                  <w:r>
                    <w:rPr>
                      <w:rFonts w:ascii="Times New Roman" w:hAnsi="Times New Roman" w:eastAsia="宋体" w:cs="Times New Roman"/>
                      <w:color w:val="FF0000"/>
                      <w:szCs w:val="21"/>
                      <w:vertAlign w:val="superscript"/>
                    </w:rPr>
                    <w:t>-3</w:t>
                  </w:r>
                </w:p>
              </w:tc>
            </w:tr>
            <w:tr w14:paraId="315874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66C7104E">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0C68E8C1">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钴及其化合物</w:t>
                  </w:r>
                </w:p>
              </w:tc>
              <w:tc>
                <w:tcPr>
                  <w:tcW w:w="0" w:type="auto"/>
                  <w:vAlign w:val="center"/>
                </w:tcPr>
                <w:p w14:paraId="369A84E1">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实测浓度（mg/m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2BE5DF1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1.34×10</w:t>
                  </w:r>
                  <w:r>
                    <w:rPr>
                      <w:rFonts w:ascii="Times New Roman" w:hAnsi="Times New Roman" w:eastAsia="宋体" w:cs="Times New Roman"/>
                      <w:color w:val="FF0000"/>
                      <w:szCs w:val="21"/>
                      <w:vertAlign w:val="superscript"/>
                    </w:rPr>
                    <w:t>-5</w:t>
                  </w:r>
                </w:p>
              </w:tc>
              <w:tc>
                <w:tcPr>
                  <w:tcW w:w="0" w:type="auto"/>
                  <w:vAlign w:val="center"/>
                </w:tcPr>
                <w:p w14:paraId="6CC30A71">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1.17×10</w:t>
                  </w:r>
                  <w:r>
                    <w:rPr>
                      <w:rFonts w:ascii="Times New Roman" w:hAnsi="Times New Roman" w:eastAsia="宋体" w:cs="Times New Roman"/>
                      <w:color w:val="FF0000"/>
                      <w:szCs w:val="21"/>
                      <w:vertAlign w:val="superscript"/>
                    </w:rPr>
                    <w:t>-5</w:t>
                  </w:r>
                </w:p>
              </w:tc>
              <w:tc>
                <w:tcPr>
                  <w:tcW w:w="0" w:type="auto"/>
                  <w:vAlign w:val="center"/>
                </w:tcPr>
                <w:p w14:paraId="72A388C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1.30×10</w:t>
                  </w:r>
                  <w:r>
                    <w:rPr>
                      <w:rFonts w:ascii="Times New Roman" w:hAnsi="Times New Roman" w:eastAsia="宋体" w:cs="Times New Roman"/>
                      <w:color w:val="FF0000"/>
                      <w:szCs w:val="21"/>
                      <w:vertAlign w:val="superscript"/>
                    </w:rPr>
                    <w:t>-5</w:t>
                  </w:r>
                </w:p>
              </w:tc>
              <w:tc>
                <w:tcPr>
                  <w:tcW w:w="0" w:type="auto"/>
                  <w:vAlign w:val="center"/>
                </w:tcPr>
                <w:p w14:paraId="0F7FF850">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1.34×10</w:t>
                  </w:r>
                  <w:r>
                    <w:rPr>
                      <w:rFonts w:ascii="Times New Roman" w:hAnsi="Times New Roman" w:eastAsia="宋体" w:cs="Times New Roman"/>
                      <w:color w:val="FF0000"/>
                      <w:szCs w:val="21"/>
                      <w:vertAlign w:val="superscript"/>
                    </w:rPr>
                    <w:t>-5</w:t>
                  </w:r>
                </w:p>
              </w:tc>
              <w:tc>
                <w:tcPr>
                  <w:tcW w:w="0" w:type="auto"/>
                  <w:vAlign w:val="center"/>
                </w:tcPr>
                <w:p w14:paraId="52D1AC8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1.29×10</w:t>
                  </w:r>
                  <w:r>
                    <w:rPr>
                      <w:rFonts w:ascii="Times New Roman" w:hAnsi="Times New Roman" w:eastAsia="宋体" w:cs="Times New Roman"/>
                      <w:color w:val="FF0000"/>
                      <w:szCs w:val="21"/>
                      <w:vertAlign w:val="superscript"/>
                    </w:rPr>
                    <w:t>-5</w:t>
                  </w:r>
                </w:p>
              </w:tc>
            </w:tr>
            <w:tr w14:paraId="4DC880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03CA8B8D">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3A506847">
                  <w:pPr>
                    <w:pStyle w:val="21"/>
                    <w:spacing w:line="240" w:lineRule="auto"/>
                    <w:jc w:val="center"/>
                    <w:rPr>
                      <w:rFonts w:ascii="Times New Roman" w:hAnsi="Times New Roman" w:eastAsia="宋体"/>
                      <w:color w:val="FF0000"/>
                      <w:sz w:val="21"/>
                      <w:szCs w:val="21"/>
                    </w:rPr>
                  </w:pPr>
                </w:p>
              </w:tc>
              <w:tc>
                <w:tcPr>
                  <w:tcW w:w="0" w:type="auto"/>
                  <w:vAlign w:val="center"/>
                </w:tcPr>
                <w:p w14:paraId="5E14CBB7">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5A7069D7">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7.88×10</w:t>
                  </w:r>
                  <w:r>
                    <w:rPr>
                      <w:rFonts w:ascii="Times New Roman" w:hAnsi="Times New Roman" w:eastAsia="宋体" w:cs="Times New Roman"/>
                      <w:color w:val="FF0000"/>
                      <w:szCs w:val="21"/>
                      <w:vertAlign w:val="superscript"/>
                    </w:rPr>
                    <w:t>-5</w:t>
                  </w:r>
                </w:p>
              </w:tc>
              <w:tc>
                <w:tcPr>
                  <w:tcW w:w="0" w:type="auto"/>
                  <w:vAlign w:val="center"/>
                </w:tcPr>
                <w:p w14:paraId="6F6A7764">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6.88×10</w:t>
                  </w:r>
                  <w:r>
                    <w:rPr>
                      <w:rFonts w:ascii="Times New Roman" w:hAnsi="Times New Roman" w:eastAsia="宋体" w:cs="Times New Roman"/>
                      <w:color w:val="FF0000"/>
                      <w:szCs w:val="21"/>
                      <w:vertAlign w:val="superscript"/>
                    </w:rPr>
                    <w:t>-5</w:t>
                  </w:r>
                </w:p>
              </w:tc>
              <w:tc>
                <w:tcPr>
                  <w:tcW w:w="0" w:type="auto"/>
                  <w:vAlign w:val="center"/>
                </w:tcPr>
                <w:p w14:paraId="5DAE04B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8.67×10</w:t>
                  </w:r>
                  <w:r>
                    <w:rPr>
                      <w:rFonts w:ascii="Times New Roman" w:hAnsi="Times New Roman" w:eastAsia="宋体" w:cs="Times New Roman"/>
                      <w:color w:val="FF0000"/>
                      <w:szCs w:val="21"/>
                      <w:vertAlign w:val="superscript"/>
                    </w:rPr>
                    <w:t>-5</w:t>
                  </w:r>
                </w:p>
              </w:tc>
              <w:tc>
                <w:tcPr>
                  <w:tcW w:w="0" w:type="auto"/>
                  <w:vAlign w:val="center"/>
                </w:tcPr>
                <w:p w14:paraId="7861122D">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7.88×10</w:t>
                  </w:r>
                  <w:r>
                    <w:rPr>
                      <w:rFonts w:ascii="Times New Roman" w:hAnsi="Times New Roman" w:eastAsia="宋体" w:cs="Times New Roman"/>
                      <w:color w:val="FF0000"/>
                      <w:szCs w:val="21"/>
                      <w:vertAlign w:val="superscript"/>
                    </w:rPr>
                    <w:t>-5</w:t>
                  </w:r>
                </w:p>
              </w:tc>
              <w:tc>
                <w:tcPr>
                  <w:tcW w:w="0" w:type="auto"/>
                  <w:vAlign w:val="center"/>
                </w:tcPr>
                <w:p w14:paraId="18DE7657">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7.83×10</w:t>
                  </w:r>
                  <w:r>
                    <w:rPr>
                      <w:rFonts w:ascii="Times New Roman" w:hAnsi="Times New Roman" w:eastAsia="宋体" w:cs="Times New Roman"/>
                      <w:color w:val="FF0000"/>
                      <w:szCs w:val="21"/>
                      <w:vertAlign w:val="superscript"/>
                    </w:rPr>
                    <w:t>-5</w:t>
                  </w:r>
                </w:p>
              </w:tc>
            </w:tr>
            <w:tr w14:paraId="300CD2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487FE080">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5108D455">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锡及其化合物</w:t>
                  </w:r>
                </w:p>
              </w:tc>
              <w:tc>
                <w:tcPr>
                  <w:tcW w:w="0" w:type="auto"/>
                  <w:vAlign w:val="center"/>
                </w:tcPr>
                <w:p w14:paraId="77EE271B">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实测浓度（mg/m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43DBF461">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3.07×10</w:t>
                  </w:r>
                  <w:r>
                    <w:rPr>
                      <w:rFonts w:ascii="Times New Roman" w:hAnsi="Times New Roman" w:eastAsia="宋体" w:cs="Times New Roman"/>
                      <w:color w:val="FF0000"/>
                      <w:szCs w:val="21"/>
                      <w:vertAlign w:val="superscript"/>
                    </w:rPr>
                    <w:t>-4</w:t>
                  </w:r>
                </w:p>
              </w:tc>
              <w:tc>
                <w:tcPr>
                  <w:tcW w:w="0" w:type="auto"/>
                  <w:vAlign w:val="center"/>
                </w:tcPr>
                <w:p w14:paraId="7C49E37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3.12×10</w:t>
                  </w:r>
                  <w:r>
                    <w:rPr>
                      <w:rFonts w:ascii="Times New Roman" w:hAnsi="Times New Roman" w:eastAsia="宋体" w:cs="Times New Roman"/>
                      <w:color w:val="FF0000"/>
                      <w:szCs w:val="21"/>
                      <w:vertAlign w:val="superscript"/>
                    </w:rPr>
                    <w:t>-4</w:t>
                  </w:r>
                </w:p>
              </w:tc>
              <w:tc>
                <w:tcPr>
                  <w:tcW w:w="0" w:type="auto"/>
                  <w:vAlign w:val="center"/>
                </w:tcPr>
                <w:p w14:paraId="7EECCB2A">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3.21×10</w:t>
                  </w:r>
                  <w:r>
                    <w:rPr>
                      <w:rFonts w:ascii="Times New Roman" w:hAnsi="Times New Roman" w:eastAsia="宋体" w:cs="Times New Roman"/>
                      <w:color w:val="FF0000"/>
                      <w:szCs w:val="21"/>
                      <w:vertAlign w:val="superscript"/>
                    </w:rPr>
                    <w:t>-4</w:t>
                  </w:r>
                </w:p>
              </w:tc>
              <w:tc>
                <w:tcPr>
                  <w:tcW w:w="0" w:type="auto"/>
                  <w:vAlign w:val="center"/>
                </w:tcPr>
                <w:p w14:paraId="3B6D809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3.14×10</w:t>
                  </w:r>
                  <w:r>
                    <w:rPr>
                      <w:rFonts w:ascii="Times New Roman" w:hAnsi="Times New Roman" w:eastAsia="宋体" w:cs="Times New Roman"/>
                      <w:color w:val="FF0000"/>
                      <w:szCs w:val="21"/>
                      <w:vertAlign w:val="superscript"/>
                    </w:rPr>
                    <w:t>-4</w:t>
                  </w:r>
                </w:p>
              </w:tc>
              <w:tc>
                <w:tcPr>
                  <w:tcW w:w="0" w:type="auto"/>
                  <w:vAlign w:val="center"/>
                </w:tcPr>
                <w:p w14:paraId="006ADA8B">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3.14×10</w:t>
                  </w:r>
                  <w:r>
                    <w:rPr>
                      <w:rFonts w:ascii="Times New Roman" w:hAnsi="Times New Roman" w:eastAsia="宋体" w:cs="Times New Roman"/>
                      <w:color w:val="FF0000"/>
                      <w:szCs w:val="21"/>
                      <w:vertAlign w:val="superscript"/>
                    </w:rPr>
                    <w:t>-4</w:t>
                  </w:r>
                </w:p>
              </w:tc>
            </w:tr>
            <w:tr w14:paraId="786EE0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7A109A2E">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12476C05">
                  <w:pPr>
                    <w:pStyle w:val="21"/>
                    <w:spacing w:line="240" w:lineRule="auto"/>
                    <w:jc w:val="center"/>
                    <w:rPr>
                      <w:rFonts w:ascii="Times New Roman" w:hAnsi="Times New Roman" w:eastAsia="宋体"/>
                      <w:color w:val="FF0000"/>
                      <w:sz w:val="21"/>
                      <w:szCs w:val="21"/>
                    </w:rPr>
                  </w:pPr>
                </w:p>
              </w:tc>
              <w:tc>
                <w:tcPr>
                  <w:tcW w:w="0" w:type="auto"/>
                  <w:vAlign w:val="center"/>
                </w:tcPr>
                <w:p w14:paraId="4214B0BC">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0ABA229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1.81×10</w:t>
                  </w:r>
                  <w:r>
                    <w:rPr>
                      <w:rFonts w:ascii="Times New Roman" w:hAnsi="Times New Roman" w:eastAsia="宋体" w:cs="Times New Roman"/>
                      <w:color w:val="FF0000"/>
                      <w:szCs w:val="21"/>
                      <w:vertAlign w:val="superscript"/>
                    </w:rPr>
                    <w:t>-3</w:t>
                  </w:r>
                </w:p>
              </w:tc>
              <w:tc>
                <w:tcPr>
                  <w:tcW w:w="0" w:type="auto"/>
                  <w:vAlign w:val="center"/>
                </w:tcPr>
                <w:p w14:paraId="7E5BCC08">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1.84×10</w:t>
                  </w:r>
                  <w:r>
                    <w:rPr>
                      <w:rFonts w:ascii="Times New Roman" w:hAnsi="Times New Roman" w:eastAsia="宋体" w:cs="Times New Roman"/>
                      <w:color w:val="FF0000"/>
                      <w:szCs w:val="21"/>
                      <w:vertAlign w:val="superscript"/>
                    </w:rPr>
                    <w:t>-3</w:t>
                  </w:r>
                </w:p>
              </w:tc>
              <w:tc>
                <w:tcPr>
                  <w:tcW w:w="0" w:type="auto"/>
                  <w:vAlign w:val="center"/>
                </w:tcPr>
                <w:p w14:paraId="4523573A">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2.14×10</w:t>
                  </w:r>
                  <w:r>
                    <w:rPr>
                      <w:rFonts w:ascii="Times New Roman" w:hAnsi="Times New Roman" w:eastAsia="宋体" w:cs="Times New Roman"/>
                      <w:color w:val="FF0000"/>
                      <w:szCs w:val="21"/>
                      <w:vertAlign w:val="superscript"/>
                    </w:rPr>
                    <w:t>-3</w:t>
                  </w:r>
                </w:p>
              </w:tc>
              <w:tc>
                <w:tcPr>
                  <w:tcW w:w="0" w:type="auto"/>
                  <w:vAlign w:val="center"/>
                </w:tcPr>
                <w:p w14:paraId="000AD82A">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1.85×10</w:t>
                  </w:r>
                  <w:r>
                    <w:rPr>
                      <w:rFonts w:ascii="Times New Roman" w:hAnsi="Times New Roman" w:eastAsia="宋体" w:cs="Times New Roman"/>
                      <w:color w:val="FF0000"/>
                      <w:szCs w:val="21"/>
                      <w:vertAlign w:val="superscript"/>
                    </w:rPr>
                    <w:t>-3</w:t>
                  </w:r>
                </w:p>
              </w:tc>
              <w:tc>
                <w:tcPr>
                  <w:tcW w:w="0" w:type="auto"/>
                  <w:vAlign w:val="center"/>
                </w:tcPr>
                <w:p w14:paraId="5B54B5C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1.91×10</w:t>
                  </w:r>
                  <w:r>
                    <w:rPr>
                      <w:rFonts w:ascii="Times New Roman" w:hAnsi="Times New Roman" w:eastAsia="宋体" w:cs="Times New Roman"/>
                      <w:color w:val="FF0000"/>
                      <w:szCs w:val="21"/>
                      <w:vertAlign w:val="superscript"/>
                    </w:rPr>
                    <w:t>-3</w:t>
                  </w:r>
                </w:p>
              </w:tc>
            </w:tr>
            <w:tr w14:paraId="0ADBE7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5E3670C3">
                  <w:pPr>
                    <w:overflowPunct w:val="0"/>
                    <w:adjustRightInd w:val="0"/>
                    <w:snapToGrid w:val="0"/>
                    <w:jc w:val="center"/>
                    <w:rPr>
                      <w:rFonts w:ascii="Times New Roman" w:hAnsi="Times New Roman" w:eastAsia="宋体" w:cs="Times New Roman"/>
                      <w:color w:val="FF0000"/>
                      <w:szCs w:val="21"/>
                    </w:rPr>
                  </w:pPr>
                </w:p>
              </w:tc>
              <w:tc>
                <w:tcPr>
                  <w:tcW w:w="0" w:type="auto"/>
                  <w:vMerge w:val="restart"/>
                  <w:vAlign w:val="center"/>
                </w:tcPr>
                <w:p w14:paraId="460DD933">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锑及其化合物</w:t>
                  </w:r>
                </w:p>
              </w:tc>
              <w:tc>
                <w:tcPr>
                  <w:tcW w:w="0" w:type="auto"/>
                  <w:vAlign w:val="center"/>
                </w:tcPr>
                <w:p w14:paraId="77022F3F">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实测浓度（mg/m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50247746">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1.15×10</w:t>
                  </w:r>
                  <w:r>
                    <w:rPr>
                      <w:rFonts w:ascii="Times New Roman" w:hAnsi="Times New Roman" w:eastAsia="宋体" w:cs="Times New Roman"/>
                      <w:color w:val="FF0000"/>
                      <w:szCs w:val="21"/>
                      <w:vertAlign w:val="superscript"/>
                    </w:rPr>
                    <w:t>-4</w:t>
                  </w:r>
                </w:p>
              </w:tc>
              <w:tc>
                <w:tcPr>
                  <w:tcW w:w="0" w:type="auto"/>
                  <w:vAlign w:val="center"/>
                </w:tcPr>
                <w:p w14:paraId="14DFE88D">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1.13×10</w:t>
                  </w:r>
                  <w:r>
                    <w:rPr>
                      <w:rFonts w:ascii="Times New Roman" w:hAnsi="Times New Roman" w:eastAsia="宋体" w:cs="Times New Roman"/>
                      <w:color w:val="FF0000"/>
                      <w:szCs w:val="21"/>
                      <w:vertAlign w:val="superscript"/>
                    </w:rPr>
                    <w:t>-4</w:t>
                  </w:r>
                </w:p>
              </w:tc>
              <w:tc>
                <w:tcPr>
                  <w:tcW w:w="0" w:type="auto"/>
                  <w:vAlign w:val="center"/>
                </w:tcPr>
                <w:p w14:paraId="2D91F4E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1.12×10</w:t>
                  </w:r>
                  <w:r>
                    <w:rPr>
                      <w:rFonts w:ascii="Times New Roman" w:hAnsi="Times New Roman" w:eastAsia="宋体" w:cs="Times New Roman"/>
                      <w:color w:val="FF0000"/>
                      <w:szCs w:val="21"/>
                      <w:vertAlign w:val="superscript"/>
                    </w:rPr>
                    <w:t>-4</w:t>
                  </w:r>
                </w:p>
              </w:tc>
              <w:tc>
                <w:tcPr>
                  <w:tcW w:w="0" w:type="auto"/>
                  <w:vAlign w:val="center"/>
                </w:tcPr>
                <w:p w14:paraId="6011D529">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1.15×10</w:t>
                  </w:r>
                  <w:r>
                    <w:rPr>
                      <w:rFonts w:ascii="Times New Roman" w:hAnsi="Times New Roman" w:eastAsia="宋体" w:cs="Times New Roman"/>
                      <w:color w:val="FF0000"/>
                      <w:szCs w:val="21"/>
                      <w:vertAlign w:val="superscript"/>
                    </w:rPr>
                    <w:t>-4</w:t>
                  </w:r>
                </w:p>
              </w:tc>
              <w:tc>
                <w:tcPr>
                  <w:tcW w:w="0" w:type="auto"/>
                  <w:vAlign w:val="center"/>
                </w:tcPr>
                <w:p w14:paraId="18662050">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1.14×10</w:t>
                  </w:r>
                  <w:r>
                    <w:rPr>
                      <w:rFonts w:ascii="Times New Roman" w:hAnsi="Times New Roman" w:eastAsia="宋体" w:cs="Times New Roman"/>
                      <w:color w:val="FF0000"/>
                      <w:szCs w:val="21"/>
                      <w:vertAlign w:val="superscript"/>
                    </w:rPr>
                    <w:t>-4</w:t>
                  </w:r>
                </w:p>
              </w:tc>
            </w:tr>
            <w:tr w14:paraId="42822B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2C189194">
                  <w:pPr>
                    <w:overflowPunct w:val="0"/>
                    <w:adjustRightInd w:val="0"/>
                    <w:snapToGrid w:val="0"/>
                    <w:jc w:val="center"/>
                    <w:rPr>
                      <w:rFonts w:ascii="Times New Roman" w:hAnsi="Times New Roman" w:eastAsia="宋体" w:cs="Times New Roman"/>
                      <w:color w:val="FF0000"/>
                      <w:szCs w:val="21"/>
                    </w:rPr>
                  </w:pPr>
                </w:p>
              </w:tc>
              <w:tc>
                <w:tcPr>
                  <w:tcW w:w="0" w:type="auto"/>
                  <w:vMerge w:val="continue"/>
                  <w:vAlign w:val="center"/>
                </w:tcPr>
                <w:p w14:paraId="0FDFED23">
                  <w:pPr>
                    <w:pStyle w:val="21"/>
                    <w:spacing w:line="240" w:lineRule="auto"/>
                    <w:jc w:val="center"/>
                    <w:rPr>
                      <w:rFonts w:ascii="Times New Roman" w:hAnsi="Times New Roman" w:eastAsia="宋体"/>
                      <w:color w:val="FF0000"/>
                      <w:sz w:val="21"/>
                      <w:szCs w:val="21"/>
                    </w:rPr>
                  </w:pPr>
                </w:p>
              </w:tc>
              <w:tc>
                <w:tcPr>
                  <w:tcW w:w="0" w:type="auto"/>
                  <w:vAlign w:val="center"/>
                </w:tcPr>
                <w:p w14:paraId="405D1B74">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63631D11">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6.76×10</w:t>
                  </w:r>
                  <w:r>
                    <w:rPr>
                      <w:rFonts w:ascii="Times New Roman" w:hAnsi="Times New Roman" w:eastAsia="宋体" w:cs="Times New Roman"/>
                      <w:color w:val="FF0000"/>
                      <w:szCs w:val="21"/>
                      <w:vertAlign w:val="superscript"/>
                    </w:rPr>
                    <w:t>-4</w:t>
                  </w:r>
                </w:p>
              </w:tc>
              <w:tc>
                <w:tcPr>
                  <w:tcW w:w="0" w:type="auto"/>
                  <w:vAlign w:val="center"/>
                </w:tcPr>
                <w:p w14:paraId="2606AE2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6.65×10</w:t>
                  </w:r>
                  <w:r>
                    <w:rPr>
                      <w:rFonts w:ascii="Times New Roman" w:hAnsi="Times New Roman" w:eastAsia="宋体" w:cs="Times New Roman"/>
                      <w:color w:val="FF0000"/>
                      <w:szCs w:val="21"/>
                      <w:vertAlign w:val="superscript"/>
                    </w:rPr>
                    <w:t>-4</w:t>
                  </w:r>
                </w:p>
              </w:tc>
              <w:tc>
                <w:tcPr>
                  <w:tcW w:w="0" w:type="auto"/>
                  <w:vAlign w:val="center"/>
                </w:tcPr>
                <w:p w14:paraId="3ED60262">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7.47×10</w:t>
                  </w:r>
                  <w:r>
                    <w:rPr>
                      <w:rFonts w:ascii="Times New Roman" w:hAnsi="Times New Roman" w:eastAsia="宋体" w:cs="Times New Roman"/>
                      <w:color w:val="FF0000"/>
                      <w:szCs w:val="21"/>
                      <w:vertAlign w:val="superscript"/>
                    </w:rPr>
                    <w:t>-4</w:t>
                  </w:r>
                </w:p>
              </w:tc>
              <w:tc>
                <w:tcPr>
                  <w:tcW w:w="0" w:type="auto"/>
                  <w:vAlign w:val="center"/>
                </w:tcPr>
                <w:p w14:paraId="7F4FF79F">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6.76×10</w:t>
                  </w:r>
                  <w:r>
                    <w:rPr>
                      <w:rFonts w:ascii="Times New Roman" w:hAnsi="Times New Roman" w:eastAsia="宋体" w:cs="Times New Roman"/>
                      <w:color w:val="FF0000"/>
                      <w:szCs w:val="21"/>
                      <w:vertAlign w:val="superscript"/>
                    </w:rPr>
                    <w:t>-4</w:t>
                  </w:r>
                </w:p>
              </w:tc>
              <w:tc>
                <w:tcPr>
                  <w:tcW w:w="0" w:type="auto"/>
                  <w:vAlign w:val="center"/>
                </w:tcPr>
                <w:p w14:paraId="35ADBCD5">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6.91×10</w:t>
                  </w:r>
                  <w:r>
                    <w:rPr>
                      <w:rFonts w:ascii="Times New Roman" w:hAnsi="Times New Roman" w:eastAsia="宋体" w:cs="Times New Roman"/>
                      <w:color w:val="FF0000"/>
                      <w:szCs w:val="21"/>
                      <w:vertAlign w:val="superscript"/>
                    </w:rPr>
                    <w:t>-4</w:t>
                  </w:r>
                </w:p>
              </w:tc>
            </w:tr>
            <w:tr w14:paraId="585F2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7633393A">
                  <w:pPr>
                    <w:overflowPunct w:val="0"/>
                    <w:adjustRightInd w:val="0"/>
                    <w:snapToGrid w:val="0"/>
                    <w:jc w:val="center"/>
                    <w:rPr>
                      <w:rFonts w:ascii="Times New Roman" w:hAnsi="Times New Roman" w:eastAsia="宋体" w:cs="Times New Roman"/>
                      <w:color w:val="FF0000"/>
                      <w:szCs w:val="21"/>
                    </w:rPr>
                  </w:pPr>
                </w:p>
              </w:tc>
              <w:tc>
                <w:tcPr>
                  <w:tcW w:w="0" w:type="auto"/>
                  <w:vAlign w:val="center"/>
                </w:tcPr>
                <w:p w14:paraId="04FA640D">
                  <w:pPr>
                    <w:pStyle w:val="21"/>
                    <w:spacing w:line="240" w:lineRule="auto"/>
                    <w:jc w:val="center"/>
                    <w:rPr>
                      <w:rFonts w:ascii="Times New Roman" w:hAnsi="Times New Roman" w:eastAsia="宋体"/>
                      <w:color w:val="FF0000"/>
                      <w:kern w:val="2"/>
                      <w:sz w:val="21"/>
                      <w:szCs w:val="21"/>
                    </w:rPr>
                  </w:pPr>
                  <w:r>
                    <w:rPr>
                      <w:rFonts w:ascii="Times New Roman" w:hAnsi="Times New Roman" w:eastAsia="宋体"/>
                      <w:color w:val="FF0000"/>
                      <w:kern w:val="2"/>
                      <w:sz w:val="21"/>
                      <w:szCs w:val="21"/>
                    </w:rPr>
                    <w:t>锡、锑、铜、锰、镍、钴及其化合物</w:t>
                  </w:r>
                </w:p>
              </w:tc>
              <w:tc>
                <w:tcPr>
                  <w:tcW w:w="0" w:type="auto"/>
                  <w:vAlign w:val="center"/>
                </w:tcPr>
                <w:p w14:paraId="2BC3B535">
                  <w:pPr>
                    <w:pStyle w:val="21"/>
                    <w:spacing w:line="240" w:lineRule="auto"/>
                    <w:jc w:val="center"/>
                    <w:rPr>
                      <w:rFonts w:ascii="Times New Roman" w:hAnsi="Times New Roman" w:eastAsia="宋体"/>
                      <w:color w:val="FF0000"/>
                      <w:sz w:val="21"/>
                      <w:szCs w:val="21"/>
                    </w:rPr>
                  </w:pPr>
                  <w:r>
                    <w:rPr>
                      <w:rFonts w:ascii="Times New Roman" w:hAnsi="Times New Roman" w:eastAsia="宋体"/>
                      <w:color w:val="FF0000"/>
                      <w:sz w:val="21"/>
                      <w:szCs w:val="21"/>
                    </w:rPr>
                    <w:t>折算浓度（mg/m</w:t>
                  </w:r>
                  <w:r>
                    <w:rPr>
                      <w:rFonts w:ascii="Times New Roman" w:hAnsi="Times New Roman" w:eastAsia="宋体"/>
                      <w:color w:val="FF0000"/>
                      <w:sz w:val="21"/>
                      <w:szCs w:val="21"/>
                      <w:vertAlign w:val="superscript"/>
                    </w:rPr>
                    <w:t>3</w:t>
                  </w:r>
                  <w:r>
                    <w:rPr>
                      <w:rFonts w:ascii="Times New Roman" w:hAnsi="Times New Roman" w:eastAsia="宋体"/>
                      <w:color w:val="FF0000"/>
                      <w:sz w:val="21"/>
                      <w:szCs w:val="21"/>
                    </w:rPr>
                    <w:t>）</w:t>
                  </w:r>
                </w:p>
              </w:tc>
              <w:tc>
                <w:tcPr>
                  <w:tcW w:w="0" w:type="auto"/>
                  <w:vAlign w:val="center"/>
                </w:tcPr>
                <w:p w14:paraId="711734AE">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w:t>
                  </w:r>
                </w:p>
              </w:tc>
              <w:tc>
                <w:tcPr>
                  <w:tcW w:w="0" w:type="auto"/>
                  <w:vAlign w:val="center"/>
                </w:tcPr>
                <w:p w14:paraId="122D7F79">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w:t>
                  </w:r>
                </w:p>
              </w:tc>
              <w:tc>
                <w:tcPr>
                  <w:tcW w:w="0" w:type="auto"/>
                  <w:vAlign w:val="center"/>
                </w:tcPr>
                <w:p w14:paraId="2377E2A9">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w:t>
                  </w:r>
                </w:p>
              </w:tc>
              <w:tc>
                <w:tcPr>
                  <w:tcW w:w="0" w:type="auto"/>
                  <w:vAlign w:val="center"/>
                </w:tcPr>
                <w:p w14:paraId="220C0D6D">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w:t>
                  </w:r>
                </w:p>
              </w:tc>
              <w:tc>
                <w:tcPr>
                  <w:tcW w:w="0" w:type="auto"/>
                  <w:vAlign w:val="center"/>
                </w:tcPr>
                <w:p w14:paraId="1E83D28C">
                  <w:pPr>
                    <w:widowControl/>
                    <w:jc w:val="center"/>
                    <w:textAlignment w:val="center"/>
                    <w:rPr>
                      <w:rFonts w:ascii="Times New Roman" w:hAnsi="Times New Roman" w:eastAsia="宋体" w:cs="Times New Roman"/>
                      <w:color w:val="FF0000"/>
                      <w:szCs w:val="21"/>
                    </w:rPr>
                  </w:pPr>
                  <w:r>
                    <w:rPr>
                      <w:rFonts w:ascii="Times New Roman" w:hAnsi="Times New Roman" w:eastAsia="宋体" w:cs="Times New Roman"/>
                      <w:color w:val="FF0000"/>
                      <w:szCs w:val="21"/>
                    </w:rPr>
                    <w:t>0.150</w:t>
                  </w:r>
                </w:p>
              </w:tc>
            </w:tr>
            <w:tr w14:paraId="0B2DF5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Merge w:val="continue"/>
                  <w:vAlign w:val="center"/>
                </w:tcPr>
                <w:p w14:paraId="4C5431B5">
                  <w:pPr>
                    <w:overflowPunct w:val="0"/>
                    <w:adjustRightInd w:val="0"/>
                    <w:snapToGrid w:val="0"/>
                    <w:jc w:val="center"/>
                    <w:rPr>
                      <w:rFonts w:ascii="Times New Roman" w:hAnsi="Times New Roman" w:eastAsia="宋体" w:cs="Times New Roman"/>
                      <w:color w:val="FF0000"/>
                      <w:szCs w:val="21"/>
                    </w:rPr>
                  </w:pPr>
                </w:p>
              </w:tc>
              <w:tc>
                <w:tcPr>
                  <w:tcW w:w="0" w:type="auto"/>
                  <w:vAlign w:val="center"/>
                </w:tcPr>
                <w:p w14:paraId="654231C5">
                  <w:pPr>
                    <w:pStyle w:val="21"/>
                    <w:spacing w:line="240" w:lineRule="auto"/>
                    <w:jc w:val="center"/>
                    <w:rPr>
                      <w:rFonts w:ascii="Times New Roman" w:hAnsi="Times New Roman" w:eastAsia="宋体"/>
                      <w:color w:val="FF0000"/>
                      <w:kern w:val="2"/>
                      <w:sz w:val="21"/>
                      <w:szCs w:val="21"/>
                    </w:rPr>
                  </w:pPr>
                  <w:r>
                    <w:rPr>
                      <w:rFonts w:hint="eastAsia" w:ascii="Times New Roman" w:hAnsi="Times New Roman" w:eastAsia="宋体"/>
                      <w:color w:val="FF0000"/>
                      <w:kern w:val="2"/>
                      <w:sz w:val="21"/>
                      <w:szCs w:val="21"/>
                    </w:rPr>
                    <w:t>二噁英</w:t>
                  </w:r>
                </w:p>
              </w:tc>
              <w:tc>
                <w:tcPr>
                  <w:tcW w:w="0" w:type="auto"/>
                  <w:vAlign w:val="center"/>
                </w:tcPr>
                <w:p w14:paraId="7303552D">
                  <w:pPr>
                    <w:pStyle w:val="21"/>
                    <w:spacing w:line="240" w:lineRule="auto"/>
                    <w:jc w:val="center"/>
                    <w:rPr>
                      <w:rFonts w:ascii="Times New Roman" w:hAnsi="Times New Roman" w:eastAsia="宋体"/>
                      <w:color w:val="FF0000"/>
                      <w:sz w:val="21"/>
                      <w:szCs w:val="21"/>
                    </w:rPr>
                  </w:pPr>
                  <w:r>
                    <w:rPr>
                      <w:rFonts w:hint="eastAsia" w:ascii="Times New Roman" w:hAnsi="Times New Roman" w:eastAsia="宋体"/>
                      <w:color w:val="FF0000"/>
                      <w:sz w:val="21"/>
                      <w:szCs w:val="21"/>
                    </w:rPr>
                    <w:t>检测浓度</w:t>
                  </w:r>
                </w:p>
                <w:p w14:paraId="24EC5026">
                  <w:pPr>
                    <w:pStyle w:val="21"/>
                    <w:spacing w:line="240" w:lineRule="auto"/>
                    <w:jc w:val="center"/>
                    <w:rPr>
                      <w:rFonts w:ascii="Times New Roman" w:hAnsi="Times New Roman" w:eastAsia="宋体"/>
                      <w:color w:val="FF0000"/>
                      <w:sz w:val="21"/>
                      <w:szCs w:val="21"/>
                    </w:rPr>
                  </w:pPr>
                  <w:r>
                    <w:rPr>
                      <w:rFonts w:hint="eastAsia" w:ascii="Times New Roman" w:hAnsi="Times New Roman" w:eastAsia="宋体"/>
                      <w:color w:val="FF0000"/>
                      <w:sz w:val="21"/>
                      <w:szCs w:val="21"/>
                    </w:rPr>
                    <w:t>（ng</w:t>
                  </w:r>
                  <w:r>
                    <w:rPr>
                      <w:rFonts w:ascii="Times New Roman" w:hAnsi="Times New Roman" w:eastAsia="宋体"/>
                      <w:color w:val="FF0000"/>
                      <w:sz w:val="21"/>
                      <w:szCs w:val="21"/>
                    </w:rPr>
                    <w:t>-TEQ/ m</w:t>
                  </w:r>
                  <w:r>
                    <w:rPr>
                      <w:rFonts w:ascii="Times New Roman" w:hAnsi="Times New Roman" w:eastAsia="宋体"/>
                      <w:color w:val="FF0000"/>
                      <w:sz w:val="21"/>
                      <w:szCs w:val="21"/>
                      <w:vertAlign w:val="superscript"/>
                    </w:rPr>
                    <w:t>3</w:t>
                  </w:r>
                  <w:r>
                    <w:rPr>
                      <w:rFonts w:hint="eastAsia" w:ascii="Times New Roman" w:hAnsi="Times New Roman" w:eastAsia="宋体"/>
                      <w:color w:val="FF0000"/>
                      <w:sz w:val="21"/>
                      <w:szCs w:val="21"/>
                    </w:rPr>
                    <w:t>）</w:t>
                  </w:r>
                </w:p>
              </w:tc>
              <w:tc>
                <w:tcPr>
                  <w:tcW w:w="0" w:type="auto"/>
                  <w:vAlign w:val="center"/>
                </w:tcPr>
                <w:p w14:paraId="46469D05">
                  <w:pPr>
                    <w:widowControl/>
                    <w:jc w:val="center"/>
                    <w:textAlignment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0.13</w:t>
                  </w:r>
                </w:p>
              </w:tc>
              <w:tc>
                <w:tcPr>
                  <w:tcW w:w="0" w:type="auto"/>
                  <w:vAlign w:val="center"/>
                </w:tcPr>
                <w:p w14:paraId="5C539D85">
                  <w:pPr>
                    <w:widowControl/>
                    <w:jc w:val="center"/>
                    <w:textAlignment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0.11</w:t>
                  </w:r>
                </w:p>
              </w:tc>
              <w:tc>
                <w:tcPr>
                  <w:tcW w:w="0" w:type="auto"/>
                  <w:vAlign w:val="center"/>
                </w:tcPr>
                <w:p w14:paraId="497B1A1C">
                  <w:pPr>
                    <w:widowControl/>
                    <w:jc w:val="center"/>
                    <w:textAlignment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0.26</w:t>
                  </w:r>
                </w:p>
              </w:tc>
              <w:tc>
                <w:tcPr>
                  <w:tcW w:w="0" w:type="auto"/>
                  <w:vAlign w:val="center"/>
                </w:tcPr>
                <w:p w14:paraId="1176652A">
                  <w:pPr>
                    <w:widowControl/>
                    <w:jc w:val="center"/>
                    <w:textAlignment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0.23</w:t>
                  </w:r>
                </w:p>
              </w:tc>
              <w:tc>
                <w:tcPr>
                  <w:tcW w:w="0" w:type="auto"/>
                  <w:vAlign w:val="center"/>
                </w:tcPr>
                <w:p w14:paraId="676A7BBB">
                  <w:pPr>
                    <w:widowControl/>
                    <w:jc w:val="center"/>
                    <w:textAlignment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0.18</w:t>
                  </w:r>
                </w:p>
              </w:tc>
            </w:tr>
            <w:tr w14:paraId="69024A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312" w:hRule="atLeast"/>
                <w:jc w:val="center"/>
              </w:trPr>
              <w:tc>
                <w:tcPr>
                  <w:tcW w:w="0" w:type="auto"/>
                  <w:vAlign w:val="center"/>
                </w:tcPr>
                <w:p w14:paraId="4CB6E6D6">
                  <w:pPr>
                    <w:overflowPunct w:val="0"/>
                    <w:adjustRightInd w:val="0"/>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kern w:val="0"/>
                      <w:szCs w:val="21"/>
                      <w:lang w:bidi="ar"/>
                    </w:rPr>
                    <w:t>备注</w:t>
                  </w:r>
                </w:p>
              </w:tc>
              <w:tc>
                <w:tcPr>
                  <w:tcW w:w="0" w:type="auto"/>
                  <w:gridSpan w:val="7"/>
                  <w:vAlign w:val="center"/>
                </w:tcPr>
                <w:p w14:paraId="38CC512E">
                  <w:pPr>
                    <w:jc w:val="left"/>
                    <w:textAlignment w:val="center"/>
                    <w:rPr>
                      <w:rFonts w:ascii="Times New Roman" w:hAnsi="Times New Roman" w:eastAsia="宋体" w:cs="Times New Roman"/>
                      <w:color w:val="FF0000"/>
                      <w:szCs w:val="21"/>
                    </w:rPr>
                  </w:pPr>
                  <w:r>
                    <w:rPr>
                      <w:rFonts w:ascii="Times New Roman" w:hAnsi="Times New Roman" w:eastAsia="宋体" w:cs="Times New Roman"/>
                      <w:color w:val="FF0000"/>
                      <w:kern w:val="0"/>
                      <w:szCs w:val="21"/>
                      <w:lang w:bidi="ar"/>
                    </w:rPr>
                    <w:t>折算浓度=实测浓度×（21-11）/（21-含氧量），按照《危险废物焚烧污染控制标准》（GB18484-2020）3.20要求，以上各项指标，均以标准状态下含11%O</w:t>
                  </w:r>
                  <w:r>
                    <w:rPr>
                      <w:rFonts w:ascii="Times New Roman" w:hAnsi="Times New Roman" w:eastAsia="宋体" w:cs="Times New Roman"/>
                      <w:color w:val="FF0000"/>
                      <w:kern w:val="0"/>
                      <w:szCs w:val="21"/>
                      <w:vertAlign w:val="subscript"/>
                      <w:lang w:bidi="ar"/>
                    </w:rPr>
                    <w:t>2</w:t>
                  </w:r>
                  <w:r>
                    <w:rPr>
                      <w:rFonts w:ascii="Times New Roman" w:hAnsi="Times New Roman" w:eastAsia="宋体" w:cs="Times New Roman"/>
                      <w:color w:val="FF0000"/>
                      <w:kern w:val="0"/>
                      <w:szCs w:val="21"/>
                      <w:lang w:bidi="ar"/>
                    </w:rPr>
                    <w:t>的干烟气为参考值换算</w:t>
                  </w:r>
                  <w:r>
                    <w:rPr>
                      <w:rFonts w:ascii="Times New Roman" w:hAnsi="Times New Roman" w:eastAsia="宋体" w:cs="Times New Roman"/>
                      <w:color w:val="FF0000"/>
                      <w:szCs w:val="21"/>
                    </w:rPr>
                    <w:t>。</w:t>
                  </w:r>
                </w:p>
              </w:tc>
            </w:tr>
          </w:tbl>
          <w:p w14:paraId="49394C55">
            <w:pPr>
              <w:snapToGrid w:val="0"/>
              <w:spacing w:before="156" w:beforeLines="50" w:line="360" w:lineRule="auto"/>
              <w:ind w:firstLine="480" w:firstLineChars="200"/>
              <w:textAlignment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根据检测结果表明，</w:t>
            </w:r>
            <w:r>
              <w:rPr>
                <w:rFonts w:hint="eastAsia" w:ascii="Times New Roman" w:hAnsi="Times New Roman" w:eastAsia="宋体" w:cs="Times New Roman"/>
                <w:color w:val="000000" w:themeColor="text1"/>
                <w:sz w:val="24"/>
                <w:szCs w:val="24"/>
                <w14:textFill>
                  <w14:solidFill>
                    <w14:schemeClr w14:val="tx1"/>
                  </w14:solidFill>
                </w14:textFill>
              </w:rPr>
              <w:t>原料车间</w:t>
            </w:r>
            <w:r>
              <w:rPr>
                <w:rFonts w:ascii="Times New Roman" w:hAnsi="Times New Roman" w:eastAsia="宋体" w:cs="Times New Roman"/>
                <w:color w:val="000000" w:themeColor="text1"/>
                <w:sz w:val="24"/>
                <w:szCs w:val="24"/>
                <w14:textFill>
                  <w14:solidFill>
                    <w14:schemeClr w14:val="tx1"/>
                  </w14:solidFill>
                </w14:textFill>
              </w:rPr>
              <w:t>粉尘</w:t>
            </w:r>
            <w:r>
              <w:rPr>
                <w:rFonts w:hint="eastAsia" w:ascii="Times New Roman" w:hAnsi="Times New Roman" w:eastAsia="宋体" w:cs="Times New Roman"/>
                <w:color w:val="000000" w:themeColor="text1"/>
                <w:sz w:val="24"/>
                <w:szCs w:val="24"/>
                <w14:textFill>
                  <w14:solidFill>
                    <w14:schemeClr w14:val="tx1"/>
                  </w14:solidFill>
                </w14:textFill>
              </w:rPr>
              <w:t>排气筒颗粒物</w:t>
            </w:r>
            <w:r>
              <w:rPr>
                <w:rFonts w:ascii="Times New Roman" w:hAnsi="Times New Roman" w:eastAsia="宋体" w:cs="Times New Roman"/>
                <w:color w:val="000000" w:themeColor="text1"/>
                <w:sz w:val="24"/>
                <w:szCs w:val="24"/>
                <w14:textFill>
                  <w14:solidFill>
                    <w14:schemeClr w14:val="tx1"/>
                  </w14:solidFill>
                </w14:textFill>
              </w:rPr>
              <w:t>排放浓度达到《砖瓦工业大气污染物排放标准》（GB29620-2013）</w:t>
            </w:r>
            <w:r>
              <w:rPr>
                <w:rFonts w:hint="eastAsia" w:ascii="Times New Roman" w:hAnsi="Times New Roman" w:eastAsia="宋体" w:cs="Times New Roman"/>
                <w:color w:val="000000" w:themeColor="text1"/>
                <w:sz w:val="24"/>
                <w:szCs w:val="24"/>
                <w14:textFill>
                  <w14:solidFill>
                    <w14:schemeClr w14:val="tx1"/>
                  </w14:solidFill>
                </w14:textFill>
              </w:rPr>
              <w:t>表2标准限值,；</w:t>
            </w:r>
            <w:r>
              <w:rPr>
                <w:rFonts w:ascii="Times New Roman" w:hAnsi="Times New Roman" w:eastAsia="宋体" w:cs="Times New Roman"/>
                <w:color w:val="000000" w:themeColor="text1"/>
                <w:sz w:val="24"/>
                <w:szCs w:val="24"/>
                <w14:textFill>
                  <w14:solidFill>
                    <w14:schemeClr w14:val="tx1"/>
                  </w14:solidFill>
                </w14:textFill>
              </w:rPr>
              <w:t>1#湿式脱硫塔排气筒出口和2#湿式脱硫塔排气筒出口</w:t>
            </w:r>
            <w:r>
              <w:rPr>
                <w:rFonts w:hint="eastAsia" w:ascii="Times New Roman" w:hAnsi="Times New Roman" w:eastAsia="宋体" w:cs="Times New Roman"/>
                <w:color w:val="000000" w:themeColor="text1"/>
                <w:sz w:val="24"/>
                <w:szCs w:val="24"/>
                <w14:textFill>
                  <w14:solidFill>
                    <w14:schemeClr w14:val="tx1"/>
                  </w14:solidFill>
                </w14:textFill>
              </w:rPr>
              <w:t>颗粒物、二氧化硫、氮氧化物、氟化物</w:t>
            </w:r>
            <w:r>
              <w:rPr>
                <w:rFonts w:ascii="Times New Roman" w:hAnsi="Times New Roman" w:eastAsia="宋体" w:cs="Times New Roman"/>
                <w:color w:val="000000" w:themeColor="text1"/>
                <w:sz w:val="24"/>
                <w:szCs w:val="24"/>
                <w14:textFill>
                  <w14:solidFill>
                    <w14:schemeClr w14:val="tx1"/>
                  </w14:solidFill>
                </w14:textFill>
              </w:rPr>
              <w:t>有组织排放浓度均能达到《砖瓦工业大气污染物排放标准》（GB29620-2013）表2及修改单新建企业大气污染物排放限值中人工干燥及焙烧限值要求。</w:t>
            </w:r>
          </w:p>
          <w:p w14:paraId="712AB7BE">
            <w:pPr>
              <w:snapToGrid w:val="0"/>
              <w:spacing w:line="360" w:lineRule="auto"/>
              <w:ind w:firstLine="480" w:firstLineChars="200"/>
              <w:textAlignment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厂界废气无组织排放情况见下表：</w:t>
            </w:r>
          </w:p>
          <w:p w14:paraId="17BE34E4">
            <w:pPr>
              <w:snapToGrid w:val="0"/>
              <w:jc w:val="center"/>
              <w:textAlignment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32</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ascii="Times New Roman" w:hAnsi="Times New Roman" w:eastAsia="宋体" w:cs="Times New Roman"/>
                <w:b/>
                <w:bCs/>
                <w:color w:val="000000" w:themeColor="text1"/>
                <w:szCs w:val="24"/>
                <w14:textFill>
                  <w14:solidFill>
                    <w14:schemeClr w14:val="tx1"/>
                  </w14:solidFill>
                </w14:textFill>
              </w:rPr>
              <w:t xml:space="preserve"> 厂界废气无组织检测结果</w:t>
            </w:r>
          </w:p>
          <w:tbl>
            <w:tblPr>
              <w:tblStyle w:val="2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980"/>
              <w:gridCol w:w="641"/>
              <w:gridCol w:w="1326"/>
              <w:gridCol w:w="1349"/>
              <w:gridCol w:w="1349"/>
              <w:gridCol w:w="1349"/>
              <w:gridCol w:w="819"/>
            </w:tblGrid>
            <w:tr w14:paraId="4F3004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Align w:val="center"/>
                </w:tcPr>
                <w:p w14:paraId="1C565748">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检测点位</w:t>
                  </w:r>
                </w:p>
              </w:tc>
              <w:tc>
                <w:tcPr>
                  <w:tcW w:w="1258" w:type="pct"/>
                  <w:gridSpan w:val="2"/>
                  <w:vAlign w:val="center"/>
                </w:tcPr>
                <w:p w14:paraId="3A0A7384">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采样日期</w:t>
                  </w:r>
                </w:p>
              </w:tc>
              <w:tc>
                <w:tcPr>
                  <w:tcW w:w="863" w:type="pct"/>
                  <w:vAlign w:val="center"/>
                </w:tcPr>
                <w:p w14:paraId="2DC83304">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颗粒物</w:t>
                  </w:r>
                </w:p>
              </w:tc>
              <w:tc>
                <w:tcPr>
                  <w:tcW w:w="863" w:type="pct"/>
                  <w:vAlign w:val="center"/>
                </w:tcPr>
                <w:p w14:paraId="04370996">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二氧化硫</w:t>
                  </w:r>
                </w:p>
              </w:tc>
              <w:tc>
                <w:tcPr>
                  <w:tcW w:w="863" w:type="pct"/>
                  <w:vAlign w:val="center"/>
                </w:tcPr>
                <w:p w14:paraId="64FBECC6">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氟化物</w:t>
                  </w:r>
                </w:p>
              </w:tc>
              <w:tc>
                <w:tcPr>
                  <w:tcW w:w="524" w:type="pct"/>
                  <w:vAlign w:val="center"/>
                </w:tcPr>
                <w:p w14:paraId="249A8CDD">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单位</w:t>
                  </w:r>
                </w:p>
              </w:tc>
            </w:tr>
            <w:tr w14:paraId="43CD8D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restart"/>
                  <w:vAlign w:val="center"/>
                </w:tcPr>
                <w:p w14:paraId="05DE70DC">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项目边界外下风向2-50m范围内浓度最高点1#</w:t>
                  </w:r>
                </w:p>
              </w:tc>
              <w:tc>
                <w:tcPr>
                  <w:tcW w:w="410" w:type="pct"/>
                  <w:vMerge w:val="restart"/>
                  <w:vAlign w:val="center"/>
                </w:tcPr>
                <w:p w14:paraId="1AA3880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1月14日</w:t>
                  </w:r>
                </w:p>
              </w:tc>
              <w:tc>
                <w:tcPr>
                  <w:tcW w:w="848" w:type="pct"/>
                  <w:vAlign w:val="center"/>
                </w:tcPr>
                <w:p w14:paraId="771C1D4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15:45-16:45</w:t>
                  </w:r>
                </w:p>
              </w:tc>
              <w:tc>
                <w:tcPr>
                  <w:tcW w:w="863" w:type="pct"/>
                  <w:vAlign w:val="center"/>
                </w:tcPr>
                <w:p w14:paraId="7D6590D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0.290</w:t>
                  </w:r>
                </w:p>
              </w:tc>
              <w:tc>
                <w:tcPr>
                  <w:tcW w:w="863" w:type="pct"/>
                  <w:vAlign w:val="center"/>
                </w:tcPr>
                <w:p w14:paraId="51987A4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0.016</w:t>
                  </w:r>
                </w:p>
              </w:tc>
              <w:tc>
                <w:tcPr>
                  <w:tcW w:w="863" w:type="pct"/>
                  <w:vAlign w:val="center"/>
                </w:tcPr>
                <w:p w14:paraId="5A46056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8.0×10</w:t>
                  </w:r>
                  <w:r>
                    <w:rPr>
                      <w:rFonts w:ascii="Times New Roman" w:hAnsi="Times New Roman" w:eastAsia="宋体" w:cs="Times New Roman"/>
                      <w:color w:val="000000" w:themeColor="text1"/>
                      <w:szCs w:val="21"/>
                      <w:vertAlign w:val="superscript"/>
                      <w14:textFill>
                        <w14:solidFill>
                          <w14:schemeClr w14:val="tx1"/>
                        </w14:solidFill>
                      </w14:textFill>
                    </w:rPr>
                    <w:t>-4</w:t>
                  </w:r>
                </w:p>
              </w:tc>
              <w:tc>
                <w:tcPr>
                  <w:tcW w:w="524" w:type="pct"/>
                  <w:vAlign w:val="center"/>
                </w:tcPr>
                <w:p w14:paraId="44EC69A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3D14CE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2CAF6013">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continue"/>
                  <w:vAlign w:val="center"/>
                </w:tcPr>
                <w:p w14:paraId="08C17A22">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848" w:type="pct"/>
                  <w:vAlign w:val="center"/>
                </w:tcPr>
                <w:p w14:paraId="618AA73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16:50-17:50</w:t>
                  </w:r>
                </w:p>
              </w:tc>
              <w:tc>
                <w:tcPr>
                  <w:tcW w:w="863" w:type="pct"/>
                  <w:vAlign w:val="center"/>
                </w:tcPr>
                <w:p w14:paraId="26A4A4C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0.218</w:t>
                  </w:r>
                </w:p>
              </w:tc>
              <w:tc>
                <w:tcPr>
                  <w:tcW w:w="863" w:type="pct"/>
                  <w:vAlign w:val="center"/>
                </w:tcPr>
                <w:p w14:paraId="5166DC4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0.018</w:t>
                  </w:r>
                </w:p>
              </w:tc>
              <w:tc>
                <w:tcPr>
                  <w:tcW w:w="863" w:type="pct"/>
                  <w:vAlign w:val="center"/>
                </w:tcPr>
                <w:p w14:paraId="3C9C2B3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9.0×10</w:t>
                  </w:r>
                  <w:r>
                    <w:rPr>
                      <w:rFonts w:ascii="Times New Roman" w:hAnsi="Times New Roman" w:eastAsia="宋体" w:cs="Times New Roman"/>
                      <w:color w:val="000000" w:themeColor="text1"/>
                      <w:szCs w:val="21"/>
                      <w:vertAlign w:val="superscript"/>
                      <w14:textFill>
                        <w14:solidFill>
                          <w14:schemeClr w14:val="tx1"/>
                        </w14:solidFill>
                      </w14:textFill>
                    </w:rPr>
                    <w:t>-4</w:t>
                  </w:r>
                </w:p>
              </w:tc>
              <w:tc>
                <w:tcPr>
                  <w:tcW w:w="524" w:type="pct"/>
                  <w:vAlign w:val="center"/>
                </w:tcPr>
                <w:p w14:paraId="7160C8F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77AD51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5FE19287">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continue"/>
                  <w:vAlign w:val="center"/>
                </w:tcPr>
                <w:p w14:paraId="379FF06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848" w:type="pct"/>
                  <w:vAlign w:val="center"/>
                </w:tcPr>
                <w:p w14:paraId="15A3C86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17:55-18:55</w:t>
                  </w:r>
                </w:p>
              </w:tc>
              <w:tc>
                <w:tcPr>
                  <w:tcW w:w="863" w:type="pct"/>
                  <w:vAlign w:val="center"/>
                </w:tcPr>
                <w:p w14:paraId="262ACB3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0.256</w:t>
                  </w:r>
                </w:p>
              </w:tc>
              <w:tc>
                <w:tcPr>
                  <w:tcW w:w="863" w:type="pct"/>
                  <w:vAlign w:val="center"/>
                </w:tcPr>
                <w:p w14:paraId="1747FA4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0.017</w:t>
                  </w:r>
                </w:p>
              </w:tc>
              <w:tc>
                <w:tcPr>
                  <w:tcW w:w="863" w:type="pct"/>
                  <w:vAlign w:val="center"/>
                </w:tcPr>
                <w:p w14:paraId="557D636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1.1×10</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524" w:type="pct"/>
                  <w:vAlign w:val="center"/>
                </w:tcPr>
                <w:p w14:paraId="1390443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212F21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0C5803A3">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continue"/>
                  <w:vAlign w:val="center"/>
                </w:tcPr>
                <w:p w14:paraId="043D1C7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848" w:type="pct"/>
                  <w:vAlign w:val="center"/>
                </w:tcPr>
                <w:p w14:paraId="4B46B7B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19:00-20:00</w:t>
                  </w:r>
                </w:p>
              </w:tc>
              <w:tc>
                <w:tcPr>
                  <w:tcW w:w="863" w:type="pct"/>
                  <w:vAlign w:val="center"/>
                </w:tcPr>
                <w:p w14:paraId="47B17E0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0.180</w:t>
                  </w:r>
                </w:p>
              </w:tc>
              <w:tc>
                <w:tcPr>
                  <w:tcW w:w="863" w:type="pct"/>
                  <w:vAlign w:val="center"/>
                </w:tcPr>
                <w:p w14:paraId="5880904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0.019</w:t>
                  </w:r>
                </w:p>
              </w:tc>
              <w:tc>
                <w:tcPr>
                  <w:tcW w:w="863" w:type="pct"/>
                  <w:vAlign w:val="center"/>
                </w:tcPr>
                <w:p w14:paraId="5BC7315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1.1×10</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524" w:type="pct"/>
                  <w:vAlign w:val="center"/>
                </w:tcPr>
                <w:p w14:paraId="648841C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3AD222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7CC28D42">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restart"/>
                  <w:vAlign w:val="center"/>
                </w:tcPr>
                <w:p w14:paraId="4481AD8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1月15日</w:t>
                  </w:r>
                </w:p>
              </w:tc>
              <w:tc>
                <w:tcPr>
                  <w:tcW w:w="848" w:type="pct"/>
                  <w:vAlign w:val="center"/>
                </w:tcPr>
                <w:p w14:paraId="16050AF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09:57-10:57</w:t>
                  </w:r>
                </w:p>
              </w:tc>
              <w:tc>
                <w:tcPr>
                  <w:tcW w:w="863" w:type="pct"/>
                  <w:vAlign w:val="center"/>
                </w:tcPr>
                <w:p w14:paraId="185187A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0.143</w:t>
                  </w:r>
                </w:p>
              </w:tc>
              <w:tc>
                <w:tcPr>
                  <w:tcW w:w="863" w:type="pct"/>
                  <w:vAlign w:val="center"/>
                </w:tcPr>
                <w:p w14:paraId="2A1CE4C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0.015</w:t>
                  </w:r>
                </w:p>
              </w:tc>
              <w:tc>
                <w:tcPr>
                  <w:tcW w:w="863" w:type="pct"/>
                  <w:vAlign w:val="center"/>
                </w:tcPr>
                <w:p w14:paraId="1F02B0F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9.0×10</w:t>
                  </w:r>
                  <w:r>
                    <w:rPr>
                      <w:rFonts w:ascii="Times New Roman" w:hAnsi="Times New Roman" w:eastAsia="宋体" w:cs="Times New Roman"/>
                      <w:color w:val="000000" w:themeColor="text1"/>
                      <w:szCs w:val="21"/>
                      <w:vertAlign w:val="superscript"/>
                      <w14:textFill>
                        <w14:solidFill>
                          <w14:schemeClr w14:val="tx1"/>
                        </w14:solidFill>
                      </w14:textFill>
                    </w:rPr>
                    <w:t>-4</w:t>
                  </w:r>
                </w:p>
              </w:tc>
              <w:tc>
                <w:tcPr>
                  <w:tcW w:w="524" w:type="pct"/>
                  <w:vAlign w:val="center"/>
                </w:tcPr>
                <w:p w14:paraId="59EBCA3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5AB30D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0B66CBA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continue"/>
                  <w:vAlign w:val="center"/>
                </w:tcPr>
                <w:p w14:paraId="1198668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848" w:type="pct"/>
                  <w:vAlign w:val="center"/>
                </w:tcPr>
                <w:p w14:paraId="3514217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11:02-12:02</w:t>
                  </w:r>
                </w:p>
              </w:tc>
              <w:tc>
                <w:tcPr>
                  <w:tcW w:w="863" w:type="pct"/>
                  <w:vAlign w:val="center"/>
                </w:tcPr>
                <w:p w14:paraId="56F97BC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0.306</w:t>
                  </w:r>
                </w:p>
              </w:tc>
              <w:tc>
                <w:tcPr>
                  <w:tcW w:w="863" w:type="pct"/>
                  <w:vAlign w:val="center"/>
                </w:tcPr>
                <w:p w14:paraId="2C9E361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0.012</w:t>
                  </w:r>
                </w:p>
              </w:tc>
              <w:tc>
                <w:tcPr>
                  <w:tcW w:w="863" w:type="pct"/>
                  <w:vAlign w:val="center"/>
                </w:tcPr>
                <w:p w14:paraId="2E71429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1.0×10</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524" w:type="pct"/>
                  <w:vAlign w:val="center"/>
                </w:tcPr>
                <w:p w14:paraId="2FDB29E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3AFBD8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48906207">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continue"/>
                  <w:vAlign w:val="center"/>
                </w:tcPr>
                <w:p w14:paraId="0AC18783">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848" w:type="pct"/>
                  <w:vAlign w:val="center"/>
                </w:tcPr>
                <w:p w14:paraId="7757F38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12:07-13:07</w:t>
                  </w:r>
                </w:p>
              </w:tc>
              <w:tc>
                <w:tcPr>
                  <w:tcW w:w="863" w:type="pct"/>
                  <w:vAlign w:val="center"/>
                </w:tcPr>
                <w:p w14:paraId="03629E2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0.401</w:t>
                  </w:r>
                </w:p>
              </w:tc>
              <w:tc>
                <w:tcPr>
                  <w:tcW w:w="863" w:type="pct"/>
                  <w:vAlign w:val="center"/>
                </w:tcPr>
                <w:p w14:paraId="29A34B9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0.019</w:t>
                  </w:r>
                </w:p>
              </w:tc>
              <w:tc>
                <w:tcPr>
                  <w:tcW w:w="863" w:type="pct"/>
                  <w:vAlign w:val="center"/>
                </w:tcPr>
                <w:p w14:paraId="36C467F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1.2×10</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524" w:type="pct"/>
                  <w:vAlign w:val="center"/>
                </w:tcPr>
                <w:p w14:paraId="3B79A1A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21D98F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77DA182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continue"/>
                  <w:vAlign w:val="center"/>
                </w:tcPr>
                <w:p w14:paraId="1350E390">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848" w:type="pct"/>
                  <w:vAlign w:val="center"/>
                </w:tcPr>
                <w:p w14:paraId="27F0EA3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13:12-14:12</w:t>
                  </w:r>
                </w:p>
              </w:tc>
              <w:tc>
                <w:tcPr>
                  <w:tcW w:w="863" w:type="pct"/>
                  <w:vAlign w:val="center"/>
                </w:tcPr>
                <w:p w14:paraId="0325ED5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0.201</w:t>
                  </w:r>
                </w:p>
              </w:tc>
              <w:tc>
                <w:tcPr>
                  <w:tcW w:w="863" w:type="pct"/>
                  <w:vAlign w:val="center"/>
                </w:tcPr>
                <w:p w14:paraId="32067CA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0.015</w:t>
                  </w:r>
                </w:p>
              </w:tc>
              <w:tc>
                <w:tcPr>
                  <w:tcW w:w="863" w:type="pct"/>
                  <w:vAlign w:val="center"/>
                </w:tcPr>
                <w:p w14:paraId="7710139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1.3×10</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524" w:type="pct"/>
                  <w:vAlign w:val="center"/>
                </w:tcPr>
                <w:p w14:paraId="6E42A74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044A0C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restart"/>
                  <w:vAlign w:val="center"/>
                </w:tcPr>
                <w:p w14:paraId="2969656F">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项目边界外下风向2-50m范围内浓度最高点2#</w:t>
                  </w:r>
                </w:p>
              </w:tc>
              <w:tc>
                <w:tcPr>
                  <w:tcW w:w="410" w:type="pct"/>
                  <w:vMerge w:val="restart"/>
                  <w:vAlign w:val="center"/>
                </w:tcPr>
                <w:p w14:paraId="6F1207B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1月14日</w:t>
                  </w:r>
                </w:p>
              </w:tc>
              <w:tc>
                <w:tcPr>
                  <w:tcW w:w="848" w:type="pct"/>
                  <w:vAlign w:val="center"/>
                </w:tcPr>
                <w:p w14:paraId="4F52826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15:47-16:47</w:t>
                  </w:r>
                </w:p>
              </w:tc>
              <w:tc>
                <w:tcPr>
                  <w:tcW w:w="863" w:type="pct"/>
                  <w:vAlign w:val="center"/>
                </w:tcPr>
                <w:p w14:paraId="1D6077E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0.471</w:t>
                  </w:r>
                </w:p>
              </w:tc>
              <w:tc>
                <w:tcPr>
                  <w:tcW w:w="863" w:type="pct"/>
                  <w:vAlign w:val="center"/>
                </w:tcPr>
                <w:p w14:paraId="2ACE992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0.020</w:t>
                  </w:r>
                </w:p>
              </w:tc>
              <w:tc>
                <w:tcPr>
                  <w:tcW w:w="863" w:type="pct"/>
                  <w:vAlign w:val="center"/>
                </w:tcPr>
                <w:p w14:paraId="151590F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6.0×10</w:t>
                  </w:r>
                  <w:r>
                    <w:rPr>
                      <w:rFonts w:ascii="Times New Roman" w:hAnsi="Times New Roman" w:eastAsia="宋体" w:cs="Times New Roman"/>
                      <w:color w:val="000000" w:themeColor="text1"/>
                      <w:szCs w:val="21"/>
                      <w:vertAlign w:val="superscript"/>
                      <w14:textFill>
                        <w14:solidFill>
                          <w14:schemeClr w14:val="tx1"/>
                        </w14:solidFill>
                      </w14:textFill>
                    </w:rPr>
                    <w:t>-4</w:t>
                  </w:r>
                </w:p>
              </w:tc>
              <w:tc>
                <w:tcPr>
                  <w:tcW w:w="524" w:type="pct"/>
                  <w:vAlign w:val="center"/>
                </w:tcPr>
                <w:p w14:paraId="18604C5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03DF76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59D6C446">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continue"/>
                  <w:vAlign w:val="center"/>
                </w:tcPr>
                <w:p w14:paraId="30EEADBC">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848" w:type="pct"/>
                  <w:vAlign w:val="center"/>
                </w:tcPr>
                <w:p w14:paraId="79A2FA2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16:52-17:52</w:t>
                  </w:r>
                </w:p>
              </w:tc>
              <w:tc>
                <w:tcPr>
                  <w:tcW w:w="863" w:type="pct"/>
                  <w:vAlign w:val="center"/>
                </w:tcPr>
                <w:p w14:paraId="090C1C3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0.218</w:t>
                  </w:r>
                </w:p>
              </w:tc>
              <w:tc>
                <w:tcPr>
                  <w:tcW w:w="863" w:type="pct"/>
                  <w:vAlign w:val="center"/>
                </w:tcPr>
                <w:p w14:paraId="312E5B5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0.016</w:t>
                  </w:r>
                </w:p>
              </w:tc>
              <w:tc>
                <w:tcPr>
                  <w:tcW w:w="863" w:type="pct"/>
                  <w:vAlign w:val="center"/>
                </w:tcPr>
                <w:p w14:paraId="742A4CA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7.0×10</w:t>
                  </w:r>
                  <w:r>
                    <w:rPr>
                      <w:rFonts w:ascii="Times New Roman" w:hAnsi="Times New Roman" w:eastAsia="宋体" w:cs="Times New Roman"/>
                      <w:color w:val="000000" w:themeColor="text1"/>
                      <w:szCs w:val="21"/>
                      <w:vertAlign w:val="superscript"/>
                      <w14:textFill>
                        <w14:solidFill>
                          <w14:schemeClr w14:val="tx1"/>
                        </w14:solidFill>
                      </w14:textFill>
                    </w:rPr>
                    <w:t>-4</w:t>
                  </w:r>
                </w:p>
              </w:tc>
              <w:tc>
                <w:tcPr>
                  <w:tcW w:w="524" w:type="pct"/>
                  <w:vAlign w:val="center"/>
                </w:tcPr>
                <w:p w14:paraId="1556E9F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4C8DC7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1506C021">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continue"/>
                  <w:vAlign w:val="center"/>
                </w:tcPr>
                <w:p w14:paraId="18B8C0F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848" w:type="pct"/>
                  <w:vAlign w:val="center"/>
                </w:tcPr>
                <w:p w14:paraId="704EF7A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17:57-18:57</w:t>
                  </w:r>
                </w:p>
              </w:tc>
              <w:tc>
                <w:tcPr>
                  <w:tcW w:w="863" w:type="pct"/>
                  <w:vAlign w:val="center"/>
                </w:tcPr>
                <w:p w14:paraId="12F2C03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0.511</w:t>
                  </w:r>
                </w:p>
              </w:tc>
              <w:tc>
                <w:tcPr>
                  <w:tcW w:w="863" w:type="pct"/>
                  <w:vAlign w:val="center"/>
                </w:tcPr>
                <w:p w14:paraId="45FE6E7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0.019</w:t>
                  </w:r>
                </w:p>
              </w:tc>
              <w:tc>
                <w:tcPr>
                  <w:tcW w:w="863" w:type="pct"/>
                  <w:vAlign w:val="center"/>
                </w:tcPr>
                <w:p w14:paraId="287BBE7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8.0×10</w:t>
                  </w:r>
                  <w:r>
                    <w:rPr>
                      <w:rFonts w:ascii="Times New Roman" w:hAnsi="Times New Roman" w:eastAsia="宋体" w:cs="Times New Roman"/>
                      <w:color w:val="000000" w:themeColor="text1"/>
                      <w:szCs w:val="21"/>
                      <w:vertAlign w:val="superscript"/>
                      <w14:textFill>
                        <w14:solidFill>
                          <w14:schemeClr w14:val="tx1"/>
                        </w14:solidFill>
                      </w14:textFill>
                    </w:rPr>
                    <w:t>-4</w:t>
                  </w:r>
                </w:p>
              </w:tc>
              <w:tc>
                <w:tcPr>
                  <w:tcW w:w="524" w:type="pct"/>
                  <w:vAlign w:val="center"/>
                </w:tcPr>
                <w:p w14:paraId="1FFE422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61ADEF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5CD4A45C">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continue"/>
                  <w:vAlign w:val="center"/>
                </w:tcPr>
                <w:p w14:paraId="008213E3">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848" w:type="pct"/>
                  <w:vAlign w:val="center"/>
                </w:tcPr>
                <w:p w14:paraId="3145927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19:02-20:02</w:t>
                  </w:r>
                </w:p>
              </w:tc>
              <w:tc>
                <w:tcPr>
                  <w:tcW w:w="863" w:type="pct"/>
                  <w:vAlign w:val="center"/>
                </w:tcPr>
                <w:p w14:paraId="2A3EAFA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0.360</w:t>
                  </w:r>
                </w:p>
              </w:tc>
              <w:tc>
                <w:tcPr>
                  <w:tcW w:w="863" w:type="pct"/>
                  <w:vAlign w:val="center"/>
                </w:tcPr>
                <w:p w14:paraId="4463DE5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0.017</w:t>
                  </w:r>
                </w:p>
              </w:tc>
              <w:tc>
                <w:tcPr>
                  <w:tcW w:w="863" w:type="pct"/>
                  <w:vAlign w:val="center"/>
                </w:tcPr>
                <w:p w14:paraId="4014700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8.0×10</w:t>
                  </w:r>
                  <w:r>
                    <w:rPr>
                      <w:rFonts w:ascii="Times New Roman" w:hAnsi="Times New Roman" w:eastAsia="宋体" w:cs="Times New Roman"/>
                      <w:color w:val="000000" w:themeColor="text1"/>
                      <w:szCs w:val="21"/>
                      <w:vertAlign w:val="superscript"/>
                      <w14:textFill>
                        <w14:solidFill>
                          <w14:schemeClr w14:val="tx1"/>
                        </w14:solidFill>
                      </w14:textFill>
                    </w:rPr>
                    <w:t>-4</w:t>
                  </w:r>
                </w:p>
              </w:tc>
              <w:tc>
                <w:tcPr>
                  <w:tcW w:w="524" w:type="pct"/>
                  <w:vAlign w:val="center"/>
                </w:tcPr>
                <w:p w14:paraId="3BB2529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2641A3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39586AC6">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restart"/>
                  <w:vAlign w:val="center"/>
                </w:tcPr>
                <w:p w14:paraId="1F18D78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1月15日</w:t>
                  </w:r>
                </w:p>
              </w:tc>
              <w:tc>
                <w:tcPr>
                  <w:tcW w:w="848" w:type="pct"/>
                  <w:vAlign w:val="center"/>
                </w:tcPr>
                <w:p w14:paraId="7B3163A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09:55-10:55</w:t>
                  </w:r>
                </w:p>
              </w:tc>
              <w:tc>
                <w:tcPr>
                  <w:tcW w:w="863" w:type="pct"/>
                  <w:vAlign w:val="center"/>
                </w:tcPr>
                <w:p w14:paraId="2A6CF83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0.161</w:t>
                  </w:r>
                </w:p>
              </w:tc>
              <w:tc>
                <w:tcPr>
                  <w:tcW w:w="863" w:type="pct"/>
                  <w:vAlign w:val="center"/>
                </w:tcPr>
                <w:p w14:paraId="5400CE9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0.018</w:t>
                  </w:r>
                </w:p>
              </w:tc>
              <w:tc>
                <w:tcPr>
                  <w:tcW w:w="863" w:type="pct"/>
                  <w:vAlign w:val="center"/>
                </w:tcPr>
                <w:p w14:paraId="25839FE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7.0×10</w:t>
                  </w:r>
                  <w:r>
                    <w:rPr>
                      <w:rFonts w:ascii="Times New Roman" w:hAnsi="Times New Roman" w:eastAsia="宋体" w:cs="Times New Roman"/>
                      <w:color w:val="000000" w:themeColor="text1"/>
                      <w:szCs w:val="21"/>
                      <w:vertAlign w:val="superscript"/>
                      <w14:textFill>
                        <w14:solidFill>
                          <w14:schemeClr w14:val="tx1"/>
                        </w14:solidFill>
                      </w14:textFill>
                    </w:rPr>
                    <w:t>-4</w:t>
                  </w:r>
                </w:p>
              </w:tc>
              <w:tc>
                <w:tcPr>
                  <w:tcW w:w="524" w:type="pct"/>
                  <w:vAlign w:val="center"/>
                </w:tcPr>
                <w:p w14:paraId="2A0B3F7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56BA3C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5B38EB8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continue"/>
                  <w:vAlign w:val="center"/>
                </w:tcPr>
                <w:p w14:paraId="148B3196">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848" w:type="pct"/>
                  <w:vAlign w:val="center"/>
                </w:tcPr>
                <w:p w14:paraId="7023A8D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11:00-12:00</w:t>
                  </w:r>
                </w:p>
              </w:tc>
              <w:tc>
                <w:tcPr>
                  <w:tcW w:w="863" w:type="pct"/>
                  <w:vAlign w:val="center"/>
                </w:tcPr>
                <w:p w14:paraId="2845050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0.126</w:t>
                  </w:r>
                </w:p>
              </w:tc>
              <w:tc>
                <w:tcPr>
                  <w:tcW w:w="863" w:type="pct"/>
                  <w:vAlign w:val="center"/>
                </w:tcPr>
                <w:p w14:paraId="5D7046E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0.020</w:t>
                  </w:r>
                </w:p>
              </w:tc>
              <w:tc>
                <w:tcPr>
                  <w:tcW w:w="863" w:type="pct"/>
                  <w:vAlign w:val="center"/>
                </w:tcPr>
                <w:p w14:paraId="01CBD5F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8.0×10</w:t>
                  </w:r>
                  <w:r>
                    <w:rPr>
                      <w:rFonts w:ascii="Times New Roman" w:hAnsi="Times New Roman" w:eastAsia="宋体" w:cs="Times New Roman"/>
                      <w:color w:val="000000" w:themeColor="text1"/>
                      <w:szCs w:val="21"/>
                      <w:vertAlign w:val="superscript"/>
                      <w14:textFill>
                        <w14:solidFill>
                          <w14:schemeClr w14:val="tx1"/>
                        </w14:solidFill>
                      </w14:textFill>
                    </w:rPr>
                    <w:t>-4</w:t>
                  </w:r>
                </w:p>
              </w:tc>
              <w:tc>
                <w:tcPr>
                  <w:tcW w:w="524" w:type="pct"/>
                  <w:vAlign w:val="center"/>
                </w:tcPr>
                <w:p w14:paraId="307AB90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69F477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76A4DB4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continue"/>
                  <w:vAlign w:val="center"/>
                </w:tcPr>
                <w:p w14:paraId="263ADBE1">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848" w:type="pct"/>
                  <w:vAlign w:val="center"/>
                </w:tcPr>
                <w:p w14:paraId="68654F4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12:05-13:05</w:t>
                  </w:r>
                </w:p>
              </w:tc>
              <w:tc>
                <w:tcPr>
                  <w:tcW w:w="863" w:type="pct"/>
                  <w:vAlign w:val="center"/>
                </w:tcPr>
                <w:p w14:paraId="40D774E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0.164</w:t>
                  </w:r>
                </w:p>
              </w:tc>
              <w:tc>
                <w:tcPr>
                  <w:tcW w:w="863" w:type="pct"/>
                  <w:vAlign w:val="center"/>
                </w:tcPr>
                <w:p w14:paraId="10D1464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0.021</w:t>
                  </w:r>
                </w:p>
              </w:tc>
              <w:tc>
                <w:tcPr>
                  <w:tcW w:w="863" w:type="pct"/>
                  <w:vAlign w:val="center"/>
                </w:tcPr>
                <w:p w14:paraId="6FBC0A8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1.0×10</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524" w:type="pct"/>
                  <w:vAlign w:val="center"/>
                </w:tcPr>
                <w:p w14:paraId="6E83FEF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2806C7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37CB0816">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continue"/>
                  <w:vAlign w:val="center"/>
                </w:tcPr>
                <w:p w14:paraId="3DC14B4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848" w:type="pct"/>
                  <w:vAlign w:val="center"/>
                </w:tcPr>
                <w:p w14:paraId="4F14510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13:10-14:10</w:t>
                  </w:r>
                </w:p>
              </w:tc>
              <w:tc>
                <w:tcPr>
                  <w:tcW w:w="863" w:type="pct"/>
                  <w:vAlign w:val="center"/>
                </w:tcPr>
                <w:p w14:paraId="61B1F3F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0.182</w:t>
                  </w:r>
                </w:p>
              </w:tc>
              <w:tc>
                <w:tcPr>
                  <w:tcW w:w="863" w:type="pct"/>
                  <w:vAlign w:val="center"/>
                </w:tcPr>
                <w:p w14:paraId="026FFE5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0.019</w:t>
                  </w:r>
                </w:p>
              </w:tc>
              <w:tc>
                <w:tcPr>
                  <w:tcW w:w="863" w:type="pct"/>
                  <w:vAlign w:val="center"/>
                </w:tcPr>
                <w:p w14:paraId="2816B6D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1.1×10</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524" w:type="pct"/>
                  <w:vAlign w:val="center"/>
                </w:tcPr>
                <w:p w14:paraId="1E71E27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0CDE0E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restart"/>
                  <w:vAlign w:val="center"/>
                </w:tcPr>
                <w:p w14:paraId="078AEB5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项目边界外下风向2-50m范围内浓度最高点3#</w:t>
                  </w:r>
                </w:p>
              </w:tc>
              <w:tc>
                <w:tcPr>
                  <w:tcW w:w="410" w:type="pct"/>
                  <w:vMerge w:val="restart"/>
                  <w:vAlign w:val="center"/>
                </w:tcPr>
                <w:p w14:paraId="1B66038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1月14日</w:t>
                  </w:r>
                </w:p>
              </w:tc>
              <w:tc>
                <w:tcPr>
                  <w:tcW w:w="848" w:type="pct"/>
                  <w:vAlign w:val="center"/>
                </w:tcPr>
                <w:p w14:paraId="1A1DA7A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15:43-16:43</w:t>
                  </w:r>
                </w:p>
              </w:tc>
              <w:tc>
                <w:tcPr>
                  <w:tcW w:w="863" w:type="pct"/>
                  <w:vAlign w:val="center"/>
                </w:tcPr>
                <w:p w14:paraId="71FFC74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0.344</w:t>
                  </w:r>
                </w:p>
              </w:tc>
              <w:tc>
                <w:tcPr>
                  <w:tcW w:w="863" w:type="pct"/>
                  <w:vAlign w:val="center"/>
                </w:tcPr>
                <w:p w14:paraId="66C7937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0.016</w:t>
                  </w:r>
                </w:p>
              </w:tc>
              <w:tc>
                <w:tcPr>
                  <w:tcW w:w="863" w:type="pct"/>
                  <w:vAlign w:val="center"/>
                </w:tcPr>
                <w:p w14:paraId="046C747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7.0×10</w:t>
                  </w:r>
                  <w:r>
                    <w:rPr>
                      <w:rFonts w:ascii="Times New Roman" w:hAnsi="Times New Roman" w:eastAsia="宋体" w:cs="Times New Roman"/>
                      <w:color w:val="000000" w:themeColor="text1"/>
                      <w:szCs w:val="21"/>
                      <w:vertAlign w:val="superscript"/>
                      <w14:textFill>
                        <w14:solidFill>
                          <w14:schemeClr w14:val="tx1"/>
                        </w14:solidFill>
                      </w14:textFill>
                    </w:rPr>
                    <w:t>-4</w:t>
                  </w:r>
                </w:p>
              </w:tc>
              <w:tc>
                <w:tcPr>
                  <w:tcW w:w="524" w:type="pct"/>
                  <w:vAlign w:val="center"/>
                </w:tcPr>
                <w:p w14:paraId="187FE94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2B5103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0227223B">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continue"/>
                  <w:vAlign w:val="center"/>
                </w:tcPr>
                <w:p w14:paraId="215FCA6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848" w:type="pct"/>
                  <w:vAlign w:val="center"/>
                </w:tcPr>
                <w:p w14:paraId="26E7080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16:48-17:48</w:t>
                  </w:r>
                </w:p>
              </w:tc>
              <w:tc>
                <w:tcPr>
                  <w:tcW w:w="863" w:type="pct"/>
                  <w:vAlign w:val="center"/>
                </w:tcPr>
                <w:p w14:paraId="25A8445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0.417</w:t>
                  </w:r>
                </w:p>
              </w:tc>
              <w:tc>
                <w:tcPr>
                  <w:tcW w:w="863" w:type="pct"/>
                  <w:vAlign w:val="center"/>
                </w:tcPr>
                <w:p w14:paraId="111705F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0.020</w:t>
                  </w:r>
                </w:p>
              </w:tc>
              <w:tc>
                <w:tcPr>
                  <w:tcW w:w="863" w:type="pct"/>
                  <w:vAlign w:val="center"/>
                </w:tcPr>
                <w:p w14:paraId="3364BFB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9.0×10</w:t>
                  </w:r>
                  <w:r>
                    <w:rPr>
                      <w:rFonts w:ascii="Times New Roman" w:hAnsi="Times New Roman" w:eastAsia="宋体" w:cs="Times New Roman"/>
                      <w:color w:val="000000" w:themeColor="text1"/>
                      <w:szCs w:val="21"/>
                      <w:vertAlign w:val="superscript"/>
                      <w14:textFill>
                        <w14:solidFill>
                          <w14:schemeClr w14:val="tx1"/>
                        </w14:solidFill>
                      </w14:textFill>
                    </w:rPr>
                    <w:t>-4</w:t>
                  </w:r>
                </w:p>
              </w:tc>
              <w:tc>
                <w:tcPr>
                  <w:tcW w:w="524" w:type="pct"/>
                  <w:vAlign w:val="center"/>
                </w:tcPr>
                <w:p w14:paraId="495F62A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0DA47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7F12D93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continue"/>
                  <w:vAlign w:val="center"/>
                </w:tcPr>
                <w:p w14:paraId="614AE77F">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848" w:type="pct"/>
                  <w:vAlign w:val="center"/>
                </w:tcPr>
                <w:p w14:paraId="5061561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17:53-18:53</w:t>
                  </w:r>
                </w:p>
              </w:tc>
              <w:tc>
                <w:tcPr>
                  <w:tcW w:w="863" w:type="pct"/>
                  <w:vAlign w:val="center"/>
                </w:tcPr>
                <w:p w14:paraId="641950A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0.274</w:t>
                  </w:r>
                </w:p>
              </w:tc>
              <w:tc>
                <w:tcPr>
                  <w:tcW w:w="863" w:type="pct"/>
                  <w:vAlign w:val="center"/>
                </w:tcPr>
                <w:p w14:paraId="38B7BDD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0.022</w:t>
                  </w:r>
                </w:p>
              </w:tc>
              <w:tc>
                <w:tcPr>
                  <w:tcW w:w="863" w:type="pct"/>
                  <w:vAlign w:val="center"/>
                </w:tcPr>
                <w:p w14:paraId="2C9EE88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1.0×10</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524" w:type="pct"/>
                  <w:vAlign w:val="center"/>
                </w:tcPr>
                <w:p w14:paraId="6D3721A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3F900B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21F7DF2F">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continue"/>
                  <w:vAlign w:val="center"/>
                </w:tcPr>
                <w:p w14:paraId="4387AB7F">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848" w:type="pct"/>
                  <w:vAlign w:val="center"/>
                </w:tcPr>
                <w:p w14:paraId="3567536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18:58-19:58</w:t>
                  </w:r>
                </w:p>
              </w:tc>
              <w:tc>
                <w:tcPr>
                  <w:tcW w:w="863" w:type="pct"/>
                  <w:vAlign w:val="center"/>
                </w:tcPr>
                <w:p w14:paraId="401A234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0.144</w:t>
                  </w:r>
                </w:p>
              </w:tc>
              <w:tc>
                <w:tcPr>
                  <w:tcW w:w="863" w:type="pct"/>
                  <w:vAlign w:val="center"/>
                </w:tcPr>
                <w:p w14:paraId="54DB8AD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0.021</w:t>
                  </w:r>
                </w:p>
              </w:tc>
              <w:tc>
                <w:tcPr>
                  <w:tcW w:w="863" w:type="pct"/>
                  <w:vAlign w:val="center"/>
                </w:tcPr>
                <w:p w14:paraId="60227E9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9.0×10</w:t>
                  </w:r>
                  <w:r>
                    <w:rPr>
                      <w:rFonts w:ascii="Times New Roman" w:hAnsi="Times New Roman" w:eastAsia="宋体" w:cs="Times New Roman"/>
                      <w:color w:val="000000" w:themeColor="text1"/>
                      <w:szCs w:val="21"/>
                      <w:vertAlign w:val="superscript"/>
                      <w14:textFill>
                        <w14:solidFill>
                          <w14:schemeClr w14:val="tx1"/>
                        </w14:solidFill>
                      </w14:textFill>
                    </w:rPr>
                    <w:t>-4</w:t>
                  </w:r>
                </w:p>
              </w:tc>
              <w:tc>
                <w:tcPr>
                  <w:tcW w:w="524" w:type="pct"/>
                  <w:vAlign w:val="center"/>
                </w:tcPr>
                <w:p w14:paraId="52B606F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7F356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355BA173">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restart"/>
                  <w:vAlign w:val="center"/>
                </w:tcPr>
                <w:p w14:paraId="0B15564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1月15日</w:t>
                  </w:r>
                </w:p>
              </w:tc>
              <w:tc>
                <w:tcPr>
                  <w:tcW w:w="848" w:type="pct"/>
                  <w:vAlign w:val="center"/>
                </w:tcPr>
                <w:p w14:paraId="54C6976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09:59-10:59</w:t>
                  </w:r>
                </w:p>
              </w:tc>
              <w:tc>
                <w:tcPr>
                  <w:tcW w:w="863" w:type="pct"/>
                  <w:vAlign w:val="center"/>
                </w:tcPr>
                <w:p w14:paraId="2272F2F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0.268</w:t>
                  </w:r>
                </w:p>
              </w:tc>
              <w:tc>
                <w:tcPr>
                  <w:tcW w:w="863" w:type="pct"/>
                  <w:vAlign w:val="center"/>
                </w:tcPr>
                <w:p w14:paraId="48350D3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0.017</w:t>
                  </w:r>
                </w:p>
              </w:tc>
              <w:tc>
                <w:tcPr>
                  <w:tcW w:w="863" w:type="pct"/>
                  <w:vAlign w:val="center"/>
                </w:tcPr>
                <w:p w14:paraId="300A938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8.0×10</w:t>
                  </w:r>
                  <w:r>
                    <w:rPr>
                      <w:rFonts w:ascii="Times New Roman" w:hAnsi="Times New Roman" w:eastAsia="宋体" w:cs="Times New Roman"/>
                      <w:color w:val="000000" w:themeColor="text1"/>
                      <w:szCs w:val="21"/>
                      <w:vertAlign w:val="superscript"/>
                      <w14:textFill>
                        <w14:solidFill>
                          <w14:schemeClr w14:val="tx1"/>
                        </w14:solidFill>
                      </w14:textFill>
                    </w:rPr>
                    <w:t>-4</w:t>
                  </w:r>
                </w:p>
              </w:tc>
              <w:tc>
                <w:tcPr>
                  <w:tcW w:w="524" w:type="pct"/>
                  <w:vAlign w:val="center"/>
                </w:tcPr>
                <w:p w14:paraId="6423BA0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480D33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71B3148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continue"/>
                  <w:vAlign w:val="center"/>
                </w:tcPr>
                <w:p w14:paraId="3625465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848" w:type="pct"/>
                  <w:vAlign w:val="center"/>
                </w:tcPr>
                <w:p w14:paraId="2B1774B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11:04-12:04</w:t>
                  </w:r>
                </w:p>
              </w:tc>
              <w:tc>
                <w:tcPr>
                  <w:tcW w:w="863" w:type="pct"/>
                  <w:vAlign w:val="center"/>
                </w:tcPr>
                <w:p w14:paraId="050B80C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0.216</w:t>
                  </w:r>
                </w:p>
              </w:tc>
              <w:tc>
                <w:tcPr>
                  <w:tcW w:w="863" w:type="pct"/>
                  <w:vAlign w:val="center"/>
                </w:tcPr>
                <w:p w14:paraId="45A5E1C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0.016</w:t>
                  </w:r>
                </w:p>
              </w:tc>
              <w:tc>
                <w:tcPr>
                  <w:tcW w:w="863" w:type="pct"/>
                  <w:vAlign w:val="center"/>
                </w:tcPr>
                <w:p w14:paraId="093AE86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1.1×10</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524" w:type="pct"/>
                  <w:vAlign w:val="center"/>
                </w:tcPr>
                <w:p w14:paraId="44FA1D8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2B1DCF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203E0912">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continue"/>
                  <w:vAlign w:val="center"/>
                </w:tcPr>
                <w:p w14:paraId="1B5B83D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848" w:type="pct"/>
                  <w:vAlign w:val="center"/>
                </w:tcPr>
                <w:p w14:paraId="2654F02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12:09-13:09</w:t>
                  </w:r>
                </w:p>
              </w:tc>
              <w:tc>
                <w:tcPr>
                  <w:tcW w:w="863" w:type="pct"/>
                  <w:vAlign w:val="center"/>
                </w:tcPr>
                <w:p w14:paraId="4247229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0.400</w:t>
                  </w:r>
                </w:p>
              </w:tc>
              <w:tc>
                <w:tcPr>
                  <w:tcW w:w="863" w:type="pct"/>
                  <w:vAlign w:val="center"/>
                </w:tcPr>
                <w:p w14:paraId="5F6EA83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0.017</w:t>
                  </w:r>
                </w:p>
              </w:tc>
              <w:tc>
                <w:tcPr>
                  <w:tcW w:w="863" w:type="pct"/>
                  <w:vAlign w:val="center"/>
                </w:tcPr>
                <w:p w14:paraId="05ADECC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1.0×10</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524" w:type="pct"/>
                  <w:vAlign w:val="center"/>
                </w:tcPr>
                <w:p w14:paraId="2D639B5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r w14:paraId="58E9E2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trPr>
              <w:tc>
                <w:tcPr>
                  <w:tcW w:w="627" w:type="pct"/>
                  <w:vMerge w:val="continue"/>
                  <w:vAlign w:val="center"/>
                </w:tcPr>
                <w:p w14:paraId="22D86681">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410" w:type="pct"/>
                  <w:vMerge w:val="continue"/>
                  <w:vAlign w:val="center"/>
                </w:tcPr>
                <w:p w14:paraId="27FF9DF1">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848" w:type="pct"/>
                  <w:vAlign w:val="center"/>
                </w:tcPr>
                <w:p w14:paraId="432AE19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13:14-14:14</w:t>
                  </w:r>
                </w:p>
              </w:tc>
              <w:tc>
                <w:tcPr>
                  <w:tcW w:w="863" w:type="pct"/>
                  <w:vAlign w:val="center"/>
                </w:tcPr>
                <w:p w14:paraId="3BF068F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0.274</w:t>
                  </w:r>
                </w:p>
              </w:tc>
              <w:tc>
                <w:tcPr>
                  <w:tcW w:w="863" w:type="pct"/>
                  <w:vAlign w:val="center"/>
                </w:tcPr>
                <w:p w14:paraId="0C2B4A5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0.013</w:t>
                  </w:r>
                </w:p>
              </w:tc>
              <w:tc>
                <w:tcPr>
                  <w:tcW w:w="863" w:type="pct"/>
                  <w:vAlign w:val="center"/>
                </w:tcPr>
                <w:p w14:paraId="2601FF6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1.2×10</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524" w:type="pct"/>
                  <w:vAlign w:val="center"/>
                </w:tcPr>
                <w:p w14:paraId="214072F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mg/m</w:t>
                  </w:r>
                  <w:r>
                    <w:rPr>
                      <w:rFonts w:ascii="Times New Roman" w:hAnsi="Times New Roman" w:eastAsia="宋体" w:cs="Times New Roman"/>
                      <w:color w:val="000000" w:themeColor="text1"/>
                      <w:szCs w:val="21"/>
                      <w:vertAlign w:val="superscript"/>
                      <w14:textFill>
                        <w14:solidFill>
                          <w14:schemeClr w14:val="tx1"/>
                        </w14:solidFill>
                      </w14:textFill>
                    </w:rPr>
                    <w:t>3</w:t>
                  </w:r>
                </w:p>
              </w:tc>
            </w:tr>
          </w:tbl>
          <w:p w14:paraId="7BAACF48">
            <w:pPr>
              <w:snapToGrid w:val="0"/>
              <w:spacing w:before="156" w:beforeLines="50" w:line="360" w:lineRule="auto"/>
              <w:ind w:firstLine="480" w:firstLineChars="200"/>
              <w:textAlignment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现有工程厂界废气无组织排放的颗粒物、二氧化硫、氟化物浓度均能达到《砖瓦工业大气污染物排放标准》（GB29620-2013）表3现有和新建企业边界大气污染物浓度限值。</w:t>
            </w:r>
          </w:p>
          <w:p w14:paraId="6B3D10A5">
            <w:pPr>
              <w:snapToGrid w:val="0"/>
              <w:spacing w:line="360" w:lineRule="auto"/>
              <w:rPr>
                <w:rFonts w:ascii="Times New Roman" w:hAnsi="Times New Roman" w:eastAsia="宋体" w:cs="Times New Roman"/>
                <w:b/>
                <w:color w:val="000000" w:themeColor="text1"/>
                <w:szCs w:val="24"/>
                <w14:textFill>
                  <w14:solidFill>
                    <w14:schemeClr w14:val="tx1"/>
                  </w14:solidFill>
                </w14:textFill>
              </w:rPr>
            </w:pPr>
            <w:r>
              <w:rPr>
                <w:rFonts w:ascii="Times New Roman" w:hAnsi="Times New Roman" w:eastAsia="宋体" w:cs="Times New Roman"/>
                <w:b/>
                <w:color w:val="000000" w:themeColor="text1"/>
                <w:szCs w:val="24"/>
                <w14:textFill>
                  <w14:solidFill>
                    <w14:schemeClr w14:val="tx1"/>
                  </w14:solidFill>
                </w14:textFill>
              </w:rPr>
              <w:t>2、</w:t>
            </w:r>
            <w:r>
              <w:rPr>
                <w:rFonts w:ascii="Times New Roman" w:hAnsi="Times New Roman" w:eastAsia="宋体" w:cs="Times New Roman"/>
                <w:b/>
                <w:bCs/>
                <w:color w:val="000000" w:themeColor="text1"/>
                <w:szCs w:val="24"/>
                <w14:textFill>
                  <w14:solidFill>
                    <w14:schemeClr w14:val="tx1"/>
                  </w14:solidFill>
                </w14:textFill>
              </w:rPr>
              <w:t>现有工程废水污染物排放情况</w:t>
            </w:r>
          </w:p>
          <w:p w14:paraId="3529E7B9">
            <w:pPr>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现有工程生产用水主要为湿式脱硫塔循环水，循环废水经沉淀后回用，无生产废水排放；项目生活污水经已建容积预处理池处理后，用于周边农户农灌，不外排。</w:t>
            </w:r>
          </w:p>
          <w:p w14:paraId="68198134">
            <w:pPr>
              <w:adjustRightInd w:val="0"/>
              <w:snapToGrid w:val="0"/>
              <w:spacing w:line="360" w:lineRule="auto"/>
              <w:ind w:firstLine="480" w:firstLineChars="20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 w:val="24"/>
                <w:szCs w:val="21"/>
                <w14:textFill>
                  <w14:solidFill>
                    <w14:schemeClr w14:val="tx1"/>
                  </w14:solidFill>
                </w14:textFill>
              </w:rPr>
              <w:t>根据现场踏勘，现有工程采取的环保措施如下所示：</w:t>
            </w:r>
          </w:p>
          <w:p w14:paraId="6F9B96C9">
            <w:pPr>
              <w:snapToGrid w:val="0"/>
              <w:spacing w:line="360" w:lineRule="auto"/>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cs="Times New Roman"/>
                <w:color w:val="000000" w:themeColor="text1"/>
                <w14:textFill>
                  <w14:solidFill>
                    <w14:schemeClr w14:val="tx1"/>
                  </w14:solidFill>
                </w14:textFill>
              </w:rPr>
              <w:drawing>
                <wp:inline distT="0" distB="0" distL="0" distR="0">
                  <wp:extent cx="2375535" cy="1654175"/>
                  <wp:effectExtent l="0" t="0" r="5715" b="3175"/>
                  <wp:docPr id="101" name="图片 101" descr="IMG_20210106_132844"/>
                  <wp:cNvGraphicFramePr/>
                  <a:graphic xmlns:a="http://schemas.openxmlformats.org/drawingml/2006/main">
                    <a:graphicData uri="http://schemas.openxmlformats.org/drawingml/2006/picture">
                      <pic:pic xmlns:pic="http://schemas.openxmlformats.org/drawingml/2006/picture">
                        <pic:nvPicPr>
                          <pic:cNvPr id="101" name="图片 101" descr="IMG_20210106_132844"/>
                          <pic:cNvPicPr/>
                        </pic:nvPicPr>
                        <pic:blipFill>
                          <a:blip r:embed="rId27"/>
                          <a:stretch>
                            <a:fillRect/>
                          </a:stretch>
                        </pic:blipFill>
                        <pic:spPr>
                          <a:xfrm>
                            <a:off x="0" y="0"/>
                            <a:ext cx="2376000" cy="1654175"/>
                          </a:xfrm>
                          <a:prstGeom prst="rect">
                            <a:avLst/>
                          </a:prstGeom>
                        </pic:spPr>
                      </pic:pic>
                    </a:graphicData>
                  </a:graphic>
                </wp:inline>
              </w:drawing>
            </w:r>
            <w:r>
              <w:rPr>
                <w:rFonts w:ascii="Times New Roman" w:hAnsi="Times New Roman" w:eastAsia="宋体" w:cs="Times New Roman"/>
                <w:color w:val="000000" w:themeColor="text1"/>
                <w:sz w:val="24"/>
                <w:szCs w:val="24"/>
                <w14:textFill>
                  <w14:solidFill>
                    <w14:schemeClr w14:val="tx1"/>
                  </w14:solidFill>
                </w14:textFill>
              </w:rPr>
              <w:t xml:space="preserve"> </w:t>
            </w:r>
            <w:r>
              <w:rPr>
                <w:rFonts w:ascii="Times New Roman" w:hAnsi="Times New Roman" w:cs="Times New Roman"/>
                <w:color w:val="000000" w:themeColor="text1"/>
                <w14:textFill>
                  <w14:solidFill>
                    <w14:schemeClr w14:val="tx1"/>
                  </w14:solidFill>
                </w14:textFill>
              </w:rPr>
              <w:drawing>
                <wp:inline distT="0" distB="0" distL="0" distR="0">
                  <wp:extent cx="2375535" cy="1629410"/>
                  <wp:effectExtent l="0" t="0" r="5715" b="8890"/>
                  <wp:docPr id="2" name="图片 2" descr="b6a41ddeea064652d59daed2271dfcc"/>
                  <wp:cNvGraphicFramePr/>
                  <a:graphic xmlns:a="http://schemas.openxmlformats.org/drawingml/2006/main">
                    <a:graphicData uri="http://schemas.openxmlformats.org/drawingml/2006/picture">
                      <pic:pic xmlns:pic="http://schemas.openxmlformats.org/drawingml/2006/picture">
                        <pic:nvPicPr>
                          <pic:cNvPr id="2" name="图片 2" descr="b6a41ddeea064652d59daed2271dfcc"/>
                          <pic:cNvPicPr/>
                        </pic:nvPicPr>
                        <pic:blipFill>
                          <a:blip r:embed="rId28"/>
                          <a:srcRect t="12500" b="12500"/>
                          <a:stretch>
                            <a:fillRect/>
                          </a:stretch>
                        </pic:blipFill>
                        <pic:spPr>
                          <a:xfrm>
                            <a:off x="0" y="0"/>
                            <a:ext cx="2376000" cy="1629410"/>
                          </a:xfrm>
                          <a:prstGeom prst="rect">
                            <a:avLst/>
                          </a:prstGeom>
                        </pic:spPr>
                      </pic:pic>
                    </a:graphicData>
                  </a:graphic>
                </wp:inline>
              </w:drawing>
            </w:r>
          </w:p>
          <w:p w14:paraId="399C3D02">
            <w:pPr>
              <w:snapToGrid w:val="0"/>
              <w:spacing w:line="360" w:lineRule="auto"/>
              <w:jc w:val="left"/>
              <w:rPr>
                <w:rFonts w:ascii="Times New Roman" w:hAnsi="Times New Roman" w:eastAsia="宋体" w:cs="Times New Roman"/>
                <w:b/>
                <w:color w:val="000000" w:themeColor="text1"/>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 xml:space="preserve">         </w:t>
            </w:r>
            <w:r>
              <w:rPr>
                <w:rFonts w:ascii="Times New Roman" w:hAnsi="Times New Roman" w:eastAsia="宋体" w:cs="Times New Roman"/>
                <w:b/>
                <w:color w:val="000000" w:themeColor="text1"/>
                <w:szCs w:val="24"/>
                <w14:textFill>
                  <w14:solidFill>
                    <w14:schemeClr w14:val="tx1"/>
                  </w14:solidFill>
                </w14:textFill>
              </w:rPr>
              <w:t xml:space="preserve">     循环水池                              预处理池          </w:t>
            </w:r>
          </w:p>
          <w:p w14:paraId="0EC52D32">
            <w:pPr>
              <w:snapToGrid w:val="0"/>
              <w:jc w:val="center"/>
              <w:rPr>
                <w:rFonts w:ascii="Times New Roman" w:hAnsi="Times New Roman" w:eastAsia="宋体" w:cs="Times New Roman"/>
                <w:b/>
                <w:color w:val="000000" w:themeColor="text1"/>
                <w:szCs w:val="24"/>
                <w14:textFill>
                  <w14:solidFill>
                    <w14:schemeClr w14:val="tx1"/>
                  </w14:solidFill>
                </w14:textFill>
              </w:rPr>
            </w:pPr>
            <w:r>
              <w:rPr>
                <w:rFonts w:ascii="Times New Roman" w:hAnsi="Times New Roman" w:eastAsia="宋体" w:cs="Times New Roman"/>
                <w:b/>
                <w:color w:val="000000" w:themeColor="text1"/>
                <w:szCs w:val="24"/>
                <w14:textFill>
                  <w14:solidFill>
                    <w14:schemeClr w14:val="tx1"/>
                  </w14:solidFill>
                </w14:textFill>
              </w:rPr>
              <w:t>图2-5 现有工程废水处理措施</w:t>
            </w:r>
          </w:p>
          <w:p w14:paraId="5FEC96AB">
            <w:pPr>
              <w:snapToGrid w:val="0"/>
              <w:spacing w:line="360" w:lineRule="auto"/>
              <w:rPr>
                <w:rFonts w:ascii="Times New Roman" w:hAnsi="Times New Roman" w:eastAsia="宋体" w:cs="Times New Roman"/>
                <w:b/>
                <w:color w:val="000000" w:themeColor="text1"/>
                <w:szCs w:val="24"/>
                <w14:textFill>
                  <w14:solidFill>
                    <w14:schemeClr w14:val="tx1"/>
                  </w14:solidFill>
                </w14:textFill>
              </w:rPr>
            </w:pPr>
            <w:r>
              <w:rPr>
                <w:rFonts w:ascii="Times New Roman" w:hAnsi="Times New Roman" w:eastAsia="宋体" w:cs="Times New Roman"/>
                <w:b/>
                <w:color w:val="000000" w:themeColor="text1"/>
                <w:szCs w:val="24"/>
                <w14:textFill>
                  <w14:solidFill>
                    <w14:schemeClr w14:val="tx1"/>
                  </w14:solidFill>
                </w14:textFill>
              </w:rPr>
              <w:t>4、</w:t>
            </w:r>
            <w:r>
              <w:rPr>
                <w:rFonts w:ascii="Times New Roman" w:hAnsi="Times New Roman" w:eastAsia="宋体" w:cs="Times New Roman"/>
                <w:b/>
                <w:bCs/>
                <w:color w:val="000000" w:themeColor="text1"/>
                <w:szCs w:val="24"/>
                <w14:textFill>
                  <w14:solidFill>
                    <w14:schemeClr w14:val="tx1"/>
                  </w14:solidFill>
                </w14:textFill>
              </w:rPr>
              <w:t>现有工程噪声污染物排放情况</w:t>
            </w:r>
          </w:p>
          <w:p w14:paraId="7312999A">
            <w:pPr>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现有工程噪声污染源主要包括颚式破碎机、锤式破碎机、给料机、胶带输送机、双轴搅拌机、挤条机、风机等辅助动力设施。本评价收集了企业自主验收检测报告（川国测检字(2021)第YS01160号），厂界噪声能达到《工业企业厂界环境噪声排放标准》（GB12348-2008）2类标准。</w:t>
            </w:r>
          </w:p>
          <w:p w14:paraId="739B733D"/>
          <w:p w14:paraId="280B84D0">
            <w:pPr>
              <w:pStyle w:val="6"/>
            </w:pPr>
          </w:p>
          <w:p w14:paraId="12F8B44A"/>
          <w:p w14:paraId="112D2AEE"/>
          <w:p w14:paraId="72F5365D">
            <w:pPr>
              <w:snapToGrid w:val="0"/>
              <w:jc w:val="center"/>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33</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ascii="Times New Roman" w:hAnsi="Times New Roman" w:eastAsia="宋体" w:cs="Times New Roman"/>
                <w:b/>
                <w:color w:val="000000" w:themeColor="text1"/>
                <w:kern w:val="0"/>
                <w:szCs w:val="21"/>
                <w14:textFill>
                  <w14:solidFill>
                    <w14:schemeClr w14:val="tx1"/>
                  </w14:solidFill>
                </w14:textFill>
              </w:rPr>
              <w:t>噪声监测结果表   单位：dB(A)</w:t>
            </w:r>
          </w:p>
          <w:tbl>
            <w:tblPr>
              <w:tblStyle w:val="2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7" w:type="dxa"/>
                <w:bottom w:w="0" w:type="dxa"/>
                <w:right w:w="57" w:type="dxa"/>
              </w:tblCellMar>
            </w:tblPr>
            <w:tblGrid>
              <w:gridCol w:w="845"/>
              <w:gridCol w:w="1925"/>
              <w:gridCol w:w="1183"/>
              <w:gridCol w:w="1303"/>
              <w:gridCol w:w="914"/>
              <w:gridCol w:w="892"/>
              <w:gridCol w:w="751"/>
            </w:tblGrid>
            <w:tr w14:paraId="5AD89C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276" w:hRule="atLeast"/>
              </w:trPr>
              <w:tc>
                <w:tcPr>
                  <w:tcW w:w="541" w:type="pct"/>
                  <w:vMerge w:val="restart"/>
                  <w:vAlign w:val="center"/>
                </w:tcPr>
                <w:p w14:paraId="331972C4">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检测日期</w:t>
                  </w:r>
                </w:p>
              </w:tc>
              <w:tc>
                <w:tcPr>
                  <w:tcW w:w="1232" w:type="pct"/>
                  <w:vMerge w:val="restart"/>
                  <w:vAlign w:val="center"/>
                </w:tcPr>
                <w:p w14:paraId="78EB3CCF">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检测点位</w:t>
                  </w:r>
                </w:p>
              </w:tc>
              <w:tc>
                <w:tcPr>
                  <w:tcW w:w="3227" w:type="pct"/>
                  <w:gridSpan w:val="5"/>
                  <w:vAlign w:val="center"/>
                </w:tcPr>
                <w:p w14:paraId="6E227946">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检测时段及结果（L</w:t>
                  </w:r>
                  <w:r>
                    <w:rPr>
                      <w:rFonts w:ascii="Times New Roman" w:hAnsi="Times New Roman" w:eastAsia="宋体" w:cs="Times New Roman"/>
                      <w:b/>
                      <w:color w:val="000000" w:themeColor="text1"/>
                      <w:szCs w:val="21"/>
                      <w:vertAlign w:val="subscript"/>
                      <w14:textFill>
                        <w14:solidFill>
                          <w14:schemeClr w14:val="tx1"/>
                        </w14:solidFill>
                      </w14:textFill>
                    </w:rPr>
                    <w:t>eq</w:t>
                  </w:r>
                  <w:r>
                    <w:rPr>
                      <w:rFonts w:ascii="Times New Roman" w:hAnsi="Times New Roman" w:eastAsia="宋体" w:cs="Times New Roman"/>
                      <w:b/>
                      <w:color w:val="000000" w:themeColor="text1"/>
                      <w:szCs w:val="21"/>
                      <w14:textFill>
                        <w14:solidFill>
                          <w14:schemeClr w14:val="tx1"/>
                        </w14:solidFill>
                      </w14:textFill>
                    </w:rPr>
                    <w:t>）</w:t>
                  </w:r>
                </w:p>
              </w:tc>
            </w:tr>
            <w:tr w14:paraId="558F31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279" w:hRule="atLeast"/>
              </w:trPr>
              <w:tc>
                <w:tcPr>
                  <w:tcW w:w="541" w:type="pct"/>
                  <w:vMerge w:val="continue"/>
                  <w:vAlign w:val="center"/>
                </w:tcPr>
                <w:p w14:paraId="67A26A1E">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1232" w:type="pct"/>
                  <w:vMerge w:val="continue"/>
                  <w:vAlign w:val="center"/>
                </w:tcPr>
                <w:p w14:paraId="23E63DDF">
                  <w:pPr>
                    <w:widowControl/>
                    <w:jc w:val="left"/>
                    <w:rPr>
                      <w:rFonts w:ascii="Times New Roman" w:hAnsi="Times New Roman" w:eastAsia="宋体" w:cs="Times New Roman"/>
                      <w:b/>
                      <w:color w:val="000000" w:themeColor="text1"/>
                      <w:szCs w:val="21"/>
                      <w14:textFill>
                        <w14:solidFill>
                          <w14:schemeClr w14:val="tx1"/>
                        </w14:solidFill>
                      </w14:textFill>
                    </w:rPr>
                  </w:pPr>
                </w:p>
              </w:tc>
              <w:tc>
                <w:tcPr>
                  <w:tcW w:w="757" w:type="pct"/>
                  <w:vAlign w:val="center"/>
                </w:tcPr>
                <w:p w14:paraId="62359FD3">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检测时段</w:t>
                  </w:r>
                </w:p>
              </w:tc>
              <w:tc>
                <w:tcPr>
                  <w:tcW w:w="834" w:type="pct"/>
                  <w:vAlign w:val="center"/>
                </w:tcPr>
                <w:p w14:paraId="7CD5282E">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主要声源</w:t>
                  </w:r>
                </w:p>
              </w:tc>
              <w:tc>
                <w:tcPr>
                  <w:tcW w:w="585" w:type="pct"/>
                  <w:vAlign w:val="center"/>
                </w:tcPr>
                <w:p w14:paraId="705866E6">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测量值</w:t>
                  </w:r>
                </w:p>
              </w:tc>
              <w:tc>
                <w:tcPr>
                  <w:tcW w:w="571" w:type="pct"/>
                  <w:vAlign w:val="center"/>
                </w:tcPr>
                <w:p w14:paraId="4CF74F61">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评价结果</w:t>
                  </w:r>
                </w:p>
              </w:tc>
              <w:tc>
                <w:tcPr>
                  <w:tcW w:w="480" w:type="pct"/>
                  <w:vAlign w:val="center"/>
                </w:tcPr>
                <w:p w14:paraId="0DDFA5B7">
                  <w:pPr>
                    <w:overflowPunct w:val="0"/>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单位</w:t>
                  </w:r>
                </w:p>
              </w:tc>
            </w:tr>
            <w:tr w14:paraId="206279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279" w:hRule="atLeast"/>
              </w:trPr>
              <w:tc>
                <w:tcPr>
                  <w:tcW w:w="541" w:type="pct"/>
                  <w:vMerge w:val="restart"/>
                  <w:vAlign w:val="center"/>
                </w:tcPr>
                <w:p w14:paraId="08724031">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1月14日</w:t>
                  </w:r>
                </w:p>
              </w:tc>
              <w:tc>
                <w:tcPr>
                  <w:tcW w:w="1232" w:type="pct"/>
                  <w:vMerge w:val="restart"/>
                  <w:vAlign w:val="center"/>
                </w:tcPr>
                <w:p w14:paraId="20BFDCA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项目西侧厂界外1m 1#</w:t>
                  </w:r>
                </w:p>
              </w:tc>
              <w:tc>
                <w:tcPr>
                  <w:tcW w:w="757" w:type="pct"/>
                  <w:vAlign w:val="center"/>
                </w:tcPr>
                <w:p w14:paraId="25C9745A">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18:45-18:50</w:t>
                  </w:r>
                </w:p>
              </w:tc>
              <w:tc>
                <w:tcPr>
                  <w:tcW w:w="834" w:type="pct"/>
                  <w:vAlign w:val="center"/>
                </w:tcPr>
                <w:p w14:paraId="32733270">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生产机械</w:t>
                  </w:r>
                </w:p>
              </w:tc>
              <w:tc>
                <w:tcPr>
                  <w:tcW w:w="585" w:type="pct"/>
                  <w:vAlign w:val="center"/>
                </w:tcPr>
                <w:p w14:paraId="45586774">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48</w:t>
                  </w:r>
                </w:p>
              </w:tc>
              <w:tc>
                <w:tcPr>
                  <w:tcW w:w="571" w:type="pct"/>
                  <w:vAlign w:val="center"/>
                </w:tcPr>
                <w:p w14:paraId="7AB7B067">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c>
                <w:tcPr>
                  <w:tcW w:w="480" w:type="pct"/>
                  <w:vAlign w:val="center"/>
                </w:tcPr>
                <w:p w14:paraId="72A0B079">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dB(A)</w:t>
                  </w:r>
                </w:p>
              </w:tc>
            </w:tr>
            <w:tr w14:paraId="2A66A4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279" w:hRule="atLeast"/>
              </w:trPr>
              <w:tc>
                <w:tcPr>
                  <w:tcW w:w="541" w:type="pct"/>
                  <w:vMerge w:val="continue"/>
                  <w:vAlign w:val="center"/>
                </w:tcPr>
                <w:p w14:paraId="35C06F9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232" w:type="pct"/>
                  <w:vMerge w:val="continue"/>
                  <w:vAlign w:val="center"/>
                </w:tcPr>
                <w:p w14:paraId="49A91B1B">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57" w:type="pct"/>
                  <w:vAlign w:val="center"/>
                </w:tcPr>
                <w:p w14:paraId="700F8ED9">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22:04-22:09</w:t>
                  </w:r>
                </w:p>
              </w:tc>
              <w:tc>
                <w:tcPr>
                  <w:tcW w:w="834" w:type="pct"/>
                  <w:vAlign w:val="center"/>
                </w:tcPr>
                <w:p w14:paraId="7ABE04C8">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生产机械</w:t>
                  </w:r>
                </w:p>
              </w:tc>
              <w:tc>
                <w:tcPr>
                  <w:tcW w:w="585" w:type="pct"/>
                  <w:vAlign w:val="center"/>
                </w:tcPr>
                <w:p w14:paraId="2458B8FB">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44</w:t>
                  </w:r>
                </w:p>
              </w:tc>
              <w:tc>
                <w:tcPr>
                  <w:tcW w:w="571" w:type="pct"/>
                  <w:vAlign w:val="center"/>
                </w:tcPr>
                <w:p w14:paraId="2C41B3C6">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c>
                <w:tcPr>
                  <w:tcW w:w="480" w:type="pct"/>
                  <w:vAlign w:val="center"/>
                </w:tcPr>
                <w:p w14:paraId="3E35867B">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dB(A)</w:t>
                  </w:r>
                </w:p>
              </w:tc>
            </w:tr>
            <w:tr w14:paraId="7E7BE5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279" w:hRule="atLeast"/>
              </w:trPr>
              <w:tc>
                <w:tcPr>
                  <w:tcW w:w="541" w:type="pct"/>
                  <w:vMerge w:val="continue"/>
                  <w:vAlign w:val="center"/>
                </w:tcPr>
                <w:p w14:paraId="10FB0E13">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232" w:type="pct"/>
                  <w:vMerge w:val="restart"/>
                  <w:vAlign w:val="center"/>
                </w:tcPr>
                <w:p w14:paraId="7EDB288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项目北侧厂界外1m 2#</w:t>
                  </w:r>
                </w:p>
              </w:tc>
              <w:tc>
                <w:tcPr>
                  <w:tcW w:w="757" w:type="pct"/>
                  <w:vAlign w:val="center"/>
                </w:tcPr>
                <w:p w14:paraId="5EA15FCF">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19:05-19:10</w:t>
                  </w:r>
                </w:p>
              </w:tc>
              <w:tc>
                <w:tcPr>
                  <w:tcW w:w="834" w:type="pct"/>
                  <w:vAlign w:val="center"/>
                </w:tcPr>
                <w:p w14:paraId="22A7D4BF">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生产机械</w:t>
                  </w:r>
                </w:p>
              </w:tc>
              <w:tc>
                <w:tcPr>
                  <w:tcW w:w="585" w:type="pct"/>
                  <w:vAlign w:val="center"/>
                </w:tcPr>
                <w:p w14:paraId="07661694">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46</w:t>
                  </w:r>
                </w:p>
              </w:tc>
              <w:tc>
                <w:tcPr>
                  <w:tcW w:w="571" w:type="pct"/>
                  <w:vAlign w:val="center"/>
                </w:tcPr>
                <w:p w14:paraId="36A20D1C">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c>
                <w:tcPr>
                  <w:tcW w:w="480" w:type="pct"/>
                  <w:vAlign w:val="center"/>
                </w:tcPr>
                <w:p w14:paraId="63D66137">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dB(A)</w:t>
                  </w:r>
                </w:p>
              </w:tc>
            </w:tr>
            <w:tr w14:paraId="6681D4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279" w:hRule="atLeast"/>
              </w:trPr>
              <w:tc>
                <w:tcPr>
                  <w:tcW w:w="541" w:type="pct"/>
                  <w:vMerge w:val="continue"/>
                  <w:vAlign w:val="center"/>
                </w:tcPr>
                <w:p w14:paraId="5D8ACA52">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232" w:type="pct"/>
                  <w:vMerge w:val="continue"/>
                  <w:vAlign w:val="center"/>
                </w:tcPr>
                <w:p w14:paraId="40143F6B">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57" w:type="pct"/>
                  <w:vAlign w:val="center"/>
                </w:tcPr>
                <w:p w14:paraId="1D6981DF">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22:16-22:21</w:t>
                  </w:r>
                </w:p>
              </w:tc>
              <w:tc>
                <w:tcPr>
                  <w:tcW w:w="834" w:type="pct"/>
                  <w:vAlign w:val="center"/>
                </w:tcPr>
                <w:p w14:paraId="026592AA">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生产机械</w:t>
                  </w:r>
                </w:p>
              </w:tc>
              <w:tc>
                <w:tcPr>
                  <w:tcW w:w="585" w:type="pct"/>
                  <w:vAlign w:val="center"/>
                </w:tcPr>
                <w:p w14:paraId="62DBA1CA">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42</w:t>
                  </w:r>
                </w:p>
              </w:tc>
              <w:tc>
                <w:tcPr>
                  <w:tcW w:w="571" w:type="pct"/>
                  <w:vAlign w:val="center"/>
                </w:tcPr>
                <w:p w14:paraId="165B603E">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c>
                <w:tcPr>
                  <w:tcW w:w="480" w:type="pct"/>
                  <w:vAlign w:val="center"/>
                </w:tcPr>
                <w:p w14:paraId="0C75AADE">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dB(A)</w:t>
                  </w:r>
                </w:p>
              </w:tc>
            </w:tr>
            <w:tr w14:paraId="0E28D7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279" w:hRule="atLeast"/>
              </w:trPr>
              <w:tc>
                <w:tcPr>
                  <w:tcW w:w="541" w:type="pct"/>
                  <w:vMerge w:val="continue"/>
                  <w:vAlign w:val="center"/>
                </w:tcPr>
                <w:p w14:paraId="07A0AB13">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232" w:type="pct"/>
                  <w:vMerge w:val="restart"/>
                  <w:vAlign w:val="center"/>
                </w:tcPr>
                <w:p w14:paraId="6C17FD0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项目东侧厂界外1m 3#</w:t>
                  </w:r>
                </w:p>
              </w:tc>
              <w:tc>
                <w:tcPr>
                  <w:tcW w:w="757" w:type="pct"/>
                  <w:vAlign w:val="center"/>
                </w:tcPr>
                <w:p w14:paraId="46091714">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19:14-19:19</w:t>
                  </w:r>
                </w:p>
              </w:tc>
              <w:tc>
                <w:tcPr>
                  <w:tcW w:w="834" w:type="pct"/>
                  <w:vAlign w:val="center"/>
                </w:tcPr>
                <w:p w14:paraId="629F3770">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生产机械</w:t>
                  </w:r>
                </w:p>
              </w:tc>
              <w:tc>
                <w:tcPr>
                  <w:tcW w:w="585" w:type="pct"/>
                  <w:vAlign w:val="center"/>
                </w:tcPr>
                <w:p w14:paraId="7898F808">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47</w:t>
                  </w:r>
                </w:p>
              </w:tc>
              <w:tc>
                <w:tcPr>
                  <w:tcW w:w="571" w:type="pct"/>
                  <w:vAlign w:val="center"/>
                </w:tcPr>
                <w:p w14:paraId="48D2859B">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c>
                <w:tcPr>
                  <w:tcW w:w="480" w:type="pct"/>
                  <w:vAlign w:val="center"/>
                </w:tcPr>
                <w:p w14:paraId="7EE7F998">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dB(A)</w:t>
                  </w:r>
                </w:p>
              </w:tc>
            </w:tr>
            <w:tr w14:paraId="0AEF63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279" w:hRule="atLeast"/>
              </w:trPr>
              <w:tc>
                <w:tcPr>
                  <w:tcW w:w="541" w:type="pct"/>
                  <w:vMerge w:val="continue"/>
                  <w:vAlign w:val="center"/>
                </w:tcPr>
                <w:p w14:paraId="131AA98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232" w:type="pct"/>
                  <w:vMerge w:val="continue"/>
                  <w:vAlign w:val="center"/>
                </w:tcPr>
                <w:p w14:paraId="508142DB">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57" w:type="pct"/>
                  <w:vAlign w:val="center"/>
                </w:tcPr>
                <w:p w14:paraId="685A3E9F">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22:30-22:35</w:t>
                  </w:r>
                </w:p>
              </w:tc>
              <w:tc>
                <w:tcPr>
                  <w:tcW w:w="834" w:type="pct"/>
                  <w:vAlign w:val="center"/>
                </w:tcPr>
                <w:p w14:paraId="273D26BF">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生产机械</w:t>
                  </w:r>
                </w:p>
              </w:tc>
              <w:tc>
                <w:tcPr>
                  <w:tcW w:w="585" w:type="pct"/>
                  <w:vAlign w:val="center"/>
                </w:tcPr>
                <w:p w14:paraId="65FCC181">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43</w:t>
                  </w:r>
                </w:p>
              </w:tc>
              <w:tc>
                <w:tcPr>
                  <w:tcW w:w="571" w:type="pct"/>
                  <w:vAlign w:val="center"/>
                </w:tcPr>
                <w:p w14:paraId="63870006">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c>
                <w:tcPr>
                  <w:tcW w:w="480" w:type="pct"/>
                  <w:vAlign w:val="center"/>
                </w:tcPr>
                <w:p w14:paraId="596EAD7F">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dB(A)</w:t>
                  </w:r>
                </w:p>
              </w:tc>
            </w:tr>
            <w:tr w14:paraId="541845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279" w:hRule="atLeast"/>
              </w:trPr>
              <w:tc>
                <w:tcPr>
                  <w:tcW w:w="541" w:type="pct"/>
                  <w:vMerge w:val="restart"/>
                  <w:vAlign w:val="center"/>
                </w:tcPr>
                <w:p w14:paraId="281E2A3A">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1月15日</w:t>
                  </w:r>
                </w:p>
              </w:tc>
              <w:tc>
                <w:tcPr>
                  <w:tcW w:w="1232" w:type="pct"/>
                  <w:vMerge w:val="restart"/>
                  <w:vAlign w:val="center"/>
                </w:tcPr>
                <w:p w14:paraId="43E6635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项目西侧厂界外1m 1#</w:t>
                  </w:r>
                </w:p>
              </w:tc>
              <w:tc>
                <w:tcPr>
                  <w:tcW w:w="757" w:type="pct"/>
                  <w:vAlign w:val="center"/>
                </w:tcPr>
                <w:p w14:paraId="69BC86CD">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15:03-15:08</w:t>
                  </w:r>
                </w:p>
              </w:tc>
              <w:tc>
                <w:tcPr>
                  <w:tcW w:w="834" w:type="pct"/>
                  <w:vAlign w:val="center"/>
                </w:tcPr>
                <w:p w14:paraId="5ACED5CF">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生产机械</w:t>
                  </w:r>
                </w:p>
              </w:tc>
              <w:tc>
                <w:tcPr>
                  <w:tcW w:w="585" w:type="pct"/>
                  <w:vAlign w:val="center"/>
                </w:tcPr>
                <w:p w14:paraId="4CE383E5">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49</w:t>
                  </w:r>
                </w:p>
              </w:tc>
              <w:tc>
                <w:tcPr>
                  <w:tcW w:w="571" w:type="pct"/>
                  <w:vAlign w:val="center"/>
                </w:tcPr>
                <w:p w14:paraId="3075C6B5">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c>
                <w:tcPr>
                  <w:tcW w:w="480" w:type="pct"/>
                  <w:vAlign w:val="center"/>
                </w:tcPr>
                <w:p w14:paraId="4DF86EF1">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dB(A)</w:t>
                  </w:r>
                </w:p>
              </w:tc>
            </w:tr>
            <w:tr w14:paraId="49ABFD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279" w:hRule="atLeast"/>
              </w:trPr>
              <w:tc>
                <w:tcPr>
                  <w:tcW w:w="541" w:type="pct"/>
                  <w:vMerge w:val="continue"/>
                  <w:vAlign w:val="center"/>
                </w:tcPr>
                <w:p w14:paraId="1CBBE79E">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232" w:type="pct"/>
                  <w:vMerge w:val="continue"/>
                  <w:vAlign w:val="center"/>
                </w:tcPr>
                <w:p w14:paraId="19A55C27">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57" w:type="pct"/>
                  <w:vAlign w:val="center"/>
                </w:tcPr>
                <w:p w14:paraId="7036C472">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22:12-22:17</w:t>
                  </w:r>
                </w:p>
              </w:tc>
              <w:tc>
                <w:tcPr>
                  <w:tcW w:w="834" w:type="pct"/>
                  <w:vAlign w:val="center"/>
                </w:tcPr>
                <w:p w14:paraId="565A198D">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生产机械</w:t>
                  </w:r>
                </w:p>
              </w:tc>
              <w:tc>
                <w:tcPr>
                  <w:tcW w:w="585" w:type="pct"/>
                  <w:vAlign w:val="center"/>
                </w:tcPr>
                <w:p w14:paraId="35A576A3">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44</w:t>
                  </w:r>
                </w:p>
              </w:tc>
              <w:tc>
                <w:tcPr>
                  <w:tcW w:w="571" w:type="pct"/>
                  <w:vAlign w:val="center"/>
                </w:tcPr>
                <w:p w14:paraId="6D9A26EE">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c>
                <w:tcPr>
                  <w:tcW w:w="480" w:type="pct"/>
                  <w:vAlign w:val="center"/>
                </w:tcPr>
                <w:p w14:paraId="18153827">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dB(A)</w:t>
                  </w:r>
                </w:p>
              </w:tc>
            </w:tr>
            <w:tr w14:paraId="53D8D3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235" w:hRule="atLeast"/>
              </w:trPr>
              <w:tc>
                <w:tcPr>
                  <w:tcW w:w="541" w:type="pct"/>
                  <w:vMerge w:val="continue"/>
                  <w:vAlign w:val="center"/>
                </w:tcPr>
                <w:p w14:paraId="74AF12E3">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232" w:type="pct"/>
                  <w:vMerge w:val="restart"/>
                  <w:vAlign w:val="center"/>
                </w:tcPr>
                <w:p w14:paraId="70F92B4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项目北侧厂界外1m 2#</w:t>
                  </w:r>
                </w:p>
              </w:tc>
              <w:tc>
                <w:tcPr>
                  <w:tcW w:w="757" w:type="pct"/>
                  <w:vAlign w:val="center"/>
                </w:tcPr>
                <w:p w14:paraId="2831F2A5">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15:14-15:19</w:t>
                  </w:r>
                </w:p>
              </w:tc>
              <w:tc>
                <w:tcPr>
                  <w:tcW w:w="834" w:type="pct"/>
                  <w:vAlign w:val="center"/>
                </w:tcPr>
                <w:p w14:paraId="44B400ED">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生产机械</w:t>
                  </w:r>
                </w:p>
              </w:tc>
              <w:tc>
                <w:tcPr>
                  <w:tcW w:w="585" w:type="pct"/>
                  <w:vAlign w:val="center"/>
                </w:tcPr>
                <w:p w14:paraId="10F64CE9">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45</w:t>
                  </w:r>
                </w:p>
              </w:tc>
              <w:tc>
                <w:tcPr>
                  <w:tcW w:w="571" w:type="pct"/>
                  <w:vAlign w:val="center"/>
                </w:tcPr>
                <w:p w14:paraId="59371C5A">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c>
                <w:tcPr>
                  <w:tcW w:w="480" w:type="pct"/>
                  <w:vAlign w:val="center"/>
                </w:tcPr>
                <w:p w14:paraId="29A93F30">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dB(A)</w:t>
                  </w:r>
                </w:p>
              </w:tc>
            </w:tr>
            <w:tr w14:paraId="32550A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279" w:hRule="atLeast"/>
              </w:trPr>
              <w:tc>
                <w:tcPr>
                  <w:tcW w:w="541" w:type="pct"/>
                  <w:vMerge w:val="continue"/>
                  <w:vAlign w:val="center"/>
                </w:tcPr>
                <w:p w14:paraId="68E1C9E3">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232" w:type="pct"/>
                  <w:vMerge w:val="continue"/>
                  <w:vAlign w:val="center"/>
                </w:tcPr>
                <w:p w14:paraId="3DAB6F9F">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57" w:type="pct"/>
                  <w:vAlign w:val="center"/>
                </w:tcPr>
                <w:p w14:paraId="586FFD2B">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22:25-22:30</w:t>
                  </w:r>
                </w:p>
              </w:tc>
              <w:tc>
                <w:tcPr>
                  <w:tcW w:w="834" w:type="pct"/>
                  <w:vAlign w:val="center"/>
                </w:tcPr>
                <w:p w14:paraId="4E8A533C">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生产机械</w:t>
                  </w:r>
                </w:p>
              </w:tc>
              <w:tc>
                <w:tcPr>
                  <w:tcW w:w="585" w:type="pct"/>
                  <w:vAlign w:val="center"/>
                </w:tcPr>
                <w:p w14:paraId="0A577E45">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41</w:t>
                  </w:r>
                </w:p>
              </w:tc>
              <w:tc>
                <w:tcPr>
                  <w:tcW w:w="571" w:type="pct"/>
                  <w:vAlign w:val="center"/>
                </w:tcPr>
                <w:p w14:paraId="3F38C2C4">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c>
                <w:tcPr>
                  <w:tcW w:w="480" w:type="pct"/>
                  <w:vAlign w:val="center"/>
                </w:tcPr>
                <w:p w14:paraId="27BD633C">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dB(A)</w:t>
                  </w:r>
                </w:p>
              </w:tc>
            </w:tr>
            <w:tr w14:paraId="3CD729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279" w:hRule="atLeast"/>
              </w:trPr>
              <w:tc>
                <w:tcPr>
                  <w:tcW w:w="541" w:type="pct"/>
                  <w:vMerge w:val="continue"/>
                  <w:vAlign w:val="center"/>
                </w:tcPr>
                <w:p w14:paraId="7AF49E4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232" w:type="pct"/>
                  <w:vMerge w:val="restart"/>
                  <w:vAlign w:val="center"/>
                </w:tcPr>
                <w:p w14:paraId="6D0107C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项目东侧厂界外1m 3#</w:t>
                  </w:r>
                </w:p>
              </w:tc>
              <w:tc>
                <w:tcPr>
                  <w:tcW w:w="757" w:type="pct"/>
                  <w:vAlign w:val="center"/>
                </w:tcPr>
                <w:p w14:paraId="48F98C3F">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15:26-15:31</w:t>
                  </w:r>
                </w:p>
              </w:tc>
              <w:tc>
                <w:tcPr>
                  <w:tcW w:w="834" w:type="pct"/>
                  <w:vAlign w:val="center"/>
                </w:tcPr>
                <w:p w14:paraId="5A259A1B">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生产机械</w:t>
                  </w:r>
                </w:p>
              </w:tc>
              <w:tc>
                <w:tcPr>
                  <w:tcW w:w="585" w:type="pct"/>
                  <w:vAlign w:val="center"/>
                </w:tcPr>
                <w:p w14:paraId="5B17B148">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46</w:t>
                  </w:r>
                </w:p>
              </w:tc>
              <w:tc>
                <w:tcPr>
                  <w:tcW w:w="571" w:type="pct"/>
                  <w:vAlign w:val="center"/>
                </w:tcPr>
                <w:p w14:paraId="7CAD1638">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c>
                <w:tcPr>
                  <w:tcW w:w="480" w:type="pct"/>
                  <w:vAlign w:val="center"/>
                </w:tcPr>
                <w:p w14:paraId="262CF840">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dB(A)</w:t>
                  </w:r>
                </w:p>
              </w:tc>
            </w:tr>
            <w:tr w14:paraId="1A6F00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279" w:hRule="atLeast"/>
              </w:trPr>
              <w:tc>
                <w:tcPr>
                  <w:tcW w:w="541" w:type="pct"/>
                  <w:vMerge w:val="continue"/>
                  <w:vAlign w:val="center"/>
                </w:tcPr>
                <w:p w14:paraId="4223104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232" w:type="pct"/>
                  <w:vMerge w:val="continue"/>
                  <w:vAlign w:val="center"/>
                </w:tcPr>
                <w:p w14:paraId="781AD75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757" w:type="pct"/>
                  <w:vAlign w:val="center"/>
                </w:tcPr>
                <w:p w14:paraId="44590617">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22:37-22:42</w:t>
                  </w:r>
                </w:p>
              </w:tc>
              <w:tc>
                <w:tcPr>
                  <w:tcW w:w="834" w:type="pct"/>
                  <w:vAlign w:val="center"/>
                </w:tcPr>
                <w:p w14:paraId="16C81775">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生产机械</w:t>
                  </w:r>
                </w:p>
              </w:tc>
              <w:tc>
                <w:tcPr>
                  <w:tcW w:w="585" w:type="pct"/>
                  <w:vAlign w:val="center"/>
                </w:tcPr>
                <w:p w14:paraId="461D1691">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43</w:t>
                  </w:r>
                </w:p>
              </w:tc>
              <w:tc>
                <w:tcPr>
                  <w:tcW w:w="571" w:type="pct"/>
                  <w:vAlign w:val="center"/>
                </w:tcPr>
                <w:p w14:paraId="4649796A">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c>
                <w:tcPr>
                  <w:tcW w:w="480" w:type="pct"/>
                  <w:vAlign w:val="center"/>
                </w:tcPr>
                <w:p w14:paraId="14A92B6D">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dB(A)</w:t>
                  </w:r>
                </w:p>
              </w:tc>
            </w:tr>
            <w:tr w14:paraId="5850C9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279" w:hRule="atLeast"/>
              </w:trPr>
              <w:tc>
                <w:tcPr>
                  <w:tcW w:w="541" w:type="pct"/>
                  <w:vAlign w:val="center"/>
                </w:tcPr>
                <w:p w14:paraId="4DBC1B19">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备注</w:t>
                  </w:r>
                </w:p>
              </w:tc>
              <w:tc>
                <w:tcPr>
                  <w:tcW w:w="4459" w:type="pct"/>
                  <w:gridSpan w:val="6"/>
                  <w:vAlign w:val="center"/>
                </w:tcPr>
                <w:p w14:paraId="7EDFAB52">
                  <w:pPr>
                    <w:overflowPunct w:val="0"/>
                    <w:adjustRightInd w:val="0"/>
                    <w:snapToGrid w:val="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检测时，无风雪、无雷电，风速＜5m/s。</w:t>
                  </w:r>
                </w:p>
              </w:tc>
            </w:tr>
          </w:tbl>
          <w:p w14:paraId="076B288F">
            <w:pPr>
              <w:snapToGrid w:val="0"/>
              <w:spacing w:before="156" w:beforeLines="50"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检测结果表明：项目厂界环境噪声昼间、夜间检测结果均满足《工业企业厂界环境噪声排放标准》（GB12348-2008）表1中2类标准限值要求。</w:t>
            </w:r>
          </w:p>
          <w:p w14:paraId="566D9F4C">
            <w:pPr>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4、现有工程固废生及处置措施</w:t>
            </w:r>
          </w:p>
          <w:p w14:paraId="064CCE2D">
            <w:pPr>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现有工程生产过程中产生的固体废弃物包括真空挤出机边角料、废砖坯，不合格成品砖，湿式脱硫塔沉淀渣、煤渣、布袋除尘器收尘灰、真空泵及机修废油及职工生活垃圾。产生及处置措施如下表所示：</w:t>
            </w:r>
          </w:p>
          <w:p w14:paraId="56DCC6A0">
            <w:pPr>
              <w:snapToGrid w:val="0"/>
              <w:jc w:val="center"/>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34</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ascii="Times New Roman" w:hAnsi="Times New Roman" w:eastAsia="宋体" w:cs="Times New Roman"/>
                <w:b/>
                <w:color w:val="000000" w:themeColor="text1"/>
                <w:szCs w:val="24"/>
                <w14:textFill>
                  <w14:solidFill>
                    <w14:schemeClr w14:val="tx1"/>
                  </w14:solidFill>
                </w14:textFill>
              </w:rPr>
              <w:t xml:space="preserve"> 现有工程固废产生及处置情况一览表</w:t>
            </w:r>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65"/>
              <w:gridCol w:w="776"/>
              <w:gridCol w:w="2052"/>
              <w:gridCol w:w="1184"/>
              <w:gridCol w:w="3136"/>
            </w:tblGrid>
            <w:tr w14:paraId="7B1A96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0" w:hRule="atLeast"/>
                <w:jc w:val="center"/>
              </w:trPr>
              <w:tc>
                <w:tcPr>
                  <w:tcW w:w="432" w:type="pct"/>
                  <w:vAlign w:val="center"/>
                </w:tcPr>
                <w:p w14:paraId="5C46680F">
                  <w:pPr>
                    <w:pStyle w:val="14"/>
                    <w:adjustRightInd w:val="0"/>
                    <w:snapToGrid w:val="0"/>
                    <w:spacing w:line="240" w:lineRule="auto"/>
                    <w:jc w:val="center"/>
                    <w:rPr>
                      <w:rFonts w:ascii="Times New Roman" w:hAnsi="Times New Roman" w:eastAsia="宋体" w:cs="Times New Roman"/>
                      <w:b/>
                      <w:bCs/>
                      <w:color w:val="000000" w:themeColor="text1"/>
                      <w:sz w:val="21"/>
                      <w:vertAlign w:val="baseline"/>
                      <w14:textFill>
                        <w14:solidFill>
                          <w14:schemeClr w14:val="tx1"/>
                        </w14:solidFill>
                      </w14:textFill>
                    </w:rPr>
                  </w:pPr>
                  <w:r>
                    <w:rPr>
                      <w:rFonts w:ascii="Times New Roman" w:hAnsi="Times New Roman" w:eastAsia="宋体" w:cs="Times New Roman"/>
                      <w:b/>
                      <w:bCs/>
                      <w:color w:val="000000" w:themeColor="text1"/>
                      <w:sz w:val="21"/>
                      <w:vertAlign w:val="baseline"/>
                      <w14:textFill>
                        <w14:solidFill>
                          <w14:schemeClr w14:val="tx1"/>
                        </w14:solidFill>
                      </w14:textFill>
                    </w:rPr>
                    <w:t>序号</w:t>
                  </w:r>
                </w:p>
              </w:tc>
              <w:tc>
                <w:tcPr>
                  <w:tcW w:w="473" w:type="pct"/>
                  <w:vAlign w:val="center"/>
                </w:tcPr>
                <w:p w14:paraId="52763F2C">
                  <w:pPr>
                    <w:pStyle w:val="14"/>
                    <w:adjustRightInd w:val="0"/>
                    <w:snapToGrid w:val="0"/>
                    <w:spacing w:line="240" w:lineRule="auto"/>
                    <w:jc w:val="center"/>
                    <w:rPr>
                      <w:rFonts w:ascii="Times New Roman" w:hAnsi="Times New Roman" w:eastAsia="宋体" w:cs="Times New Roman"/>
                      <w:b/>
                      <w:bCs/>
                      <w:color w:val="000000" w:themeColor="text1"/>
                      <w:sz w:val="21"/>
                      <w:vertAlign w:val="baseline"/>
                      <w14:textFill>
                        <w14:solidFill>
                          <w14:schemeClr w14:val="tx1"/>
                        </w14:solidFill>
                      </w14:textFill>
                    </w:rPr>
                  </w:pPr>
                  <w:r>
                    <w:rPr>
                      <w:rFonts w:ascii="Times New Roman" w:hAnsi="Times New Roman" w:eastAsia="宋体" w:cs="Times New Roman"/>
                      <w:b/>
                      <w:bCs/>
                      <w:color w:val="000000" w:themeColor="text1"/>
                      <w:sz w:val="21"/>
                      <w:vertAlign w:val="baseline"/>
                      <w14:textFill>
                        <w14:solidFill>
                          <w14:schemeClr w14:val="tx1"/>
                        </w14:solidFill>
                      </w14:textFill>
                    </w:rPr>
                    <w:t>性质</w:t>
                  </w:r>
                </w:p>
              </w:tc>
              <w:tc>
                <w:tcPr>
                  <w:tcW w:w="1319" w:type="pct"/>
                  <w:vAlign w:val="center"/>
                </w:tcPr>
                <w:p w14:paraId="6AD8EBA3">
                  <w:pPr>
                    <w:pStyle w:val="14"/>
                    <w:adjustRightInd w:val="0"/>
                    <w:snapToGrid w:val="0"/>
                    <w:spacing w:line="240" w:lineRule="auto"/>
                    <w:jc w:val="center"/>
                    <w:rPr>
                      <w:rFonts w:ascii="Times New Roman" w:hAnsi="Times New Roman" w:eastAsia="宋体" w:cs="Times New Roman"/>
                      <w:b/>
                      <w:bCs/>
                      <w:color w:val="000000" w:themeColor="text1"/>
                      <w:sz w:val="21"/>
                      <w:vertAlign w:val="baseline"/>
                      <w14:textFill>
                        <w14:solidFill>
                          <w14:schemeClr w14:val="tx1"/>
                        </w14:solidFill>
                      </w14:textFill>
                    </w:rPr>
                  </w:pPr>
                  <w:r>
                    <w:rPr>
                      <w:rFonts w:ascii="Times New Roman" w:hAnsi="Times New Roman" w:eastAsia="宋体" w:cs="Times New Roman"/>
                      <w:b/>
                      <w:bCs/>
                      <w:color w:val="000000" w:themeColor="text1"/>
                      <w:sz w:val="21"/>
                      <w:vertAlign w:val="baseline"/>
                      <w14:textFill>
                        <w14:solidFill>
                          <w14:schemeClr w14:val="tx1"/>
                        </w14:solidFill>
                      </w14:textFill>
                    </w:rPr>
                    <w:t>污染物</w:t>
                  </w:r>
                </w:p>
              </w:tc>
              <w:tc>
                <w:tcPr>
                  <w:tcW w:w="763" w:type="pct"/>
                  <w:vAlign w:val="center"/>
                </w:tcPr>
                <w:p w14:paraId="7DC42A4C">
                  <w:pPr>
                    <w:pStyle w:val="14"/>
                    <w:adjustRightInd w:val="0"/>
                    <w:snapToGrid w:val="0"/>
                    <w:spacing w:line="240" w:lineRule="auto"/>
                    <w:jc w:val="center"/>
                    <w:rPr>
                      <w:rFonts w:ascii="Times New Roman" w:hAnsi="Times New Roman" w:eastAsia="宋体" w:cs="Times New Roman"/>
                      <w:b/>
                      <w:bCs/>
                      <w:color w:val="000000" w:themeColor="text1"/>
                      <w:sz w:val="21"/>
                      <w:vertAlign w:val="baseline"/>
                      <w14:textFill>
                        <w14:solidFill>
                          <w14:schemeClr w14:val="tx1"/>
                        </w14:solidFill>
                      </w14:textFill>
                    </w:rPr>
                  </w:pPr>
                  <w:r>
                    <w:rPr>
                      <w:rFonts w:ascii="Times New Roman" w:hAnsi="Times New Roman" w:eastAsia="宋体" w:cs="Times New Roman"/>
                      <w:b/>
                      <w:bCs/>
                      <w:color w:val="000000" w:themeColor="text1"/>
                      <w:sz w:val="21"/>
                      <w:vertAlign w:val="baseline"/>
                      <w14:textFill>
                        <w14:solidFill>
                          <w14:schemeClr w14:val="tx1"/>
                        </w14:solidFill>
                      </w14:textFill>
                    </w:rPr>
                    <w:t>产生量（t/a）</w:t>
                  </w:r>
                </w:p>
              </w:tc>
              <w:tc>
                <w:tcPr>
                  <w:tcW w:w="2012" w:type="pct"/>
                  <w:vAlign w:val="center"/>
                </w:tcPr>
                <w:p w14:paraId="3C807C54">
                  <w:pPr>
                    <w:pStyle w:val="14"/>
                    <w:adjustRightInd w:val="0"/>
                    <w:snapToGrid w:val="0"/>
                    <w:spacing w:line="240" w:lineRule="auto"/>
                    <w:jc w:val="center"/>
                    <w:rPr>
                      <w:rFonts w:ascii="Times New Roman" w:hAnsi="Times New Roman" w:eastAsia="宋体" w:cs="Times New Roman"/>
                      <w:b/>
                      <w:bCs/>
                      <w:color w:val="000000" w:themeColor="text1"/>
                      <w:sz w:val="21"/>
                      <w:vertAlign w:val="baseline"/>
                      <w14:textFill>
                        <w14:solidFill>
                          <w14:schemeClr w14:val="tx1"/>
                        </w14:solidFill>
                      </w14:textFill>
                    </w:rPr>
                  </w:pPr>
                  <w:r>
                    <w:rPr>
                      <w:rFonts w:ascii="Times New Roman" w:hAnsi="Times New Roman" w:eastAsia="宋体" w:cs="Times New Roman"/>
                      <w:b/>
                      <w:bCs/>
                      <w:color w:val="000000" w:themeColor="text1"/>
                      <w:sz w:val="21"/>
                      <w:vertAlign w:val="baseline"/>
                      <w14:textFill>
                        <w14:solidFill>
                          <w14:schemeClr w14:val="tx1"/>
                        </w14:solidFill>
                      </w14:textFill>
                    </w:rPr>
                    <w:t>处理措施</w:t>
                  </w:r>
                </w:p>
              </w:tc>
            </w:tr>
            <w:tr w14:paraId="795FAA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8" w:hRule="atLeast"/>
                <w:jc w:val="center"/>
              </w:trPr>
              <w:tc>
                <w:tcPr>
                  <w:tcW w:w="432" w:type="pct"/>
                  <w:vAlign w:val="center"/>
                </w:tcPr>
                <w:p w14:paraId="48EAD8B0">
                  <w:pPr>
                    <w:pStyle w:val="14"/>
                    <w:adjustRightInd w:val="0"/>
                    <w:snapToGrid w:val="0"/>
                    <w:spacing w:line="240" w:lineRule="auto"/>
                    <w:jc w:val="center"/>
                    <w:rPr>
                      <w:rFonts w:ascii="Times New Roman" w:hAnsi="Times New Roman" w:eastAsia="宋体" w:cs="Times New Roman"/>
                      <w:color w:val="000000" w:themeColor="text1"/>
                      <w:sz w:val="21"/>
                      <w:vertAlign w:val="baseline"/>
                      <w14:textFill>
                        <w14:solidFill>
                          <w14:schemeClr w14:val="tx1"/>
                        </w14:solidFill>
                      </w14:textFill>
                    </w:rPr>
                  </w:pPr>
                  <w:r>
                    <w:rPr>
                      <w:rFonts w:ascii="Times New Roman" w:hAnsi="Times New Roman" w:eastAsia="宋体" w:cs="Times New Roman"/>
                      <w:color w:val="000000" w:themeColor="text1"/>
                      <w:sz w:val="21"/>
                      <w:vertAlign w:val="baseline"/>
                      <w14:textFill>
                        <w14:solidFill>
                          <w14:schemeClr w14:val="tx1"/>
                        </w14:solidFill>
                      </w14:textFill>
                    </w:rPr>
                    <w:t>1</w:t>
                  </w:r>
                </w:p>
              </w:tc>
              <w:tc>
                <w:tcPr>
                  <w:tcW w:w="473" w:type="pct"/>
                  <w:vMerge w:val="restart"/>
                  <w:vAlign w:val="center"/>
                </w:tcPr>
                <w:p w14:paraId="0A11CD0F">
                  <w:pPr>
                    <w:pStyle w:val="14"/>
                    <w:adjustRightInd w:val="0"/>
                    <w:snapToGrid w:val="0"/>
                    <w:spacing w:line="240" w:lineRule="auto"/>
                    <w:jc w:val="center"/>
                    <w:rPr>
                      <w:rFonts w:ascii="Times New Roman" w:hAnsi="Times New Roman" w:eastAsia="宋体" w:cs="Times New Roman"/>
                      <w:color w:val="000000" w:themeColor="text1"/>
                      <w:sz w:val="21"/>
                      <w:vertAlign w:val="baseline"/>
                      <w14:textFill>
                        <w14:solidFill>
                          <w14:schemeClr w14:val="tx1"/>
                        </w14:solidFill>
                      </w14:textFill>
                    </w:rPr>
                  </w:pPr>
                  <w:r>
                    <w:rPr>
                      <w:rFonts w:ascii="Times New Roman" w:hAnsi="Times New Roman" w:eastAsia="宋体" w:cs="Times New Roman"/>
                      <w:color w:val="000000" w:themeColor="text1"/>
                      <w:sz w:val="21"/>
                      <w:vertAlign w:val="baseline"/>
                      <w14:textFill>
                        <w14:solidFill>
                          <w14:schemeClr w14:val="tx1"/>
                        </w14:solidFill>
                      </w14:textFill>
                    </w:rPr>
                    <w:t>一般固废</w:t>
                  </w:r>
                </w:p>
              </w:tc>
              <w:tc>
                <w:tcPr>
                  <w:tcW w:w="1319" w:type="pct"/>
                  <w:vAlign w:val="center"/>
                </w:tcPr>
                <w:p w14:paraId="20998EC3">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挤出机边角料和废砖坯</w:t>
                  </w:r>
                </w:p>
              </w:tc>
              <w:tc>
                <w:tcPr>
                  <w:tcW w:w="763" w:type="pct"/>
                  <w:vAlign w:val="center"/>
                </w:tcPr>
                <w:p w14:paraId="726CE20E">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7840</w:t>
                  </w:r>
                </w:p>
              </w:tc>
              <w:tc>
                <w:tcPr>
                  <w:tcW w:w="2012" w:type="pct"/>
                  <w:vMerge w:val="restart"/>
                  <w:vAlign w:val="center"/>
                </w:tcPr>
                <w:p w14:paraId="578ABB5C">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回用于生产。</w:t>
                  </w:r>
                </w:p>
              </w:tc>
            </w:tr>
            <w:tr w14:paraId="6086AA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432" w:type="pct"/>
                  <w:vAlign w:val="center"/>
                </w:tcPr>
                <w:p w14:paraId="7CB14C5D">
                  <w:pPr>
                    <w:pStyle w:val="14"/>
                    <w:adjustRightInd w:val="0"/>
                    <w:snapToGrid w:val="0"/>
                    <w:spacing w:line="240" w:lineRule="auto"/>
                    <w:jc w:val="center"/>
                    <w:rPr>
                      <w:rFonts w:ascii="Times New Roman" w:hAnsi="Times New Roman" w:eastAsia="宋体" w:cs="Times New Roman"/>
                      <w:color w:val="000000" w:themeColor="text1"/>
                      <w:sz w:val="21"/>
                      <w:vertAlign w:val="baseline"/>
                      <w14:textFill>
                        <w14:solidFill>
                          <w14:schemeClr w14:val="tx1"/>
                        </w14:solidFill>
                      </w14:textFill>
                    </w:rPr>
                  </w:pPr>
                  <w:r>
                    <w:rPr>
                      <w:rFonts w:ascii="Times New Roman" w:hAnsi="Times New Roman" w:eastAsia="宋体" w:cs="Times New Roman"/>
                      <w:color w:val="000000" w:themeColor="text1"/>
                      <w:sz w:val="21"/>
                      <w:vertAlign w:val="baseline"/>
                      <w14:textFill>
                        <w14:solidFill>
                          <w14:schemeClr w14:val="tx1"/>
                        </w14:solidFill>
                      </w14:textFill>
                    </w:rPr>
                    <w:t>2</w:t>
                  </w:r>
                </w:p>
              </w:tc>
              <w:tc>
                <w:tcPr>
                  <w:tcW w:w="473" w:type="pct"/>
                  <w:vMerge w:val="continue"/>
                  <w:vAlign w:val="center"/>
                </w:tcPr>
                <w:p w14:paraId="0ED810AD">
                  <w:pPr>
                    <w:widowControl/>
                    <w:jc w:val="left"/>
                    <w:rPr>
                      <w:rFonts w:ascii="Times New Roman" w:hAnsi="Times New Roman" w:eastAsia="宋体" w:cs="Times New Roman"/>
                      <w:color w:val="000000" w:themeColor="text1"/>
                      <w:kern w:val="16"/>
                      <w:szCs w:val="21"/>
                      <w14:textFill>
                        <w14:solidFill>
                          <w14:schemeClr w14:val="tx1"/>
                        </w14:solidFill>
                      </w14:textFill>
                    </w:rPr>
                  </w:pPr>
                </w:p>
              </w:tc>
              <w:tc>
                <w:tcPr>
                  <w:tcW w:w="1319" w:type="pct"/>
                  <w:vAlign w:val="center"/>
                </w:tcPr>
                <w:p w14:paraId="089380FE">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生产废砖</w:t>
                  </w:r>
                </w:p>
              </w:tc>
              <w:tc>
                <w:tcPr>
                  <w:tcW w:w="763" w:type="pct"/>
                  <w:vAlign w:val="center"/>
                </w:tcPr>
                <w:p w14:paraId="5F3BE33F">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980</w:t>
                  </w:r>
                </w:p>
              </w:tc>
              <w:tc>
                <w:tcPr>
                  <w:tcW w:w="2012" w:type="pct"/>
                  <w:vMerge w:val="continue"/>
                  <w:vAlign w:val="center"/>
                </w:tcPr>
                <w:p w14:paraId="33E9BB09">
                  <w:pPr>
                    <w:widowControl/>
                    <w:jc w:val="left"/>
                    <w:rPr>
                      <w:rFonts w:ascii="Times New Roman" w:hAnsi="Times New Roman" w:eastAsia="宋体" w:cs="Times New Roman"/>
                      <w:color w:val="000000" w:themeColor="text1"/>
                      <w:szCs w:val="21"/>
                      <w14:textFill>
                        <w14:solidFill>
                          <w14:schemeClr w14:val="tx1"/>
                        </w14:solidFill>
                      </w14:textFill>
                    </w:rPr>
                  </w:pPr>
                </w:p>
              </w:tc>
            </w:tr>
            <w:tr w14:paraId="7846D7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432" w:type="pct"/>
                  <w:vAlign w:val="center"/>
                </w:tcPr>
                <w:p w14:paraId="0402580F">
                  <w:pPr>
                    <w:pStyle w:val="14"/>
                    <w:adjustRightInd w:val="0"/>
                    <w:snapToGrid w:val="0"/>
                    <w:spacing w:line="240" w:lineRule="auto"/>
                    <w:jc w:val="center"/>
                    <w:rPr>
                      <w:rFonts w:ascii="Times New Roman" w:hAnsi="Times New Roman" w:eastAsia="宋体" w:cs="Times New Roman"/>
                      <w:color w:val="000000" w:themeColor="text1"/>
                      <w:sz w:val="21"/>
                      <w:vertAlign w:val="baseline"/>
                      <w14:textFill>
                        <w14:solidFill>
                          <w14:schemeClr w14:val="tx1"/>
                        </w14:solidFill>
                      </w14:textFill>
                    </w:rPr>
                  </w:pPr>
                  <w:r>
                    <w:rPr>
                      <w:rFonts w:ascii="Times New Roman" w:hAnsi="Times New Roman" w:eastAsia="宋体" w:cs="Times New Roman"/>
                      <w:color w:val="000000" w:themeColor="text1"/>
                      <w:sz w:val="21"/>
                      <w:vertAlign w:val="baseline"/>
                      <w14:textFill>
                        <w14:solidFill>
                          <w14:schemeClr w14:val="tx1"/>
                        </w14:solidFill>
                      </w14:textFill>
                    </w:rPr>
                    <w:t>3</w:t>
                  </w:r>
                </w:p>
              </w:tc>
              <w:tc>
                <w:tcPr>
                  <w:tcW w:w="473" w:type="pct"/>
                  <w:vMerge w:val="continue"/>
                  <w:vAlign w:val="center"/>
                </w:tcPr>
                <w:p w14:paraId="375E8075">
                  <w:pPr>
                    <w:widowControl/>
                    <w:jc w:val="left"/>
                    <w:rPr>
                      <w:rFonts w:ascii="Times New Roman" w:hAnsi="Times New Roman" w:eastAsia="宋体" w:cs="Times New Roman"/>
                      <w:color w:val="000000" w:themeColor="text1"/>
                      <w:kern w:val="16"/>
                      <w:szCs w:val="21"/>
                      <w14:textFill>
                        <w14:solidFill>
                          <w14:schemeClr w14:val="tx1"/>
                        </w14:solidFill>
                      </w14:textFill>
                    </w:rPr>
                  </w:pPr>
                </w:p>
              </w:tc>
              <w:tc>
                <w:tcPr>
                  <w:tcW w:w="1319" w:type="pct"/>
                  <w:vAlign w:val="center"/>
                </w:tcPr>
                <w:p w14:paraId="51BC0AA3">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煤渣</w:t>
                  </w:r>
                </w:p>
              </w:tc>
              <w:tc>
                <w:tcPr>
                  <w:tcW w:w="763" w:type="pct"/>
                  <w:vAlign w:val="center"/>
                </w:tcPr>
                <w:p w14:paraId="61E88BD3">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4</w:t>
                  </w:r>
                </w:p>
              </w:tc>
              <w:tc>
                <w:tcPr>
                  <w:tcW w:w="2012" w:type="pct"/>
                  <w:vMerge w:val="continue"/>
                  <w:vAlign w:val="center"/>
                </w:tcPr>
                <w:p w14:paraId="5FBE6949">
                  <w:pPr>
                    <w:widowControl/>
                    <w:jc w:val="left"/>
                    <w:rPr>
                      <w:rFonts w:ascii="Times New Roman" w:hAnsi="Times New Roman" w:eastAsia="宋体" w:cs="Times New Roman"/>
                      <w:color w:val="000000" w:themeColor="text1"/>
                      <w:szCs w:val="21"/>
                      <w14:textFill>
                        <w14:solidFill>
                          <w14:schemeClr w14:val="tx1"/>
                        </w14:solidFill>
                      </w14:textFill>
                    </w:rPr>
                  </w:pPr>
                </w:p>
              </w:tc>
            </w:tr>
            <w:tr w14:paraId="198497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 w:hRule="atLeast"/>
                <w:jc w:val="center"/>
              </w:trPr>
              <w:tc>
                <w:tcPr>
                  <w:tcW w:w="432" w:type="pct"/>
                  <w:vAlign w:val="center"/>
                </w:tcPr>
                <w:p w14:paraId="523119EC">
                  <w:pPr>
                    <w:pStyle w:val="14"/>
                    <w:adjustRightInd w:val="0"/>
                    <w:snapToGrid w:val="0"/>
                    <w:spacing w:line="240" w:lineRule="auto"/>
                    <w:jc w:val="center"/>
                    <w:rPr>
                      <w:rFonts w:ascii="Times New Roman" w:hAnsi="Times New Roman" w:eastAsia="宋体" w:cs="Times New Roman"/>
                      <w:color w:val="000000" w:themeColor="text1"/>
                      <w:sz w:val="21"/>
                      <w:vertAlign w:val="baseline"/>
                      <w14:textFill>
                        <w14:solidFill>
                          <w14:schemeClr w14:val="tx1"/>
                        </w14:solidFill>
                      </w14:textFill>
                    </w:rPr>
                  </w:pPr>
                  <w:r>
                    <w:rPr>
                      <w:rFonts w:ascii="Times New Roman" w:hAnsi="Times New Roman" w:eastAsia="宋体" w:cs="Times New Roman"/>
                      <w:color w:val="000000" w:themeColor="text1"/>
                      <w:sz w:val="21"/>
                      <w:vertAlign w:val="baseline"/>
                      <w14:textFill>
                        <w14:solidFill>
                          <w14:schemeClr w14:val="tx1"/>
                        </w14:solidFill>
                      </w14:textFill>
                    </w:rPr>
                    <w:t>4</w:t>
                  </w:r>
                </w:p>
              </w:tc>
              <w:tc>
                <w:tcPr>
                  <w:tcW w:w="473" w:type="pct"/>
                  <w:vMerge w:val="continue"/>
                  <w:vAlign w:val="center"/>
                </w:tcPr>
                <w:p w14:paraId="5AB50036">
                  <w:pPr>
                    <w:widowControl/>
                    <w:jc w:val="left"/>
                    <w:rPr>
                      <w:rFonts w:ascii="Times New Roman" w:hAnsi="Times New Roman" w:eastAsia="宋体" w:cs="Times New Roman"/>
                      <w:color w:val="000000" w:themeColor="text1"/>
                      <w:kern w:val="16"/>
                      <w:szCs w:val="21"/>
                      <w14:textFill>
                        <w14:solidFill>
                          <w14:schemeClr w14:val="tx1"/>
                        </w14:solidFill>
                      </w14:textFill>
                    </w:rPr>
                  </w:pPr>
                </w:p>
              </w:tc>
              <w:tc>
                <w:tcPr>
                  <w:tcW w:w="1319" w:type="pct"/>
                  <w:vAlign w:val="center"/>
                </w:tcPr>
                <w:p w14:paraId="27AAE4FC">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除尘器除灰尘</w:t>
                  </w:r>
                </w:p>
              </w:tc>
              <w:tc>
                <w:tcPr>
                  <w:tcW w:w="763" w:type="pct"/>
                  <w:vAlign w:val="center"/>
                </w:tcPr>
                <w:p w14:paraId="693ED0E2">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26.17</w:t>
                  </w:r>
                </w:p>
              </w:tc>
              <w:tc>
                <w:tcPr>
                  <w:tcW w:w="2012" w:type="pct"/>
                  <w:vMerge w:val="continue"/>
                  <w:vAlign w:val="center"/>
                </w:tcPr>
                <w:p w14:paraId="019DA563">
                  <w:pPr>
                    <w:widowControl/>
                    <w:jc w:val="left"/>
                    <w:rPr>
                      <w:rFonts w:ascii="Times New Roman" w:hAnsi="Times New Roman" w:eastAsia="宋体" w:cs="Times New Roman"/>
                      <w:color w:val="000000" w:themeColor="text1"/>
                      <w:szCs w:val="21"/>
                      <w14:textFill>
                        <w14:solidFill>
                          <w14:schemeClr w14:val="tx1"/>
                        </w14:solidFill>
                      </w14:textFill>
                    </w:rPr>
                  </w:pPr>
                </w:p>
              </w:tc>
            </w:tr>
            <w:tr w14:paraId="1881C3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432" w:type="pct"/>
                  <w:vAlign w:val="center"/>
                </w:tcPr>
                <w:p w14:paraId="1992A189">
                  <w:pPr>
                    <w:pStyle w:val="14"/>
                    <w:adjustRightInd w:val="0"/>
                    <w:snapToGrid w:val="0"/>
                    <w:spacing w:line="240" w:lineRule="auto"/>
                    <w:jc w:val="center"/>
                    <w:rPr>
                      <w:rFonts w:ascii="Times New Roman" w:hAnsi="Times New Roman" w:eastAsia="宋体" w:cs="Times New Roman"/>
                      <w:color w:val="000000" w:themeColor="text1"/>
                      <w:sz w:val="21"/>
                      <w:vertAlign w:val="baseline"/>
                      <w14:textFill>
                        <w14:solidFill>
                          <w14:schemeClr w14:val="tx1"/>
                        </w14:solidFill>
                      </w14:textFill>
                    </w:rPr>
                  </w:pPr>
                  <w:r>
                    <w:rPr>
                      <w:rFonts w:ascii="Times New Roman" w:hAnsi="Times New Roman" w:eastAsia="宋体" w:cs="Times New Roman"/>
                      <w:color w:val="000000" w:themeColor="text1"/>
                      <w:sz w:val="21"/>
                      <w:vertAlign w:val="baseline"/>
                      <w14:textFill>
                        <w14:solidFill>
                          <w14:schemeClr w14:val="tx1"/>
                        </w14:solidFill>
                      </w14:textFill>
                    </w:rPr>
                    <w:t>5</w:t>
                  </w:r>
                </w:p>
              </w:tc>
              <w:tc>
                <w:tcPr>
                  <w:tcW w:w="473" w:type="pct"/>
                  <w:vMerge w:val="continue"/>
                  <w:vAlign w:val="center"/>
                </w:tcPr>
                <w:p w14:paraId="069F457A">
                  <w:pPr>
                    <w:widowControl/>
                    <w:jc w:val="left"/>
                    <w:rPr>
                      <w:rFonts w:ascii="Times New Roman" w:hAnsi="Times New Roman" w:eastAsia="宋体" w:cs="Times New Roman"/>
                      <w:color w:val="000000" w:themeColor="text1"/>
                      <w:kern w:val="16"/>
                      <w:szCs w:val="21"/>
                      <w14:textFill>
                        <w14:solidFill>
                          <w14:schemeClr w14:val="tx1"/>
                        </w14:solidFill>
                      </w14:textFill>
                    </w:rPr>
                  </w:pPr>
                </w:p>
              </w:tc>
              <w:tc>
                <w:tcPr>
                  <w:tcW w:w="1319" w:type="pct"/>
                  <w:vAlign w:val="center"/>
                </w:tcPr>
                <w:p w14:paraId="313F0D0C">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湿式脱硫塔沉淀渣</w:t>
                  </w:r>
                </w:p>
              </w:tc>
              <w:tc>
                <w:tcPr>
                  <w:tcW w:w="763" w:type="pct"/>
                  <w:vAlign w:val="center"/>
                </w:tcPr>
                <w:p w14:paraId="74D7720E">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63（干基）</w:t>
                  </w:r>
                </w:p>
              </w:tc>
              <w:tc>
                <w:tcPr>
                  <w:tcW w:w="2012" w:type="pct"/>
                  <w:vAlign w:val="center"/>
                </w:tcPr>
                <w:p w14:paraId="0A116966">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暂未产生，产生后由当地水泥生产厂家进行回收后综合利用。</w:t>
                  </w:r>
                </w:p>
              </w:tc>
            </w:tr>
            <w:tr w14:paraId="4A077B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432" w:type="pct"/>
                  <w:vAlign w:val="center"/>
                </w:tcPr>
                <w:p w14:paraId="5CB966A6">
                  <w:pPr>
                    <w:pStyle w:val="14"/>
                    <w:adjustRightInd w:val="0"/>
                    <w:snapToGrid w:val="0"/>
                    <w:spacing w:line="240" w:lineRule="auto"/>
                    <w:jc w:val="center"/>
                    <w:rPr>
                      <w:rFonts w:ascii="Times New Roman" w:hAnsi="Times New Roman" w:eastAsia="宋体" w:cs="Times New Roman"/>
                      <w:color w:val="000000" w:themeColor="text1"/>
                      <w:sz w:val="21"/>
                      <w:vertAlign w:val="baseline"/>
                      <w14:textFill>
                        <w14:solidFill>
                          <w14:schemeClr w14:val="tx1"/>
                        </w14:solidFill>
                      </w14:textFill>
                    </w:rPr>
                  </w:pPr>
                  <w:r>
                    <w:rPr>
                      <w:rFonts w:ascii="Times New Roman" w:hAnsi="Times New Roman" w:eastAsia="宋体" w:cs="Times New Roman"/>
                      <w:color w:val="000000" w:themeColor="text1"/>
                      <w:sz w:val="21"/>
                      <w:vertAlign w:val="baseline"/>
                      <w14:textFill>
                        <w14:solidFill>
                          <w14:schemeClr w14:val="tx1"/>
                        </w14:solidFill>
                      </w14:textFill>
                    </w:rPr>
                    <w:t>6</w:t>
                  </w:r>
                </w:p>
              </w:tc>
              <w:tc>
                <w:tcPr>
                  <w:tcW w:w="473" w:type="pct"/>
                  <w:vMerge w:val="continue"/>
                  <w:vAlign w:val="center"/>
                </w:tcPr>
                <w:p w14:paraId="7DE84991">
                  <w:pPr>
                    <w:widowControl/>
                    <w:jc w:val="left"/>
                    <w:rPr>
                      <w:rFonts w:ascii="Times New Roman" w:hAnsi="Times New Roman" w:eastAsia="宋体" w:cs="Times New Roman"/>
                      <w:color w:val="000000" w:themeColor="text1"/>
                      <w:kern w:val="16"/>
                      <w:szCs w:val="21"/>
                      <w14:textFill>
                        <w14:solidFill>
                          <w14:schemeClr w14:val="tx1"/>
                        </w14:solidFill>
                      </w14:textFill>
                    </w:rPr>
                  </w:pPr>
                </w:p>
              </w:tc>
              <w:tc>
                <w:tcPr>
                  <w:tcW w:w="1319" w:type="pct"/>
                  <w:vAlign w:val="center"/>
                </w:tcPr>
                <w:p w14:paraId="44932A2D">
                  <w:pPr>
                    <w:pStyle w:val="14"/>
                    <w:adjustRightInd w:val="0"/>
                    <w:snapToGrid w:val="0"/>
                    <w:spacing w:line="240" w:lineRule="auto"/>
                    <w:jc w:val="center"/>
                    <w:rPr>
                      <w:rFonts w:ascii="Times New Roman" w:hAnsi="Times New Roman" w:eastAsia="宋体" w:cs="Times New Roman"/>
                      <w:snapToGrid w:val="0"/>
                      <w:color w:val="000000" w:themeColor="text1"/>
                      <w:kern w:val="0"/>
                      <w:sz w:val="21"/>
                      <w:vertAlign w:val="baseline"/>
                      <w14:textFill>
                        <w14:solidFill>
                          <w14:schemeClr w14:val="tx1"/>
                        </w14:solidFill>
                      </w14:textFill>
                    </w:rPr>
                  </w:pPr>
                  <w:r>
                    <w:rPr>
                      <w:rFonts w:ascii="Times New Roman" w:hAnsi="Times New Roman" w:eastAsia="宋体" w:cs="Times New Roman"/>
                      <w:snapToGrid w:val="0"/>
                      <w:color w:val="000000" w:themeColor="text1"/>
                      <w:kern w:val="0"/>
                      <w:sz w:val="21"/>
                      <w:vertAlign w:val="baseline"/>
                      <w14:textFill>
                        <w14:solidFill>
                          <w14:schemeClr w14:val="tx1"/>
                        </w14:solidFill>
                      </w14:textFill>
                    </w:rPr>
                    <w:t>生活垃圾</w:t>
                  </w:r>
                </w:p>
              </w:tc>
              <w:tc>
                <w:tcPr>
                  <w:tcW w:w="763" w:type="pct"/>
                  <w:vAlign w:val="center"/>
                </w:tcPr>
                <w:p w14:paraId="3D14EF13">
                  <w:pPr>
                    <w:pStyle w:val="14"/>
                    <w:adjustRightInd w:val="0"/>
                    <w:snapToGrid w:val="0"/>
                    <w:spacing w:line="240" w:lineRule="auto"/>
                    <w:jc w:val="center"/>
                    <w:rPr>
                      <w:rFonts w:ascii="Times New Roman" w:hAnsi="Times New Roman" w:eastAsia="宋体" w:cs="Times New Roman"/>
                      <w:color w:val="000000" w:themeColor="text1"/>
                      <w:sz w:val="21"/>
                      <w:vertAlign w:val="baseline"/>
                      <w14:textFill>
                        <w14:solidFill>
                          <w14:schemeClr w14:val="tx1"/>
                        </w14:solidFill>
                      </w14:textFill>
                    </w:rPr>
                  </w:pPr>
                  <w:r>
                    <w:rPr>
                      <w:rFonts w:ascii="Times New Roman" w:hAnsi="Times New Roman" w:eastAsia="宋体" w:cs="Times New Roman"/>
                      <w:color w:val="000000" w:themeColor="text1"/>
                      <w:sz w:val="21"/>
                      <w:vertAlign w:val="baseline"/>
                      <w14:textFill>
                        <w14:solidFill>
                          <w14:schemeClr w14:val="tx1"/>
                        </w14:solidFill>
                      </w14:textFill>
                    </w:rPr>
                    <w:t>4.2</w:t>
                  </w:r>
                </w:p>
              </w:tc>
              <w:tc>
                <w:tcPr>
                  <w:tcW w:w="2012" w:type="pct"/>
                  <w:vAlign w:val="center"/>
                </w:tcPr>
                <w:p w14:paraId="0326179A">
                  <w:pPr>
                    <w:pStyle w:val="14"/>
                    <w:adjustRightInd w:val="0"/>
                    <w:snapToGrid w:val="0"/>
                    <w:spacing w:line="240" w:lineRule="auto"/>
                    <w:jc w:val="center"/>
                    <w:rPr>
                      <w:rFonts w:ascii="Times New Roman" w:hAnsi="Times New Roman" w:eastAsia="宋体" w:cs="Times New Roman"/>
                      <w:color w:val="000000" w:themeColor="text1"/>
                      <w:sz w:val="21"/>
                      <w:vertAlign w:val="baseline"/>
                      <w14:textFill>
                        <w14:solidFill>
                          <w14:schemeClr w14:val="tx1"/>
                        </w14:solidFill>
                      </w14:textFill>
                    </w:rPr>
                  </w:pPr>
                  <w:r>
                    <w:rPr>
                      <w:rFonts w:ascii="Times New Roman" w:hAnsi="Times New Roman" w:eastAsia="宋体" w:cs="Times New Roman"/>
                      <w:color w:val="000000" w:themeColor="text1"/>
                      <w:sz w:val="21"/>
                      <w:vertAlign w:val="baseline"/>
                      <w14:textFill>
                        <w14:solidFill>
                          <w14:schemeClr w14:val="tx1"/>
                        </w14:solidFill>
                      </w14:textFill>
                    </w:rPr>
                    <w:t>袋装后送垃圾收集点，交由乡镇垃圾中转站清运。</w:t>
                  </w:r>
                </w:p>
              </w:tc>
            </w:tr>
            <w:tr w14:paraId="6DC0B1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6" w:hRule="atLeast"/>
                <w:jc w:val="center"/>
              </w:trPr>
              <w:tc>
                <w:tcPr>
                  <w:tcW w:w="432" w:type="pct"/>
                  <w:vAlign w:val="center"/>
                </w:tcPr>
                <w:p w14:paraId="7C2997E2">
                  <w:pPr>
                    <w:pStyle w:val="14"/>
                    <w:adjustRightInd w:val="0"/>
                    <w:snapToGrid w:val="0"/>
                    <w:spacing w:line="240" w:lineRule="auto"/>
                    <w:jc w:val="center"/>
                    <w:rPr>
                      <w:rFonts w:ascii="Times New Roman" w:hAnsi="Times New Roman" w:eastAsia="宋体" w:cs="Times New Roman"/>
                      <w:color w:val="000000" w:themeColor="text1"/>
                      <w:sz w:val="21"/>
                      <w:vertAlign w:val="baseline"/>
                      <w14:textFill>
                        <w14:solidFill>
                          <w14:schemeClr w14:val="tx1"/>
                        </w14:solidFill>
                      </w14:textFill>
                    </w:rPr>
                  </w:pPr>
                  <w:r>
                    <w:rPr>
                      <w:rFonts w:ascii="Times New Roman" w:hAnsi="Times New Roman" w:eastAsia="宋体" w:cs="Times New Roman"/>
                      <w:color w:val="000000" w:themeColor="text1"/>
                      <w:sz w:val="21"/>
                      <w:vertAlign w:val="baseline"/>
                      <w14:textFill>
                        <w14:solidFill>
                          <w14:schemeClr w14:val="tx1"/>
                        </w14:solidFill>
                      </w14:textFill>
                    </w:rPr>
                    <w:t>7</w:t>
                  </w:r>
                </w:p>
              </w:tc>
              <w:tc>
                <w:tcPr>
                  <w:tcW w:w="473" w:type="pct"/>
                  <w:vAlign w:val="center"/>
                </w:tcPr>
                <w:p w14:paraId="1712B53F">
                  <w:pPr>
                    <w:pStyle w:val="14"/>
                    <w:adjustRightInd w:val="0"/>
                    <w:snapToGrid w:val="0"/>
                    <w:spacing w:line="240" w:lineRule="auto"/>
                    <w:jc w:val="center"/>
                    <w:rPr>
                      <w:rFonts w:ascii="Times New Roman" w:hAnsi="Times New Roman" w:eastAsia="宋体" w:cs="Times New Roman"/>
                      <w:color w:val="000000" w:themeColor="text1"/>
                      <w:sz w:val="21"/>
                      <w:vertAlign w:val="baseline"/>
                      <w14:textFill>
                        <w14:solidFill>
                          <w14:schemeClr w14:val="tx1"/>
                        </w14:solidFill>
                      </w14:textFill>
                    </w:rPr>
                  </w:pPr>
                  <w:r>
                    <w:rPr>
                      <w:rFonts w:ascii="Times New Roman" w:hAnsi="Times New Roman" w:eastAsia="宋体" w:cs="Times New Roman"/>
                      <w:color w:val="000000" w:themeColor="text1"/>
                      <w:sz w:val="21"/>
                      <w:vertAlign w:val="baseline"/>
                      <w14:textFill>
                        <w14:solidFill>
                          <w14:schemeClr w14:val="tx1"/>
                        </w14:solidFill>
                      </w14:textFill>
                    </w:rPr>
                    <w:t>HW08</w:t>
                  </w:r>
                </w:p>
              </w:tc>
              <w:tc>
                <w:tcPr>
                  <w:tcW w:w="1319" w:type="pct"/>
                  <w:vAlign w:val="center"/>
                </w:tcPr>
                <w:p w14:paraId="1B12EEC3">
                  <w:pPr>
                    <w:pStyle w:val="14"/>
                    <w:adjustRightInd w:val="0"/>
                    <w:snapToGrid w:val="0"/>
                    <w:spacing w:line="240" w:lineRule="auto"/>
                    <w:jc w:val="center"/>
                    <w:rPr>
                      <w:rFonts w:ascii="Times New Roman" w:hAnsi="Times New Roman" w:eastAsia="宋体" w:cs="Times New Roman"/>
                      <w:color w:val="000000" w:themeColor="text1"/>
                      <w:sz w:val="21"/>
                      <w:vertAlign w:val="baseline"/>
                      <w14:textFill>
                        <w14:solidFill>
                          <w14:schemeClr w14:val="tx1"/>
                        </w14:solidFill>
                      </w14:textFill>
                    </w:rPr>
                  </w:pPr>
                  <w:r>
                    <w:rPr>
                      <w:rFonts w:ascii="Times New Roman" w:hAnsi="Times New Roman" w:eastAsia="宋体" w:cs="Times New Roman"/>
                      <w:color w:val="000000" w:themeColor="text1"/>
                      <w:sz w:val="21"/>
                      <w:vertAlign w:val="baseline"/>
                      <w14:textFill>
                        <w14:solidFill>
                          <w14:schemeClr w14:val="tx1"/>
                        </w14:solidFill>
                      </w14:textFill>
                    </w:rPr>
                    <w:t>废机油</w:t>
                  </w:r>
                </w:p>
              </w:tc>
              <w:tc>
                <w:tcPr>
                  <w:tcW w:w="763" w:type="pct"/>
                  <w:vAlign w:val="center"/>
                </w:tcPr>
                <w:p w14:paraId="0A2DA957">
                  <w:pPr>
                    <w:pStyle w:val="14"/>
                    <w:adjustRightInd w:val="0"/>
                    <w:snapToGrid w:val="0"/>
                    <w:spacing w:line="240" w:lineRule="auto"/>
                    <w:jc w:val="center"/>
                    <w:rPr>
                      <w:rFonts w:ascii="Times New Roman" w:hAnsi="Times New Roman" w:eastAsia="宋体" w:cs="Times New Roman"/>
                      <w:color w:val="000000" w:themeColor="text1"/>
                      <w:sz w:val="21"/>
                      <w:vertAlign w:val="baseline"/>
                      <w14:textFill>
                        <w14:solidFill>
                          <w14:schemeClr w14:val="tx1"/>
                        </w14:solidFill>
                      </w14:textFill>
                    </w:rPr>
                  </w:pPr>
                  <w:r>
                    <w:rPr>
                      <w:rFonts w:ascii="Times New Roman" w:hAnsi="Times New Roman" w:eastAsia="宋体" w:cs="Times New Roman"/>
                      <w:color w:val="000000" w:themeColor="text1"/>
                      <w:sz w:val="21"/>
                      <w:vertAlign w:val="baseline"/>
                      <w14:textFill>
                        <w14:solidFill>
                          <w14:schemeClr w14:val="tx1"/>
                        </w14:solidFill>
                      </w14:textFill>
                    </w:rPr>
                    <w:t>0.03</w:t>
                  </w:r>
                </w:p>
              </w:tc>
              <w:tc>
                <w:tcPr>
                  <w:tcW w:w="2012" w:type="pct"/>
                  <w:vMerge w:val="restart"/>
                  <w:vAlign w:val="center"/>
                </w:tcPr>
                <w:p w14:paraId="36F35FA7">
                  <w:pPr>
                    <w:pStyle w:val="14"/>
                    <w:adjustRightInd w:val="0"/>
                    <w:snapToGrid w:val="0"/>
                    <w:spacing w:line="240" w:lineRule="auto"/>
                    <w:jc w:val="center"/>
                    <w:rPr>
                      <w:rFonts w:ascii="Times New Roman" w:hAnsi="Times New Roman" w:eastAsia="宋体" w:cs="Times New Roman"/>
                      <w:color w:val="000000" w:themeColor="text1"/>
                      <w:sz w:val="21"/>
                      <w:vertAlign w:val="baseline"/>
                      <w14:textFill>
                        <w14:solidFill>
                          <w14:schemeClr w14:val="tx1"/>
                        </w14:solidFill>
                      </w14:textFill>
                    </w:rPr>
                  </w:pPr>
                  <w:r>
                    <w:rPr>
                      <w:rFonts w:ascii="Times New Roman" w:hAnsi="Times New Roman" w:eastAsia="宋体" w:cs="Times New Roman"/>
                      <w:color w:val="000000" w:themeColor="text1"/>
                      <w:sz w:val="21"/>
                      <w:vertAlign w:val="baseline"/>
                      <w14:textFill>
                        <w14:solidFill>
                          <w14:schemeClr w14:val="tx1"/>
                        </w14:solidFill>
                      </w14:textFill>
                    </w:rPr>
                    <w:t>集中收集于危废暂存间，待收集至一定量后委托具有相应危废资质的单位进行处理。危废暂存间地面铺设2mm防渗混凝土，液态废物收储装置置于金属托盘内。</w:t>
                  </w:r>
                </w:p>
              </w:tc>
            </w:tr>
            <w:tr w14:paraId="7574FC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4" w:hRule="atLeast"/>
                <w:jc w:val="center"/>
              </w:trPr>
              <w:tc>
                <w:tcPr>
                  <w:tcW w:w="432" w:type="pct"/>
                  <w:vAlign w:val="center"/>
                </w:tcPr>
                <w:p w14:paraId="23368EE0">
                  <w:pPr>
                    <w:pStyle w:val="14"/>
                    <w:adjustRightInd w:val="0"/>
                    <w:snapToGrid w:val="0"/>
                    <w:spacing w:line="240" w:lineRule="auto"/>
                    <w:jc w:val="center"/>
                    <w:rPr>
                      <w:rFonts w:ascii="Times New Roman" w:hAnsi="Times New Roman" w:eastAsia="宋体" w:cs="Times New Roman"/>
                      <w:color w:val="000000" w:themeColor="text1"/>
                      <w:sz w:val="21"/>
                      <w:vertAlign w:val="baseline"/>
                      <w14:textFill>
                        <w14:solidFill>
                          <w14:schemeClr w14:val="tx1"/>
                        </w14:solidFill>
                      </w14:textFill>
                    </w:rPr>
                  </w:pPr>
                  <w:r>
                    <w:rPr>
                      <w:rFonts w:ascii="Times New Roman" w:hAnsi="Times New Roman" w:eastAsia="宋体" w:cs="Times New Roman"/>
                      <w:color w:val="000000" w:themeColor="text1"/>
                      <w:sz w:val="21"/>
                      <w:vertAlign w:val="baseline"/>
                      <w14:textFill>
                        <w14:solidFill>
                          <w14:schemeClr w14:val="tx1"/>
                        </w14:solidFill>
                      </w14:textFill>
                    </w:rPr>
                    <w:t>8</w:t>
                  </w:r>
                </w:p>
              </w:tc>
              <w:tc>
                <w:tcPr>
                  <w:tcW w:w="473" w:type="pct"/>
                  <w:vAlign w:val="center"/>
                </w:tcPr>
                <w:p w14:paraId="00B29FAC">
                  <w:pPr>
                    <w:pStyle w:val="14"/>
                    <w:adjustRightInd w:val="0"/>
                    <w:snapToGrid w:val="0"/>
                    <w:spacing w:line="240" w:lineRule="auto"/>
                    <w:jc w:val="center"/>
                    <w:rPr>
                      <w:rFonts w:ascii="Times New Roman" w:hAnsi="Times New Roman" w:eastAsia="宋体" w:cs="Times New Roman"/>
                      <w:color w:val="000000" w:themeColor="text1"/>
                      <w:sz w:val="21"/>
                      <w:vertAlign w:val="baseline"/>
                      <w14:textFill>
                        <w14:solidFill>
                          <w14:schemeClr w14:val="tx1"/>
                        </w14:solidFill>
                      </w14:textFill>
                    </w:rPr>
                  </w:pPr>
                  <w:r>
                    <w:rPr>
                      <w:rFonts w:ascii="Times New Roman" w:hAnsi="Times New Roman" w:eastAsia="宋体" w:cs="Times New Roman"/>
                      <w:color w:val="000000" w:themeColor="text1"/>
                      <w:sz w:val="21"/>
                      <w:vertAlign w:val="baseline"/>
                      <w14:textFill>
                        <w14:solidFill>
                          <w14:schemeClr w14:val="tx1"/>
                        </w14:solidFill>
                      </w14:textFill>
                    </w:rPr>
                    <w:t>HW49</w:t>
                  </w:r>
                </w:p>
              </w:tc>
              <w:tc>
                <w:tcPr>
                  <w:tcW w:w="1319" w:type="pct"/>
                  <w:vAlign w:val="center"/>
                </w:tcPr>
                <w:p w14:paraId="6BA26297">
                  <w:pPr>
                    <w:pStyle w:val="14"/>
                    <w:adjustRightInd w:val="0"/>
                    <w:snapToGrid w:val="0"/>
                    <w:spacing w:line="240" w:lineRule="auto"/>
                    <w:jc w:val="center"/>
                    <w:rPr>
                      <w:rFonts w:ascii="Times New Roman" w:hAnsi="Times New Roman" w:eastAsia="宋体" w:cs="Times New Roman"/>
                      <w:color w:val="000000" w:themeColor="text1"/>
                      <w:sz w:val="21"/>
                      <w:vertAlign w:val="baseline"/>
                      <w14:textFill>
                        <w14:solidFill>
                          <w14:schemeClr w14:val="tx1"/>
                        </w14:solidFill>
                      </w14:textFill>
                    </w:rPr>
                  </w:pPr>
                  <w:r>
                    <w:rPr>
                      <w:rFonts w:ascii="Times New Roman" w:hAnsi="Times New Roman" w:eastAsia="宋体" w:cs="Times New Roman"/>
                      <w:color w:val="000000" w:themeColor="text1"/>
                      <w:sz w:val="21"/>
                      <w:vertAlign w:val="baseline"/>
                      <w14:textFill>
                        <w14:solidFill>
                          <w14:schemeClr w14:val="tx1"/>
                        </w14:solidFill>
                      </w14:textFill>
                    </w:rPr>
                    <w:t>含油废物</w:t>
                  </w:r>
                </w:p>
              </w:tc>
              <w:tc>
                <w:tcPr>
                  <w:tcW w:w="763" w:type="pct"/>
                  <w:vAlign w:val="center"/>
                </w:tcPr>
                <w:p w14:paraId="5396A7E6">
                  <w:pPr>
                    <w:pStyle w:val="14"/>
                    <w:adjustRightInd w:val="0"/>
                    <w:snapToGrid w:val="0"/>
                    <w:spacing w:line="240" w:lineRule="auto"/>
                    <w:jc w:val="center"/>
                    <w:rPr>
                      <w:rFonts w:ascii="Times New Roman" w:hAnsi="Times New Roman" w:eastAsia="宋体" w:cs="Times New Roman"/>
                      <w:color w:val="000000" w:themeColor="text1"/>
                      <w:sz w:val="21"/>
                      <w:vertAlign w:val="baseline"/>
                      <w14:textFill>
                        <w14:solidFill>
                          <w14:schemeClr w14:val="tx1"/>
                        </w14:solidFill>
                      </w14:textFill>
                    </w:rPr>
                  </w:pPr>
                  <w:r>
                    <w:rPr>
                      <w:rFonts w:ascii="Times New Roman" w:hAnsi="Times New Roman" w:eastAsia="宋体" w:cs="Times New Roman"/>
                      <w:color w:val="000000" w:themeColor="text1"/>
                      <w:sz w:val="21"/>
                      <w:vertAlign w:val="baseline"/>
                      <w14:textFill>
                        <w14:solidFill>
                          <w14:schemeClr w14:val="tx1"/>
                        </w14:solidFill>
                      </w14:textFill>
                    </w:rPr>
                    <w:t>0.005</w:t>
                  </w:r>
                </w:p>
              </w:tc>
              <w:tc>
                <w:tcPr>
                  <w:tcW w:w="2012" w:type="pct"/>
                  <w:vMerge w:val="continue"/>
                  <w:vAlign w:val="center"/>
                </w:tcPr>
                <w:p w14:paraId="75E6E0FA">
                  <w:pPr>
                    <w:pStyle w:val="14"/>
                    <w:adjustRightInd w:val="0"/>
                    <w:snapToGrid w:val="0"/>
                    <w:spacing w:line="240" w:lineRule="auto"/>
                    <w:jc w:val="center"/>
                    <w:rPr>
                      <w:rFonts w:ascii="Times New Roman" w:hAnsi="Times New Roman" w:eastAsia="宋体" w:cs="Times New Roman"/>
                      <w:color w:val="000000" w:themeColor="text1"/>
                      <w:sz w:val="21"/>
                      <w:vertAlign w:val="baseline"/>
                      <w14:textFill>
                        <w14:solidFill>
                          <w14:schemeClr w14:val="tx1"/>
                        </w14:solidFill>
                      </w14:textFill>
                    </w:rPr>
                  </w:pPr>
                </w:p>
              </w:tc>
            </w:tr>
          </w:tbl>
          <w:p w14:paraId="03AF4FA9">
            <w:pPr>
              <w:keepNext/>
              <w:keepLines/>
              <w:snapToGrid w:val="0"/>
              <w:spacing w:line="240" w:lineRule="exact"/>
              <w:jc w:val="center"/>
              <w:rPr>
                <w:rFonts w:ascii="Times New Roman" w:hAnsi="Times New Roman" w:eastAsia="宋体" w:cs="Times New Roman"/>
                <w:b/>
                <w:bCs/>
                <w:color w:val="000000" w:themeColor="text1"/>
                <w:sz w:val="24"/>
                <w:szCs w:val="24"/>
                <w14:textFill>
                  <w14:solidFill>
                    <w14:schemeClr w14:val="tx1"/>
                  </w14:solidFill>
                </w14:textFill>
              </w:rPr>
            </w:pPr>
          </w:p>
          <w:p w14:paraId="44507BB5">
            <w:pPr>
              <w:keepNext/>
              <w:keepLines/>
              <w:snapToGrid w:val="0"/>
              <w:spacing w:line="360" w:lineRule="auto"/>
              <w:jc w:val="center"/>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cs="Times New Roman"/>
                <w:color w:val="000000" w:themeColor="text1"/>
                <w14:textFill>
                  <w14:solidFill>
                    <w14:schemeClr w14:val="tx1"/>
                  </w14:solidFill>
                </w14:textFill>
              </w:rPr>
              <w:drawing>
                <wp:inline distT="0" distB="0" distL="0" distR="0">
                  <wp:extent cx="2375535" cy="1819275"/>
                  <wp:effectExtent l="0" t="0" r="5715" b="0"/>
                  <wp:docPr id="48" name="图片 48" descr="ed8f73dda413b4ac6b163df5708d2bc"/>
                  <wp:cNvGraphicFramePr/>
                  <a:graphic xmlns:a="http://schemas.openxmlformats.org/drawingml/2006/main">
                    <a:graphicData uri="http://schemas.openxmlformats.org/drawingml/2006/picture">
                      <pic:pic xmlns:pic="http://schemas.openxmlformats.org/drawingml/2006/picture">
                        <pic:nvPicPr>
                          <pic:cNvPr id="48" name="图片 48" descr="ed8f73dda413b4ac6b163df5708d2bc"/>
                          <pic:cNvPicPr/>
                        </pic:nvPicPr>
                        <pic:blipFill>
                          <a:blip r:embed="rId29"/>
                          <a:srcRect l="2367" t="20881" r="900" b="45221"/>
                          <a:stretch>
                            <a:fillRect/>
                          </a:stretch>
                        </pic:blipFill>
                        <pic:spPr>
                          <a:xfrm>
                            <a:off x="0" y="0"/>
                            <a:ext cx="2376000" cy="1819275"/>
                          </a:xfrm>
                          <a:prstGeom prst="rect">
                            <a:avLst/>
                          </a:prstGeom>
                        </pic:spPr>
                      </pic:pic>
                    </a:graphicData>
                  </a:graphic>
                </wp:inline>
              </w:drawing>
            </w:r>
            <w:r>
              <w:rPr>
                <w:rFonts w:ascii="Times New Roman" w:hAnsi="Times New Roman" w:eastAsia="宋体" w:cs="Times New Roman"/>
                <w:b/>
                <w:bCs/>
                <w:color w:val="000000" w:themeColor="text1"/>
                <w:sz w:val="24"/>
                <w:szCs w:val="24"/>
                <w14:textFill>
                  <w14:solidFill>
                    <w14:schemeClr w14:val="tx1"/>
                  </w14:solidFill>
                </w14:textFill>
              </w:rPr>
              <w:t xml:space="preserve"> </w:t>
            </w:r>
            <w:r>
              <w:rPr>
                <w:rFonts w:ascii="Times New Roman" w:hAnsi="Times New Roman" w:cs="Times New Roman"/>
                <w:color w:val="000000" w:themeColor="text1"/>
                <w14:textFill>
                  <w14:solidFill>
                    <w14:schemeClr w14:val="tx1"/>
                  </w14:solidFill>
                </w14:textFill>
              </w:rPr>
              <w:drawing>
                <wp:inline distT="0" distB="0" distL="0" distR="0">
                  <wp:extent cx="2375535" cy="1819275"/>
                  <wp:effectExtent l="0" t="0" r="5715" b="0"/>
                  <wp:docPr id="68" name="图片 68" descr="227ad21f892df2972f94b08a1752c13"/>
                  <wp:cNvGraphicFramePr/>
                  <a:graphic xmlns:a="http://schemas.openxmlformats.org/drawingml/2006/main">
                    <a:graphicData uri="http://schemas.openxmlformats.org/drawingml/2006/picture">
                      <pic:pic xmlns:pic="http://schemas.openxmlformats.org/drawingml/2006/picture">
                        <pic:nvPicPr>
                          <pic:cNvPr id="68" name="图片 68" descr="227ad21f892df2972f94b08a1752c13"/>
                          <pic:cNvPicPr/>
                        </pic:nvPicPr>
                        <pic:blipFill>
                          <a:blip r:embed="rId30"/>
                          <a:srcRect t="12500" b="12500"/>
                          <a:stretch>
                            <a:fillRect/>
                          </a:stretch>
                        </pic:blipFill>
                        <pic:spPr>
                          <a:xfrm>
                            <a:off x="0" y="0"/>
                            <a:ext cx="2376000" cy="1819275"/>
                          </a:xfrm>
                          <a:prstGeom prst="rect">
                            <a:avLst/>
                          </a:prstGeom>
                        </pic:spPr>
                      </pic:pic>
                    </a:graphicData>
                  </a:graphic>
                </wp:inline>
              </w:drawing>
            </w:r>
          </w:p>
          <w:p w14:paraId="4C48E118">
            <w:pPr>
              <w:keepNext/>
              <w:keepLines/>
              <w:snapToGrid w:val="0"/>
              <w:spacing w:line="360" w:lineRule="auto"/>
              <w:ind w:firstLine="1054" w:firstLineChars="500"/>
              <w:jc w:val="left"/>
              <w:rPr>
                <w:rFonts w:ascii="Times New Roman" w:hAnsi="Times New Roman" w:eastAsia="宋体" w:cs="Times New Roman"/>
                <w:b/>
                <w:bCs/>
                <w:color w:val="000000" w:themeColor="text1"/>
                <w:szCs w:val="24"/>
                <w14:textFill>
                  <w14:solidFill>
                    <w14:schemeClr w14:val="tx1"/>
                  </w14:solidFill>
                </w14:textFill>
              </w:rPr>
            </w:pPr>
            <w:r>
              <w:rPr>
                <w:rFonts w:ascii="Times New Roman" w:hAnsi="Times New Roman" w:eastAsia="宋体" w:cs="Times New Roman"/>
                <w:b/>
                <w:bCs/>
                <w:color w:val="000000" w:themeColor="text1"/>
                <w:szCs w:val="24"/>
                <w14:textFill>
                  <w14:solidFill>
                    <w14:schemeClr w14:val="tx1"/>
                  </w14:solidFill>
                </w14:textFill>
              </w:rPr>
              <w:t>危废暂存间标识标牌                    危废暂存间内防渗措施</w:t>
            </w:r>
          </w:p>
          <w:p w14:paraId="4585DCAC">
            <w:pPr>
              <w:keepNext/>
              <w:keepLines/>
              <w:snapToGrid w:val="0"/>
              <w:spacing w:line="360" w:lineRule="auto"/>
              <w:jc w:val="center"/>
              <w:rPr>
                <w:rFonts w:ascii="Times New Roman" w:hAnsi="Times New Roman" w:eastAsia="宋体" w:cs="Times New Roman"/>
                <w:b/>
                <w:bCs/>
                <w:color w:val="000000" w:themeColor="text1"/>
                <w:szCs w:val="24"/>
                <w14:textFill>
                  <w14:solidFill>
                    <w14:schemeClr w14:val="tx1"/>
                  </w14:solidFill>
                </w14:textFill>
              </w:rPr>
            </w:pPr>
            <w:bookmarkStart w:id="17" w:name="_Toc5285"/>
            <w:r>
              <w:rPr>
                <w:rFonts w:ascii="Times New Roman" w:hAnsi="Times New Roman" w:eastAsia="宋体" w:cs="Times New Roman"/>
                <w:b/>
                <w:bCs/>
                <w:color w:val="000000" w:themeColor="text1"/>
                <w:szCs w:val="24"/>
                <w14:textFill>
                  <w14:solidFill>
                    <w14:schemeClr w14:val="tx1"/>
                  </w14:solidFill>
                </w14:textFill>
              </w:rPr>
              <w:t>图2-6危废暂存间设置情况</w:t>
            </w:r>
          </w:p>
          <w:bookmarkEnd w:id="17"/>
          <w:p w14:paraId="60738337">
            <w:pPr>
              <w:keepNext/>
              <w:keepLines/>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bookmarkStart w:id="18" w:name="_Toc9759"/>
            <w:r>
              <w:rPr>
                <w:rFonts w:ascii="Times New Roman" w:hAnsi="Times New Roman" w:eastAsia="宋体" w:cs="Times New Roman"/>
                <w:b/>
                <w:bCs/>
                <w:color w:val="000000" w:themeColor="text1"/>
                <w:sz w:val="24"/>
                <w:szCs w:val="24"/>
                <w14:textFill>
                  <w14:solidFill>
                    <w14:schemeClr w14:val="tx1"/>
                  </w14:solidFill>
                </w14:textFill>
              </w:rPr>
              <w:t>四、现有工程污染物排放量汇总</w:t>
            </w:r>
          </w:p>
          <w:p w14:paraId="5BE0696F">
            <w:pPr>
              <w:keepNext/>
              <w:keepLines/>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根据现有工程环评及批复文件、验收监测结果，污染物排放量如下：</w:t>
            </w:r>
          </w:p>
          <w:p w14:paraId="700DD9EA">
            <w:pPr>
              <w:snapToGrid w:val="0"/>
              <w:jc w:val="center"/>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35</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ascii="Times New Roman" w:hAnsi="Times New Roman" w:eastAsia="宋体" w:cs="Times New Roman"/>
                <w:b/>
                <w:color w:val="000000" w:themeColor="text1"/>
                <w:kern w:val="0"/>
                <w:szCs w:val="21"/>
                <w14:textFill>
                  <w14:solidFill>
                    <w14:schemeClr w14:val="tx1"/>
                  </w14:solidFill>
                </w14:textFill>
              </w:rPr>
              <w:t>企业现有工程污染物排放情况   单位：t/a</w:t>
            </w:r>
          </w:p>
          <w:tbl>
            <w:tblPr>
              <w:tblStyle w:val="2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6"/>
              <w:gridCol w:w="1173"/>
              <w:gridCol w:w="1313"/>
              <w:gridCol w:w="638"/>
              <w:gridCol w:w="899"/>
              <w:gridCol w:w="794"/>
              <w:gridCol w:w="900"/>
              <w:gridCol w:w="1100"/>
            </w:tblGrid>
            <w:tr w14:paraId="482450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restart"/>
                  <w:vAlign w:val="center"/>
                </w:tcPr>
                <w:p w14:paraId="5D865FC9">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类别</w:t>
                  </w:r>
                </w:p>
              </w:tc>
              <w:tc>
                <w:tcPr>
                  <w:tcW w:w="1173" w:type="dxa"/>
                  <w:vMerge w:val="restart"/>
                  <w:vAlign w:val="center"/>
                </w:tcPr>
                <w:p w14:paraId="5F0AB9DF">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污染源</w:t>
                  </w:r>
                </w:p>
              </w:tc>
              <w:tc>
                <w:tcPr>
                  <w:tcW w:w="1313" w:type="dxa"/>
                  <w:vMerge w:val="restart"/>
                  <w:vAlign w:val="center"/>
                </w:tcPr>
                <w:p w14:paraId="370D30FD">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污染物</w:t>
                  </w:r>
                </w:p>
              </w:tc>
              <w:tc>
                <w:tcPr>
                  <w:tcW w:w="0" w:type="auto"/>
                  <w:vMerge w:val="restart"/>
                  <w:vAlign w:val="center"/>
                </w:tcPr>
                <w:p w14:paraId="317ACBEC">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单位</w:t>
                  </w:r>
                </w:p>
              </w:tc>
              <w:tc>
                <w:tcPr>
                  <w:tcW w:w="2593" w:type="dxa"/>
                  <w:gridSpan w:val="3"/>
                  <w:vAlign w:val="center"/>
                </w:tcPr>
                <w:p w14:paraId="094C5B6C">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排放量</w:t>
                  </w:r>
                </w:p>
                <w:p w14:paraId="31227A9C">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（固废为产生量）</w:t>
                  </w:r>
                </w:p>
              </w:tc>
              <w:tc>
                <w:tcPr>
                  <w:tcW w:w="1100" w:type="dxa"/>
                  <w:vMerge w:val="restart"/>
                  <w:vAlign w:val="center"/>
                </w:tcPr>
                <w:p w14:paraId="2712F5E7">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备注</w:t>
                  </w:r>
                </w:p>
              </w:tc>
            </w:tr>
            <w:tr w14:paraId="2C4AEF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continue"/>
                  <w:vAlign w:val="center"/>
                </w:tcPr>
                <w:p w14:paraId="2E957835">
                  <w:pPr>
                    <w:snapToGrid w:val="0"/>
                    <w:jc w:val="center"/>
                    <w:rPr>
                      <w:rFonts w:ascii="Times New Roman" w:hAnsi="Times New Roman" w:eastAsia="宋体" w:cs="Times New Roman"/>
                      <w:b/>
                      <w:color w:val="000000" w:themeColor="text1"/>
                      <w:szCs w:val="21"/>
                      <w14:textFill>
                        <w14:solidFill>
                          <w14:schemeClr w14:val="tx1"/>
                        </w14:solidFill>
                      </w14:textFill>
                    </w:rPr>
                  </w:pPr>
                </w:p>
              </w:tc>
              <w:tc>
                <w:tcPr>
                  <w:tcW w:w="1173" w:type="dxa"/>
                  <w:vMerge w:val="continue"/>
                  <w:vAlign w:val="center"/>
                </w:tcPr>
                <w:p w14:paraId="22C0F727">
                  <w:pPr>
                    <w:snapToGrid w:val="0"/>
                    <w:jc w:val="center"/>
                    <w:rPr>
                      <w:rFonts w:ascii="Times New Roman" w:hAnsi="Times New Roman" w:eastAsia="宋体" w:cs="Times New Roman"/>
                      <w:b/>
                      <w:color w:val="000000" w:themeColor="text1"/>
                      <w:szCs w:val="21"/>
                      <w14:textFill>
                        <w14:solidFill>
                          <w14:schemeClr w14:val="tx1"/>
                        </w14:solidFill>
                      </w14:textFill>
                    </w:rPr>
                  </w:pPr>
                </w:p>
              </w:tc>
              <w:tc>
                <w:tcPr>
                  <w:tcW w:w="1313" w:type="dxa"/>
                  <w:vMerge w:val="continue"/>
                  <w:vAlign w:val="center"/>
                </w:tcPr>
                <w:p w14:paraId="2C64ABE1">
                  <w:pPr>
                    <w:snapToGrid w:val="0"/>
                    <w:jc w:val="center"/>
                    <w:rPr>
                      <w:rFonts w:ascii="Times New Roman" w:hAnsi="Times New Roman" w:eastAsia="宋体" w:cs="Times New Roman"/>
                      <w:b/>
                      <w:color w:val="000000" w:themeColor="text1"/>
                      <w:szCs w:val="21"/>
                      <w14:textFill>
                        <w14:solidFill>
                          <w14:schemeClr w14:val="tx1"/>
                        </w14:solidFill>
                      </w14:textFill>
                    </w:rPr>
                  </w:pPr>
                </w:p>
              </w:tc>
              <w:tc>
                <w:tcPr>
                  <w:tcW w:w="0" w:type="auto"/>
                  <w:vMerge w:val="continue"/>
                  <w:vAlign w:val="center"/>
                </w:tcPr>
                <w:p w14:paraId="36AF8DF4">
                  <w:pPr>
                    <w:snapToGrid w:val="0"/>
                    <w:jc w:val="center"/>
                    <w:rPr>
                      <w:rFonts w:ascii="Times New Roman" w:hAnsi="Times New Roman" w:eastAsia="宋体" w:cs="Times New Roman"/>
                      <w:b/>
                      <w:color w:val="000000" w:themeColor="text1"/>
                      <w:szCs w:val="21"/>
                      <w14:textFill>
                        <w14:solidFill>
                          <w14:schemeClr w14:val="tx1"/>
                        </w14:solidFill>
                      </w14:textFill>
                    </w:rPr>
                  </w:pPr>
                </w:p>
              </w:tc>
              <w:tc>
                <w:tcPr>
                  <w:tcW w:w="0" w:type="auto"/>
                  <w:vAlign w:val="center"/>
                </w:tcPr>
                <w:p w14:paraId="45F76780">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有组</w:t>
                  </w:r>
                </w:p>
                <w:p w14:paraId="4B7C6225">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织</w:t>
                  </w:r>
                </w:p>
              </w:tc>
              <w:tc>
                <w:tcPr>
                  <w:tcW w:w="0" w:type="auto"/>
                </w:tcPr>
                <w:p w14:paraId="2AAF888C">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无组</w:t>
                  </w:r>
                </w:p>
                <w:p w14:paraId="28E1084F">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织</w:t>
                  </w:r>
                </w:p>
              </w:tc>
              <w:tc>
                <w:tcPr>
                  <w:tcW w:w="900" w:type="dxa"/>
                </w:tcPr>
                <w:p w14:paraId="47220A75">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总排</w:t>
                  </w:r>
                </w:p>
                <w:p w14:paraId="599F1A3F">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放量</w:t>
                  </w:r>
                </w:p>
              </w:tc>
              <w:tc>
                <w:tcPr>
                  <w:tcW w:w="1100" w:type="dxa"/>
                  <w:vMerge w:val="continue"/>
                  <w:vAlign w:val="center"/>
                </w:tcPr>
                <w:p w14:paraId="27DF4772">
                  <w:pPr>
                    <w:snapToGrid w:val="0"/>
                    <w:jc w:val="center"/>
                    <w:rPr>
                      <w:rFonts w:ascii="Times New Roman" w:hAnsi="Times New Roman" w:eastAsia="宋体" w:cs="Times New Roman"/>
                      <w:b/>
                      <w:color w:val="000000" w:themeColor="text1"/>
                      <w:szCs w:val="21"/>
                      <w14:textFill>
                        <w14:solidFill>
                          <w14:schemeClr w14:val="tx1"/>
                        </w14:solidFill>
                      </w14:textFill>
                    </w:rPr>
                  </w:pPr>
                </w:p>
              </w:tc>
            </w:tr>
            <w:tr w14:paraId="16E56B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restart"/>
                  <w:vAlign w:val="center"/>
                </w:tcPr>
                <w:p w14:paraId="0CD3F143">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废气污</w:t>
                  </w:r>
                </w:p>
                <w:p w14:paraId="57933503">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染物</w:t>
                  </w:r>
                </w:p>
              </w:tc>
              <w:tc>
                <w:tcPr>
                  <w:tcW w:w="1173" w:type="dxa"/>
                  <w:vAlign w:val="center"/>
                </w:tcPr>
                <w:p w14:paraId="48235DD6">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原料堆场</w:t>
                  </w:r>
                </w:p>
              </w:tc>
              <w:tc>
                <w:tcPr>
                  <w:tcW w:w="1313" w:type="dxa"/>
                  <w:vAlign w:val="center"/>
                </w:tcPr>
                <w:p w14:paraId="2340548B">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扬尘</w:t>
                  </w:r>
                </w:p>
              </w:tc>
              <w:tc>
                <w:tcPr>
                  <w:tcW w:w="0" w:type="auto"/>
                  <w:vAlign w:val="center"/>
                </w:tcPr>
                <w:p w14:paraId="0CEC65BF">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t/a</w:t>
                  </w:r>
                </w:p>
              </w:tc>
              <w:tc>
                <w:tcPr>
                  <w:tcW w:w="0" w:type="auto"/>
                  <w:vAlign w:val="center"/>
                </w:tcPr>
                <w:p w14:paraId="39863481">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w:t>
                  </w:r>
                </w:p>
              </w:tc>
              <w:tc>
                <w:tcPr>
                  <w:tcW w:w="0" w:type="auto"/>
                  <w:vAlign w:val="center"/>
                </w:tcPr>
                <w:p w14:paraId="4737580E">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0.2</w:t>
                  </w:r>
                </w:p>
              </w:tc>
              <w:tc>
                <w:tcPr>
                  <w:tcW w:w="900" w:type="dxa"/>
                  <w:vAlign w:val="center"/>
                </w:tcPr>
                <w:p w14:paraId="4FEE7044">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0.2</w:t>
                  </w:r>
                </w:p>
              </w:tc>
              <w:tc>
                <w:tcPr>
                  <w:tcW w:w="1100" w:type="dxa"/>
                  <w:vAlign w:val="center"/>
                </w:tcPr>
                <w:p w14:paraId="6AFE7A2D">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环评报告</w:t>
                  </w:r>
                </w:p>
              </w:tc>
            </w:tr>
            <w:tr w14:paraId="307E61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continue"/>
                  <w:vAlign w:val="center"/>
                </w:tcPr>
                <w:p w14:paraId="3921E7A5">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173" w:type="dxa"/>
                  <w:vAlign w:val="center"/>
                </w:tcPr>
                <w:p w14:paraId="2FEDC7B5">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原料制备</w:t>
                  </w:r>
                </w:p>
                <w:p w14:paraId="36855646">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车间</w:t>
                  </w:r>
                </w:p>
              </w:tc>
              <w:tc>
                <w:tcPr>
                  <w:tcW w:w="1313" w:type="dxa"/>
                  <w:vAlign w:val="center"/>
                </w:tcPr>
                <w:p w14:paraId="1D041EC2">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粉尘</w:t>
                  </w:r>
                </w:p>
              </w:tc>
              <w:tc>
                <w:tcPr>
                  <w:tcW w:w="0" w:type="auto"/>
                  <w:vAlign w:val="center"/>
                </w:tcPr>
                <w:p w14:paraId="5AEBFCC5">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t/a</w:t>
                  </w:r>
                </w:p>
              </w:tc>
              <w:tc>
                <w:tcPr>
                  <w:tcW w:w="0" w:type="auto"/>
                  <w:vAlign w:val="center"/>
                </w:tcPr>
                <w:p w14:paraId="132FA21A">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0.4286</w:t>
                  </w:r>
                </w:p>
              </w:tc>
              <w:tc>
                <w:tcPr>
                  <w:tcW w:w="0" w:type="auto"/>
                  <w:vAlign w:val="center"/>
                </w:tcPr>
                <w:p w14:paraId="7B93D33B">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0.2692</w:t>
                  </w:r>
                </w:p>
              </w:tc>
              <w:tc>
                <w:tcPr>
                  <w:tcW w:w="900" w:type="dxa"/>
                  <w:vAlign w:val="center"/>
                </w:tcPr>
                <w:p w14:paraId="6132F688">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0.6978</w:t>
                  </w:r>
                </w:p>
              </w:tc>
              <w:tc>
                <w:tcPr>
                  <w:tcW w:w="1100" w:type="dxa"/>
                  <w:vAlign w:val="center"/>
                </w:tcPr>
                <w:p w14:paraId="4515DDE0">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环评报告</w:t>
                  </w:r>
                </w:p>
              </w:tc>
            </w:tr>
            <w:tr w14:paraId="7B088B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continue"/>
                  <w:vAlign w:val="center"/>
                </w:tcPr>
                <w:p w14:paraId="32365250">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173" w:type="dxa"/>
                  <w:vAlign w:val="center"/>
                </w:tcPr>
                <w:p w14:paraId="1565C527">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厂内道路</w:t>
                  </w:r>
                </w:p>
              </w:tc>
              <w:tc>
                <w:tcPr>
                  <w:tcW w:w="1313" w:type="dxa"/>
                  <w:vAlign w:val="center"/>
                </w:tcPr>
                <w:p w14:paraId="3C06A5B2">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扬尘</w:t>
                  </w:r>
                </w:p>
              </w:tc>
              <w:tc>
                <w:tcPr>
                  <w:tcW w:w="0" w:type="auto"/>
                  <w:vAlign w:val="center"/>
                </w:tcPr>
                <w:p w14:paraId="326D8314">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t/a</w:t>
                  </w:r>
                </w:p>
              </w:tc>
              <w:tc>
                <w:tcPr>
                  <w:tcW w:w="0" w:type="auto"/>
                  <w:vAlign w:val="center"/>
                </w:tcPr>
                <w:p w14:paraId="1DC79BC9">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w:t>
                  </w:r>
                </w:p>
              </w:tc>
              <w:tc>
                <w:tcPr>
                  <w:tcW w:w="0" w:type="auto"/>
                  <w:vAlign w:val="center"/>
                </w:tcPr>
                <w:p w14:paraId="2121F458">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0.1909</w:t>
                  </w:r>
                </w:p>
              </w:tc>
              <w:tc>
                <w:tcPr>
                  <w:tcW w:w="900" w:type="dxa"/>
                  <w:vAlign w:val="center"/>
                </w:tcPr>
                <w:p w14:paraId="5DE85630">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0.1909</w:t>
                  </w:r>
                </w:p>
              </w:tc>
              <w:tc>
                <w:tcPr>
                  <w:tcW w:w="1100" w:type="dxa"/>
                  <w:vAlign w:val="center"/>
                </w:tcPr>
                <w:p w14:paraId="4A7E3EE9">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环评报告</w:t>
                  </w:r>
                </w:p>
              </w:tc>
            </w:tr>
            <w:tr w14:paraId="12055B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continue"/>
                  <w:vAlign w:val="center"/>
                </w:tcPr>
                <w:p w14:paraId="3B9187F6">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173" w:type="dxa"/>
                  <w:vMerge w:val="restart"/>
                  <w:vAlign w:val="center"/>
                </w:tcPr>
                <w:p w14:paraId="6CECBABC">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隧道窑、</w:t>
                  </w:r>
                </w:p>
                <w:p w14:paraId="72920044">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烘干窑</w:t>
                  </w:r>
                </w:p>
              </w:tc>
              <w:tc>
                <w:tcPr>
                  <w:tcW w:w="1313" w:type="dxa"/>
                  <w:vAlign w:val="center"/>
                </w:tcPr>
                <w:p w14:paraId="5864628F">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烟尘</w:t>
                  </w:r>
                </w:p>
              </w:tc>
              <w:tc>
                <w:tcPr>
                  <w:tcW w:w="0" w:type="auto"/>
                  <w:vAlign w:val="center"/>
                </w:tcPr>
                <w:p w14:paraId="24AEB4AC">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t/a</w:t>
                  </w:r>
                </w:p>
              </w:tc>
              <w:tc>
                <w:tcPr>
                  <w:tcW w:w="0" w:type="auto"/>
                  <w:vAlign w:val="center"/>
                </w:tcPr>
                <w:p w14:paraId="3ECB5A35">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10.2804</w:t>
                  </w:r>
                </w:p>
              </w:tc>
              <w:tc>
                <w:tcPr>
                  <w:tcW w:w="0" w:type="auto"/>
                </w:tcPr>
                <w:p w14:paraId="061E8593">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w:t>
                  </w:r>
                </w:p>
              </w:tc>
              <w:tc>
                <w:tcPr>
                  <w:tcW w:w="900" w:type="dxa"/>
                  <w:vAlign w:val="center"/>
                </w:tcPr>
                <w:p w14:paraId="7D5B8494">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10.2804</w:t>
                  </w:r>
                </w:p>
              </w:tc>
              <w:tc>
                <w:tcPr>
                  <w:tcW w:w="1100" w:type="dxa"/>
                  <w:vAlign w:val="center"/>
                </w:tcPr>
                <w:p w14:paraId="093EBE75">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验收核算</w:t>
                  </w:r>
                </w:p>
              </w:tc>
            </w:tr>
            <w:tr w14:paraId="6FBC38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continue"/>
                  <w:vAlign w:val="center"/>
                </w:tcPr>
                <w:p w14:paraId="43D5CD30">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173" w:type="dxa"/>
                  <w:vMerge w:val="continue"/>
                  <w:vAlign w:val="center"/>
                </w:tcPr>
                <w:p w14:paraId="06AEB947">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313" w:type="dxa"/>
                  <w:vAlign w:val="center"/>
                </w:tcPr>
                <w:p w14:paraId="7BCB3B98">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SO</w:t>
                  </w:r>
                  <w:r>
                    <w:rPr>
                      <w:rFonts w:ascii="Times New Roman" w:hAnsi="Times New Roman" w:eastAsia="宋体" w:cs="Times New Roman"/>
                      <w:color w:val="000000" w:themeColor="text1"/>
                      <w:szCs w:val="21"/>
                      <w:vertAlign w:val="subscript"/>
                      <w14:textFill>
                        <w14:solidFill>
                          <w14:schemeClr w14:val="tx1"/>
                        </w14:solidFill>
                      </w14:textFill>
                    </w:rPr>
                    <w:t>2</w:t>
                  </w:r>
                </w:p>
              </w:tc>
              <w:tc>
                <w:tcPr>
                  <w:tcW w:w="0" w:type="auto"/>
                  <w:vAlign w:val="center"/>
                </w:tcPr>
                <w:p w14:paraId="37365DE9">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t/a</w:t>
                  </w:r>
                </w:p>
              </w:tc>
              <w:tc>
                <w:tcPr>
                  <w:tcW w:w="0" w:type="auto"/>
                  <w:vAlign w:val="center"/>
                </w:tcPr>
                <w:p w14:paraId="6C8F522E">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8.6365</w:t>
                  </w:r>
                </w:p>
              </w:tc>
              <w:tc>
                <w:tcPr>
                  <w:tcW w:w="0" w:type="auto"/>
                </w:tcPr>
                <w:p w14:paraId="52D0B559">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w:t>
                  </w:r>
                </w:p>
              </w:tc>
              <w:tc>
                <w:tcPr>
                  <w:tcW w:w="900" w:type="dxa"/>
                  <w:vAlign w:val="center"/>
                </w:tcPr>
                <w:p w14:paraId="4EFB226F">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8.6365</w:t>
                  </w:r>
                </w:p>
              </w:tc>
              <w:tc>
                <w:tcPr>
                  <w:tcW w:w="1100" w:type="dxa"/>
                  <w:vAlign w:val="center"/>
                </w:tcPr>
                <w:p w14:paraId="62BCD133">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验收核算</w:t>
                  </w:r>
                </w:p>
              </w:tc>
            </w:tr>
            <w:tr w14:paraId="61D98D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continue"/>
                  <w:vAlign w:val="center"/>
                </w:tcPr>
                <w:p w14:paraId="259F8803">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173" w:type="dxa"/>
                  <w:vMerge w:val="continue"/>
                  <w:vAlign w:val="center"/>
                </w:tcPr>
                <w:p w14:paraId="3B25DF29">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313" w:type="dxa"/>
                  <w:vAlign w:val="center"/>
                </w:tcPr>
                <w:p w14:paraId="3E0F18A0">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NOx</w:t>
                  </w:r>
                </w:p>
              </w:tc>
              <w:tc>
                <w:tcPr>
                  <w:tcW w:w="0" w:type="auto"/>
                  <w:vAlign w:val="center"/>
                </w:tcPr>
                <w:p w14:paraId="1BE192A7">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t/a</w:t>
                  </w:r>
                </w:p>
              </w:tc>
              <w:tc>
                <w:tcPr>
                  <w:tcW w:w="0" w:type="auto"/>
                  <w:vAlign w:val="center"/>
                </w:tcPr>
                <w:p w14:paraId="38EE6A45">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9.0120</w:t>
                  </w:r>
                </w:p>
              </w:tc>
              <w:tc>
                <w:tcPr>
                  <w:tcW w:w="0" w:type="auto"/>
                </w:tcPr>
                <w:p w14:paraId="5D5275EA">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w:t>
                  </w:r>
                </w:p>
              </w:tc>
              <w:tc>
                <w:tcPr>
                  <w:tcW w:w="900" w:type="dxa"/>
                  <w:vAlign w:val="center"/>
                </w:tcPr>
                <w:p w14:paraId="3E59ADF2">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9.012</w:t>
                  </w:r>
                </w:p>
              </w:tc>
              <w:tc>
                <w:tcPr>
                  <w:tcW w:w="1100" w:type="dxa"/>
                  <w:vAlign w:val="center"/>
                </w:tcPr>
                <w:p w14:paraId="4BAB1E34">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验收核算</w:t>
                  </w:r>
                </w:p>
              </w:tc>
            </w:tr>
            <w:tr w14:paraId="674A5A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continue"/>
                  <w:vAlign w:val="center"/>
                </w:tcPr>
                <w:p w14:paraId="78222DBD">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173" w:type="dxa"/>
                  <w:vMerge w:val="continue"/>
                  <w:vAlign w:val="center"/>
                </w:tcPr>
                <w:p w14:paraId="6D92EB1C">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313" w:type="dxa"/>
                  <w:vAlign w:val="center"/>
                </w:tcPr>
                <w:p w14:paraId="15A7502A">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0" w:type="auto"/>
                  <w:vAlign w:val="center"/>
                </w:tcPr>
                <w:p w14:paraId="2E0B3F7D">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t/a</w:t>
                  </w:r>
                </w:p>
              </w:tc>
              <w:tc>
                <w:tcPr>
                  <w:tcW w:w="0" w:type="auto"/>
                  <w:vAlign w:val="center"/>
                </w:tcPr>
                <w:p w14:paraId="6F193838">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0.6981</w:t>
                  </w:r>
                </w:p>
              </w:tc>
              <w:tc>
                <w:tcPr>
                  <w:tcW w:w="0" w:type="auto"/>
                </w:tcPr>
                <w:p w14:paraId="55053C38">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w:t>
                  </w:r>
                </w:p>
              </w:tc>
              <w:tc>
                <w:tcPr>
                  <w:tcW w:w="900" w:type="dxa"/>
                  <w:vAlign w:val="center"/>
                </w:tcPr>
                <w:p w14:paraId="36B4BCD6">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0.6981</w:t>
                  </w:r>
                </w:p>
              </w:tc>
              <w:tc>
                <w:tcPr>
                  <w:tcW w:w="1100" w:type="dxa"/>
                  <w:vAlign w:val="center"/>
                </w:tcPr>
                <w:p w14:paraId="0D95F9F0">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验收核算</w:t>
                  </w:r>
                </w:p>
              </w:tc>
            </w:tr>
            <w:tr w14:paraId="20DE41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restart"/>
                  <w:vAlign w:val="center"/>
                </w:tcPr>
                <w:p w14:paraId="3414CEBB">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固体</w:t>
                  </w:r>
                </w:p>
                <w:p w14:paraId="3D26376F">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废物</w:t>
                  </w:r>
                </w:p>
              </w:tc>
              <w:tc>
                <w:tcPr>
                  <w:tcW w:w="1173" w:type="dxa"/>
                  <w:vMerge w:val="restart"/>
                  <w:vAlign w:val="center"/>
                </w:tcPr>
                <w:p w14:paraId="53785890">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生产工序</w:t>
                  </w:r>
                </w:p>
              </w:tc>
              <w:tc>
                <w:tcPr>
                  <w:tcW w:w="1313" w:type="dxa"/>
                  <w:vAlign w:val="center"/>
                </w:tcPr>
                <w:p w14:paraId="346130F2">
                  <w:pPr>
                    <w:snapToGrid w:val="0"/>
                    <w:jc w:val="center"/>
                    <w:rPr>
                      <w:rFonts w:ascii="Times New Roman" w:hAnsi="Times New Roman" w:eastAsia="宋体" w:cs="Times New Roman"/>
                      <w:color w:val="000000" w:themeColor="text1"/>
                      <w:szCs w:val="21"/>
                      <w:lang w:bidi="ar"/>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挤出机边角</w:t>
                  </w:r>
                </w:p>
                <w:p w14:paraId="3C3DB936">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料和废砖坯</w:t>
                  </w:r>
                </w:p>
              </w:tc>
              <w:tc>
                <w:tcPr>
                  <w:tcW w:w="0" w:type="auto"/>
                  <w:vAlign w:val="center"/>
                </w:tcPr>
                <w:p w14:paraId="68817020">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t/a</w:t>
                  </w:r>
                </w:p>
              </w:tc>
              <w:tc>
                <w:tcPr>
                  <w:tcW w:w="2593" w:type="dxa"/>
                  <w:gridSpan w:val="3"/>
                  <w:vAlign w:val="center"/>
                </w:tcPr>
                <w:p w14:paraId="4E87BCA8">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lang w:bidi="ar"/>
                      <w14:textFill>
                        <w14:solidFill>
                          <w14:schemeClr w14:val="tx1"/>
                        </w14:solidFill>
                      </w14:textFill>
                    </w:rPr>
                    <w:t>7840</w:t>
                  </w:r>
                </w:p>
              </w:tc>
              <w:tc>
                <w:tcPr>
                  <w:tcW w:w="1100" w:type="dxa"/>
                  <w:vAlign w:val="center"/>
                </w:tcPr>
                <w:p w14:paraId="38FDEB9A">
                  <w:pPr>
                    <w:snapToGrid w:val="0"/>
                    <w:jc w:val="center"/>
                    <w:rPr>
                      <w:rFonts w:ascii="Times New Roman" w:hAnsi="Times New Roman" w:cs="Times New Roman"/>
                      <w:color w:val="000000" w:themeColor="text1"/>
                      <w:szCs w:val="21"/>
                      <w:lang w:bidi="ar"/>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环评报告</w:t>
                  </w:r>
                </w:p>
              </w:tc>
            </w:tr>
            <w:tr w14:paraId="3087A4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continue"/>
                  <w:vAlign w:val="center"/>
                </w:tcPr>
                <w:p w14:paraId="683EBC1A">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173" w:type="dxa"/>
                  <w:vMerge w:val="continue"/>
                  <w:vAlign w:val="center"/>
                </w:tcPr>
                <w:p w14:paraId="2D1756B3">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313" w:type="dxa"/>
                  <w:vAlign w:val="center"/>
                </w:tcPr>
                <w:p w14:paraId="01E85C5D">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生产废砖</w:t>
                  </w:r>
                </w:p>
              </w:tc>
              <w:tc>
                <w:tcPr>
                  <w:tcW w:w="0" w:type="auto"/>
                  <w:vAlign w:val="center"/>
                </w:tcPr>
                <w:p w14:paraId="36B38F92">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t/a</w:t>
                  </w:r>
                </w:p>
              </w:tc>
              <w:tc>
                <w:tcPr>
                  <w:tcW w:w="2593" w:type="dxa"/>
                  <w:gridSpan w:val="3"/>
                  <w:vAlign w:val="center"/>
                </w:tcPr>
                <w:p w14:paraId="5D3D52A3">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lang w:bidi="ar"/>
                      <w14:textFill>
                        <w14:solidFill>
                          <w14:schemeClr w14:val="tx1"/>
                        </w14:solidFill>
                      </w14:textFill>
                    </w:rPr>
                    <w:t>980</w:t>
                  </w:r>
                </w:p>
              </w:tc>
              <w:tc>
                <w:tcPr>
                  <w:tcW w:w="1100" w:type="dxa"/>
                  <w:vAlign w:val="center"/>
                </w:tcPr>
                <w:p w14:paraId="2B5E1D51">
                  <w:pPr>
                    <w:snapToGrid w:val="0"/>
                    <w:jc w:val="center"/>
                    <w:rPr>
                      <w:rFonts w:ascii="Times New Roman" w:hAnsi="Times New Roman" w:cs="Times New Roman"/>
                      <w:color w:val="000000" w:themeColor="text1"/>
                      <w:szCs w:val="21"/>
                      <w:lang w:bidi="ar"/>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环评报告</w:t>
                  </w:r>
                </w:p>
              </w:tc>
            </w:tr>
            <w:tr w14:paraId="0C7368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continue"/>
                  <w:vAlign w:val="center"/>
                </w:tcPr>
                <w:p w14:paraId="1629A487">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173" w:type="dxa"/>
                  <w:vMerge w:val="continue"/>
                  <w:vAlign w:val="center"/>
                </w:tcPr>
                <w:p w14:paraId="3B304D8E">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313" w:type="dxa"/>
                  <w:vAlign w:val="center"/>
                </w:tcPr>
                <w:p w14:paraId="03B76570">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煤渣</w:t>
                  </w:r>
                </w:p>
              </w:tc>
              <w:tc>
                <w:tcPr>
                  <w:tcW w:w="0" w:type="auto"/>
                  <w:vAlign w:val="center"/>
                </w:tcPr>
                <w:p w14:paraId="32147333">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t/a</w:t>
                  </w:r>
                </w:p>
              </w:tc>
              <w:tc>
                <w:tcPr>
                  <w:tcW w:w="2593" w:type="dxa"/>
                  <w:gridSpan w:val="3"/>
                  <w:vAlign w:val="center"/>
                </w:tcPr>
                <w:p w14:paraId="0D93B9EC">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lang w:bidi="ar"/>
                      <w14:textFill>
                        <w14:solidFill>
                          <w14:schemeClr w14:val="tx1"/>
                        </w14:solidFill>
                      </w14:textFill>
                    </w:rPr>
                    <w:t>4</w:t>
                  </w:r>
                </w:p>
              </w:tc>
              <w:tc>
                <w:tcPr>
                  <w:tcW w:w="1100" w:type="dxa"/>
                  <w:vAlign w:val="center"/>
                </w:tcPr>
                <w:p w14:paraId="69890795">
                  <w:pPr>
                    <w:snapToGrid w:val="0"/>
                    <w:jc w:val="center"/>
                    <w:rPr>
                      <w:rFonts w:ascii="Times New Roman" w:hAnsi="Times New Roman" w:cs="Times New Roman"/>
                      <w:color w:val="000000" w:themeColor="text1"/>
                      <w:szCs w:val="21"/>
                      <w:lang w:bidi="ar"/>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环评报告</w:t>
                  </w:r>
                </w:p>
              </w:tc>
            </w:tr>
            <w:tr w14:paraId="2DD9B6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continue"/>
                  <w:vAlign w:val="center"/>
                </w:tcPr>
                <w:p w14:paraId="380C623F">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173" w:type="dxa"/>
                  <w:vMerge w:val="continue"/>
                  <w:vAlign w:val="center"/>
                </w:tcPr>
                <w:p w14:paraId="1AE89C77">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313" w:type="dxa"/>
                  <w:vAlign w:val="center"/>
                </w:tcPr>
                <w:p w14:paraId="424AAEFC">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除尘器除灰尘</w:t>
                  </w:r>
                </w:p>
              </w:tc>
              <w:tc>
                <w:tcPr>
                  <w:tcW w:w="0" w:type="auto"/>
                  <w:vAlign w:val="center"/>
                </w:tcPr>
                <w:p w14:paraId="6E2D7102">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t/a</w:t>
                  </w:r>
                </w:p>
              </w:tc>
              <w:tc>
                <w:tcPr>
                  <w:tcW w:w="2593" w:type="dxa"/>
                  <w:gridSpan w:val="3"/>
                  <w:vAlign w:val="center"/>
                </w:tcPr>
                <w:p w14:paraId="1A5DF163">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szCs w:val="21"/>
                      <w:lang w:bidi="ar"/>
                      <w14:textFill>
                        <w14:solidFill>
                          <w14:schemeClr w14:val="tx1"/>
                        </w14:solidFill>
                      </w14:textFill>
                    </w:rPr>
                    <w:t>26.17</w:t>
                  </w:r>
                </w:p>
              </w:tc>
              <w:tc>
                <w:tcPr>
                  <w:tcW w:w="1100" w:type="dxa"/>
                  <w:vAlign w:val="center"/>
                </w:tcPr>
                <w:p w14:paraId="0101321C">
                  <w:pPr>
                    <w:snapToGrid w:val="0"/>
                    <w:jc w:val="center"/>
                    <w:rPr>
                      <w:rFonts w:ascii="Times New Roman" w:hAnsi="Times New Roman" w:cs="Times New Roman"/>
                      <w:color w:val="000000" w:themeColor="text1"/>
                      <w:szCs w:val="21"/>
                      <w:lang w:bidi="ar"/>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环评报告</w:t>
                  </w:r>
                </w:p>
              </w:tc>
            </w:tr>
            <w:tr w14:paraId="2DD204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continue"/>
                  <w:vAlign w:val="center"/>
                </w:tcPr>
                <w:p w14:paraId="30EA0751">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173" w:type="dxa"/>
                  <w:vMerge w:val="continue"/>
                  <w:vAlign w:val="center"/>
                </w:tcPr>
                <w:p w14:paraId="2FF99CED">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313" w:type="dxa"/>
                  <w:vAlign w:val="center"/>
                </w:tcPr>
                <w:p w14:paraId="5CA439F2">
                  <w:pPr>
                    <w:snapToGrid w:val="0"/>
                    <w:jc w:val="center"/>
                    <w:rPr>
                      <w:rFonts w:ascii="Times New Roman" w:hAnsi="Times New Roman" w:eastAsia="宋体" w:cs="Times New Roman"/>
                      <w:color w:val="000000" w:themeColor="text1"/>
                      <w:szCs w:val="21"/>
                      <w:lang w:bidi="ar"/>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湿式脱硫塔</w:t>
                  </w:r>
                </w:p>
                <w:p w14:paraId="1C2F0A92">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沉淀渣</w:t>
                  </w:r>
                </w:p>
              </w:tc>
              <w:tc>
                <w:tcPr>
                  <w:tcW w:w="0" w:type="auto"/>
                  <w:vAlign w:val="center"/>
                </w:tcPr>
                <w:p w14:paraId="724FB7D8">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t/a</w:t>
                  </w:r>
                </w:p>
              </w:tc>
              <w:tc>
                <w:tcPr>
                  <w:tcW w:w="2593" w:type="dxa"/>
                  <w:gridSpan w:val="3"/>
                  <w:vAlign w:val="center"/>
                </w:tcPr>
                <w:p w14:paraId="6FD37EAD">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63（干基）</w:t>
                  </w:r>
                </w:p>
              </w:tc>
              <w:tc>
                <w:tcPr>
                  <w:tcW w:w="1100" w:type="dxa"/>
                  <w:vAlign w:val="center"/>
                </w:tcPr>
                <w:p w14:paraId="4AF8090A">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环评报告</w:t>
                  </w:r>
                </w:p>
              </w:tc>
            </w:tr>
            <w:tr w14:paraId="4A3B83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continue"/>
                  <w:vAlign w:val="center"/>
                </w:tcPr>
                <w:p w14:paraId="16715322">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173" w:type="dxa"/>
                  <w:vAlign w:val="center"/>
                </w:tcPr>
                <w:p w14:paraId="2B9312D3">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办公生活</w:t>
                  </w:r>
                </w:p>
              </w:tc>
              <w:tc>
                <w:tcPr>
                  <w:tcW w:w="1313" w:type="dxa"/>
                  <w:vAlign w:val="center"/>
                </w:tcPr>
                <w:p w14:paraId="2684AE6A">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14:textFill>
                        <w14:solidFill>
                          <w14:schemeClr w14:val="tx1"/>
                        </w14:solidFill>
                      </w14:textFill>
                    </w:rPr>
                    <w:t>生活垃圾</w:t>
                  </w:r>
                </w:p>
              </w:tc>
              <w:tc>
                <w:tcPr>
                  <w:tcW w:w="0" w:type="auto"/>
                  <w:vAlign w:val="center"/>
                </w:tcPr>
                <w:p w14:paraId="7F837C6A">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t/a</w:t>
                  </w:r>
                </w:p>
              </w:tc>
              <w:tc>
                <w:tcPr>
                  <w:tcW w:w="2593" w:type="dxa"/>
                  <w:gridSpan w:val="3"/>
                  <w:vAlign w:val="center"/>
                </w:tcPr>
                <w:p w14:paraId="27F1E4AD">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14:textFill>
                        <w14:solidFill>
                          <w14:schemeClr w14:val="tx1"/>
                        </w14:solidFill>
                      </w14:textFill>
                    </w:rPr>
                    <w:t>4.2</w:t>
                  </w:r>
                </w:p>
              </w:tc>
              <w:tc>
                <w:tcPr>
                  <w:tcW w:w="1100" w:type="dxa"/>
                  <w:vAlign w:val="center"/>
                </w:tcPr>
                <w:p w14:paraId="22858250">
                  <w:pPr>
                    <w:snapToGrid w:val="0"/>
                    <w:jc w:val="center"/>
                    <w:rPr>
                      <w:rFonts w:ascii="Times New Roman" w:hAnsi="Times New Roman" w:cs="Times New Roman"/>
                      <w:color w:val="000000" w:themeColor="text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环评报告</w:t>
                  </w:r>
                </w:p>
              </w:tc>
            </w:tr>
            <w:tr w14:paraId="36DF63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continue"/>
                  <w:vAlign w:val="center"/>
                </w:tcPr>
                <w:p w14:paraId="5FD66428">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173" w:type="dxa"/>
                  <w:vMerge w:val="restart"/>
                  <w:vAlign w:val="center"/>
                </w:tcPr>
                <w:p w14:paraId="08F3E535">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机械维</w:t>
                  </w:r>
                </w:p>
                <w:p w14:paraId="3BB992E7">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修、保养</w:t>
                  </w:r>
                </w:p>
              </w:tc>
              <w:tc>
                <w:tcPr>
                  <w:tcW w:w="1313" w:type="dxa"/>
                  <w:vAlign w:val="center"/>
                </w:tcPr>
                <w:p w14:paraId="4384832E">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废机油</w:t>
                  </w:r>
                </w:p>
              </w:tc>
              <w:tc>
                <w:tcPr>
                  <w:tcW w:w="0" w:type="auto"/>
                  <w:vAlign w:val="center"/>
                </w:tcPr>
                <w:p w14:paraId="54706EB2">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t/a</w:t>
                  </w:r>
                </w:p>
              </w:tc>
              <w:tc>
                <w:tcPr>
                  <w:tcW w:w="2593" w:type="dxa"/>
                  <w:gridSpan w:val="3"/>
                  <w:vAlign w:val="center"/>
                </w:tcPr>
                <w:p w14:paraId="34C1451A">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14:textFill>
                        <w14:solidFill>
                          <w14:schemeClr w14:val="tx1"/>
                        </w14:solidFill>
                      </w14:textFill>
                    </w:rPr>
                    <w:t>0.03</w:t>
                  </w:r>
                </w:p>
              </w:tc>
              <w:tc>
                <w:tcPr>
                  <w:tcW w:w="1100" w:type="dxa"/>
                  <w:vAlign w:val="center"/>
                </w:tcPr>
                <w:p w14:paraId="1B156202">
                  <w:pPr>
                    <w:snapToGrid w:val="0"/>
                    <w:jc w:val="center"/>
                    <w:rPr>
                      <w:rFonts w:ascii="Times New Roman" w:hAnsi="Times New Roman" w:cs="Times New Roman"/>
                      <w:color w:val="000000" w:themeColor="text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环评报告</w:t>
                  </w:r>
                </w:p>
              </w:tc>
            </w:tr>
            <w:tr w14:paraId="210FD8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continue"/>
                  <w:vAlign w:val="center"/>
                </w:tcPr>
                <w:p w14:paraId="2F344601">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173" w:type="dxa"/>
                  <w:vMerge w:val="continue"/>
                  <w:vAlign w:val="center"/>
                </w:tcPr>
                <w:p w14:paraId="478C7EA6">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313" w:type="dxa"/>
                  <w:vAlign w:val="center"/>
                </w:tcPr>
                <w:p w14:paraId="1A6AF908">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含油废物</w:t>
                  </w:r>
                </w:p>
              </w:tc>
              <w:tc>
                <w:tcPr>
                  <w:tcW w:w="0" w:type="auto"/>
                  <w:vAlign w:val="center"/>
                </w:tcPr>
                <w:p w14:paraId="405230D9">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t/a</w:t>
                  </w:r>
                </w:p>
              </w:tc>
              <w:tc>
                <w:tcPr>
                  <w:tcW w:w="2593" w:type="dxa"/>
                  <w:gridSpan w:val="3"/>
                  <w:vAlign w:val="center"/>
                </w:tcPr>
                <w:p w14:paraId="5AFB4ED5">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themeColor="text1"/>
                      <w14:textFill>
                        <w14:solidFill>
                          <w14:schemeClr w14:val="tx1"/>
                        </w14:solidFill>
                      </w14:textFill>
                    </w:rPr>
                    <w:t>0.005</w:t>
                  </w:r>
                </w:p>
              </w:tc>
              <w:tc>
                <w:tcPr>
                  <w:tcW w:w="1100" w:type="dxa"/>
                  <w:vAlign w:val="center"/>
                </w:tcPr>
                <w:p w14:paraId="507711CE">
                  <w:pPr>
                    <w:snapToGrid w:val="0"/>
                    <w:jc w:val="center"/>
                    <w:rPr>
                      <w:rFonts w:ascii="Times New Roman" w:hAnsi="Times New Roman" w:cs="Times New Roman"/>
                      <w:color w:val="000000" w:themeColor="text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环评报告</w:t>
                  </w:r>
                </w:p>
              </w:tc>
            </w:tr>
          </w:tbl>
          <w:p w14:paraId="70BFF8A5">
            <w:pPr>
              <w:keepNext/>
              <w:keepLines/>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五、总量控制指标</w:t>
            </w:r>
          </w:p>
          <w:p w14:paraId="3F61FA87">
            <w:pPr>
              <w:keepNext/>
              <w:keepLines/>
              <w:snapToGrid w:val="0"/>
              <w:spacing w:line="360" w:lineRule="auto"/>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 xml:space="preserve">    </w:t>
            </w:r>
            <w:r>
              <w:rPr>
                <w:rFonts w:ascii="Times New Roman" w:hAnsi="Times New Roman" w:eastAsia="宋体" w:cs="Times New Roman"/>
                <w:bCs/>
                <w:color w:val="000000" w:themeColor="text1"/>
                <w:sz w:val="24"/>
                <w:szCs w:val="24"/>
                <w14:textFill>
                  <w14:solidFill>
                    <w14:schemeClr w14:val="tx1"/>
                  </w14:solidFill>
                </w14:textFill>
              </w:rPr>
              <w:t>SO</w:t>
            </w:r>
            <w:r>
              <w:rPr>
                <w:rFonts w:ascii="Times New Roman" w:hAnsi="Times New Roman" w:eastAsia="宋体" w:cs="Times New Roman"/>
                <w:bCs/>
                <w:color w:val="000000" w:themeColor="text1"/>
                <w:sz w:val="24"/>
                <w:szCs w:val="24"/>
                <w:vertAlign w:val="subscript"/>
                <w14:textFill>
                  <w14:solidFill>
                    <w14:schemeClr w14:val="tx1"/>
                  </w14:solidFill>
                </w14:textFill>
              </w:rPr>
              <w:t>2</w:t>
            </w:r>
            <w:r>
              <w:rPr>
                <w:rFonts w:ascii="Times New Roman" w:hAnsi="Times New Roman" w:eastAsia="宋体" w:cs="Times New Roman"/>
                <w:bCs/>
                <w:color w:val="000000" w:themeColor="text1"/>
                <w:sz w:val="24"/>
                <w:szCs w:val="24"/>
                <w14:textFill>
                  <w14:solidFill>
                    <w14:schemeClr w14:val="tx1"/>
                  </w14:solidFill>
                </w14:textFill>
              </w:rPr>
              <w:t>总量控制指标为12t/a，NOx总量控制指标为12.06t/a。根据验收监测结果表明，现有工程SO</w:t>
            </w:r>
            <w:r>
              <w:rPr>
                <w:rFonts w:ascii="Times New Roman" w:hAnsi="Times New Roman" w:eastAsia="宋体" w:cs="Times New Roman"/>
                <w:bCs/>
                <w:color w:val="000000" w:themeColor="text1"/>
                <w:sz w:val="24"/>
                <w:szCs w:val="24"/>
                <w:vertAlign w:val="subscript"/>
                <w14:textFill>
                  <w14:solidFill>
                    <w14:schemeClr w14:val="tx1"/>
                  </w14:solidFill>
                </w14:textFill>
              </w:rPr>
              <w:t>2</w:t>
            </w:r>
            <w:r>
              <w:rPr>
                <w:rFonts w:ascii="Times New Roman" w:hAnsi="Times New Roman" w:eastAsia="宋体" w:cs="Times New Roman"/>
                <w:bCs/>
                <w:color w:val="000000" w:themeColor="text1"/>
                <w:sz w:val="24"/>
                <w:szCs w:val="24"/>
                <w14:textFill>
                  <w14:solidFill>
                    <w14:schemeClr w14:val="tx1"/>
                  </w14:solidFill>
                </w14:textFill>
              </w:rPr>
              <w:t>、NOx排放均满足总量控制指标要求。</w:t>
            </w:r>
          </w:p>
          <w:p w14:paraId="014DCBF1">
            <w:pPr>
              <w:keepNext/>
              <w:keepLines/>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六、卫生防护距离</w:t>
            </w:r>
          </w:p>
          <w:p w14:paraId="2E51BAA5">
            <w:pPr>
              <w:keepNext/>
              <w:keepLines/>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根据《遂宁市安居区横山机砖厂环境影响报告表》（报批本）（2017年9月），厂区现有项目生防护距离是以本项目无组织排放源原料堆场以及原料制备车间作为边界向外扩50m。</w:t>
            </w:r>
          </w:p>
          <w:p w14:paraId="0FEB4344">
            <w:pPr>
              <w:keepNext/>
              <w:keepLines/>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七、现有工程环境遗留问题</w:t>
            </w:r>
            <w:bookmarkEnd w:id="18"/>
            <w:bookmarkStart w:id="19" w:name="以新带老"/>
            <w:r>
              <w:rPr>
                <w:rFonts w:ascii="Times New Roman" w:hAnsi="Times New Roman" w:eastAsia="宋体" w:cs="Times New Roman"/>
                <w:b/>
                <w:bCs/>
                <w:color w:val="000000" w:themeColor="text1"/>
                <w:sz w:val="24"/>
                <w:szCs w:val="24"/>
                <w14:textFill>
                  <w14:solidFill>
                    <w14:schemeClr w14:val="tx1"/>
                  </w14:solidFill>
                </w14:textFill>
              </w:rPr>
              <w:t>及“以新带老”措施</w:t>
            </w:r>
          </w:p>
          <w:bookmarkEnd w:id="19"/>
          <w:p w14:paraId="42B99792">
            <w:pPr>
              <w:snapToGrid w:val="0"/>
              <w:spacing w:line="360" w:lineRule="auto"/>
              <w:ind w:firstLine="480" w:firstLineChars="200"/>
              <w:rPr>
                <w:rFonts w:ascii="Times New Roman" w:hAnsi="Times New Roman" w:eastAsia="宋体" w:cs="Times New Roman"/>
                <w:color w:val="000000" w:themeColor="text1"/>
                <w:sz w:val="24"/>
                <w:szCs w:val="16"/>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通过对企业已建项目回顾分析可知，</w:t>
            </w:r>
            <w:r>
              <w:rPr>
                <w:rFonts w:ascii="Times New Roman" w:hAnsi="Times New Roman" w:eastAsia="宋体" w:cs="Times New Roman"/>
                <w:color w:val="000000" w:themeColor="text1"/>
                <w:kern w:val="0"/>
                <w:sz w:val="24"/>
                <w:szCs w:val="24"/>
                <w14:textFill>
                  <w14:solidFill>
                    <w14:schemeClr w14:val="tx1"/>
                  </w14:solidFill>
                </w14:textFill>
              </w:rPr>
              <w:t>现有工程</w:t>
            </w:r>
            <w:r>
              <w:rPr>
                <w:rFonts w:ascii="Times New Roman" w:hAnsi="Times New Roman" w:eastAsia="宋体" w:cs="Times New Roman"/>
                <w:color w:val="000000" w:themeColor="text1"/>
                <w:sz w:val="24"/>
                <w:szCs w:val="24"/>
                <w14:textFill>
                  <w14:solidFill>
                    <w14:schemeClr w14:val="tx1"/>
                  </w14:solidFill>
                </w14:textFill>
              </w:rPr>
              <w:t>污染治理设施运行良好，运行记录齐全，环境管理制度较为完善。验收监测结果表明，企业已建项目废气污染物排放、废水污染物及噪声排放均满足相应标准要求，固废处置措施合理可行，已建项目划定的卫生防护距离范围内</w:t>
            </w:r>
            <w:r>
              <w:rPr>
                <w:rFonts w:ascii="Times New Roman" w:hAnsi="Times New Roman" w:eastAsia="宋体" w:cs="Times New Roman"/>
                <w:color w:val="000000" w:themeColor="text1"/>
                <w:sz w:val="24"/>
                <w:szCs w:val="16"/>
                <w14:textFill>
                  <w14:solidFill>
                    <w14:schemeClr w14:val="tx1"/>
                  </w14:solidFill>
                </w14:textFill>
              </w:rPr>
              <w:t>无居民、医院、学校等敏感目标分布。</w:t>
            </w:r>
          </w:p>
          <w:p w14:paraId="66263785">
            <w:pPr>
              <w:snapToGrid w:val="0"/>
              <w:spacing w:line="360" w:lineRule="auto"/>
              <w:ind w:firstLine="480" w:firstLineChars="200"/>
              <w:rPr>
                <w:rFonts w:ascii="Times New Roman" w:hAnsi="Times New Roman" w:eastAsia="宋体" w:cs="Times New Roman"/>
                <w:color w:val="000000" w:themeColor="text1"/>
                <w:sz w:val="24"/>
                <w:szCs w:val="16"/>
                <w14:textFill>
                  <w14:solidFill>
                    <w14:schemeClr w14:val="tx1"/>
                  </w14:solidFill>
                </w14:textFill>
              </w:rPr>
            </w:pPr>
            <w:r>
              <w:rPr>
                <w:rFonts w:hint="eastAsia" w:ascii="Times New Roman" w:hAnsi="Times New Roman" w:eastAsia="宋体" w:cs="Times New Roman"/>
                <w:color w:val="000000" w:themeColor="text1"/>
                <w:sz w:val="24"/>
                <w:szCs w:val="16"/>
                <w14:textFill>
                  <w14:solidFill>
                    <w14:schemeClr w14:val="tx1"/>
                  </w14:solidFill>
                </w14:textFill>
              </w:rPr>
              <w:t>从</w:t>
            </w:r>
            <w:r>
              <w:rPr>
                <w:rFonts w:ascii="Times New Roman" w:hAnsi="Times New Roman" w:eastAsia="宋体" w:cs="Times New Roman"/>
                <w:color w:val="000000" w:themeColor="text1"/>
                <w:sz w:val="24"/>
                <w:szCs w:val="16"/>
                <w14:textFill>
                  <w14:solidFill>
                    <w14:schemeClr w14:val="tx1"/>
                  </w14:solidFill>
                </w14:textFill>
              </w:rPr>
              <w:t>遂宁安居区</w:t>
            </w:r>
            <w:bookmarkStart w:id="20" w:name="投诉调查"/>
            <w:r>
              <w:rPr>
                <w:rFonts w:ascii="Times New Roman" w:hAnsi="Times New Roman" w:eastAsia="宋体" w:cs="Times New Roman"/>
                <w:color w:val="000000" w:themeColor="text1"/>
                <w:sz w:val="24"/>
                <w:szCs w:val="16"/>
                <w14:textFill>
                  <w14:solidFill>
                    <w14:schemeClr w14:val="tx1"/>
                  </w14:solidFill>
                </w14:textFill>
              </w:rPr>
              <w:t>生态环境局</w:t>
            </w:r>
            <w:bookmarkEnd w:id="20"/>
            <w:r>
              <w:rPr>
                <w:rFonts w:hint="eastAsia" w:ascii="Times New Roman" w:hAnsi="Times New Roman" w:eastAsia="宋体" w:cs="Times New Roman"/>
                <w:color w:val="000000" w:themeColor="text1"/>
                <w:sz w:val="24"/>
                <w:szCs w:val="16"/>
                <w14:textFill>
                  <w14:solidFill>
                    <w14:schemeClr w14:val="tx1"/>
                  </w14:solidFill>
                </w14:textFill>
              </w:rPr>
              <w:t>调查获悉，2022年7月22日，砖厂</w:t>
            </w:r>
            <w:r>
              <w:rPr>
                <w:rFonts w:ascii="Times New Roman" w:hAnsi="Times New Roman" w:eastAsia="宋体" w:cs="Times New Roman"/>
                <w:color w:val="000000" w:themeColor="text1"/>
                <w:sz w:val="24"/>
                <w:szCs w:val="16"/>
                <w14:textFill>
                  <w14:solidFill>
                    <w14:schemeClr w14:val="tx1"/>
                  </w14:solidFill>
                </w14:textFill>
              </w:rPr>
              <w:t>收到环保</w:t>
            </w:r>
            <w:r>
              <w:rPr>
                <w:rFonts w:hint="eastAsia" w:ascii="Times New Roman" w:hAnsi="Times New Roman" w:eastAsia="宋体" w:cs="Times New Roman"/>
                <w:color w:val="000000" w:themeColor="text1"/>
                <w:sz w:val="24"/>
                <w:szCs w:val="16"/>
                <w14:textFill>
                  <w14:solidFill>
                    <w14:schemeClr w14:val="tx1"/>
                  </w14:solidFill>
                </w14:textFill>
              </w:rPr>
              <w:t>投诉：反应</w:t>
            </w:r>
            <w:r>
              <w:rPr>
                <w:rFonts w:ascii="Times New Roman" w:hAnsi="Times New Roman" w:eastAsia="宋体" w:cs="Times New Roman"/>
                <w:color w:val="000000" w:themeColor="text1"/>
                <w:sz w:val="24"/>
                <w:szCs w:val="16"/>
                <w14:textFill>
                  <w14:solidFill>
                    <w14:schemeClr w14:val="tx1"/>
                  </w14:solidFill>
                </w14:textFill>
              </w:rPr>
              <w:t>砖厂发出很大烟雾，</w:t>
            </w:r>
            <w:r>
              <w:rPr>
                <w:rFonts w:hint="eastAsia" w:ascii="Times New Roman" w:hAnsi="Times New Roman" w:eastAsia="宋体" w:cs="Times New Roman"/>
                <w:color w:val="000000" w:themeColor="text1"/>
                <w:sz w:val="24"/>
                <w:szCs w:val="16"/>
                <w14:textFill>
                  <w14:solidFill>
                    <w14:schemeClr w14:val="tx1"/>
                  </w14:solidFill>
                </w14:textFill>
              </w:rPr>
              <w:t>十分扰民</w:t>
            </w:r>
            <w:r>
              <w:rPr>
                <w:rFonts w:ascii="Times New Roman" w:hAnsi="Times New Roman" w:eastAsia="宋体" w:cs="Times New Roman"/>
                <w:color w:val="000000" w:themeColor="text1"/>
                <w:sz w:val="24"/>
                <w:szCs w:val="16"/>
                <w14:textFill>
                  <w14:solidFill>
                    <w14:schemeClr w14:val="tx1"/>
                  </w14:solidFill>
                </w14:textFill>
              </w:rPr>
              <w:t>，</w:t>
            </w:r>
            <w:r>
              <w:rPr>
                <w:rFonts w:hint="eastAsia" w:ascii="Times New Roman" w:hAnsi="Times New Roman" w:eastAsia="宋体" w:cs="Times New Roman"/>
                <w:color w:val="000000" w:themeColor="text1"/>
                <w:sz w:val="24"/>
                <w:szCs w:val="16"/>
                <w14:textFill>
                  <w14:solidFill>
                    <w14:schemeClr w14:val="tx1"/>
                  </w14:solidFill>
                </w14:textFill>
              </w:rPr>
              <w:t>还担心</w:t>
            </w:r>
            <w:r>
              <w:rPr>
                <w:rFonts w:ascii="Times New Roman" w:hAnsi="Times New Roman" w:eastAsia="宋体" w:cs="Times New Roman"/>
                <w:color w:val="000000" w:themeColor="text1"/>
                <w:sz w:val="24"/>
                <w:szCs w:val="16"/>
                <w14:textFill>
                  <w14:solidFill>
                    <w14:schemeClr w14:val="tx1"/>
                  </w14:solidFill>
                </w14:textFill>
              </w:rPr>
              <w:t>对人体造成危害。受到</w:t>
            </w:r>
            <w:r>
              <w:rPr>
                <w:rFonts w:hint="eastAsia" w:ascii="Times New Roman" w:hAnsi="Times New Roman" w:eastAsia="宋体" w:cs="Times New Roman"/>
                <w:color w:val="000000" w:themeColor="text1"/>
                <w:sz w:val="24"/>
                <w:szCs w:val="16"/>
                <w14:textFill>
                  <w14:solidFill>
                    <w14:schemeClr w14:val="tx1"/>
                  </w14:solidFill>
                </w14:textFill>
              </w:rPr>
              <w:t>投诉</w:t>
            </w:r>
            <w:r>
              <w:rPr>
                <w:rFonts w:ascii="Times New Roman" w:hAnsi="Times New Roman" w:eastAsia="宋体" w:cs="Times New Roman"/>
                <w:color w:val="000000" w:themeColor="text1"/>
                <w:sz w:val="24"/>
                <w:szCs w:val="16"/>
                <w14:textFill>
                  <w14:solidFill>
                    <w14:schemeClr w14:val="tx1"/>
                  </w14:solidFill>
                </w14:textFill>
              </w:rPr>
              <w:t>后</w:t>
            </w:r>
            <w:r>
              <w:rPr>
                <w:rFonts w:hint="eastAsia" w:ascii="Times New Roman" w:hAnsi="Times New Roman" w:eastAsia="宋体" w:cs="Times New Roman"/>
                <w:color w:val="000000" w:themeColor="text1"/>
                <w:sz w:val="24"/>
                <w:szCs w:val="16"/>
                <w14:textFill>
                  <w14:solidFill>
                    <w14:schemeClr w14:val="tx1"/>
                  </w14:solidFill>
                </w14:textFill>
              </w:rPr>
              <w:t>，砖厂</w:t>
            </w:r>
            <w:r>
              <w:rPr>
                <w:rFonts w:ascii="Times New Roman" w:hAnsi="Times New Roman" w:eastAsia="宋体" w:cs="Times New Roman"/>
                <w:color w:val="000000" w:themeColor="text1"/>
                <w:sz w:val="24"/>
                <w:szCs w:val="16"/>
                <w14:textFill>
                  <w14:solidFill>
                    <w14:schemeClr w14:val="tx1"/>
                  </w14:solidFill>
                </w14:textFill>
              </w:rPr>
              <w:t>展开</w:t>
            </w:r>
            <w:r>
              <w:rPr>
                <w:rFonts w:hint="eastAsia" w:ascii="Times New Roman" w:hAnsi="Times New Roman" w:eastAsia="宋体" w:cs="Times New Roman"/>
                <w:color w:val="000000" w:themeColor="text1"/>
                <w:sz w:val="24"/>
                <w:szCs w:val="16"/>
                <w14:textFill>
                  <w14:solidFill>
                    <w14:schemeClr w14:val="tx1"/>
                  </w14:solidFill>
                </w14:textFill>
              </w:rPr>
              <w:t>自查，经调查发现</w:t>
            </w:r>
            <w:r>
              <w:rPr>
                <w:rFonts w:ascii="Times New Roman" w:hAnsi="Times New Roman" w:eastAsia="宋体" w:cs="Times New Roman"/>
                <w:color w:val="000000" w:themeColor="text1"/>
                <w:sz w:val="24"/>
                <w:szCs w:val="16"/>
                <w14:textFill>
                  <w14:solidFill>
                    <w14:schemeClr w14:val="tx1"/>
                  </w14:solidFill>
                </w14:textFill>
              </w:rPr>
              <w:t>，</w:t>
            </w:r>
            <w:r>
              <w:rPr>
                <w:rFonts w:hint="eastAsia" w:ascii="Times New Roman" w:hAnsi="Times New Roman" w:eastAsia="宋体" w:cs="Times New Roman"/>
                <w:color w:val="000000" w:themeColor="text1"/>
                <w:sz w:val="24"/>
                <w:szCs w:val="16"/>
                <w14:textFill>
                  <w14:solidFill>
                    <w14:schemeClr w14:val="tx1"/>
                  </w14:solidFill>
                </w14:textFill>
              </w:rPr>
              <w:t>砖厂2021年5月</w:t>
            </w:r>
            <w:r>
              <w:rPr>
                <w:rFonts w:ascii="Times New Roman" w:hAnsi="Times New Roman" w:eastAsia="宋体" w:cs="Times New Roman"/>
                <w:color w:val="000000" w:themeColor="text1"/>
                <w:sz w:val="24"/>
                <w:szCs w:val="16"/>
                <w14:textFill>
                  <w14:solidFill>
                    <w14:schemeClr w14:val="tx1"/>
                  </w14:solidFill>
                </w14:textFill>
              </w:rPr>
              <w:t>至</w:t>
            </w:r>
            <w:r>
              <w:rPr>
                <w:rFonts w:hint="eastAsia" w:ascii="Times New Roman" w:hAnsi="Times New Roman" w:eastAsia="宋体" w:cs="Times New Roman"/>
                <w:color w:val="000000" w:themeColor="text1"/>
                <w:sz w:val="24"/>
                <w:szCs w:val="16"/>
                <w14:textFill>
                  <w14:solidFill>
                    <w14:schemeClr w14:val="tx1"/>
                  </w14:solidFill>
                </w14:textFill>
              </w:rPr>
              <w:t>2022年7月</w:t>
            </w:r>
            <w:r>
              <w:rPr>
                <w:rFonts w:ascii="Times New Roman" w:hAnsi="Times New Roman" w:eastAsia="宋体" w:cs="Times New Roman"/>
                <w:color w:val="000000" w:themeColor="text1"/>
                <w:sz w:val="24"/>
                <w:szCs w:val="16"/>
                <w14:textFill>
                  <w14:solidFill>
                    <w14:schemeClr w14:val="tx1"/>
                  </w14:solidFill>
                </w14:textFill>
              </w:rPr>
              <w:t>停产，</w:t>
            </w:r>
            <w:r>
              <w:rPr>
                <w:rFonts w:hint="eastAsia" w:ascii="Times New Roman" w:hAnsi="Times New Roman" w:eastAsia="宋体" w:cs="Times New Roman"/>
                <w:color w:val="000000" w:themeColor="text1"/>
                <w:sz w:val="24"/>
                <w:szCs w:val="16"/>
                <w14:textFill>
                  <w14:solidFill>
                    <w14:schemeClr w14:val="tx1"/>
                  </w14:solidFill>
                </w14:textFill>
              </w:rPr>
              <w:t>2022年7月</w:t>
            </w:r>
            <w:r>
              <w:rPr>
                <w:rFonts w:ascii="Times New Roman" w:hAnsi="Times New Roman" w:eastAsia="宋体" w:cs="Times New Roman"/>
                <w:color w:val="000000" w:themeColor="text1"/>
                <w:sz w:val="24"/>
                <w:szCs w:val="16"/>
                <w14:textFill>
                  <w14:solidFill>
                    <w14:schemeClr w14:val="tx1"/>
                  </w14:solidFill>
                </w14:textFill>
              </w:rPr>
              <w:t>重新开始生产</w:t>
            </w:r>
            <w:r>
              <w:rPr>
                <w:rFonts w:hint="eastAsia" w:ascii="Times New Roman" w:hAnsi="Times New Roman" w:eastAsia="宋体" w:cs="Times New Roman"/>
                <w:color w:val="000000" w:themeColor="text1"/>
                <w:sz w:val="24"/>
                <w:szCs w:val="16"/>
                <w14:textFill>
                  <w14:solidFill>
                    <w14:schemeClr w14:val="tx1"/>
                  </w14:solidFill>
                </w14:textFill>
              </w:rPr>
              <w:t xml:space="preserve"> ，</w:t>
            </w:r>
            <w:r>
              <w:rPr>
                <w:rFonts w:ascii="Times New Roman" w:hAnsi="Times New Roman" w:eastAsia="宋体" w:cs="Times New Roman"/>
                <w:color w:val="000000" w:themeColor="text1"/>
                <w:sz w:val="24"/>
                <w:szCs w:val="16"/>
                <w14:textFill>
                  <w14:solidFill>
                    <w14:schemeClr w14:val="tx1"/>
                  </w14:solidFill>
                </w14:textFill>
              </w:rPr>
              <w:t>由于长时间</w:t>
            </w:r>
            <w:r>
              <w:rPr>
                <w:rFonts w:hint="eastAsia" w:ascii="Times New Roman" w:hAnsi="Times New Roman" w:eastAsia="宋体" w:cs="Times New Roman"/>
                <w:color w:val="000000" w:themeColor="text1"/>
                <w:sz w:val="24"/>
                <w:szCs w:val="16"/>
                <w14:textFill>
                  <w14:solidFill>
                    <w14:schemeClr w14:val="tx1"/>
                  </w14:solidFill>
                </w14:textFill>
              </w:rPr>
              <w:t>未</w:t>
            </w:r>
            <w:r>
              <w:rPr>
                <w:rFonts w:ascii="Times New Roman" w:hAnsi="Times New Roman" w:eastAsia="宋体" w:cs="Times New Roman"/>
                <w:color w:val="000000" w:themeColor="text1"/>
                <w:sz w:val="24"/>
                <w:szCs w:val="16"/>
                <w14:textFill>
                  <w14:solidFill>
                    <w14:schemeClr w14:val="tx1"/>
                  </w14:solidFill>
                </w14:textFill>
              </w:rPr>
              <w:t>生产，环保设备缺乏相应维护</w:t>
            </w:r>
            <w:r>
              <w:rPr>
                <w:rFonts w:hint="eastAsia" w:ascii="Times New Roman" w:hAnsi="Times New Roman" w:eastAsia="宋体" w:cs="Times New Roman"/>
                <w:color w:val="000000" w:themeColor="text1"/>
                <w:sz w:val="24"/>
                <w:szCs w:val="16"/>
                <w14:textFill>
                  <w14:solidFill>
                    <w14:schemeClr w14:val="tx1"/>
                  </w14:solidFill>
                </w14:textFill>
              </w:rPr>
              <w:t>保养</w:t>
            </w:r>
            <w:r>
              <w:rPr>
                <w:rFonts w:ascii="Times New Roman" w:hAnsi="Times New Roman" w:eastAsia="宋体" w:cs="Times New Roman"/>
                <w:color w:val="000000" w:themeColor="text1"/>
                <w:sz w:val="24"/>
                <w:szCs w:val="16"/>
                <w14:textFill>
                  <w14:solidFill>
                    <w14:schemeClr w14:val="tx1"/>
                  </w14:solidFill>
                </w14:textFill>
              </w:rPr>
              <w:t>，</w:t>
            </w:r>
            <w:r>
              <w:rPr>
                <w:rFonts w:hint="eastAsia" w:ascii="Times New Roman" w:hAnsi="Times New Roman" w:eastAsia="宋体" w:cs="Times New Roman"/>
                <w:color w:val="000000" w:themeColor="text1"/>
                <w:sz w:val="24"/>
                <w:szCs w:val="16"/>
                <w14:textFill>
                  <w14:solidFill>
                    <w14:schemeClr w14:val="tx1"/>
                  </w14:solidFill>
                </w14:textFill>
              </w:rPr>
              <w:t>同时</w:t>
            </w:r>
            <w:r>
              <w:rPr>
                <w:rFonts w:ascii="Times New Roman" w:hAnsi="Times New Roman" w:eastAsia="宋体" w:cs="Times New Roman"/>
                <w:color w:val="000000" w:themeColor="text1"/>
                <w:sz w:val="24"/>
                <w:szCs w:val="16"/>
                <w14:textFill>
                  <w14:solidFill>
                    <w14:schemeClr w14:val="tx1"/>
                  </w14:solidFill>
                </w14:textFill>
              </w:rPr>
              <w:t>项目进行点火</w:t>
            </w:r>
            <w:r>
              <w:rPr>
                <w:rFonts w:hint="eastAsia" w:ascii="Times New Roman" w:hAnsi="Times New Roman" w:eastAsia="宋体" w:cs="Times New Roman"/>
                <w:color w:val="000000" w:themeColor="text1"/>
                <w:sz w:val="24"/>
                <w:szCs w:val="16"/>
                <w14:textFill>
                  <w14:solidFill>
                    <w14:schemeClr w14:val="tx1"/>
                  </w14:solidFill>
                </w14:textFill>
              </w:rPr>
              <w:t>，</w:t>
            </w:r>
            <w:r>
              <w:rPr>
                <w:rFonts w:ascii="Times New Roman" w:hAnsi="Times New Roman" w:eastAsia="宋体" w:cs="Times New Roman"/>
                <w:color w:val="000000" w:themeColor="text1"/>
                <w:sz w:val="24"/>
                <w:szCs w:val="16"/>
                <w14:textFill>
                  <w14:solidFill>
                    <w14:schemeClr w14:val="tx1"/>
                  </w14:solidFill>
                </w14:textFill>
              </w:rPr>
              <w:t>刚投入生产，工况相对不稳定，</w:t>
            </w:r>
            <w:r>
              <w:rPr>
                <w:rFonts w:hint="eastAsia" w:ascii="Times New Roman" w:hAnsi="Times New Roman" w:eastAsia="宋体" w:cs="Times New Roman"/>
                <w:color w:val="000000" w:themeColor="text1"/>
                <w:sz w:val="24"/>
                <w:szCs w:val="16"/>
                <w14:textFill>
                  <w14:solidFill>
                    <w14:schemeClr w14:val="tx1"/>
                  </w14:solidFill>
                </w14:textFill>
              </w:rPr>
              <w:t>造成重新投产初期</w:t>
            </w:r>
            <w:r>
              <w:rPr>
                <w:rFonts w:ascii="Times New Roman" w:hAnsi="Times New Roman" w:eastAsia="宋体" w:cs="Times New Roman"/>
                <w:color w:val="000000" w:themeColor="text1"/>
                <w:sz w:val="24"/>
                <w:szCs w:val="16"/>
                <w14:textFill>
                  <w14:solidFill>
                    <w14:schemeClr w14:val="tx1"/>
                  </w14:solidFill>
                </w14:textFill>
              </w:rPr>
              <w:t>，</w:t>
            </w:r>
            <w:r>
              <w:rPr>
                <w:rFonts w:hint="eastAsia" w:ascii="Times New Roman" w:hAnsi="Times New Roman" w:eastAsia="宋体" w:cs="Times New Roman"/>
                <w:color w:val="000000" w:themeColor="text1"/>
                <w:sz w:val="24"/>
                <w:szCs w:val="16"/>
                <w14:textFill>
                  <w14:solidFill>
                    <w14:schemeClr w14:val="tx1"/>
                  </w14:solidFill>
                </w14:textFill>
              </w:rPr>
              <w:t>烟雾</w:t>
            </w:r>
            <w:r>
              <w:rPr>
                <w:rFonts w:ascii="Times New Roman" w:hAnsi="Times New Roman" w:eastAsia="宋体" w:cs="Times New Roman"/>
                <w:color w:val="000000" w:themeColor="text1"/>
                <w:sz w:val="24"/>
                <w:szCs w:val="16"/>
                <w14:textFill>
                  <w14:solidFill>
                    <w14:schemeClr w14:val="tx1"/>
                  </w14:solidFill>
                </w14:textFill>
              </w:rPr>
              <w:t>较大。为此</w:t>
            </w:r>
            <w:r>
              <w:rPr>
                <w:rFonts w:hint="eastAsia" w:ascii="Times New Roman" w:hAnsi="Times New Roman" w:eastAsia="宋体" w:cs="Times New Roman"/>
                <w:color w:val="000000" w:themeColor="text1"/>
                <w:sz w:val="24"/>
                <w:szCs w:val="16"/>
                <w14:textFill>
                  <w14:solidFill>
                    <w14:schemeClr w14:val="tx1"/>
                  </w14:solidFill>
                </w14:textFill>
              </w:rPr>
              <w:t>，砖厂</w:t>
            </w:r>
            <w:r>
              <w:rPr>
                <w:rFonts w:ascii="Times New Roman" w:hAnsi="Times New Roman" w:eastAsia="宋体" w:cs="Times New Roman"/>
                <w:color w:val="000000" w:themeColor="text1"/>
                <w:sz w:val="24"/>
                <w:szCs w:val="16"/>
                <w14:textFill>
                  <w14:solidFill>
                    <w14:schemeClr w14:val="tx1"/>
                  </w14:solidFill>
                </w14:textFill>
              </w:rPr>
              <w:t>立刻</w:t>
            </w:r>
            <w:r>
              <w:rPr>
                <w:rFonts w:hint="eastAsia" w:ascii="Times New Roman" w:hAnsi="Times New Roman" w:eastAsia="宋体" w:cs="Times New Roman"/>
                <w:color w:val="000000" w:themeColor="text1"/>
                <w:sz w:val="24"/>
                <w:szCs w:val="16"/>
                <w14:textFill>
                  <w14:solidFill>
                    <w14:schemeClr w14:val="tx1"/>
                  </w14:solidFill>
                </w14:textFill>
              </w:rPr>
              <w:t>聘请</w:t>
            </w:r>
            <w:r>
              <w:rPr>
                <w:rFonts w:ascii="Times New Roman" w:hAnsi="Times New Roman" w:eastAsia="宋体" w:cs="Times New Roman"/>
                <w:color w:val="000000" w:themeColor="text1"/>
                <w:sz w:val="24"/>
                <w:szCs w:val="16"/>
                <w14:textFill>
                  <w14:solidFill>
                    <w14:schemeClr w14:val="tx1"/>
                  </w14:solidFill>
                </w14:textFill>
              </w:rPr>
              <w:t>专业人员</w:t>
            </w:r>
            <w:r>
              <w:rPr>
                <w:rFonts w:hint="eastAsia" w:ascii="Times New Roman" w:hAnsi="Times New Roman" w:eastAsia="宋体" w:cs="Times New Roman"/>
                <w:color w:val="000000" w:themeColor="text1"/>
                <w:sz w:val="24"/>
                <w:szCs w:val="16"/>
                <w14:textFill>
                  <w14:solidFill>
                    <w14:schemeClr w14:val="tx1"/>
                  </w14:solidFill>
                </w14:textFill>
              </w:rPr>
              <w:t>对</w:t>
            </w:r>
            <w:r>
              <w:rPr>
                <w:rFonts w:ascii="Times New Roman" w:hAnsi="Times New Roman" w:eastAsia="宋体" w:cs="Times New Roman"/>
                <w:color w:val="000000" w:themeColor="text1"/>
                <w:sz w:val="24"/>
                <w:szCs w:val="16"/>
                <w14:textFill>
                  <w14:solidFill>
                    <w14:schemeClr w14:val="tx1"/>
                  </w14:solidFill>
                </w14:textFill>
              </w:rPr>
              <w:t>脱硫塔进行维护</w:t>
            </w:r>
            <w:r>
              <w:rPr>
                <w:rFonts w:hint="eastAsia" w:ascii="Times New Roman" w:hAnsi="Times New Roman" w:eastAsia="宋体" w:cs="Times New Roman"/>
                <w:color w:val="000000" w:themeColor="text1"/>
                <w:sz w:val="24"/>
                <w:szCs w:val="16"/>
                <w14:textFill>
                  <w14:solidFill>
                    <w14:schemeClr w14:val="tx1"/>
                  </w14:solidFill>
                </w14:textFill>
              </w:rPr>
              <w:t>、保养及</w:t>
            </w:r>
            <w:r>
              <w:rPr>
                <w:rFonts w:ascii="Times New Roman" w:hAnsi="Times New Roman" w:eastAsia="宋体" w:cs="Times New Roman"/>
                <w:color w:val="000000" w:themeColor="text1"/>
                <w:sz w:val="24"/>
                <w:szCs w:val="16"/>
                <w14:textFill>
                  <w14:solidFill>
                    <w14:schemeClr w14:val="tx1"/>
                  </w14:solidFill>
                </w14:textFill>
              </w:rPr>
              <w:t>调试。经过</w:t>
            </w:r>
            <w:r>
              <w:rPr>
                <w:rFonts w:hint="eastAsia" w:ascii="Times New Roman" w:hAnsi="Times New Roman" w:eastAsia="宋体" w:cs="Times New Roman"/>
                <w:color w:val="000000" w:themeColor="text1"/>
                <w:sz w:val="24"/>
                <w:szCs w:val="16"/>
                <w14:textFill>
                  <w14:solidFill>
                    <w14:schemeClr w14:val="tx1"/>
                  </w14:solidFill>
                </w14:textFill>
              </w:rPr>
              <w:t>及时</w:t>
            </w:r>
            <w:r>
              <w:rPr>
                <w:rFonts w:ascii="Times New Roman" w:hAnsi="Times New Roman" w:eastAsia="宋体" w:cs="Times New Roman"/>
                <w:color w:val="000000" w:themeColor="text1"/>
                <w:sz w:val="24"/>
                <w:szCs w:val="16"/>
                <w14:textFill>
                  <w14:solidFill>
                    <w14:schemeClr w14:val="tx1"/>
                  </w14:solidFill>
                </w14:textFill>
              </w:rPr>
              <w:t>处理后，后期</w:t>
            </w:r>
            <w:r>
              <w:rPr>
                <w:rFonts w:hint="eastAsia" w:ascii="Times New Roman" w:hAnsi="Times New Roman" w:eastAsia="宋体" w:cs="Times New Roman"/>
                <w:color w:val="000000" w:themeColor="text1"/>
                <w:sz w:val="24"/>
                <w:szCs w:val="16"/>
                <w14:textFill>
                  <w14:solidFill>
                    <w14:schemeClr w14:val="tx1"/>
                  </w14:solidFill>
                </w14:textFill>
              </w:rPr>
              <w:t>未</w:t>
            </w:r>
            <w:r>
              <w:rPr>
                <w:rFonts w:ascii="Times New Roman" w:hAnsi="Times New Roman" w:eastAsia="宋体" w:cs="Times New Roman"/>
                <w:color w:val="000000" w:themeColor="text1"/>
                <w:sz w:val="24"/>
                <w:szCs w:val="16"/>
                <w14:textFill>
                  <w14:solidFill>
                    <w14:schemeClr w14:val="tx1"/>
                  </w14:solidFill>
                </w14:textFill>
              </w:rPr>
              <w:t>再发生投诉。</w:t>
            </w:r>
          </w:p>
          <w:p w14:paraId="71C8162A">
            <w:pPr>
              <w:snapToGrid w:val="0"/>
              <w:spacing w:line="360" w:lineRule="auto"/>
              <w:ind w:firstLine="480" w:firstLineChars="200"/>
              <w:rPr>
                <w:rFonts w:ascii="Times New Roman" w:hAnsi="Times New Roman" w:eastAsia="宋体" w:cs="Times New Roman"/>
                <w:color w:val="FF0000"/>
                <w:sz w:val="24"/>
                <w:szCs w:val="16"/>
              </w:rPr>
            </w:pPr>
            <w:r>
              <w:rPr>
                <w:rFonts w:ascii="Times New Roman" w:hAnsi="Times New Roman" w:eastAsia="宋体" w:cs="Times New Roman"/>
                <w:color w:val="FF0000"/>
                <w:sz w:val="24"/>
                <w:szCs w:val="16"/>
              </w:rPr>
              <w:t>本次评价，砖厂对项目厂区西侧及东南侧靠近厂区的</w:t>
            </w:r>
            <w:r>
              <w:rPr>
                <w:rFonts w:hint="eastAsia" w:ascii="Times New Roman" w:hAnsi="Times New Roman" w:eastAsia="宋体" w:cs="Times New Roman"/>
                <w:color w:val="FF0000"/>
                <w:sz w:val="24"/>
                <w:szCs w:val="16"/>
              </w:rPr>
              <w:t>8户</w:t>
            </w:r>
            <w:r>
              <w:rPr>
                <w:rFonts w:ascii="Times New Roman" w:hAnsi="Times New Roman" w:eastAsia="宋体" w:cs="Times New Roman"/>
                <w:color w:val="FF0000"/>
                <w:sz w:val="24"/>
                <w:szCs w:val="16"/>
              </w:rPr>
              <w:t>农户进行公众参与调查，调查统计结果见下表。</w:t>
            </w:r>
          </w:p>
          <w:p w14:paraId="48B15576">
            <w:pPr>
              <w:snapToGrid w:val="0"/>
              <w:jc w:val="center"/>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szCs w:val="24"/>
              </w:rPr>
              <w:t xml:space="preserve">表2- </w:t>
            </w:r>
            <w:r>
              <w:rPr>
                <w:rFonts w:ascii="Times New Roman" w:hAnsi="Times New Roman" w:eastAsia="宋体" w:cs="Times New Roman"/>
                <w:b/>
                <w:color w:val="000000"/>
                <w:szCs w:val="24"/>
              </w:rPr>
              <w:fldChar w:fldCharType="begin"/>
            </w:r>
            <w:r>
              <w:rPr>
                <w:rFonts w:ascii="Times New Roman" w:hAnsi="Times New Roman" w:eastAsia="宋体" w:cs="Times New Roman"/>
                <w:b/>
                <w:color w:val="000000"/>
                <w:szCs w:val="24"/>
              </w:rPr>
              <w:instrText xml:space="preserve"> SEQ 表2- \* ARABIC </w:instrText>
            </w:r>
            <w:r>
              <w:rPr>
                <w:rFonts w:ascii="Times New Roman" w:hAnsi="Times New Roman" w:eastAsia="宋体" w:cs="Times New Roman"/>
                <w:b/>
                <w:color w:val="000000"/>
                <w:szCs w:val="24"/>
              </w:rPr>
              <w:fldChar w:fldCharType="separate"/>
            </w:r>
            <w:r>
              <w:rPr>
                <w:rFonts w:ascii="Times New Roman" w:hAnsi="Times New Roman" w:eastAsia="宋体" w:cs="Times New Roman"/>
                <w:b/>
                <w:color w:val="000000"/>
                <w:szCs w:val="24"/>
              </w:rPr>
              <w:t>36</w:t>
            </w:r>
            <w:r>
              <w:rPr>
                <w:rFonts w:ascii="Times New Roman" w:hAnsi="Times New Roman" w:eastAsia="宋体" w:cs="Times New Roman"/>
                <w:b/>
                <w:color w:val="000000"/>
                <w:szCs w:val="24"/>
              </w:rPr>
              <w:fldChar w:fldCharType="end"/>
            </w:r>
            <w:r>
              <w:rPr>
                <w:rFonts w:ascii="Times New Roman" w:hAnsi="Times New Roman" w:eastAsia="宋体" w:cs="Times New Roman"/>
                <w:b/>
                <w:color w:val="000000"/>
                <w:szCs w:val="24"/>
              </w:rPr>
              <w:t xml:space="preserve">  </w:t>
            </w:r>
            <w:r>
              <w:rPr>
                <w:rFonts w:hint="eastAsia" w:ascii="Times New Roman" w:hAnsi="Times New Roman" w:eastAsia="宋体" w:cs="Times New Roman"/>
                <w:b/>
                <w:color w:val="000000" w:themeColor="text1"/>
                <w:kern w:val="0"/>
                <w:szCs w:val="21"/>
                <w14:textFill>
                  <w14:solidFill>
                    <w14:schemeClr w14:val="tx1"/>
                  </w14:solidFill>
                </w14:textFill>
              </w:rPr>
              <w:t>公参与调查结果统计表</w:t>
            </w:r>
          </w:p>
          <w:tbl>
            <w:tblPr>
              <w:tblStyle w:val="2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6"/>
              <w:gridCol w:w="2153"/>
              <w:gridCol w:w="1116"/>
              <w:gridCol w:w="1476"/>
              <w:gridCol w:w="2212"/>
            </w:tblGrid>
            <w:tr w14:paraId="0C5EA0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6" w:type="dxa"/>
                  <w:vAlign w:val="center"/>
                </w:tcPr>
                <w:p w14:paraId="26B3CA60">
                  <w:pPr>
                    <w:snapToGrid w:val="0"/>
                    <w:jc w:val="center"/>
                    <w:rPr>
                      <w:rFonts w:ascii="Times New Roman" w:hAnsi="Times New Roman" w:eastAsia="宋体" w:cs="Times New Roman"/>
                      <w:b/>
                      <w:color w:val="FF0000"/>
                      <w:szCs w:val="21"/>
                    </w:rPr>
                  </w:pPr>
                  <w:r>
                    <w:rPr>
                      <w:rFonts w:hint="eastAsia" w:ascii="Times New Roman" w:hAnsi="Times New Roman" w:eastAsia="宋体" w:cs="Times New Roman"/>
                      <w:b/>
                      <w:color w:val="FF0000"/>
                      <w:szCs w:val="21"/>
                    </w:rPr>
                    <w:t xml:space="preserve">姓 </w:t>
                  </w:r>
                  <w:r>
                    <w:rPr>
                      <w:rFonts w:ascii="Times New Roman" w:hAnsi="Times New Roman" w:eastAsia="宋体" w:cs="Times New Roman"/>
                      <w:b/>
                      <w:color w:val="FF0000"/>
                      <w:szCs w:val="21"/>
                    </w:rPr>
                    <w:t xml:space="preserve"> </w:t>
                  </w:r>
                  <w:r>
                    <w:rPr>
                      <w:rFonts w:hint="eastAsia" w:ascii="Times New Roman" w:hAnsi="Times New Roman" w:eastAsia="宋体" w:cs="Times New Roman"/>
                      <w:b/>
                      <w:color w:val="FF0000"/>
                      <w:szCs w:val="21"/>
                    </w:rPr>
                    <w:t>名</w:t>
                  </w:r>
                </w:p>
              </w:tc>
              <w:tc>
                <w:tcPr>
                  <w:tcW w:w="2153" w:type="dxa"/>
                  <w:vAlign w:val="center"/>
                </w:tcPr>
                <w:p w14:paraId="4410CA40">
                  <w:pPr>
                    <w:snapToGrid w:val="0"/>
                    <w:jc w:val="center"/>
                    <w:rPr>
                      <w:rFonts w:ascii="Times New Roman" w:hAnsi="Times New Roman" w:eastAsia="宋体" w:cs="Times New Roman"/>
                      <w:b/>
                      <w:color w:val="FF0000"/>
                      <w:szCs w:val="21"/>
                    </w:rPr>
                  </w:pPr>
                  <w:r>
                    <w:rPr>
                      <w:rFonts w:hint="eastAsia" w:ascii="Times New Roman" w:hAnsi="Times New Roman" w:eastAsia="宋体" w:cs="Times New Roman"/>
                      <w:b/>
                      <w:color w:val="FF0000"/>
                      <w:szCs w:val="21"/>
                    </w:rPr>
                    <w:t>身份证号</w:t>
                  </w:r>
                </w:p>
              </w:tc>
              <w:tc>
                <w:tcPr>
                  <w:tcW w:w="0" w:type="auto"/>
                  <w:vAlign w:val="center"/>
                </w:tcPr>
                <w:p w14:paraId="770392FC">
                  <w:pPr>
                    <w:snapToGrid w:val="0"/>
                    <w:jc w:val="center"/>
                    <w:rPr>
                      <w:rFonts w:ascii="Times New Roman" w:hAnsi="Times New Roman" w:eastAsia="宋体" w:cs="Times New Roman"/>
                      <w:b/>
                      <w:color w:val="FF0000"/>
                      <w:szCs w:val="21"/>
                    </w:rPr>
                  </w:pPr>
                  <w:r>
                    <w:rPr>
                      <w:rFonts w:hint="eastAsia" w:ascii="Times New Roman" w:hAnsi="Times New Roman" w:eastAsia="宋体" w:cs="Times New Roman"/>
                      <w:b/>
                      <w:color w:val="FF0000"/>
                      <w:szCs w:val="21"/>
                    </w:rPr>
                    <w:t xml:space="preserve">住 </w:t>
                  </w:r>
                  <w:r>
                    <w:rPr>
                      <w:rFonts w:ascii="Times New Roman" w:hAnsi="Times New Roman" w:eastAsia="宋体" w:cs="Times New Roman"/>
                      <w:b/>
                      <w:color w:val="FF0000"/>
                      <w:szCs w:val="21"/>
                    </w:rPr>
                    <w:t xml:space="preserve"> </w:t>
                  </w:r>
                  <w:r>
                    <w:rPr>
                      <w:rFonts w:hint="eastAsia" w:ascii="Times New Roman" w:hAnsi="Times New Roman" w:eastAsia="宋体" w:cs="Times New Roman"/>
                      <w:b/>
                      <w:color w:val="FF0000"/>
                      <w:szCs w:val="21"/>
                    </w:rPr>
                    <w:t>址</w:t>
                  </w:r>
                </w:p>
              </w:tc>
              <w:tc>
                <w:tcPr>
                  <w:tcW w:w="0" w:type="auto"/>
                  <w:vAlign w:val="center"/>
                </w:tcPr>
                <w:p w14:paraId="71AE92AB">
                  <w:pPr>
                    <w:snapToGrid w:val="0"/>
                    <w:jc w:val="center"/>
                    <w:rPr>
                      <w:rFonts w:ascii="Times New Roman" w:hAnsi="Times New Roman" w:eastAsia="宋体" w:cs="Times New Roman"/>
                      <w:b/>
                      <w:color w:val="FF0000"/>
                      <w:szCs w:val="21"/>
                    </w:rPr>
                  </w:pPr>
                  <w:r>
                    <w:rPr>
                      <w:rFonts w:hint="eastAsia" w:ascii="Times New Roman" w:hAnsi="Times New Roman" w:eastAsia="宋体" w:cs="Times New Roman"/>
                      <w:b/>
                      <w:color w:val="FF0000"/>
                      <w:szCs w:val="21"/>
                    </w:rPr>
                    <w:t xml:space="preserve">电 </w:t>
                  </w:r>
                  <w:r>
                    <w:rPr>
                      <w:rFonts w:ascii="Times New Roman" w:hAnsi="Times New Roman" w:eastAsia="宋体" w:cs="Times New Roman"/>
                      <w:b/>
                      <w:color w:val="FF0000"/>
                      <w:szCs w:val="21"/>
                    </w:rPr>
                    <w:t xml:space="preserve"> </w:t>
                  </w:r>
                  <w:r>
                    <w:rPr>
                      <w:rFonts w:hint="eastAsia" w:ascii="Times New Roman" w:hAnsi="Times New Roman" w:eastAsia="宋体" w:cs="Times New Roman"/>
                      <w:b/>
                      <w:color w:val="FF0000"/>
                      <w:szCs w:val="21"/>
                    </w:rPr>
                    <w:t>话</w:t>
                  </w:r>
                </w:p>
              </w:tc>
              <w:tc>
                <w:tcPr>
                  <w:tcW w:w="0" w:type="auto"/>
                  <w:vAlign w:val="center"/>
                </w:tcPr>
                <w:p w14:paraId="3FD67AD0">
                  <w:pPr>
                    <w:snapToGrid w:val="0"/>
                    <w:jc w:val="center"/>
                    <w:rPr>
                      <w:rFonts w:ascii="Times New Roman" w:hAnsi="Times New Roman" w:eastAsia="宋体" w:cs="Times New Roman"/>
                      <w:b/>
                      <w:color w:val="FF0000"/>
                      <w:szCs w:val="21"/>
                    </w:rPr>
                  </w:pPr>
                  <w:r>
                    <w:rPr>
                      <w:rFonts w:hint="eastAsia" w:ascii="Times New Roman" w:hAnsi="Times New Roman" w:eastAsia="宋体" w:cs="Times New Roman"/>
                      <w:b/>
                      <w:color w:val="FF0000"/>
                      <w:szCs w:val="21"/>
                    </w:rPr>
                    <w:t>对本项目意见</w:t>
                  </w:r>
                </w:p>
              </w:tc>
            </w:tr>
            <w:tr w14:paraId="31EC12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6" w:type="dxa"/>
                  <w:vAlign w:val="center"/>
                </w:tcPr>
                <w:p w14:paraId="15775440">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李友</w:t>
                  </w:r>
                  <w:r>
                    <w:rPr>
                      <w:rFonts w:ascii="Times New Roman" w:hAnsi="Times New Roman" w:eastAsia="宋体" w:cs="Times New Roman"/>
                      <w:color w:val="FF0000"/>
                      <w:szCs w:val="21"/>
                    </w:rPr>
                    <w:t>福</w:t>
                  </w:r>
                </w:p>
              </w:tc>
              <w:tc>
                <w:tcPr>
                  <w:tcW w:w="2153" w:type="dxa"/>
                  <w:vAlign w:val="center"/>
                </w:tcPr>
                <w:p w14:paraId="6F5F6BFE">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5</w:t>
                  </w:r>
                  <w:r>
                    <w:rPr>
                      <w:rFonts w:ascii="Times New Roman" w:hAnsi="Times New Roman" w:eastAsia="宋体" w:cs="Times New Roman"/>
                      <w:color w:val="FF0000"/>
                      <w:szCs w:val="21"/>
                    </w:rPr>
                    <w:t>10</w:t>
                  </w:r>
                  <w:r>
                    <w:rPr>
                      <w:rFonts w:hint="eastAsia" w:ascii="Times New Roman" w:hAnsi="Times New Roman" w:eastAsia="宋体" w:cs="Times New Roman"/>
                      <w:color w:val="FF0000"/>
                      <w:szCs w:val="21"/>
                      <w:lang w:val="en-US" w:eastAsia="zh-CN"/>
                    </w:rPr>
                    <w:t>************</w:t>
                  </w:r>
                  <w:r>
                    <w:rPr>
                      <w:rFonts w:ascii="Times New Roman" w:hAnsi="Times New Roman" w:eastAsia="宋体" w:cs="Times New Roman"/>
                      <w:color w:val="FF0000"/>
                      <w:szCs w:val="21"/>
                    </w:rPr>
                    <w:t>056</w:t>
                  </w:r>
                </w:p>
              </w:tc>
              <w:tc>
                <w:tcPr>
                  <w:tcW w:w="0" w:type="auto"/>
                  <w:vMerge w:val="restart"/>
                  <w:vAlign w:val="center"/>
                </w:tcPr>
                <w:p w14:paraId="13718BC2">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横山镇</w:t>
                  </w:r>
                  <w:r>
                    <w:rPr>
                      <w:rFonts w:hint="eastAsia" w:ascii="Times New Roman" w:hAnsi="Times New Roman" w:eastAsia="宋体" w:cs="Times New Roman"/>
                      <w:color w:val="FF0000"/>
                      <w:szCs w:val="21"/>
                    </w:rPr>
                    <w:t>滑泥</w:t>
                  </w:r>
                  <w:r>
                    <w:rPr>
                      <w:rFonts w:ascii="Times New Roman" w:hAnsi="Times New Roman" w:eastAsia="宋体" w:cs="Times New Roman"/>
                      <w:color w:val="FF0000"/>
                      <w:szCs w:val="21"/>
                    </w:rPr>
                    <w:t>桥</w:t>
                  </w:r>
                  <w:r>
                    <w:rPr>
                      <w:rFonts w:hint="eastAsia" w:ascii="Times New Roman" w:hAnsi="Times New Roman" w:eastAsia="宋体" w:cs="Times New Roman"/>
                      <w:color w:val="FF0000"/>
                      <w:szCs w:val="21"/>
                    </w:rPr>
                    <w:t>3组</w:t>
                  </w:r>
                </w:p>
              </w:tc>
              <w:tc>
                <w:tcPr>
                  <w:tcW w:w="0" w:type="auto"/>
                  <w:vAlign w:val="center"/>
                </w:tcPr>
                <w:p w14:paraId="2119CCE9">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rPr>
                    <w:t>1</w:t>
                  </w:r>
                  <w:r>
                    <w:rPr>
                      <w:rFonts w:ascii="Times New Roman" w:hAnsi="Times New Roman" w:eastAsia="宋体" w:cs="Times New Roman"/>
                      <w:color w:val="FF0000"/>
                    </w:rPr>
                    <w:t>81</w:t>
                  </w:r>
                  <w:r>
                    <w:rPr>
                      <w:rFonts w:hint="eastAsia" w:ascii="Times New Roman" w:hAnsi="Times New Roman" w:eastAsia="宋体" w:cs="Times New Roman"/>
                      <w:color w:val="FF0000"/>
                      <w:lang w:val="en-US" w:eastAsia="zh-CN"/>
                    </w:rPr>
                    <w:t>*******</w:t>
                  </w:r>
                  <w:r>
                    <w:rPr>
                      <w:rFonts w:ascii="Times New Roman" w:hAnsi="Times New Roman" w:eastAsia="宋体" w:cs="Times New Roman"/>
                      <w:color w:val="FF0000"/>
                    </w:rPr>
                    <w:t>18</w:t>
                  </w:r>
                </w:p>
              </w:tc>
              <w:tc>
                <w:tcPr>
                  <w:tcW w:w="0" w:type="auto"/>
                  <w:vAlign w:val="center"/>
                </w:tcPr>
                <w:p w14:paraId="7F10ED21">
                  <w:pPr>
                    <w:snapToGrid w:val="0"/>
                    <w:jc w:val="center"/>
                    <w:rPr>
                      <w:rFonts w:ascii="Times New Roman" w:hAnsi="Times New Roman" w:cs="Times New Roman"/>
                      <w:color w:val="FF0000"/>
                    </w:rPr>
                  </w:pPr>
                  <w:r>
                    <w:rPr>
                      <w:rFonts w:hint="eastAsia" w:ascii="Times New Roman" w:hAnsi="Times New Roman" w:eastAsia="宋体" w:cs="Times New Roman"/>
                      <w:color w:val="FF0000"/>
                      <w:szCs w:val="21"/>
                    </w:rPr>
                    <w:t>按规范作业</w:t>
                  </w:r>
                  <w:r>
                    <w:rPr>
                      <w:rFonts w:ascii="Times New Roman" w:hAnsi="Times New Roman" w:eastAsia="宋体" w:cs="Times New Roman"/>
                      <w:color w:val="FF0000"/>
                      <w:szCs w:val="21"/>
                    </w:rPr>
                    <w:t>，加强环保措施</w:t>
                  </w:r>
                </w:p>
              </w:tc>
            </w:tr>
            <w:tr w14:paraId="09DEC7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6" w:type="dxa"/>
                  <w:vAlign w:val="center"/>
                </w:tcPr>
                <w:p w14:paraId="726ED779">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税晓兰</w:t>
                  </w:r>
                </w:p>
              </w:tc>
              <w:tc>
                <w:tcPr>
                  <w:tcW w:w="2153" w:type="dxa"/>
                  <w:vAlign w:val="center"/>
                </w:tcPr>
                <w:p w14:paraId="3E43A150">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5</w:t>
                  </w:r>
                  <w:r>
                    <w:rPr>
                      <w:rFonts w:ascii="Times New Roman" w:hAnsi="Times New Roman" w:eastAsia="宋体" w:cs="Times New Roman"/>
                      <w:color w:val="FF0000"/>
                      <w:szCs w:val="21"/>
                    </w:rPr>
                    <w:t>10</w:t>
                  </w:r>
                  <w:r>
                    <w:rPr>
                      <w:rFonts w:hint="eastAsia" w:ascii="Times New Roman" w:hAnsi="Times New Roman" w:eastAsia="宋体" w:cs="Times New Roman"/>
                      <w:color w:val="FF0000"/>
                      <w:szCs w:val="21"/>
                      <w:lang w:val="en-US" w:eastAsia="zh-CN"/>
                    </w:rPr>
                    <w:t>************</w:t>
                  </w:r>
                  <w:r>
                    <w:rPr>
                      <w:rFonts w:ascii="Times New Roman" w:hAnsi="Times New Roman" w:eastAsia="宋体" w:cs="Times New Roman"/>
                      <w:color w:val="FF0000"/>
                      <w:szCs w:val="21"/>
                    </w:rPr>
                    <w:t>061</w:t>
                  </w:r>
                </w:p>
              </w:tc>
              <w:tc>
                <w:tcPr>
                  <w:tcW w:w="0" w:type="auto"/>
                  <w:vMerge w:val="continue"/>
                  <w:vAlign w:val="center"/>
                </w:tcPr>
                <w:p w14:paraId="79CAB07F">
                  <w:pPr>
                    <w:snapToGrid w:val="0"/>
                    <w:jc w:val="center"/>
                    <w:rPr>
                      <w:rFonts w:ascii="Times New Roman" w:hAnsi="Times New Roman" w:eastAsia="宋体" w:cs="Times New Roman"/>
                      <w:color w:val="FF0000"/>
                      <w:szCs w:val="21"/>
                    </w:rPr>
                  </w:pPr>
                </w:p>
              </w:tc>
              <w:tc>
                <w:tcPr>
                  <w:tcW w:w="0" w:type="auto"/>
                  <w:vAlign w:val="center"/>
                </w:tcPr>
                <w:p w14:paraId="1BF54717">
                  <w:pPr>
                    <w:snapToGrid w:val="0"/>
                    <w:jc w:val="center"/>
                    <w:rPr>
                      <w:rFonts w:ascii="Times New Roman" w:hAnsi="Times New Roman" w:eastAsia="宋体" w:cs="Times New Roman"/>
                      <w:color w:val="FF0000"/>
                    </w:rPr>
                  </w:pPr>
                  <w:r>
                    <w:rPr>
                      <w:rFonts w:hint="eastAsia" w:ascii="Times New Roman" w:hAnsi="Times New Roman" w:eastAsia="宋体" w:cs="Times New Roman"/>
                      <w:color w:val="FF0000"/>
                    </w:rPr>
                    <w:t>1</w:t>
                  </w:r>
                  <w:r>
                    <w:rPr>
                      <w:rFonts w:ascii="Times New Roman" w:hAnsi="Times New Roman" w:eastAsia="宋体" w:cs="Times New Roman"/>
                      <w:color w:val="FF0000"/>
                    </w:rPr>
                    <w:t>52</w:t>
                  </w:r>
                  <w:r>
                    <w:rPr>
                      <w:rFonts w:hint="eastAsia" w:ascii="Times New Roman" w:hAnsi="Times New Roman" w:eastAsia="宋体" w:cs="Times New Roman"/>
                      <w:color w:val="FF0000"/>
                      <w:lang w:val="en-US" w:eastAsia="zh-CN"/>
                    </w:rPr>
                    <w:t>*******</w:t>
                  </w:r>
                  <w:r>
                    <w:rPr>
                      <w:rFonts w:ascii="Times New Roman" w:hAnsi="Times New Roman" w:eastAsia="宋体" w:cs="Times New Roman"/>
                      <w:color w:val="FF0000"/>
                    </w:rPr>
                    <w:t>28</w:t>
                  </w:r>
                </w:p>
              </w:tc>
              <w:tc>
                <w:tcPr>
                  <w:tcW w:w="0" w:type="auto"/>
                  <w:vAlign w:val="center"/>
                </w:tcPr>
                <w:p w14:paraId="49EF2E2C">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加强了环境保护措施</w:t>
                  </w:r>
                </w:p>
              </w:tc>
            </w:tr>
            <w:tr w14:paraId="40B611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6" w:type="dxa"/>
                  <w:vAlign w:val="center"/>
                </w:tcPr>
                <w:p w14:paraId="22AA8E77">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刘凤英</w:t>
                  </w:r>
                </w:p>
              </w:tc>
              <w:tc>
                <w:tcPr>
                  <w:tcW w:w="2153" w:type="dxa"/>
                  <w:vAlign w:val="center"/>
                </w:tcPr>
                <w:p w14:paraId="69BC4CE5">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5</w:t>
                  </w:r>
                  <w:r>
                    <w:rPr>
                      <w:rFonts w:ascii="Times New Roman" w:hAnsi="Times New Roman" w:eastAsia="宋体" w:cs="Times New Roman"/>
                      <w:color w:val="FF0000"/>
                      <w:szCs w:val="21"/>
                    </w:rPr>
                    <w:t>10</w:t>
                  </w:r>
                  <w:r>
                    <w:rPr>
                      <w:rFonts w:hint="eastAsia" w:ascii="Times New Roman" w:hAnsi="Times New Roman" w:eastAsia="宋体" w:cs="Times New Roman"/>
                      <w:color w:val="FF0000"/>
                      <w:szCs w:val="21"/>
                      <w:lang w:val="en-US" w:eastAsia="zh-CN"/>
                    </w:rPr>
                    <w:t>************</w:t>
                  </w:r>
                  <w:r>
                    <w:rPr>
                      <w:rFonts w:ascii="Times New Roman" w:hAnsi="Times New Roman" w:eastAsia="宋体" w:cs="Times New Roman"/>
                      <w:color w:val="FF0000"/>
                      <w:szCs w:val="21"/>
                    </w:rPr>
                    <w:t>807</w:t>
                  </w:r>
                </w:p>
              </w:tc>
              <w:tc>
                <w:tcPr>
                  <w:tcW w:w="0" w:type="auto"/>
                  <w:vMerge w:val="continue"/>
                  <w:vAlign w:val="center"/>
                </w:tcPr>
                <w:p w14:paraId="711B3095">
                  <w:pPr>
                    <w:snapToGrid w:val="0"/>
                    <w:jc w:val="center"/>
                    <w:rPr>
                      <w:rFonts w:ascii="Times New Roman" w:hAnsi="Times New Roman" w:eastAsia="宋体" w:cs="Times New Roman"/>
                      <w:color w:val="FF0000"/>
                      <w:szCs w:val="21"/>
                    </w:rPr>
                  </w:pPr>
                </w:p>
              </w:tc>
              <w:tc>
                <w:tcPr>
                  <w:tcW w:w="0" w:type="auto"/>
                  <w:vAlign w:val="center"/>
                </w:tcPr>
                <w:p w14:paraId="2C9D2BD1">
                  <w:pPr>
                    <w:snapToGrid w:val="0"/>
                    <w:jc w:val="center"/>
                    <w:rPr>
                      <w:rFonts w:ascii="Times New Roman" w:hAnsi="Times New Roman" w:eastAsia="宋体" w:cs="Times New Roman"/>
                      <w:color w:val="FF0000"/>
                    </w:rPr>
                  </w:pPr>
                  <w:r>
                    <w:rPr>
                      <w:rFonts w:hint="eastAsia" w:ascii="Times New Roman" w:hAnsi="Times New Roman" w:eastAsia="宋体" w:cs="Times New Roman"/>
                      <w:color w:val="FF0000"/>
                    </w:rPr>
                    <w:t>1</w:t>
                  </w:r>
                  <w:r>
                    <w:rPr>
                      <w:rFonts w:ascii="Times New Roman" w:hAnsi="Times New Roman" w:eastAsia="宋体" w:cs="Times New Roman"/>
                      <w:color w:val="FF0000"/>
                    </w:rPr>
                    <w:t>87</w:t>
                  </w:r>
                  <w:r>
                    <w:rPr>
                      <w:rFonts w:hint="eastAsia" w:ascii="Times New Roman" w:hAnsi="Times New Roman" w:eastAsia="宋体" w:cs="Times New Roman"/>
                      <w:color w:val="FF0000"/>
                      <w:lang w:val="en-US" w:eastAsia="zh-CN"/>
                    </w:rPr>
                    <w:t>*******</w:t>
                  </w:r>
                  <w:r>
                    <w:rPr>
                      <w:rFonts w:ascii="Times New Roman" w:hAnsi="Times New Roman" w:eastAsia="宋体" w:cs="Times New Roman"/>
                      <w:color w:val="FF0000"/>
                    </w:rPr>
                    <w:t>80</w:t>
                  </w:r>
                </w:p>
              </w:tc>
              <w:tc>
                <w:tcPr>
                  <w:tcW w:w="0" w:type="auto"/>
                  <w:vAlign w:val="center"/>
                </w:tcPr>
                <w:p w14:paraId="0A8CE7D1">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该厂注重了环境保护</w:t>
                  </w:r>
                </w:p>
              </w:tc>
            </w:tr>
            <w:tr w14:paraId="3F9AC9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6" w:type="dxa"/>
                  <w:vAlign w:val="center"/>
                </w:tcPr>
                <w:p w14:paraId="5E79FB02">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王伟</w:t>
                  </w:r>
                </w:p>
              </w:tc>
              <w:tc>
                <w:tcPr>
                  <w:tcW w:w="2153" w:type="dxa"/>
                  <w:vAlign w:val="center"/>
                </w:tcPr>
                <w:p w14:paraId="2E0C4A17">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5</w:t>
                  </w:r>
                  <w:r>
                    <w:rPr>
                      <w:rFonts w:ascii="Times New Roman" w:hAnsi="Times New Roman" w:eastAsia="宋体" w:cs="Times New Roman"/>
                      <w:color w:val="FF0000"/>
                      <w:szCs w:val="21"/>
                    </w:rPr>
                    <w:t>10</w:t>
                  </w:r>
                  <w:r>
                    <w:rPr>
                      <w:rFonts w:hint="eastAsia" w:ascii="Times New Roman" w:hAnsi="Times New Roman" w:eastAsia="宋体" w:cs="Times New Roman"/>
                      <w:color w:val="FF0000"/>
                      <w:szCs w:val="21"/>
                      <w:lang w:val="en-US" w:eastAsia="zh-CN"/>
                    </w:rPr>
                    <w:t>************</w:t>
                  </w:r>
                  <w:r>
                    <w:rPr>
                      <w:rFonts w:ascii="Times New Roman" w:hAnsi="Times New Roman" w:eastAsia="宋体" w:cs="Times New Roman"/>
                      <w:color w:val="FF0000"/>
                      <w:szCs w:val="21"/>
                    </w:rPr>
                    <w:t>057</w:t>
                  </w:r>
                </w:p>
              </w:tc>
              <w:tc>
                <w:tcPr>
                  <w:tcW w:w="0" w:type="auto"/>
                  <w:vMerge w:val="continue"/>
                  <w:vAlign w:val="center"/>
                </w:tcPr>
                <w:p w14:paraId="345ED532">
                  <w:pPr>
                    <w:snapToGrid w:val="0"/>
                    <w:jc w:val="center"/>
                    <w:rPr>
                      <w:rFonts w:ascii="Times New Roman" w:hAnsi="Times New Roman" w:eastAsia="宋体" w:cs="Times New Roman"/>
                      <w:color w:val="FF0000"/>
                    </w:rPr>
                  </w:pPr>
                </w:p>
              </w:tc>
              <w:tc>
                <w:tcPr>
                  <w:tcW w:w="0" w:type="auto"/>
                  <w:vAlign w:val="center"/>
                </w:tcPr>
                <w:p w14:paraId="1A3A5C75">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1</w:t>
                  </w:r>
                  <w:r>
                    <w:rPr>
                      <w:rFonts w:ascii="Times New Roman" w:hAnsi="Times New Roman" w:eastAsia="宋体" w:cs="Times New Roman"/>
                      <w:color w:val="FF0000"/>
                      <w:szCs w:val="21"/>
                    </w:rPr>
                    <w:t>99</w:t>
                  </w:r>
                  <w:r>
                    <w:rPr>
                      <w:rFonts w:hint="eastAsia" w:ascii="Times New Roman" w:hAnsi="Times New Roman" w:eastAsia="宋体" w:cs="Times New Roman"/>
                      <w:color w:val="FF0000"/>
                      <w:lang w:val="en-US" w:eastAsia="zh-CN"/>
                    </w:rPr>
                    <w:t>*******</w:t>
                  </w:r>
                  <w:r>
                    <w:rPr>
                      <w:rFonts w:ascii="Times New Roman" w:hAnsi="Times New Roman" w:eastAsia="宋体" w:cs="Times New Roman"/>
                      <w:color w:val="FF0000"/>
                      <w:szCs w:val="21"/>
                    </w:rPr>
                    <w:t>32</w:t>
                  </w:r>
                </w:p>
              </w:tc>
              <w:tc>
                <w:tcPr>
                  <w:tcW w:w="0" w:type="auto"/>
                  <w:vAlign w:val="center"/>
                </w:tcPr>
                <w:p w14:paraId="13A27245">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无意见</w:t>
                  </w:r>
                </w:p>
              </w:tc>
            </w:tr>
            <w:tr w14:paraId="4F57C2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6" w:type="dxa"/>
                  <w:vAlign w:val="center"/>
                </w:tcPr>
                <w:p w14:paraId="2F535805">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李长意</w:t>
                  </w:r>
                </w:p>
              </w:tc>
              <w:tc>
                <w:tcPr>
                  <w:tcW w:w="2153" w:type="dxa"/>
                  <w:vAlign w:val="center"/>
                </w:tcPr>
                <w:p w14:paraId="5758DD37">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5</w:t>
                  </w:r>
                  <w:r>
                    <w:rPr>
                      <w:rFonts w:ascii="Times New Roman" w:hAnsi="Times New Roman" w:eastAsia="宋体" w:cs="Times New Roman"/>
                      <w:color w:val="FF0000"/>
                      <w:szCs w:val="21"/>
                    </w:rPr>
                    <w:t>10</w:t>
                  </w:r>
                  <w:r>
                    <w:rPr>
                      <w:rFonts w:hint="eastAsia" w:ascii="Times New Roman" w:hAnsi="Times New Roman" w:eastAsia="宋体" w:cs="Times New Roman"/>
                      <w:color w:val="FF0000"/>
                      <w:szCs w:val="21"/>
                      <w:lang w:val="en-US" w:eastAsia="zh-CN"/>
                    </w:rPr>
                    <w:t>************</w:t>
                  </w:r>
                  <w:r>
                    <w:rPr>
                      <w:rFonts w:ascii="Times New Roman" w:hAnsi="Times New Roman" w:eastAsia="宋体" w:cs="Times New Roman"/>
                      <w:color w:val="FF0000"/>
                      <w:szCs w:val="21"/>
                    </w:rPr>
                    <w:t>05X</w:t>
                  </w:r>
                </w:p>
              </w:tc>
              <w:tc>
                <w:tcPr>
                  <w:tcW w:w="0" w:type="auto"/>
                  <w:vMerge w:val="continue"/>
                  <w:vAlign w:val="center"/>
                </w:tcPr>
                <w:p w14:paraId="241BF93F">
                  <w:pPr>
                    <w:snapToGrid w:val="0"/>
                    <w:jc w:val="center"/>
                    <w:rPr>
                      <w:rFonts w:ascii="Times New Roman" w:hAnsi="Times New Roman" w:eastAsia="宋体" w:cs="Times New Roman"/>
                      <w:color w:val="FF0000"/>
                      <w:szCs w:val="21"/>
                    </w:rPr>
                  </w:pPr>
                </w:p>
              </w:tc>
              <w:tc>
                <w:tcPr>
                  <w:tcW w:w="0" w:type="auto"/>
                  <w:vAlign w:val="center"/>
                </w:tcPr>
                <w:p w14:paraId="62883F31">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13</w:t>
                  </w:r>
                  <w:r>
                    <w:rPr>
                      <w:rFonts w:ascii="Times New Roman" w:hAnsi="Times New Roman" w:eastAsia="宋体" w:cs="Times New Roman"/>
                      <w:color w:val="FF0000"/>
                      <w:szCs w:val="21"/>
                    </w:rPr>
                    <w:t>9</w:t>
                  </w:r>
                  <w:r>
                    <w:rPr>
                      <w:rFonts w:hint="eastAsia" w:ascii="Times New Roman" w:hAnsi="Times New Roman" w:eastAsia="宋体" w:cs="Times New Roman"/>
                      <w:color w:val="FF0000"/>
                      <w:lang w:val="en-US" w:eastAsia="zh-CN"/>
                    </w:rPr>
                    <w:t>*******</w:t>
                  </w:r>
                  <w:r>
                    <w:rPr>
                      <w:rFonts w:ascii="Times New Roman" w:hAnsi="Times New Roman" w:eastAsia="宋体" w:cs="Times New Roman"/>
                      <w:color w:val="FF0000"/>
                      <w:szCs w:val="21"/>
                    </w:rPr>
                    <w:t>59</w:t>
                  </w:r>
                </w:p>
              </w:tc>
              <w:tc>
                <w:tcPr>
                  <w:tcW w:w="0" w:type="auto"/>
                  <w:vAlign w:val="center"/>
                </w:tcPr>
                <w:p w14:paraId="127E0E36">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无意见</w:t>
                  </w:r>
                </w:p>
              </w:tc>
            </w:tr>
            <w:tr w14:paraId="6F0BD5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6" w:type="dxa"/>
                  <w:vAlign w:val="center"/>
                </w:tcPr>
                <w:p w14:paraId="079133CE">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张长建</w:t>
                  </w:r>
                </w:p>
              </w:tc>
              <w:tc>
                <w:tcPr>
                  <w:tcW w:w="2153" w:type="dxa"/>
                  <w:vAlign w:val="center"/>
                </w:tcPr>
                <w:p w14:paraId="50C6ACF3">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5</w:t>
                  </w:r>
                  <w:r>
                    <w:rPr>
                      <w:rFonts w:ascii="Times New Roman" w:hAnsi="Times New Roman" w:eastAsia="宋体" w:cs="Times New Roman"/>
                      <w:color w:val="FF0000"/>
                      <w:szCs w:val="21"/>
                    </w:rPr>
                    <w:t>10</w:t>
                  </w:r>
                  <w:r>
                    <w:rPr>
                      <w:rFonts w:hint="eastAsia" w:ascii="Times New Roman" w:hAnsi="Times New Roman" w:eastAsia="宋体" w:cs="Times New Roman"/>
                      <w:color w:val="FF0000"/>
                      <w:szCs w:val="21"/>
                      <w:lang w:val="en-US" w:eastAsia="zh-CN"/>
                    </w:rPr>
                    <w:t>************</w:t>
                  </w:r>
                  <w:r>
                    <w:rPr>
                      <w:rFonts w:ascii="Times New Roman" w:hAnsi="Times New Roman" w:eastAsia="宋体" w:cs="Times New Roman"/>
                      <w:color w:val="FF0000"/>
                      <w:szCs w:val="21"/>
                    </w:rPr>
                    <w:t>056</w:t>
                  </w:r>
                </w:p>
              </w:tc>
              <w:tc>
                <w:tcPr>
                  <w:tcW w:w="0" w:type="auto"/>
                  <w:vMerge w:val="restart"/>
                  <w:vAlign w:val="center"/>
                </w:tcPr>
                <w:p w14:paraId="2AC85FCD">
                  <w:pPr>
                    <w:snapToGrid w:val="0"/>
                    <w:jc w:val="center"/>
                    <w:rPr>
                      <w:rFonts w:ascii="Times New Roman" w:hAnsi="Times New Roman" w:eastAsia="宋体" w:cs="Times New Roman"/>
                      <w:color w:val="FF0000"/>
                    </w:rPr>
                  </w:pPr>
                  <w:r>
                    <w:rPr>
                      <w:rFonts w:ascii="Times New Roman" w:hAnsi="Times New Roman" w:eastAsia="宋体" w:cs="Times New Roman"/>
                      <w:color w:val="FF0000"/>
                      <w:szCs w:val="21"/>
                    </w:rPr>
                    <w:t>横山镇</w:t>
                  </w:r>
                  <w:r>
                    <w:rPr>
                      <w:rFonts w:hint="eastAsia" w:ascii="Times New Roman" w:hAnsi="Times New Roman" w:eastAsia="宋体" w:cs="Times New Roman"/>
                      <w:color w:val="FF0000"/>
                      <w:szCs w:val="21"/>
                    </w:rPr>
                    <w:t>滑泥</w:t>
                  </w:r>
                  <w:r>
                    <w:rPr>
                      <w:rFonts w:ascii="Times New Roman" w:hAnsi="Times New Roman" w:eastAsia="宋体" w:cs="Times New Roman"/>
                      <w:color w:val="FF0000"/>
                      <w:szCs w:val="21"/>
                    </w:rPr>
                    <w:t>桥</w:t>
                  </w:r>
                  <w:r>
                    <w:rPr>
                      <w:rFonts w:hint="eastAsia" w:ascii="Times New Roman" w:hAnsi="Times New Roman" w:eastAsia="宋体" w:cs="Times New Roman"/>
                      <w:color w:val="FF0000"/>
                      <w:szCs w:val="21"/>
                    </w:rPr>
                    <w:t>2组</w:t>
                  </w:r>
                </w:p>
              </w:tc>
              <w:tc>
                <w:tcPr>
                  <w:tcW w:w="0" w:type="auto"/>
                  <w:vAlign w:val="center"/>
                </w:tcPr>
                <w:p w14:paraId="7E3B31BD">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1</w:t>
                  </w:r>
                  <w:r>
                    <w:rPr>
                      <w:rFonts w:ascii="Times New Roman" w:hAnsi="Times New Roman" w:eastAsia="宋体" w:cs="Times New Roman"/>
                      <w:color w:val="FF0000"/>
                      <w:szCs w:val="21"/>
                    </w:rPr>
                    <w:t>91</w:t>
                  </w:r>
                  <w:r>
                    <w:rPr>
                      <w:rFonts w:hint="eastAsia" w:ascii="Times New Roman" w:hAnsi="Times New Roman" w:eastAsia="宋体" w:cs="Times New Roman"/>
                      <w:color w:val="FF0000"/>
                      <w:lang w:val="en-US" w:eastAsia="zh-CN"/>
                    </w:rPr>
                    <w:t>*******</w:t>
                  </w:r>
                  <w:r>
                    <w:rPr>
                      <w:rFonts w:ascii="Times New Roman" w:hAnsi="Times New Roman" w:eastAsia="宋体" w:cs="Times New Roman"/>
                      <w:color w:val="FF0000"/>
                      <w:szCs w:val="21"/>
                    </w:rPr>
                    <w:t>58</w:t>
                  </w:r>
                </w:p>
              </w:tc>
              <w:tc>
                <w:tcPr>
                  <w:tcW w:w="0" w:type="auto"/>
                  <w:vAlign w:val="center"/>
                </w:tcPr>
                <w:p w14:paraId="04C1828B">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无意见</w:t>
                  </w:r>
                </w:p>
              </w:tc>
            </w:tr>
            <w:tr w14:paraId="343EC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6" w:type="dxa"/>
                  <w:vAlign w:val="center"/>
                </w:tcPr>
                <w:p w14:paraId="5F7F354C">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张长</w:t>
                  </w:r>
                  <w:r>
                    <w:rPr>
                      <w:rFonts w:hint="eastAsia" w:ascii="Times New Roman" w:hAnsi="Times New Roman" w:eastAsia="宋体" w:cs="Times New Roman"/>
                      <w:color w:val="FF0000"/>
                      <w:szCs w:val="21"/>
                    </w:rPr>
                    <w:t>树</w:t>
                  </w:r>
                </w:p>
              </w:tc>
              <w:tc>
                <w:tcPr>
                  <w:tcW w:w="2153" w:type="dxa"/>
                  <w:vAlign w:val="center"/>
                </w:tcPr>
                <w:p w14:paraId="71DBA09A">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5</w:t>
                  </w:r>
                  <w:r>
                    <w:rPr>
                      <w:rFonts w:ascii="Times New Roman" w:hAnsi="Times New Roman" w:eastAsia="宋体" w:cs="Times New Roman"/>
                      <w:color w:val="FF0000"/>
                      <w:szCs w:val="21"/>
                    </w:rPr>
                    <w:t>10</w:t>
                  </w:r>
                  <w:r>
                    <w:rPr>
                      <w:rFonts w:hint="eastAsia" w:ascii="Times New Roman" w:hAnsi="Times New Roman" w:eastAsia="宋体" w:cs="Times New Roman"/>
                      <w:color w:val="FF0000"/>
                      <w:szCs w:val="21"/>
                      <w:lang w:val="en-US" w:eastAsia="zh-CN"/>
                    </w:rPr>
                    <w:t>************</w:t>
                  </w:r>
                  <w:r>
                    <w:rPr>
                      <w:rFonts w:ascii="Times New Roman" w:hAnsi="Times New Roman" w:eastAsia="宋体" w:cs="Times New Roman"/>
                      <w:color w:val="FF0000"/>
                      <w:szCs w:val="21"/>
                    </w:rPr>
                    <w:t>050</w:t>
                  </w:r>
                </w:p>
              </w:tc>
              <w:tc>
                <w:tcPr>
                  <w:tcW w:w="0" w:type="auto"/>
                  <w:vMerge w:val="continue"/>
                  <w:vAlign w:val="center"/>
                </w:tcPr>
                <w:p w14:paraId="14BD3D6A">
                  <w:pPr>
                    <w:snapToGrid w:val="0"/>
                    <w:jc w:val="center"/>
                    <w:rPr>
                      <w:rFonts w:ascii="Times New Roman" w:hAnsi="Times New Roman" w:eastAsia="宋体" w:cs="Times New Roman"/>
                      <w:color w:val="FF0000"/>
                    </w:rPr>
                  </w:pPr>
                </w:p>
              </w:tc>
              <w:tc>
                <w:tcPr>
                  <w:tcW w:w="0" w:type="auto"/>
                  <w:vAlign w:val="center"/>
                </w:tcPr>
                <w:p w14:paraId="6C56C3F2">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1</w:t>
                  </w:r>
                  <w:r>
                    <w:rPr>
                      <w:rFonts w:ascii="Times New Roman" w:hAnsi="Times New Roman" w:eastAsia="宋体" w:cs="Times New Roman"/>
                      <w:color w:val="FF0000"/>
                      <w:szCs w:val="21"/>
                    </w:rPr>
                    <w:t>35</w:t>
                  </w:r>
                  <w:r>
                    <w:rPr>
                      <w:rFonts w:hint="eastAsia" w:ascii="Times New Roman" w:hAnsi="Times New Roman" w:eastAsia="宋体" w:cs="Times New Roman"/>
                      <w:color w:val="FF0000"/>
                      <w:lang w:val="en-US" w:eastAsia="zh-CN"/>
                    </w:rPr>
                    <w:t>*******</w:t>
                  </w:r>
                  <w:r>
                    <w:rPr>
                      <w:rFonts w:ascii="Times New Roman" w:hAnsi="Times New Roman" w:eastAsia="宋体" w:cs="Times New Roman"/>
                      <w:color w:val="FF0000"/>
                      <w:szCs w:val="21"/>
                    </w:rPr>
                    <w:t>16</w:t>
                  </w:r>
                </w:p>
              </w:tc>
              <w:tc>
                <w:tcPr>
                  <w:tcW w:w="0" w:type="auto"/>
                  <w:vAlign w:val="center"/>
                </w:tcPr>
                <w:p w14:paraId="03E5F093">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无意见，欢迎本厂</w:t>
                  </w:r>
                </w:p>
              </w:tc>
            </w:tr>
            <w:tr w14:paraId="1B5BAC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6" w:type="dxa"/>
                  <w:vAlign w:val="center"/>
                </w:tcPr>
                <w:p w14:paraId="001839EA">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王</w:t>
                  </w:r>
                  <w:r>
                    <w:rPr>
                      <w:rFonts w:ascii="Times New Roman" w:hAnsi="Times New Roman" w:eastAsia="宋体" w:cs="Times New Roman"/>
                      <w:color w:val="FF0000"/>
                      <w:szCs w:val="21"/>
                    </w:rPr>
                    <w:t>永</w:t>
                  </w:r>
                </w:p>
              </w:tc>
              <w:tc>
                <w:tcPr>
                  <w:tcW w:w="2153" w:type="dxa"/>
                  <w:vAlign w:val="center"/>
                </w:tcPr>
                <w:p w14:paraId="39C4168F">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5</w:t>
                  </w:r>
                  <w:r>
                    <w:rPr>
                      <w:rFonts w:ascii="Times New Roman" w:hAnsi="Times New Roman" w:eastAsia="宋体" w:cs="Times New Roman"/>
                      <w:color w:val="FF0000"/>
                      <w:szCs w:val="21"/>
                    </w:rPr>
                    <w:t>10</w:t>
                  </w:r>
                  <w:r>
                    <w:rPr>
                      <w:rFonts w:hint="eastAsia" w:ascii="Times New Roman" w:hAnsi="Times New Roman" w:eastAsia="宋体" w:cs="Times New Roman"/>
                      <w:color w:val="FF0000"/>
                      <w:szCs w:val="21"/>
                      <w:lang w:val="en-US" w:eastAsia="zh-CN"/>
                    </w:rPr>
                    <w:t>************</w:t>
                  </w:r>
                  <w:r>
                    <w:rPr>
                      <w:rFonts w:ascii="Times New Roman" w:hAnsi="Times New Roman" w:eastAsia="宋体" w:cs="Times New Roman"/>
                      <w:color w:val="FF0000"/>
                      <w:szCs w:val="21"/>
                    </w:rPr>
                    <w:t>050</w:t>
                  </w:r>
                </w:p>
              </w:tc>
              <w:tc>
                <w:tcPr>
                  <w:tcW w:w="0" w:type="auto"/>
                  <w:vAlign w:val="center"/>
                </w:tcPr>
                <w:p w14:paraId="3211BF53">
                  <w:pPr>
                    <w:snapToGrid w:val="0"/>
                    <w:jc w:val="center"/>
                    <w:rPr>
                      <w:rFonts w:ascii="Times New Roman" w:hAnsi="Times New Roman" w:eastAsia="宋体" w:cs="Times New Roman"/>
                      <w:color w:val="FF0000"/>
                    </w:rPr>
                  </w:pPr>
                  <w:r>
                    <w:rPr>
                      <w:rFonts w:ascii="Times New Roman" w:hAnsi="Times New Roman" w:eastAsia="宋体" w:cs="Times New Roman"/>
                      <w:color w:val="FF0000"/>
                      <w:szCs w:val="21"/>
                    </w:rPr>
                    <w:t>横山镇</w:t>
                  </w:r>
                  <w:r>
                    <w:rPr>
                      <w:rFonts w:hint="eastAsia" w:ascii="Times New Roman" w:hAnsi="Times New Roman" w:eastAsia="宋体" w:cs="Times New Roman"/>
                      <w:color w:val="FF0000"/>
                      <w:szCs w:val="21"/>
                    </w:rPr>
                    <w:t>滑泥</w:t>
                  </w:r>
                  <w:r>
                    <w:rPr>
                      <w:rFonts w:ascii="Times New Roman" w:hAnsi="Times New Roman" w:eastAsia="宋体" w:cs="Times New Roman"/>
                      <w:color w:val="FF0000"/>
                      <w:szCs w:val="21"/>
                    </w:rPr>
                    <w:t>桥</w:t>
                  </w:r>
                  <w:r>
                    <w:rPr>
                      <w:rFonts w:hint="eastAsia" w:ascii="Times New Roman" w:hAnsi="Times New Roman" w:eastAsia="宋体" w:cs="Times New Roman"/>
                      <w:color w:val="FF0000"/>
                      <w:szCs w:val="21"/>
                    </w:rPr>
                    <w:t>3组</w:t>
                  </w:r>
                </w:p>
              </w:tc>
              <w:tc>
                <w:tcPr>
                  <w:tcW w:w="0" w:type="auto"/>
                  <w:vAlign w:val="center"/>
                </w:tcPr>
                <w:p w14:paraId="0AC3881E">
                  <w:pPr>
                    <w:snapToGrid w:val="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1</w:t>
                  </w:r>
                  <w:r>
                    <w:rPr>
                      <w:rFonts w:ascii="Times New Roman" w:hAnsi="Times New Roman" w:eastAsia="宋体" w:cs="Times New Roman"/>
                      <w:color w:val="FF0000"/>
                      <w:szCs w:val="21"/>
                    </w:rPr>
                    <w:t>39</w:t>
                  </w:r>
                  <w:r>
                    <w:rPr>
                      <w:rFonts w:hint="eastAsia" w:ascii="Times New Roman" w:hAnsi="Times New Roman" w:eastAsia="宋体" w:cs="Times New Roman"/>
                      <w:color w:val="FF0000"/>
                      <w:lang w:val="en-US" w:eastAsia="zh-CN"/>
                    </w:rPr>
                    <w:t>*******</w:t>
                  </w:r>
                  <w:r>
                    <w:rPr>
                      <w:rFonts w:ascii="Times New Roman" w:hAnsi="Times New Roman" w:eastAsia="宋体" w:cs="Times New Roman"/>
                      <w:color w:val="FF0000"/>
                      <w:szCs w:val="21"/>
                    </w:rPr>
                    <w:t>07</w:t>
                  </w:r>
                </w:p>
              </w:tc>
              <w:tc>
                <w:tcPr>
                  <w:tcW w:w="0" w:type="auto"/>
                  <w:vAlign w:val="center"/>
                </w:tcPr>
                <w:p w14:paraId="121D2BF6">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该厂能按规范作业，</w:t>
                  </w:r>
                  <w:r>
                    <w:rPr>
                      <w:rFonts w:hint="eastAsia" w:ascii="Times New Roman" w:hAnsi="Times New Roman" w:eastAsia="宋体" w:cs="Times New Roman"/>
                      <w:color w:val="FF0000"/>
                      <w:szCs w:val="21"/>
                    </w:rPr>
                    <w:t>加强</w:t>
                  </w:r>
                  <w:r>
                    <w:rPr>
                      <w:rFonts w:ascii="Times New Roman" w:hAnsi="Times New Roman" w:eastAsia="宋体" w:cs="Times New Roman"/>
                      <w:color w:val="FF0000"/>
                      <w:szCs w:val="21"/>
                    </w:rPr>
                    <w:t>了环境保护措施</w:t>
                  </w:r>
                </w:p>
              </w:tc>
            </w:tr>
          </w:tbl>
          <w:p w14:paraId="6D1215F4">
            <w:pPr>
              <w:snapToGrid w:val="0"/>
              <w:spacing w:line="360" w:lineRule="auto"/>
              <w:ind w:firstLine="480" w:firstLineChars="200"/>
              <w:rPr>
                <w:rFonts w:ascii="Times New Roman" w:hAnsi="Times New Roman" w:eastAsia="宋体" w:cs="Times New Roman"/>
                <w:color w:val="FF0000"/>
                <w:sz w:val="24"/>
                <w:szCs w:val="16"/>
              </w:rPr>
            </w:pPr>
            <w:r>
              <w:rPr>
                <w:rFonts w:hint="eastAsia" w:ascii="Times New Roman" w:hAnsi="Times New Roman" w:eastAsia="宋体" w:cs="Times New Roman"/>
                <w:color w:val="FF0000"/>
                <w:sz w:val="24"/>
                <w:szCs w:val="16"/>
              </w:rPr>
              <w:t>根据公众参与调查结果，周边边居民对本项目建设持支持态度，肯定了砖厂加强了环境保护，同时也对砖厂提出：“按规范作业</w:t>
            </w:r>
            <w:r>
              <w:rPr>
                <w:rFonts w:ascii="Times New Roman" w:hAnsi="Times New Roman" w:eastAsia="宋体" w:cs="Times New Roman"/>
                <w:color w:val="FF0000"/>
                <w:sz w:val="24"/>
                <w:szCs w:val="16"/>
              </w:rPr>
              <w:t>，加强环保措施</w:t>
            </w:r>
            <w:r>
              <w:rPr>
                <w:rFonts w:hint="eastAsia" w:ascii="Times New Roman" w:hAnsi="Times New Roman" w:eastAsia="宋体" w:cs="Times New Roman"/>
                <w:color w:val="FF0000"/>
                <w:sz w:val="24"/>
                <w:szCs w:val="16"/>
              </w:rPr>
              <w:t>”</w:t>
            </w:r>
            <w:r>
              <w:rPr>
                <w:rFonts w:ascii="Times New Roman" w:hAnsi="Times New Roman" w:eastAsia="宋体" w:cs="Times New Roman"/>
                <w:color w:val="FF0000"/>
                <w:sz w:val="24"/>
                <w:szCs w:val="16"/>
              </w:rPr>
              <w:t>建议。因此，评价要求，砖厂须加强废气处理系统的维护和保养，确保设备正常运行及达标排放；废气处理装置发生故障时停止生产，至检修完成后</w:t>
            </w:r>
            <w:r>
              <w:rPr>
                <w:rFonts w:hint="eastAsia" w:ascii="Times New Roman" w:hAnsi="Times New Roman" w:eastAsia="宋体" w:cs="Times New Roman"/>
                <w:color w:val="FF0000"/>
                <w:sz w:val="24"/>
                <w:szCs w:val="16"/>
              </w:rPr>
              <w:t>再</w:t>
            </w:r>
            <w:r>
              <w:rPr>
                <w:rFonts w:ascii="Times New Roman" w:hAnsi="Times New Roman" w:eastAsia="宋体" w:cs="Times New Roman"/>
                <w:color w:val="FF0000"/>
                <w:sz w:val="24"/>
                <w:szCs w:val="16"/>
              </w:rPr>
              <w:t>恢复生产</w:t>
            </w:r>
            <w:r>
              <w:rPr>
                <w:rFonts w:hint="eastAsia" w:ascii="Times New Roman" w:hAnsi="Times New Roman" w:eastAsia="宋体" w:cs="Times New Roman"/>
                <w:color w:val="FF0000"/>
                <w:sz w:val="24"/>
                <w:szCs w:val="16"/>
              </w:rPr>
              <w:t>。</w:t>
            </w:r>
          </w:p>
          <w:p w14:paraId="78949A14">
            <w:pPr>
              <w:snapToGrid w:val="0"/>
              <w:spacing w:line="360" w:lineRule="auto"/>
              <w:ind w:firstLine="480" w:firstLineChars="200"/>
              <w:rPr>
                <w:rFonts w:ascii="Times New Roman" w:hAnsi="Times New Roman" w:eastAsia="宋体" w:cs="Times New Roman"/>
                <w:color w:val="000000" w:themeColor="text1"/>
                <w:sz w:val="24"/>
                <w:szCs w:val="24"/>
                <w:u w:val="single"/>
                <w14:textFill>
                  <w14:solidFill>
                    <w14:schemeClr w14:val="tx1"/>
                  </w14:solidFill>
                </w14:textFill>
              </w:rPr>
            </w:pPr>
            <w:r>
              <w:rPr>
                <w:rFonts w:ascii="Times New Roman" w:hAnsi="Times New Roman" w:eastAsia="宋体" w:cs="Times New Roman"/>
                <w:color w:val="000000" w:themeColor="text1"/>
                <w:sz w:val="24"/>
                <w:szCs w:val="24"/>
                <w:u w:val="single"/>
                <w14:textFill>
                  <w14:solidFill>
                    <w14:schemeClr w14:val="tx1"/>
                  </w14:solidFill>
                </w14:textFill>
              </w:rPr>
              <w:t>整体而言，现有工程环保措施基本合理，但根据验收及现场踏勘情况分析仍存在以下不足：</w:t>
            </w:r>
          </w:p>
          <w:p w14:paraId="50F23347">
            <w:pPr>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①</w:t>
            </w:r>
            <w:r>
              <w:rPr>
                <w:rFonts w:ascii="Times New Roman" w:hAnsi="Times New Roman" w:eastAsia="宋体" w:cs="Times New Roman"/>
                <w:color w:val="000000" w:themeColor="text1"/>
                <w:sz w:val="24"/>
                <w:szCs w:val="24"/>
                <w14:textFill>
                  <w14:solidFill>
                    <w14:schemeClr w14:val="tx1"/>
                  </w14:solidFill>
                </w14:textFill>
              </w:rPr>
              <w:t>现有工程原料制备车间除尘设备排气筒高度不足15m。</w:t>
            </w:r>
          </w:p>
          <w:p w14:paraId="7565B21A">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hint="eastAsia" w:ascii="宋体" w:hAnsi="宋体" w:eastAsia="宋体" w:cs="宋体"/>
                <w:bCs/>
                <w:color w:val="000000" w:themeColor="text1"/>
                <w:sz w:val="24"/>
                <w:szCs w:val="24"/>
                <w14:textFill>
                  <w14:solidFill>
                    <w14:schemeClr w14:val="tx1"/>
                  </w14:solidFill>
                </w14:textFill>
              </w:rPr>
              <w:t>②</w:t>
            </w:r>
            <w:r>
              <w:rPr>
                <w:rFonts w:ascii="Times New Roman" w:hAnsi="Times New Roman" w:eastAsia="宋体" w:cs="Times New Roman"/>
                <w:bCs/>
                <w:color w:val="000000" w:themeColor="text1"/>
                <w:sz w:val="24"/>
                <w:szCs w:val="24"/>
                <w14:textFill>
                  <w14:solidFill>
                    <w14:schemeClr w14:val="tx1"/>
                  </w14:solidFill>
                </w14:textFill>
              </w:rPr>
              <w:t>维修车间采取简单硬化，且地面出现破损，不满足一般防渗要求。</w:t>
            </w:r>
          </w:p>
          <w:p w14:paraId="47ED13FD">
            <w:pPr>
              <w:snapToGrid w:val="0"/>
              <w:spacing w:line="360" w:lineRule="auto"/>
              <w:ind w:firstLine="480" w:firstLineChars="200"/>
              <w:rPr>
                <w:rFonts w:ascii="Times New Roman" w:hAnsi="Times New Roman" w:eastAsia="宋体" w:cs="Times New Roman"/>
                <w:bCs/>
                <w:color w:val="000000" w:themeColor="text1"/>
                <w:sz w:val="24"/>
                <w:szCs w:val="24"/>
                <w14:textFill>
                  <w14:solidFill>
                    <w14:schemeClr w14:val="tx1"/>
                  </w14:solidFill>
                </w14:textFill>
              </w:rPr>
            </w:pPr>
            <w:r>
              <w:rPr>
                <w:rFonts w:hint="eastAsia" w:ascii="宋体" w:hAnsi="宋体" w:eastAsia="宋体" w:cs="宋体"/>
                <w:bCs/>
                <w:color w:val="000000" w:themeColor="text1"/>
                <w:sz w:val="24"/>
                <w:szCs w:val="24"/>
                <w14:textFill>
                  <w14:solidFill>
                    <w14:schemeClr w14:val="tx1"/>
                  </w14:solidFill>
                </w14:textFill>
              </w:rPr>
              <w:t>③</w:t>
            </w:r>
            <w:r>
              <w:rPr>
                <w:rFonts w:ascii="Times New Roman" w:hAnsi="Times New Roman" w:eastAsia="宋体" w:cs="Times New Roman"/>
                <w:bCs/>
                <w:color w:val="000000" w:themeColor="text1"/>
                <w:sz w:val="24"/>
                <w:szCs w:val="24"/>
                <w14:textFill>
                  <w14:solidFill>
                    <w14:schemeClr w14:val="tx1"/>
                  </w14:solidFill>
                </w14:textFill>
              </w:rPr>
              <w:t>危废协议已过期。</w:t>
            </w:r>
          </w:p>
          <w:p w14:paraId="1989F7F3">
            <w:pPr>
              <w:snapToGrid w:val="0"/>
              <w:spacing w:line="360" w:lineRule="auto"/>
              <w:ind w:firstLine="480" w:firstLineChars="200"/>
              <w:rPr>
                <w:rFonts w:ascii="Times New Roman" w:hAnsi="Times New Roman" w:eastAsia="宋体" w:cs="Times New Roman"/>
                <w:bCs/>
                <w:sz w:val="24"/>
                <w:szCs w:val="24"/>
              </w:rPr>
            </w:pPr>
            <w:r>
              <w:rPr>
                <w:rFonts w:hint="eastAsia" w:ascii="宋体" w:hAnsi="宋体" w:eastAsia="宋体" w:cs="宋体"/>
                <w:bCs/>
                <w:color w:val="000000" w:themeColor="text1"/>
                <w:sz w:val="24"/>
                <w:szCs w:val="24"/>
                <w14:textFill>
                  <w14:solidFill>
                    <w14:schemeClr w14:val="tx1"/>
                  </w14:solidFill>
                </w14:textFill>
              </w:rPr>
              <w:t>④</w:t>
            </w:r>
            <w:r>
              <w:rPr>
                <w:rFonts w:ascii="Times New Roman" w:hAnsi="Times New Roman" w:eastAsia="宋体" w:cs="Times New Roman"/>
                <w:bCs/>
                <w:color w:val="000000" w:themeColor="text1"/>
                <w:sz w:val="24"/>
                <w:szCs w:val="24"/>
                <w14:textFill>
                  <w14:solidFill>
                    <w14:schemeClr w14:val="tx1"/>
                  </w14:solidFill>
                </w14:textFill>
              </w:rPr>
              <w:t>厂区未设置雨水收集池，雨水中携带大量泥沙，直接排入厂外会对地表水体造成污染。</w:t>
            </w:r>
          </w:p>
          <w:p w14:paraId="3E524F57">
            <w:pPr>
              <w:pStyle w:val="2"/>
              <w:ind w:firstLine="492"/>
              <w:rPr>
                <w:rFonts w:ascii="Times New Roman" w:eastAsia="宋体" w:cs="Times New Roman"/>
              </w:rPr>
            </w:pPr>
            <w:r>
              <w:rPr>
                <w:rFonts w:hint="eastAsia" w:hAnsi="宋体" w:eastAsia="宋体" w:cs="宋体"/>
              </w:rPr>
              <w:t>⑤</w:t>
            </w:r>
            <w:r>
              <w:rPr>
                <w:rFonts w:ascii="Times New Roman" w:eastAsia="宋体" w:cs="Times New Roman"/>
              </w:rPr>
              <w:t>项目例行检测</w:t>
            </w:r>
            <w:bookmarkStart w:id="21" w:name="例行监测整改1"/>
            <w:bookmarkEnd w:id="21"/>
            <w:r>
              <w:rPr>
                <w:rFonts w:ascii="Times New Roman" w:eastAsia="宋体" w:cs="Times New Roman"/>
              </w:rPr>
              <w:t>未严格按照排污许可执行。</w:t>
            </w:r>
          </w:p>
          <w:p w14:paraId="5A7991CC">
            <w:pPr>
              <w:snapToGrid w:val="0"/>
              <w:spacing w:line="360" w:lineRule="auto"/>
              <w:ind w:firstLine="480" w:firstLineChars="200"/>
              <w:rPr>
                <w:rFonts w:ascii="Times New Roman" w:hAnsi="Times New Roman" w:eastAsia="宋体" w:cs="Times New Roman"/>
                <w:sz w:val="24"/>
                <w:szCs w:val="24"/>
                <w:u w:val="single"/>
              </w:rPr>
            </w:pPr>
            <w:r>
              <w:rPr>
                <w:rFonts w:ascii="Times New Roman" w:hAnsi="Times New Roman" w:eastAsia="宋体" w:cs="Times New Roman"/>
                <w:bCs/>
                <w:sz w:val="24"/>
                <w:szCs w:val="24"/>
                <w:u w:val="single"/>
              </w:rPr>
              <w:t>本次评价提出的“以新带老”措施如下：</w:t>
            </w:r>
          </w:p>
          <w:p w14:paraId="73F8CBC8">
            <w:pPr>
              <w:snapToGrid w:val="0"/>
              <w:spacing w:line="360" w:lineRule="auto"/>
              <w:ind w:firstLine="480" w:firstLineChars="200"/>
              <w:rPr>
                <w:rFonts w:ascii="Times New Roman" w:hAnsi="Times New Roman" w:eastAsia="宋体" w:cs="Times New Roman"/>
                <w:sz w:val="24"/>
                <w:szCs w:val="24"/>
              </w:rPr>
            </w:pPr>
            <w:r>
              <w:rPr>
                <w:rFonts w:hint="eastAsia" w:ascii="宋体" w:hAnsi="宋体" w:eastAsia="宋体" w:cs="宋体"/>
                <w:bCs/>
                <w:sz w:val="24"/>
                <w:szCs w:val="24"/>
              </w:rPr>
              <w:t>①</w:t>
            </w:r>
            <w:r>
              <w:rPr>
                <w:rFonts w:ascii="Times New Roman" w:hAnsi="Times New Roman" w:eastAsia="宋体" w:cs="Times New Roman"/>
                <w:bCs/>
                <w:sz w:val="24"/>
                <w:szCs w:val="24"/>
              </w:rPr>
              <w:t>要求对除尘设备进行整改，</w:t>
            </w:r>
            <w:r>
              <w:rPr>
                <w:rFonts w:ascii="Times New Roman" w:hAnsi="Times New Roman" w:eastAsia="宋体" w:cs="Times New Roman"/>
                <w:sz w:val="24"/>
                <w:szCs w:val="24"/>
              </w:rPr>
              <w:t>除尘器排气筒高度整改至15m，此外还应加强除尘设备日常保养维护，避免除尘器除尘效率下降或失效的情形发生。</w:t>
            </w:r>
          </w:p>
          <w:p w14:paraId="46D80B4B">
            <w:pPr>
              <w:snapToGrid w:val="0"/>
              <w:spacing w:line="360" w:lineRule="auto"/>
              <w:ind w:firstLine="480" w:firstLineChars="200"/>
              <w:rPr>
                <w:rFonts w:ascii="Times New Roman" w:hAnsi="Times New Roman" w:eastAsia="宋体" w:cs="Times New Roman"/>
                <w:sz w:val="24"/>
                <w:szCs w:val="24"/>
              </w:rPr>
            </w:pPr>
            <w:r>
              <w:rPr>
                <w:rFonts w:hint="eastAsia" w:ascii="宋体" w:hAnsi="宋体" w:eastAsia="宋体" w:cs="宋体"/>
                <w:sz w:val="24"/>
                <w:szCs w:val="24"/>
              </w:rPr>
              <w:t>②</w:t>
            </w:r>
            <w:r>
              <w:rPr>
                <w:rFonts w:ascii="Times New Roman" w:hAnsi="Times New Roman" w:eastAsia="宋体" w:cs="Times New Roman"/>
                <w:sz w:val="24"/>
                <w:szCs w:val="24"/>
              </w:rPr>
              <w:t>要求对维修车间地坪采取一般防渗，要求地面铺设防渗混凝土，等效黏土防渗层Mb≥1.5m，防渗系数K≤1×10</w:t>
            </w:r>
            <w:r>
              <w:rPr>
                <w:rFonts w:ascii="Times New Roman" w:hAnsi="Times New Roman" w:eastAsia="宋体" w:cs="Times New Roman"/>
                <w:sz w:val="24"/>
                <w:szCs w:val="24"/>
                <w:vertAlign w:val="superscript"/>
              </w:rPr>
              <w:t>-7</w:t>
            </w:r>
            <w:r>
              <w:rPr>
                <w:rFonts w:ascii="Times New Roman" w:hAnsi="Times New Roman" w:eastAsia="宋体" w:cs="Times New Roman"/>
                <w:sz w:val="24"/>
                <w:szCs w:val="24"/>
              </w:rPr>
              <w:t>cm/s。</w:t>
            </w:r>
          </w:p>
          <w:p w14:paraId="003B31AC">
            <w:pPr>
              <w:snapToGrid w:val="0"/>
              <w:spacing w:line="360" w:lineRule="auto"/>
              <w:ind w:firstLine="480" w:firstLineChars="200"/>
              <w:rPr>
                <w:rFonts w:ascii="Times New Roman" w:hAnsi="Times New Roman" w:eastAsia="宋体" w:cs="Times New Roman"/>
                <w:sz w:val="24"/>
                <w:szCs w:val="24"/>
              </w:rPr>
            </w:pPr>
            <w:r>
              <w:rPr>
                <w:rFonts w:hint="eastAsia" w:ascii="宋体" w:hAnsi="宋体" w:eastAsia="宋体" w:cs="宋体"/>
                <w:sz w:val="24"/>
                <w:szCs w:val="24"/>
              </w:rPr>
              <w:t>③</w:t>
            </w:r>
            <w:r>
              <w:rPr>
                <w:rFonts w:ascii="Times New Roman" w:hAnsi="Times New Roman" w:eastAsia="宋体" w:cs="Times New Roman"/>
                <w:sz w:val="24"/>
                <w:szCs w:val="24"/>
              </w:rPr>
              <w:t>评价要求尽快重新签订危废协议，建立健全危废管理台账。</w:t>
            </w:r>
          </w:p>
          <w:p w14:paraId="3B3723BD">
            <w:pPr>
              <w:snapToGrid w:val="0"/>
              <w:spacing w:line="360" w:lineRule="auto"/>
              <w:ind w:firstLine="480" w:firstLineChars="200"/>
              <w:rPr>
                <w:rFonts w:ascii="Times New Roman" w:hAnsi="Times New Roman" w:eastAsia="宋体" w:cs="Times New Roman"/>
                <w:sz w:val="24"/>
                <w:szCs w:val="24"/>
              </w:rPr>
            </w:pPr>
            <w:r>
              <w:rPr>
                <w:rFonts w:hint="eastAsia" w:ascii="宋体" w:hAnsi="宋体" w:eastAsia="宋体" w:cs="宋体"/>
                <w:sz w:val="24"/>
                <w:szCs w:val="24"/>
              </w:rPr>
              <w:t>④</w:t>
            </w:r>
            <w:r>
              <w:rPr>
                <w:rFonts w:ascii="Times New Roman" w:hAnsi="Times New Roman" w:eastAsia="宋体" w:cs="Times New Roman"/>
                <w:sz w:val="24"/>
                <w:szCs w:val="24"/>
              </w:rPr>
              <w:t>根据《室外排水设计规范》进行，雨水流量公示为：</w:t>
            </w:r>
          </w:p>
          <w:p w14:paraId="3EDA2757">
            <w:pPr>
              <w:snapToGrid w:val="0"/>
              <w:spacing w:line="360" w:lineRule="auto"/>
              <w:ind w:firstLine="480" w:firstLineChars="200"/>
              <w:jc w:val="center"/>
              <w:rPr>
                <w:rFonts w:ascii="Times New Roman" w:hAnsi="Times New Roman" w:eastAsia="宋体" w:cs="Times New Roman"/>
                <w:sz w:val="24"/>
                <w:szCs w:val="24"/>
              </w:rPr>
            </w:pPr>
            <w:r>
              <w:rPr>
                <w:rFonts w:ascii="Times New Roman" w:hAnsi="Times New Roman" w:eastAsia="宋体" w:cs="Times New Roman"/>
                <w:sz w:val="24"/>
                <w:szCs w:val="24"/>
              </w:rPr>
              <w:t>Q=q×φ×F</w:t>
            </w:r>
          </w:p>
          <w:p w14:paraId="544159FB">
            <w:pPr>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式中：</w:t>
            </w:r>
          </w:p>
          <w:p w14:paraId="66FF70C0">
            <w:pPr>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Q：雨水设计流量（L/s）；</w:t>
            </w:r>
          </w:p>
          <w:p w14:paraId="1D4B2AC9">
            <w:pPr>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q：设计暴雨强度（L/s.hm</w:t>
            </w:r>
            <w:r>
              <w:rPr>
                <w:rFonts w:ascii="Times New Roman" w:hAnsi="Times New Roman" w:eastAsia="宋体" w:cs="Times New Roman"/>
                <w:sz w:val="24"/>
                <w:szCs w:val="24"/>
                <w:vertAlign w:val="superscript"/>
              </w:rPr>
              <w:t>2</w:t>
            </w:r>
            <w:r>
              <w:rPr>
                <w:rFonts w:ascii="Times New Roman" w:hAnsi="Times New Roman" w:eastAsia="宋体" w:cs="Times New Roman"/>
                <w:sz w:val="24"/>
                <w:szCs w:val="24"/>
              </w:rPr>
              <w:t>，hm</w:t>
            </w:r>
            <w:r>
              <w:rPr>
                <w:rFonts w:ascii="Times New Roman" w:hAnsi="Times New Roman" w:eastAsia="宋体" w:cs="Times New Roman"/>
                <w:sz w:val="24"/>
                <w:szCs w:val="24"/>
                <w:vertAlign w:val="superscript"/>
              </w:rPr>
              <w:t>2</w:t>
            </w:r>
            <w:r>
              <w:rPr>
                <w:rFonts w:ascii="Times New Roman" w:hAnsi="Times New Roman" w:eastAsia="宋体" w:cs="Times New Roman"/>
                <w:sz w:val="24"/>
                <w:szCs w:val="24"/>
              </w:rPr>
              <w:t>为1.52万m</w:t>
            </w:r>
            <w:r>
              <w:rPr>
                <w:rFonts w:ascii="Times New Roman" w:hAnsi="Times New Roman" w:eastAsia="宋体" w:cs="Times New Roman"/>
                <w:sz w:val="24"/>
                <w:szCs w:val="24"/>
                <w:vertAlign w:val="superscript"/>
              </w:rPr>
              <w:t>2</w:t>
            </w:r>
            <w:r>
              <w:rPr>
                <w:rFonts w:ascii="Times New Roman" w:hAnsi="Times New Roman" w:eastAsia="宋体" w:cs="Times New Roman"/>
                <w:sz w:val="24"/>
                <w:szCs w:val="24"/>
              </w:rPr>
              <w:t>）</w:t>
            </w:r>
          </w:p>
          <w:p w14:paraId="15AE7761">
            <w:pPr>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φ：径流系数，取0.9；</w:t>
            </w:r>
          </w:p>
          <w:p w14:paraId="76DE5123">
            <w:pPr>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F：汇水面积（hm</w:t>
            </w:r>
            <w:r>
              <w:rPr>
                <w:rFonts w:ascii="Times New Roman" w:hAnsi="Times New Roman" w:eastAsia="宋体" w:cs="Times New Roman"/>
                <w:sz w:val="24"/>
                <w:szCs w:val="24"/>
                <w:vertAlign w:val="superscript"/>
              </w:rPr>
              <w:t>2</w:t>
            </w:r>
            <w:r>
              <w:rPr>
                <w:rFonts w:ascii="Times New Roman" w:hAnsi="Times New Roman" w:eastAsia="宋体" w:cs="Times New Roman"/>
                <w:sz w:val="24"/>
                <w:szCs w:val="24"/>
              </w:rPr>
              <w:t>），本项目汇水面积0.8hm</w:t>
            </w:r>
            <w:r>
              <w:rPr>
                <w:rFonts w:ascii="Times New Roman" w:hAnsi="Times New Roman" w:eastAsia="宋体" w:cs="Times New Roman"/>
                <w:sz w:val="24"/>
                <w:szCs w:val="24"/>
                <w:vertAlign w:val="superscript"/>
              </w:rPr>
              <w:t>2</w:t>
            </w:r>
            <w:r>
              <w:rPr>
                <w:rFonts w:ascii="Times New Roman" w:hAnsi="Times New Roman" w:eastAsia="宋体" w:cs="Times New Roman"/>
                <w:sz w:val="24"/>
                <w:szCs w:val="24"/>
              </w:rPr>
              <w:t>；</w:t>
            </w:r>
          </w:p>
          <w:p w14:paraId="5A32A220">
            <w:pPr>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本项目位于遂宁市，暴雨强度计算公式参照川东地区内江市暴雨强度公式：</w:t>
            </w:r>
          </w:p>
          <w:p w14:paraId="64B6B740">
            <w:pPr>
              <w:snapToGrid w:val="0"/>
              <w:spacing w:line="360" w:lineRule="auto"/>
              <w:jc w:val="center"/>
              <w:rPr>
                <w:rFonts w:ascii="Times New Roman" w:hAnsi="Times New Roman" w:eastAsia="宋体" w:cs="Times New Roman"/>
                <w:sz w:val="24"/>
                <w:szCs w:val="24"/>
              </w:rPr>
            </w:pPr>
            <w:r>
              <w:rPr>
                <w:rFonts w:ascii="Times New Roman" w:hAnsi="Times New Roman" w:cs="Times New Roman"/>
              </w:rPr>
              <w:drawing>
                <wp:inline distT="0" distB="0" distL="0" distR="0">
                  <wp:extent cx="2034540" cy="511175"/>
                  <wp:effectExtent l="0" t="0" r="3810" b="317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1"/>
                          <a:srcRect b="5882"/>
                          <a:stretch>
                            <a:fillRect/>
                          </a:stretch>
                        </pic:blipFill>
                        <pic:spPr>
                          <a:xfrm>
                            <a:off x="0" y="0"/>
                            <a:ext cx="2066534" cy="519732"/>
                          </a:xfrm>
                          <a:prstGeom prst="rect">
                            <a:avLst/>
                          </a:prstGeom>
                          <a:ln>
                            <a:noFill/>
                          </a:ln>
                        </pic:spPr>
                      </pic:pic>
                    </a:graphicData>
                  </a:graphic>
                </wp:inline>
              </w:drawing>
            </w:r>
          </w:p>
          <w:p w14:paraId="612E79CA">
            <w:pPr>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式中：</w:t>
            </w:r>
          </w:p>
          <w:p w14:paraId="731026D9">
            <w:pPr>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P：设计重现期，单位：年；</w:t>
            </w:r>
          </w:p>
          <w:p w14:paraId="0B06DC88">
            <w:pPr>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t：降雨历时，单位：分钟；</w:t>
            </w:r>
          </w:p>
          <w:p w14:paraId="38F59B8E">
            <w:pPr>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计算得本项目所在区域在重现期为1年、降雨历时15分钟情况下的暴雨强度为q</w:t>
            </w:r>
            <w:r>
              <w:rPr>
                <w:rFonts w:ascii="Times New Roman" w:hAnsi="Times New Roman" w:eastAsia="宋体" w:cs="Times New Roman"/>
                <w:sz w:val="24"/>
                <w:szCs w:val="24"/>
                <w:vertAlign w:val="subscript"/>
              </w:rPr>
              <w:t>2,15</w:t>
            </w:r>
            <w:r>
              <w:rPr>
                <w:rFonts w:ascii="Times New Roman" w:hAnsi="Times New Roman" w:eastAsia="宋体" w:cs="Times New Roman"/>
                <w:sz w:val="24"/>
                <w:szCs w:val="24"/>
              </w:rPr>
              <w:t>=210 L/s.hm</w:t>
            </w:r>
            <w:r>
              <w:rPr>
                <w:rFonts w:ascii="Times New Roman" w:hAnsi="Times New Roman" w:eastAsia="宋体" w:cs="Times New Roman"/>
                <w:sz w:val="24"/>
                <w:szCs w:val="24"/>
                <w:vertAlign w:val="superscript"/>
              </w:rPr>
              <w:t>2</w:t>
            </w:r>
            <w:r>
              <w:rPr>
                <w:rFonts w:ascii="Times New Roman" w:hAnsi="Times New Roman" w:eastAsia="宋体" w:cs="Times New Roman"/>
                <w:sz w:val="24"/>
                <w:szCs w:val="24"/>
              </w:rPr>
              <w:t>，本项目厂区内15分钟的初期雨水量为255.36m</w:t>
            </w:r>
            <w:r>
              <w:rPr>
                <w:rFonts w:ascii="Times New Roman" w:hAnsi="Times New Roman" w:eastAsia="宋体" w:cs="Times New Roman"/>
                <w:sz w:val="24"/>
                <w:szCs w:val="24"/>
                <w:vertAlign w:val="superscript"/>
              </w:rPr>
              <w:t>3</w:t>
            </w:r>
            <w:r>
              <w:rPr>
                <w:rFonts w:ascii="Times New Roman" w:hAnsi="Times New Roman" w:eastAsia="宋体" w:cs="Times New Roman"/>
                <w:sz w:val="24"/>
                <w:szCs w:val="24"/>
              </w:rPr>
              <w:t>。评价要求在厂区西侧低洼处设置1座260m</w:t>
            </w:r>
            <w:r>
              <w:rPr>
                <w:rFonts w:ascii="Times New Roman" w:hAnsi="Times New Roman" w:eastAsia="宋体" w:cs="Times New Roman"/>
                <w:sz w:val="24"/>
                <w:szCs w:val="24"/>
                <w:vertAlign w:val="superscript"/>
              </w:rPr>
              <w:t>3</w:t>
            </w:r>
            <w:bookmarkStart w:id="22" w:name="雨水池容积"/>
            <w:r>
              <w:rPr>
                <w:rFonts w:ascii="Times New Roman" w:hAnsi="Times New Roman" w:eastAsia="宋体" w:cs="Times New Roman"/>
                <w:sz w:val="24"/>
                <w:szCs w:val="24"/>
              </w:rPr>
              <w:t>的雨水</w:t>
            </w:r>
            <w:bookmarkEnd w:id="22"/>
            <w:r>
              <w:rPr>
                <w:rFonts w:ascii="Times New Roman" w:hAnsi="Times New Roman" w:eastAsia="宋体" w:cs="Times New Roman"/>
                <w:sz w:val="24"/>
                <w:szCs w:val="24"/>
              </w:rPr>
              <w:t>池，可用于暴雨时期初期雨水收集，亦可收集日常雨水，经沉淀后用于补充生产用水，可有效防止项目灰尘、泥土随雨水径流造成地表水体污染，同时可减少地下水开采。厂区严格采取雨污分流，雨水经雨水管网引至雨水池收集，不得混入生产废水。</w:t>
            </w:r>
          </w:p>
          <w:p w14:paraId="292B6166">
            <w:pPr>
              <w:pStyle w:val="2"/>
              <w:ind w:firstLine="492"/>
              <w:rPr>
                <w:rFonts w:ascii="Times New Roman" w:eastAsia="宋体" w:cs="Times New Roman"/>
              </w:rPr>
            </w:pPr>
            <w:r>
              <w:rPr>
                <w:rFonts w:hint="eastAsia" w:hAnsi="宋体" w:eastAsia="宋体" w:cs="宋体"/>
              </w:rPr>
              <w:t>⑤</w:t>
            </w:r>
            <w:r>
              <w:rPr>
                <w:rFonts w:ascii="Times New Roman" w:eastAsia="宋体" w:cs="Times New Roman"/>
              </w:rPr>
              <w:t>按本环评报告监</w:t>
            </w:r>
            <w:bookmarkStart w:id="23" w:name="例行监测整改2"/>
            <w:bookmarkEnd w:id="23"/>
            <w:r>
              <w:rPr>
                <w:rFonts w:ascii="Times New Roman" w:eastAsia="宋体" w:cs="Times New Roman"/>
              </w:rPr>
              <w:t>测要求（</w:t>
            </w:r>
            <w:r>
              <w:rPr>
                <w:rFonts w:ascii="Times New Roman" w:eastAsia="宋体" w:cs="Times New Roman"/>
              </w:rPr>
              <w:fldChar w:fldCharType="begin"/>
            </w:r>
            <w:r>
              <w:rPr>
                <w:rFonts w:ascii="Times New Roman" w:eastAsia="宋体" w:cs="Times New Roman"/>
              </w:rPr>
              <w:instrText xml:space="preserve"> REF _Ref140503712 \h  \* MERGEFORMAT </w:instrText>
            </w:r>
            <w:r>
              <w:rPr>
                <w:rFonts w:ascii="Times New Roman" w:eastAsia="宋体" w:cs="Times New Roman"/>
              </w:rPr>
              <w:fldChar w:fldCharType="separate"/>
            </w:r>
            <w:r>
              <w:rPr>
                <w:rFonts w:ascii="Times New Roman" w:eastAsia="宋体" w:cs="Times New Roman"/>
              </w:rPr>
              <w:t>表4- 9</w:t>
            </w:r>
            <w:r>
              <w:rPr>
                <w:rFonts w:ascii="Times New Roman" w:eastAsia="宋体" w:cs="Times New Roman"/>
              </w:rPr>
              <w:fldChar w:fldCharType="end"/>
            </w:r>
            <w:r>
              <w:rPr>
                <w:rFonts w:ascii="Times New Roman" w:eastAsia="宋体" w:cs="Times New Roman"/>
              </w:rPr>
              <w:t>、</w:t>
            </w:r>
            <w:r>
              <w:rPr>
                <w:rFonts w:ascii="Times New Roman" w:eastAsia="宋体" w:cs="Times New Roman"/>
              </w:rPr>
              <w:fldChar w:fldCharType="begin"/>
            </w:r>
            <w:r>
              <w:rPr>
                <w:rFonts w:ascii="Times New Roman" w:eastAsia="宋体" w:cs="Times New Roman"/>
              </w:rPr>
              <w:instrText xml:space="preserve"> REF _Ref140503737 \h  \* MERGEFORMAT </w:instrText>
            </w:r>
            <w:r>
              <w:rPr>
                <w:rFonts w:ascii="Times New Roman" w:eastAsia="宋体" w:cs="Times New Roman"/>
              </w:rPr>
              <w:fldChar w:fldCharType="separate"/>
            </w:r>
            <w:r>
              <w:rPr>
                <w:rFonts w:ascii="Times New Roman" w:eastAsia="宋体" w:cs="Times New Roman"/>
              </w:rPr>
              <w:t>表4- 11</w:t>
            </w:r>
            <w:r>
              <w:rPr>
                <w:rFonts w:ascii="Times New Roman" w:eastAsia="宋体" w:cs="Times New Roman"/>
              </w:rPr>
              <w:fldChar w:fldCharType="end"/>
            </w:r>
            <w:r>
              <w:rPr>
                <w:rFonts w:ascii="Times New Roman" w:eastAsia="宋体" w:cs="Times New Roman"/>
              </w:rPr>
              <w:t>），严格开展例行监测。</w:t>
            </w:r>
          </w:p>
          <w:p w14:paraId="1249284D">
            <w:pPr>
              <w:snapToGrid w:val="0"/>
              <w:spacing w:line="360" w:lineRule="auto"/>
              <w:ind w:firstLine="480" w:firstLineChars="200"/>
              <w:rPr>
                <w:rFonts w:ascii="Times New Roman" w:hAnsi="Times New Roman" w:eastAsia="宋体" w:cs="Times New Roman"/>
                <w:sz w:val="24"/>
                <w:szCs w:val="24"/>
                <w:u w:val="single"/>
              </w:rPr>
            </w:pPr>
            <w:r>
              <w:rPr>
                <w:rFonts w:ascii="Times New Roman" w:hAnsi="Times New Roman" w:eastAsia="宋体" w:cs="Times New Roman"/>
                <w:sz w:val="24"/>
                <w:szCs w:val="24"/>
                <w:u w:val="single"/>
              </w:rPr>
              <w:t>配套矿山遗留环境问题调查如下：</w:t>
            </w:r>
          </w:p>
          <w:p w14:paraId="7797B6B7">
            <w:pPr>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本项目页岩来源为配套矿山，位于厂址北侧，该矿山采用露天开采，矿山已取得《采矿许可证》（C5109042009077120037829），矿区面积0.0272km</w:t>
            </w:r>
            <w:r>
              <w:rPr>
                <w:rFonts w:ascii="Times New Roman" w:hAnsi="Times New Roman" w:eastAsia="宋体" w:cs="Times New Roman"/>
                <w:color w:val="000000" w:themeColor="text1"/>
                <w:sz w:val="24"/>
                <w:szCs w:val="24"/>
                <w:vertAlign w:val="super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，允许开采规模为6万吨/年。许可有效期限至2022年7月16日，延续采矿许可目前正在办理中。</w:t>
            </w:r>
          </w:p>
          <w:p w14:paraId="05341576">
            <w:pPr>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页岩矿山不属于本次评价范围，本次评价仅针对矿山现状核实原环评批文要求的环保措施落实情况。《遂宁市安居区环境保护局关于横山机砖厂技改扩能建设项目环境影响报告表的批复》（遂安环函[2017]230号）中对页岩矿山开采提出了如下环保要求：营运期项目必须在采矿区周围建设截洪沟，排土场应修建护坎，并在旁边修挖导流沟；矿山采掘作业时在四周设置围挡等措施；项目采矿作业及排土场须尽量靠厂区地势低处布置，并设置防尘屏障，避免对项目附近居民住户造成影响；开采完后及时对所有开采面进行复绿，按草、灌、乔结合的方式，并以当地物种为主；建设方必须按照安全部门的要求实施矿场建设和矿石开采，杜绝发生崩塌、滑坡等安全事故而引发的环境污染事故。</w:t>
            </w:r>
          </w:p>
          <w:p w14:paraId="4E69ED4B">
            <w:pPr>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根据现场踏勘调查，矿山已按照环保要求在采矿区四周修建截洪沟，对排土场修建护坎、导流沟等，矿山采掘作业设置围挡等措施，并已按安全部门要求设置安全标牌等，无环境遗留问题。</w:t>
            </w:r>
          </w:p>
          <w:p w14:paraId="6EE9ED41">
            <w:pPr>
              <w:pStyle w:val="2"/>
              <w:ind w:firstLine="492"/>
            </w:pPr>
          </w:p>
          <w:p w14:paraId="030D63AB">
            <w:pPr>
              <w:pStyle w:val="6"/>
            </w:pPr>
          </w:p>
          <w:p w14:paraId="655805F9">
            <w:pPr>
              <w:snapToGrid w:val="0"/>
              <w:spacing w:line="360" w:lineRule="auto"/>
              <w:rPr>
                <w:rFonts w:ascii="Times New Roman" w:hAnsi="Times New Roman" w:eastAsia="宋体" w:cs="Times New Roman"/>
                <w:color w:val="000000" w:themeColor="text1"/>
                <w:sz w:val="24"/>
                <w:szCs w:val="24"/>
                <w14:textFill>
                  <w14:solidFill>
                    <w14:schemeClr w14:val="tx1"/>
                  </w14:solidFill>
                </w14:textFill>
              </w:rPr>
            </w:pPr>
          </w:p>
        </w:tc>
      </w:tr>
    </w:tbl>
    <w:p w14:paraId="1B9C1EC7">
      <w:pPr>
        <w:jc w:val="center"/>
        <w:rPr>
          <w:rFonts w:ascii="Times New Roman" w:hAnsi="Times New Roman" w:eastAsia="宋体" w:cs="Times New Roman"/>
          <w:b/>
          <w:color w:val="000000" w:themeColor="text1"/>
          <w:sz w:val="24"/>
          <w:szCs w:val="24"/>
          <w14:textFill>
            <w14:solidFill>
              <w14:schemeClr w14:val="tx1"/>
            </w14:solidFill>
          </w14:textFill>
        </w:rPr>
      </w:pPr>
    </w:p>
    <w:p w14:paraId="1FF581DF">
      <w:pPr>
        <w:jc w:val="center"/>
        <w:rPr>
          <w:rFonts w:ascii="Times New Roman" w:hAnsi="Times New Roman" w:eastAsia="宋体" w:cs="Times New Roman"/>
          <w:b/>
          <w:color w:val="000000" w:themeColor="text1"/>
          <w:sz w:val="24"/>
          <w:szCs w:val="24"/>
          <w14:textFill>
            <w14:solidFill>
              <w14:schemeClr w14:val="tx1"/>
            </w14:solidFill>
          </w14:textFill>
        </w:rPr>
        <w:sectPr>
          <w:pgSz w:w="11906" w:h="16838"/>
          <w:pgMar w:top="1440" w:right="1800" w:bottom="1440" w:left="1800" w:header="851" w:footer="992" w:gutter="0"/>
          <w:cols w:space="425" w:num="1"/>
          <w:docGrid w:type="lines" w:linePitch="312" w:charSpace="0"/>
        </w:sectPr>
      </w:pPr>
    </w:p>
    <w:p w14:paraId="63C28584">
      <w:pPr>
        <w:jc w:val="center"/>
        <w:outlineLvl w:val="0"/>
        <w:rPr>
          <w:rFonts w:ascii="Times New Roman" w:hAnsi="Times New Roman" w:cs="Times New Roman"/>
          <w:b/>
          <w:color w:val="000000" w:themeColor="text1"/>
          <w:sz w:val="32"/>
          <w14:textFill>
            <w14:solidFill>
              <w14:schemeClr w14:val="tx1"/>
            </w14:solidFill>
          </w14:textFill>
        </w:rPr>
      </w:pPr>
      <w:bookmarkStart w:id="24" w:name="_Toc22997"/>
      <w:r>
        <w:rPr>
          <w:rFonts w:ascii="Times New Roman" w:hAnsi="Times New Roman" w:cs="Times New Roman"/>
          <w:b/>
          <w:color w:val="000000" w:themeColor="text1"/>
          <w:sz w:val="32"/>
          <w14:textFill>
            <w14:solidFill>
              <w14:schemeClr w14:val="tx1"/>
            </w14:solidFill>
          </w14:textFill>
        </w:rPr>
        <w:t>三、区域环境质量现状、环境保护目标及评价标准</w:t>
      </w:r>
      <w:bookmarkEnd w:id="24"/>
    </w:p>
    <w:tbl>
      <w:tblPr>
        <w:tblStyle w:val="25"/>
        <w:tblW w:w="89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6"/>
        <w:gridCol w:w="8897"/>
      </w:tblGrid>
      <w:tr w14:paraId="7FA84A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456" w:type="dxa"/>
            <w:vAlign w:val="center"/>
          </w:tcPr>
          <w:p w14:paraId="1D42C42E">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区域环境质量现状</w:t>
            </w:r>
          </w:p>
        </w:tc>
        <w:tc>
          <w:tcPr>
            <w:tcW w:w="8470" w:type="dxa"/>
            <w:vAlign w:val="center"/>
          </w:tcPr>
          <w:p w14:paraId="14566C42">
            <w:pPr>
              <w:spacing w:line="360" w:lineRule="auto"/>
              <w:jc w:val="left"/>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一、大气环境质量</w:t>
            </w:r>
          </w:p>
          <w:p w14:paraId="049EE042">
            <w:pPr>
              <w:spacing w:line="360" w:lineRule="auto"/>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1、区域环境质量达标判定</w:t>
            </w:r>
          </w:p>
          <w:p w14:paraId="33B10B08">
            <w:pPr>
              <w:pStyle w:val="11"/>
              <w:spacing w:line="360" w:lineRule="auto"/>
              <w:ind w:firstLine="480" w:firstLineChars="200"/>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建设项目环境影响报告表编制技术指南(污染影响类)》，大气常规污染物饮用与建设项目距离近的有效数据，包括近3年的规划环境影响评价数据发，国家、地方环境空气质量监测网数据或生态环境主管部门公开发布的质量数据等。本项目评价采用《2022年遂宁市环境质量公告》中环境空气质量统计数据。2022年，年度遂宁市城区环境空气质量124天优、208天良、33天轻度污染，空气质量达标率为91.0%，主要污染物S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、NO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、PM</w:t>
            </w:r>
            <w:r>
              <w:rPr>
                <w:rFonts w:ascii="Times New Roman" w:hAnsi="Times New Roman" w:eastAsia="宋体" w:cs="Times New Roman"/>
                <w:color w:val="000000" w:themeColor="text1"/>
                <w:sz w:val="24"/>
                <w:szCs w:val="24"/>
                <w:vertAlign w:val="subscript"/>
                <w14:textFill>
                  <w14:solidFill>
                    <w14:schemeClr w14:val="tx1"/>
                  </w14:solidFill>
                </w14:textFill>
              </w:rPr>
              <w:t>10</w:t>
            </w:r>
            <w:r>
              <w:rPr>
                <w:rFonts w:ascii="Times New Roman" w:hAnsi="Times New Roman" w:eastAsia="宋体" w:cs="Times New Roman"/>
                <w:color w:val="000000" w:themeColor="text1"/>
                <w:sz w:val="24"/>
                <w:szCs w:val="24"/>
                <w14:textFill>
                  <w14:solidFill>
                    <w14:schemeClr w14:val="tx1"/>
                  </w14:solidFill>
                </w14:textFill>
              </w:rPr>
              <w:t>、PM</w:t>
            </w:r>
            <w:r>
              <w:rPr>
                <w:rFonts w:ascii="Times New Roman" w:hAnsi="Times New Roman" w:eastAsia="宋体" w:cs="Times New Roman"/>
                <w:color w:val="000000" w:themeColor="text1"/>
                <w:sz w:val="24"/>
                <w:szCs w:val="24"/>
                <w:vertAlign w:val="subscript"/>
                <w14:textFill>
                  <w14:solidFill>
                    <w14:schemeClr w14:val="tx1"/>
                  </w14:solidFill>
                </w14:textFill>
              </w:rPr>
              <w:t>2.5</w:t>
            </w:r>
            <w:r>
              <w:rPr>
                <w:rFonts w:ascii="Times New Roman" w:hAnsi="Times New Roman" w:eastAsia="宋体" w:cs="Times New Roman"/>
                <w:color w:val="000000" w:themeColor="text1"/>
                <w:sz w:val="24"/>
                <w:szCs w:val="24"/>
                <w14:textFill>
                  <w14:solidFill>
                    <w14:schemeClr w14:val="tx1"/>
                  </w14:solidFill>
                </w14:textFill>
              </w:rPr>
              <w:t>、CO和O</w:t>
            </w:r>
            <w:r>
              <w:rPr>
                <w:rFonts w:ascii="Times New Roman" w:hAnsi="Times New Roman" w:eastAsia="宋体" w:cs="Times New Roman"/>
                <w:color w:val="000000" w:themeColor="text1"/>
                <w:sz w:val="24"/>
                <w:szCs w:val="24"/>
                <w:vertAlign w:val="sub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的均值分别为9.8微克/立方米、20.1微克/立方米、54.0微克/立方米、29.8微克/立方米、0.9毫克/立方米和146微克/立方米。同比NO2、PM2.5浓度分别下降了1.0%、0.3%，SO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、O</w:t>
            </w:r>
            <w:r>
              <w:rPr>
                <w:rFonts w:ascii="Times New Roman" w:hAnsi="Times New Roman" w:eastAsia="宋体" w:cs="Times New Roman"/>
                <w:color w:val="000000" w:themeColor="text1"/>
                <w:sz w:val="24"/>
                <w:szCs w:val="24"/>
                <w:vertAlign w:val="sub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和PM</w:t>
            </w:r>
            <w:r>
              <w:rPr>
                <w:rFonts w:ascii="Times New Roman" w:hAnsi="Times New Roman" w:eastAsia="宋体" w:cs="Times New Roman"/>
                <w:color w:val="000000" w:themeColor="text1"/>
                <w:sz w:val="24"/>
                <w:szCs w:val="24"/>
                <w:vertAlign w:val="subscript"/>
                <w14:textFill>
                  <w14:solidFill>
                    <w14:schemeClr w14:val="tx1"/>
                  </w14:solidFill>
                </w14:textFill>
              </w:rPr>
              <w:t>10</w:t>
            </w:r>
            <w:r>
              <w:rPr>
                <w:rFonts w:ascii="Times New Roman" w:hAnsi="Times New Roman" w:eastAsia="宋体" w:cs="Times New Roman"/>
                <w:color w:val="000000" w:themeColor="text1"/>
                <w:sz w:val="24"/>
                <w:szCs w:val="24"/>
                <w14:textFill>
                  <w14:solidFill>
                    <w14:schemeClr w14:val="tx1"/>
                  </w14:solidFill>
                </w14:textFill>
              </w:rPr>
              <w:t>浓度分别上升了21.0%、16.2%和9.8%，CO浓度保持稳定。具体情况见下表：</w:t>
            </w:r>
          </w:p>
          <w:p w14:paraId="76FB4A78">
            <w:pPr>
              <w:jc w:val="center"/>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Cs w:val="24"/>
                <w:lang w:val="pt-BR"/>
                <w14:textFill>
                  <w14:solidFill>
                    <w14:schemeClr w14:val="tx1"/>
                  </w14:solidFill>
                </w14:textFill>
              </w:rPr>
              <w:t xml:space="preserve">表3- </w:t>
            </w:r>
            <w:r>
              <w:rPr>
                <w:rFonts w:ascii="Times New Roman" w:hAnsi="Times New Roman" w:eastAsia="宋体" w:cs="Times New Roman"/>
                <w:b/>
                <w:bCs/>
                <w:color w:val="000000" w:themeColor="text1"/>
                <w:szCs w:val="24"/>
                <w:lang w:val="pt-BR"/>
                <w14:textFill>
                  <w14:solidFill>
                    <w14:schemeClr w14:val="tx1"/>
                  </w14:solidFill>
                </w14:textFill>
              </w:rPr>
              <w:fldChar w:fldCharType="begin"/>
            </w:r>
            <w:r>
              <w:rPr>
                <w:rFonts w:ascii="Times New Roman" w:hAnsi="Times New Roman" w:eastAsia="宋体" w:cs="Times New Roman"/>
                <w:b/>
                <w:bCs/>
                <w:color w:val="000000" w:themeColor="text1"/>
                <w:szCs w:val="24"/>
                <w:lang w:val="pt-BR"/>
                <w14:textFill>
                  <w14:solidFill>
                    <w14:schemeClr w14:val="tx1"/>
                  </w14:solidFill>
                </w14:textFill>
              </w:rPr>
              <w:instrText xml:space="preserve"> SEQ 表3- \* ARABIC </w:instrText>
            </w:r>
            <w:r>
              <w:rPr>
                <w:rFonts w:ascii="Times New Roman" w:hAnsi="Times New Roman" w:eastAsia="宋体" w:cs="Times New Roman"/>
                <w:b/>
                <w:bCs/>
                <w:color w:val="000000" w:themeColor="text1"/>
                <w:szCs w:val="24"/>
                <w:lang w:val="pt-BR"/>
                <w14:textFill>
                  <w14:solidFill>
                    <w14:schemeClr w14:val="tx1"/>
                  </w14:solidFill>
                </w14:textFill>
              </w:rPr>
              <w:fldChar w:fldCharType="separate"/>
            </w:r>
            <w:r>
              <w:rPr>
                <w:rFonts w:ascii="Times New Roman" w:hAnsi="Times New Roman" w:eastAsia="宋体" w:cs="Times New Roman"/>
                <w:b/>
                <w:bCs/>
                <w:color w:val="000000" w:themeColor="text1"/>
                <w:szCs w:val="24"/>
                <w:lang w:val="pt-BR"/>
                <w14:textFill>
                  <w14:solidFill>
                    <w14:schemeClr w14:val="tx1"/>
                  </w14:solidFill>
                </w14:textFill>
              </w:rPr>
              <w:t>1</w:t>
            </w:r>
            <w:r>
              <w:rPr>
                <w:rFonts w:ascii="Times New Roman" w:hAnsi="Times New Roman" w:eastAsia="宋体" w:cs="Times New Roman"/>
                <w:b/>
                <w:bCs/>
                <w:color w:val="000000" w:themeColor="text1"/>
                <w:szCs w:val="24"/>
                <w:lang w:val="pt-BR"/>
                <w14:textFill>
                  <w14:solidFill>
                    <w14:schemeClr w14:val="tx1"/>
                  </w14:solidFill>
                </w14:textFill>
              </w:rPr>
              <w:fldChar w:fldCharType="end"/>
            </w:r>
            <w:r>
              <w:rPr>
                <w:rFonts w:ascii="Times New Roman" w:hAnsi="Times New Roman" w:eastAsia="宋体" w:cs="Times New Roman"/>
                <w:b/>
                <w:bCs/>
                <w:color w:val="000000" w:themeColor="text1"/>
                <w:szCs w:val="24"/>
                <w14:textFill>
                  <w14:solidFill>
                    <w14:schemeClr w14:val="tx1"/>
                  </w14:solidFill>
                </w14:textFill>
              </w:rPr>
              <w:t xml:space="preserve">  </w:t>
            </w:r>
            <w:r>
              <w:rPr>
                <w:rFonts w:ascii="Times New Roman" w:hAnsi="Times New Roman" w:eastAsia="宋体" w:cs="Times New Roman"/>
                <w:b/>
                <w:bCs/>
                <w:color w:val="000000" w:themeColor="text1"/>
                <w:szCs w:val="24"/>
                <w:lang w:val="pt-BR"/>
                <w14:textFill>
                  <w14:solidFill>
                    <w14:schemeClr w14:val="tx1"/>
                  </w14:solidFill>
                </w14:textFill>
              </w:rPr>
              <w:t>基本污染物环境质量现状</w:t>
            </w:r>
          </w:p>
          <w:tbl>
            <w:tblPr>
              <w:tblStyle w:val="24"/>
              <w:tblW w:w="822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6"/>
              <w:gridCol w:w="2026"/>
              <w:gridCol w:w="1554"/>
              <w:gridCol w:w="1486"/>
              <w:gridCol w:w="1216"/>
              <w:gridCol w:w="1036"/>
            </w:tblGrid>
            <w:tr w14:paraId="4FE5C1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 w:hRule="atLeast"/>
                <w:jc w:val="center"/>
              </w:trPr>
              <w:tc>
                <w:tcPr>
                  <w:tcW w:w="906" w:type="dxa"/>
                  <w:shd w:val="clear" w:color="auto" w:fill="auto"/>
                  <w:vAlign w:val="center"/>
                </w:tcPr>
                <w:p w14:paraId="0688C8F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污染物</w:t>
                  </w:r>
                </w:p>
              </w:tc>
              <w:tc>
                <w:tcPr>
                  <w:tcW w:w="2026" w:type="dxa"/>
                  <w:shd w:val="clear" w:color="auto" w:fill="auto"/>
                  <w:vAlign w:val="center"/>
                </w:tcPr>
                <w:p w14:paraId="61BAA71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年评价指标</w:t>
                  </w:r>
                </w:p>
              </w:tc>
              <w:tc>
                <w:tcPr>
                  <w:tcW w:w="1554" w:type="dxa"/>
                  <w:shd w:val="clear" w:color="auto" w:fill="auto"/>
                  <w:vAlign w:val="center"/>
                </w:tcPr>
                <w:p w14:paraId="0694A4E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现状浓度</w:t>
                  </w:r>
                </w:p>
              </w:tc>
              <w:tc>
                <w:tcPr>
                  <w:tcW w:w="1486" w:type="dxa"/>
                  <w:shd w:val="clear" w:color="auto" w:fill="auto"/>
                  <w:vAlign w:val="center"/>
                </w:tcPr>
                <w:p w14:paraId="5772670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标准值</w:t>
                  </w:r>
                </w:p>
              </w:tc>
              <w:tc>
                <w:tcPr>
                  <w:tcW w:w="1216" w:type="dxa"/>
                  <w:shd w:val="clear" w:color="auto" w:fill="auto"/>
                  <w:vAlign w:val="center"/>
                </w:tcPr>
                <w:p w14:paraId="195672C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占标率%</w:t>
                  </w:r>
                </w:p>
              </w:tc>
              <w:tc>
                <w:tcPr>
                  <w:tcW w:w="1036" w:type="dxa"/>
                  <w:shd w:val="clear" w:color="auto" w:fill="auto"/>
                  <w:vAlign w:val="center"/>
                </w:tcPr>
                <w:p w14:paraId="13B897E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达标情况</w:t>
                  </w:r>
                </w:p>
              </w:tc>
            </w:tr>
            <w:tr w14:paraId="61AE4D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 w:hRule="atLeast"/>
                <w:jc w:val="center"/>
              </w:trPr>
              <w:tc>
                <w:tcPr>
                  <w:tcW w:w="906" w:type="dxa"/>
                  <w:shd w:val="clear" w:color="auto" w:fill="auto"/>
                  <w:vAlign w:val="center"/>
                </w:tcPr>
                <w:p w14:paraId="0577E3B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SO</w:t>
                  </w:r>
                  <w:r>
                    <w:rPr>
                      <w:rFonts w:ascii="Times New Roman" w:hAnsi="Times New Roman" w:eastAsia="宋体" w:cs="Times New Roman"/>
                      <w:color w:val="000000" w:themeColor="text1"/>
                      <w:szCs w:val="21"/>
                      <w:vertAlign w:val="subscript"/>
                      <w14:textFill>
                        <w14:solidFill>
                          <w14:schemeClr w14:val="tx1"/>
                        </w14:solidFill>
                      </w14:textFill>
                    </w:rPr>
                    <w:t>2</w:t>
                  </w:r>
                </w:p>
              </w:tc>
              <w:tc>
                <w:tcPr>
                  <w:tcW w:w="2026" w:type="dxa"/>
                  <w:shd w:val="clear" w:color="auto" w:fill="auto"/>
                  <w:vAlign w:val="center"/>
                </w:tcPr>
                <w:p w14:paraId="3B391AA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年平均质量浓度</w:t>
                  </w:r>
                </w:p>
              </w:tc>
              <w:tc>
                <w:tcPr>
                  <w:tcW w:w="1554" w:type="dxa"/>
                  <w:shd w:val="clear" w:color="auto" w:fill="auto"/>
                  <w:vAlign w:val="center"/>
                </w:tcPr>
                <w:p w14:paraId="080280C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9.8µg/m</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1486" w:type="dxa"/>
                  <w:shd w:val="clear" w:color="auto" w:fill="auto"/>
                  <w:vAlign w:val="center"/>
                </w:tcPr>
                <w:p w14:paraId="6690F07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60µg/m</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1216" w:type="dxa"/>
                  <w:shd w:val="clear" w:color="auto" w:fill="auto"/>
                  <w:vAlign w:val="center"/>
                </w:tcPr>
                <w:p w14:paraId="1C23431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 xml:space="preserve">16.33 </w:t>
                  </w:r>
                </w:p>
              </w:tc>
              <w:tc>
                <w:tcPr>
                  <w:tcW w:w="1036" w:type="dxa"/>
                  <w:shd w:val="clear" w:color="auto" w:fill="auto"/>
                  <w:vAlign w:val="center"/>
                </w:tcPr>
                <w:p w14:paraId="4DF854E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782287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 w:hRule="atLeast"/>
                <w:jc w:val="center"/>
              </w:trPr>
              <w:tc>
                <w:tcPr>
                  <w:tcW w:w="906" w:type="dxa"/>
                  <w:shd w:val="clear" w:color="auto" w:fill="auto"/>
                  <w:vAlign w:val="center"/>
                </w:tcPr>
                <w:p w14:paraId="2E9EDA3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NO</w:t>
                  </w:r>
                  <w:r>
                    <w:rPr>
                      <w:rFonts w:ascii="Times New Roman" w:hAnsi="Times New Roman" w:eastAsia="宋体" w:cs="Times New Roman"/>
                      <w:color w:val="000000" w:themeColor="text1"/>
                      <w:szCs w:val="21"/>
                      <w:vertAlign w:val="subscript"/>
                      <w14:textFill>
                        <w14:solidFill>
                          <w14:schemeClr w14:val="tx1"/>
                        </w14:solidFill>
                      </w14:textFill>
                    </w:rPr>
                    <w:t>2</w:t>
                  </w:r>
                </w:p>
              </w:tc>
              <w:tc>
                <w:tcPr>
                  <w:tcW w:w="2026" w:type="dxa"/>
                  <w:shd w:val="clear" w:color="auto" w:fill="auto"/>
                  <w:vAlign w:val="center"/>
                </w:tcPr>
                <w:p w14:paraId="7B97886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年平均质量浓度</w:t>
                  </w:r>
                </w:p>
              </w:tc>
              <w:tc>
                <w:tcPr>
                  <w:tcW w:w="1554" w:type="dxa"/>
                  <w:shd w:val="clear" w:color="auto" w:fill="auto"/>
                  <w:vAlign w:val="center"/>
                </w:tcPr>
                <w:p w14:paraId="5A760EE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20.1µg/m</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1486" w:type="dxa"/>
                  <w:shd w:val="clear" w:color="auto" w:fill="auto"/>
                  <w:vAlign w:val="center"/>
                </w:tcPr>
                <w:p w14:paraId="780A4CA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40µg/m</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1216" w:type="dxa"/>
                  <w:shd w:val="clear" w:color="auto" w:fill="auto"/>
                  <w:vAlign w:val="center"/>
                </w:tcPr>
                <w:p w14:paraId="3AE5D39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 xml:space="preserve">50.25 </w:t>
                  </w:r>
                </w:p>
              </w:tc>
              <w:tc>
                <w:tcPr>
                  <w:tcW w:w="1036" w:type="dxa"/>
                  <w:shd w:val="clear" w:color="auto" w:fill="auto"/>
                  <w:vAlign w:val="center"/>
                </w:tcPr>
                <w:p w14:paraId="64ED0FA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47472C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 w:hRule="atLeast"/>
                <w:jc w:val="center"/>
              </w:trPr>
              <w:tc>
                <w:tcPr>
                  <w:tcW w:w="906" w:type="dxa"/>
                  <w:shd w:val="clear" w:color="auto" w:fill="auto"/>
                  <w:vAlign w:val="center"/>
                </w:tcPr>
                <w:p w14:paraId="43CCC4D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PM</w:t>
                  </w:r>
                  <w:r>
                    <w:rPr>
                      <w:rFonts w:ascii="Times New Roman" w:hAnsi="Times New Roman" w:eastAsia="宋体" w:cs="Times New Roman"/>
                      <w:color w:val="000000" w:themeColor="text1"/>
                      <w:szCs w:val="21"/>
                      <w:vertAlign w:val="subscript"/>
                      <w14:textFill>
                        <w14:solidFill>
                          <w14:schemeClr w14:val="tx1"/>
                        </w14:solidFill>
                      </w14:textFill>
                    </w:rPr>
                    <w:t>10</w:t>
                  </w:r>
                </w:p>
              </w:tc>
              <w:tc>
                <w:tcPr>
                  <w:tcW w:w="2026" w:type="dxa"/>
                  <w:shd w:val="clear" w:color="auto" w:fill="auto"/>
                  <w:vAlign w:val="center"/>
                </w:tcPr>
                <w:p w14:paraId="147EBB8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年平均质量浓度</w:t>
                  </w:r>
                </w:p>
              </w:tc>
              <w:tc>
                <w:tcPr>
                  <w:tcW w:w="1554" w:type="dxa"/>
                  <w:shd w:val="clear" w:color="auto" w:fill="auto"/>
                  <w:vAlign w:val="center"/>
                </w:tcPr>
                <w:p w14:paraId="406F708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54.0µg/m</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1486" w:type="dxa"/>
                  <w:shd w:val="clear" w:color="auto" w:fill="auto"/>
                  <w:vAlign w:val="center"/>
                </w:tcPr>
                <w:p w14:paraId="7DA4143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70µg/m</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1216" w:type="dxa"/>
                  <w:shd w:val="clear" w:color="auto" w:fill="auto"/>
                  <w:vAlign w:val="center"/>
                </w:tcPr>
                <w:p w14:paraId="5F4E31B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 xml:space="preserve">77.14 </w:t>
                  </w:r>
                </w:p>
              </w:tc>
              <w:tc>
                <w:tcPr>
                  <w:tcW w:w="1036" w:type="dxa"/>
                  <w:shd w:val="clear" w:color="auto" w:fill="auto"/>
                  <w:vAlign w:val="center"/>
                </w:tcPr>
                <w:p w14:paraId="64C170C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281273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 w:hRule="atLeast"/>
                <w:jc w:val="center"/>
              </w:trPr>
              <w:tc>
                <w:tcPr>
                  <w:tcW w:w="906" w:type="dxa"/>
                  <w:shd w:val="clear" w:color="auto" w:fill="auto"/>
                  <w:vAlign w:val="center"/>
                </w:tcPr>
                <w:p w14:paraId="51F0BB5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PM</w:t>
                  </w:r>
                  <w:r>
                    <w:rPr>
                      <w:rFonts w:ascii="Times New Roman" w:hAnsi="Times New Roman" w:eastAsia="宋体" w:cs="Times New Roman"/>
                      <w:color w:val="000000" w:themeColor="text1"/>
                      <w:szCs w:val="21"/>
                      <w:vertAlign w:val="subscript"/>
                      <w14:textFill>
                        <w14:solidFill>
                          <w14:schemeClr w14:val="tx1"/>
                        </w14:solidFill>
                      </w14:textFill>
                    </w:rPr>
                    <w:t>2.5</w:t>
                  </w:r>
                </w:p>
              </w:tc>
              <w:tc>
                <w:tcPr>
                  <w:tcW w:w="2026" w:type="dxa"/>
                  <w:shd w:val="clear" w:color="auto" w:fill="auto"/>
                  <w:vAlign w:val="center"/>
                </w:tcPr>
                <w:p w14:paraId="51AE65A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年平均质量浓度</w:t>
                  </w:r>
                </w:p>
              </w:tc>
              <w:tc>
                <w:tcPr>
                  <w:tcW w:w="1554" w:type="dxa"/>
                  <w:shd w:val="clear" w:color="auto" w:fill="auto"/>
                  <w:vAlign w:val="center"/>
                </w:tcPr>
                <w:p w14:paraId="0D480BE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29.8µg/m</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1486" w:type="dxa"/>
                  <w:shd w:val="clear" w:color="auto" w:fill="auto"/>
                  <w:vAlign w:val="center"/>
                </w:tcPr>
                <w:p w14:paraId="4120FAA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35µg/m</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1216" w:type="dxa"/>
                  <w:shd w:val="clear" w:color="auto" w:fill="auto"/>
                  <w:vAlign w:val="center"/>
                </w:tcPr>
                <w:p w14:paraId="58CD7C5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 xml:space="preserve">85.14 </w:t>
                  </w:r>
                </w:p>
              </w:tc>
              <w:tc>
                <w:tcPr>
                  <w:tcW w:w="1036" w:type="dxa"/>
                  <w:shd w:val="clear" w:color="auto" w:fill="auto"/>
                  <w:vAlign w:val="center"/>
                </w:tcPr>
                <w:p w14:paraId="1613D60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55FD9C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 w:hRule="atLeast"/>
                <w:jc w:val="center"/>
              </w:trPr>
              <w:tc>
                <w:tcPr>
                  <w:tcW w:w="906" w:type="dxa"/>
                  <w:shd w:val="clear" w:color="auto" w:fill="auto"/>
                  <w:vAlign w:val="center"/>
                </w:tcPr>
                <w:p w14:paraId="1BD04CE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CO</w:t>
                  </w:r>
                </w:p>
              </w:tc>
              <w:tc>
                <w:tcPr>
                  <w:tcW w:w="2026" w:type="dxa"/>
                  <w:shd w:val="clear" w:color="auto" w:fill="auto"/>
                  <w:vAlign w:val="center"/>
                </w:tcPr>
                <w:p w14:paraId="2811878E">
                  <w:pPr>
                    <w:ind w:left="-42" w:leftChars="-20" w:right="-42" w:rightChars="-2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日平均第95百分位数</w:t>
                  </w:r>
                </w:p>
              </w:tc>
              <w:tc>
                <w:tcPr>
                  <w:tcW w:w="1554" w:type="dxa"/>
                  <w:shd w:val="clear" w:color="auto" w:fill="auto"/>
                  <w:vAlign w:val="center"/>
                </w:tcPr>
                <w:p w14:paraId="12DBE53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0.9mg/m</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1486" w:type="dxa"/>
                  <w:shd w:val="clear" w:color="auto" w:fill="auto"/>
                  <w:vAlign w:val="center"/>
                </w:tcPr>
                <w:p w14:paraId="50ACDAB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4mg/m</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1216" w:type="dxa"/>
                  <w:shd w:val="clear" w:color="auto" w:fill="auto"/>
                  <w:vAlign w:val="center"/>
                </w:tcPr>
                <w:p w14:paraId="5666E80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 xml:space="preserve">22.50 </w:t>
                  </w:r>
                </w:p>
              </w:tc>
              <w:tc>
                <w:tcPr>
                  <w:tcW w:w="1036" w:type="dxa"/>
                  <w:shd w:val="clear" w:color="auto" w:fill="auto"/>
                  <w:vAlign w:val="center"/>
                </w:tcPr>
                <w:p w14:paraId="45FE911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r w14:paraId="3BCAC2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8" w:hRule="atLeast"/>
                <w:jc w:val="center"/>
              </w:trPr>
              <w:tc>
                <w:tcPr>
                  <w:tcW w:w="906" w:type="dxa"/>
                  <w:shd w:val="clear" w:color="auto" w:fill="auto"/>
                  <w:vAlign w:val="center"/>
                </w:tcPr>
                <w:p w14:paraId="59D7EF9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O</w:t>
                  </w:r>
                  <w:r>
                    <w:rPr>
                      <w:rFonts w:ascii="Times New Roman" w:hAnsi="Times New Roman" w:eastAsia="宋体" w:cs="Times New Roman"/>
                      <w:color w:val="000000" w:themeColor="text1"/>
                      <w:szCs w:val="21"/>
                      <w:vertAlign w:val="subscript"/>
                      <w14:textFill>
                        <w14:solidFill>
                          <w14:schemeClr w14:val="tx1"/>
                        </w14:solidFill>
                      </w14:textFill>
                    </w:rPr>
                    <w:t>3</w:t>
                  </w:r>
                </w:p>
              </w:tc>
              <w:tc>
                <w:tcPr>
                  <w:tcW w:w="2026" w:type="dxa"/>
                  <w:shd w:val="clear" w:color="auto" w:fill="auto"/>
                  <w:vAlign w:val="center"/>
                </w:tcPr>
                <w:p w14:paraId="4F8A9008">
                  <w:pPr>
                    <w:ind w:left="-42" w:leftChars="-20" w:right="-42" w:rightChars="-2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日最大8小时滑动平均值第90百分位数</w:t>
                  </w:r>
                </w:p>
              </w:tc>
              <w:tc>
                <w:tcPr>
                  <w:tcW w:w="1554" w:type="dxa"/>
                  <w:shd w:val="clear" w:color="auto" w:fill="auto"/>
                  <w:vAlign w:val="center"/>
                </w:tcPr>
                <w:p w14:paraId="5F46711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146µg/m</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1486" w:type="dxa"/>
                  <w:shd w:val="clear" w:color="auto" w:fill="auto"/>
                  <w:vAlign w:val="center"/>
                </w:tcPr>
                <w:p w14:paraId="5C4824A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160µg/m</w:t>
                  </w:r>
                  <w:r>
                    <w:rPr>
                      <w:rFonts w:ascii="Times New Roman" w:hAnsi="Times New Roman" w:eastAsia="宋体" w:cs="Times New Roman"/>
                      <w:color w:val="000000" w:themeColor="text1"/>
                      <w:szCs w:val="21"/>
                      <w:vertAlign w:val="superscript"/>
                      <w14:textFill>
                        <w14:solidFill>
                          <w14:schemeClr w14:val="tx1"/>
                        </w14:solidFill>
                      </w14:textFill>
                    </w:rPr>
                    <w:t>3</w:t>
                  </w:r>
                </w:p>
              </w:tc>
              <w:tc>
                <w:tcPr>
                  <w:tcW w:w="1216" w:type="dxa"/>
                  <w:shd w:val="clear" w:color="auto" w:fill="auto"/>
                  <w:vAlign w:val="center"/>
                </w:tcPr>
                <w:p w14:paraId="31AD778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 xml:space="preserve">91.25 </w:t>
                  </w:r>
                </w:p>
              </w:tc>
              <w:tc>
                <w:tcPr>
                  <w:tcW w:w="1036" w:type="dxa"/>
                  <w:shd w:val="clear" w:color="auto" w:fill="auto"/>
                  <w:vAlign w:val="center"/>
                </w:tcPr>
                <w:p w14:paraId="388923B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达标</w:t>
                  </w:r>
                </w:p>
              </w:tc>
            </w:tr>
          </w:tbl>
          <w:p w14:paraId="71B26486">
            <w:pPr>
              <w:jc w:val="center"/>
              <w:rPr>
                <w:rFonts w:ascii="Times New Roman" w:hAnsi="Times New Roman" w:eastAsia="宋体" w:cs="Times New Roman"/>
                <w:color w:val="000000" w:themeColor="text1"/>
                <w:sz w:val="24"/>
                <w:szCs w:val="24"/>
                <w14:textFill>
                  <w14:solidFill>
                    <w14:schemeClr w14:val="tx1"/>
                  </w14:solidFill>
                </w14:textFill>
              </w:rPr>
            </w:pPr>
          </w:p>
          <w:p w14:paraId="6B7C51F9">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由上表可知，本项目所在区域各项指标均满足《环境空气质量标准》（GB3095-2012）中的二级标准限值要求，因此，本项目所在区域属于环境空气质量达标区。</w:t>
            </w:r>
          </w:p>
          <w:p w14:paraId="6FD2DCD9">
            <w:pPr>
              <w:tabs>
                <w:tab w:val="left" w:pos="1260"/>
              </w:tabs>
              <w:adjustRightIn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2、特征污染物环境质量现状</w:t>
            </w:r>
          </w:p>
          <w:p w14:paraId="598FC8DB">
            <w:pPr>
              <w:tabs>
                <w:tab w:val="left" w:pos="1260"/>
              </w:tabs>
              <w:adjustRightInd w:val="0"/>
              <w:spacing w:line="360" w:lineRule="auto"/>
              <w:ind w:firstLine="482" w:firstLineChars="200"/>
              <w:rPr>
                <w:rFonts w:ascii="Times New Roman" w:hAnsi="Times New Roman" w:eastAsia="宋体" w:cs="Times New Roman"/>
                <w:b/>
                <w:bCs/>
                <w:color w:val="000000" w:themeColor="text1"/>
                <w:kern w:val="0"/>
                <w:sz w:val="24"/>
                <w:szCs w:val="24"/>
                <w14:textFill>
                  <w14:solidFill>
                    <w14:schemeClr w14:val="tx1"/>
                  </w14:solidFill>
                </w14:textFill>
              </w:rPr>
            </w:pPr>
            <w:r>
              <w:rPr>
                <w:rFonts w:ascii="Times New Roman" w:hAnsi="Times New Roman" w:eastAsia="宋体" w:cs="Times New Roman"/>
                <w:b/>
                <w:bCs/>
                <w:color w:val="000000" w:themeColor="text1"/>
                <w:kern w:val="0"/>
                <w:sz w:val="24"/>
                <w:szCs w:val="24"/>
                <w14:textFill>
                  <w14:solidFill>
                    <w14:schemeClr w14:val="tx1"/>
                  </w14:solidFill>
                </w14:textFill>
              </w:rPr>
              <w:t>（1）本项目所在区域大气环境现状检测</w:t>
            </w:r>
          </w:p>
          <w:p w14:paraId="7E4E5029">
            <w:pPr>
              <w:adjustRightInd w:val="0"/>
              <w:spacing w:line="360" w:lineRule="auto"/>
              <w:ind w:firstLine="482" w:firstLineChars="200"/>
              <w:textAlignment w:val="baseline"/>
              <w:rPr>
                <w:rFonts w:ascii="Times New Roman" w:hAnsi="Times New Roman" w:eastAsia="宋体" w:cs="Times New Roman"/>
                <w:b/>
                <w:bCs/>
                <w:color w:val="000000" w:themeColor="text1"/>
                <w:kern w:val="0"/>
                <w:sz w:val="24"/>
                <w:szCs w:val="24"/>
                <w14:textFill>
                  <w14:solidFill>
                    <w14:schemeClr w14:val="tx1"/>
                  </w14:solidFill>
                </w14:textFill>
              </w:rPr>
            </w:pPr>
            <w:r>
              <w:rPr>
                <w:rFonts w:hint="eastAsia" w:ascii="宋体" w:hAnsi="宋体" w:eastAsia="宋体" w:cs="宋体"/>
                <w:b/>
                <w:bCs/>
                <w:color w:val="000000" w:themeColor="text1"/>
                <w:kern w:val="0"/>
                <w:sz w:val="24"/>
                <w:szCs w:val="24"/>
                <w14:textFill>
                  <w14:solidFill>
                    <w14:schemeClr w14:val="tx1"/>
                  </w14:solidFill>
                </w14:textFill>
              </w:rPr>
              <w:t>①</w:t>
            </w:r>
            <w:r>
              <w:rPr>
                <w:rFonts w:ascii="Times New Roman" w:hAnsi="Times New Roman" w:eastAsia="宋体" w:cs="Times New Roman"/>
                <w:b/>
                <w:bCs/>
                <w:color w:val="000000" w:themeColor="text1"/>
                <w:kern w:val="0"/>
                <w:sz w:val="24"/>
                <w:szCs w:val="24"/>
                <w14:textFill>
                  <w14:solidFill>
                    <w14:schemeClr w14:val="tx1"/>
                  </w14:solidFill>
                </w14:textFill>
              </w:rPr>
              <w:t>检测单位及检测时间</w:t>
            </w:r>
          </w:p>
          <w:p w14:paraId="29AA7339">
            <w:pPr>
              <w:adjustRightInd w:val="0"/>
              <w:spacing w:line="360" w:lineRule="auto"/>
              <w:ind w:firstLine="480" w:firstLineChars="200"/>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bCs/>
                <w:color w:val="000000" w:themeColor="text1"/>
                <w:kern w:val="0"/>
                <w:sz w:val="24"/>
                <w:szCs w:val="24"/>
                <w14:textFill>
                  <w14:solidFill>
                    <w14:schemeClr w14:val="tx1"/>
                  </w14:solidFill>
                </w14:textFill>
              </w:rPr>
              <w:t>本次评价委托四川国测检测技术有限公司于</w:t>
            </w:r>
            <w:r>
              <w:rPr>
                <w:rFonts w:ascii="Times New Roman" w:hAnsi="Times New Roman" w:eastAsia="宋体" w:cs="Times New Roman"/>
                <w:color w:val="000000" w:themeColor="text1"/>
                <w:kern w:val="0"/>
                <w:sz w:val="24"/>
                <w:szCs w:val="20"/>
                <w14:textFill>
                  <w14:solidFill>
                    <w14:schemeClr w14:val="tx1"/>
                  </w14:solidFill>
                </w14:textFill>
              </w:rPr>
              <w:t>2021年1月25日~1月31日连续7天，对本项目所在</w:t>
            </w:r>
            <w:r>
              <w:rPr>
                <w:rFonts w:ascii="Times New Roman" w:hAnsi="Times New Roman" w:eastAsia="宋体" w:cs="Times New Roman"/>
                <w:bCs/>
                <w:color w:val="000000" w:themeColor="text1"/>
                <w:kern w:val="0"/>
                <w:sz w:val="24"/>
                <w:szCs w:val="24"/>
                <w14:textFill>
                  <w14:solidFill>
                    <w14:schemeClr w14:val="tx1"/>
                  </w14:solidFill>
                </w14:textFill>
              </w:rPr>
              <w:t>区域其他特征污染物TSP、氟化物、氨、硫化氢、臭气浓度，进行了现状检测。委托山东高研检测技术服务有限公司于2021年1月31日~2月6日连续7天，对项目坐在区域二噁英浓度进行了现状检测。委托四川国测检测技术有限公司于</w:t>
            </w:r>
            <w:r>
              <w:rPr>
                <w:rFonts w:ascii="Times New Roman" w:hAnsi="Times New Roman" w:eastAsia="宋体" w:cs="Times New Roman"/>
                <w:color w:val="000000" w:themeColor="text1"/>
                <w:kern w:val="0"/>
                <w:sz w:val="24"/>
                <w:szCs w:val="20"/>
                <w14:textFill>
                  <w14:solidFill>
                    <w14:schemeClr w14:val="tx1"/>
                  </w14:solidFill>
                </w14:textFill>
              </w:rPr>
              <w:t>2023</w:t>
            </w:r>
            <w:r>
              <w:rPr>
                <w:rFonts w:ascii="Times New Roman" w:hAnsi="Times New Roman" w:eastAsia="宋体" w:cs="Times New Roman"/>
                <w:kern w:val="0"/>
                <w:sz w:val="24"/>
                <w:szCs w:val="20"/>
              </w:rPr>
              <w:t>年7月15日~7月21日连续7天，</w:t>
            </w:r>
            <w:r>
              <w:rPr>
                <w:rFonts w:ascii="Times New Roman" w:hAnsi="Times New Roman" w:eastAsia="宋体" w:cs="Times New Roman"/>
                <w:color w:val="000000" w:themeColor="text1"/>
                <w:kern w:val="0"/>
                <w:sz w:val="24"/>
                <w:szCs w:val="20"/>
                <w14:textFill>
                  <w14:solidFill>
                    <w14:schemeClr w14:val="tx1"/>
                  </w14:solidFill>
                </w14:textFill>
              </w:rPr>
              <w:t>对本项目所在</w:t>
            </w:r>
            <w:r>
              <w:rPr>
                <w:rFonts w:ascii="Times New Roman" w:hAnsi="Times New Roman" w:eastAsia="宋体" w:cs="Times New Roman"/>
                <w:bCs/>
                <w:color w:val="000000" w:themeColor="text1"/>
                <w:kern w:val="0"/>
                <w:sz w:val="24"/>
                <w:szCs w:val="24"/>
                <w14:textFill>
                  <w14:solidFill>
                    <w14:schemeClr w14:val="tx1"/>
                  </w14:solidFill>
                </w14:textFill>
              </w:rPr>
              <w:t>区域其他特征污染物汞、砷、铅、镍、六价铬、镉，进行了现状检测</w:t>
            </w:r>
          </w:p>
          <w:p w14:paraId="40A6FC39">
            <w:pPr>
              <w:adjustRightInd w:val="0"/>
              <w:spacing w:line="360" w:lineRule="auto"/>
              <w:ind w:firstLine="482" w:firstLineChars="200"/>
              <w:textAlignment w:val="baseline"/>
              <w:rPr>
                <w:rFonts w:ascii="Times New Roman" w:hAnsi="Times New Roman" w:eastAsia="宋体" w:cs="Times New Roman"/>
                <w:b/>
                <w:bCs/>
                <w:color w:val="000000" w:themeColor="text1"/>
                <w:kern w:val="0"/>
                <w:sz w:val="24"/>
                <w:szCs w:val="24"/>
                <w14:textFill>
                  <w14:solidFill>
                    <w14:schemeClr w14:val="tx1"/>
                  </w14:solidFill>
                </w14:textFill>
              </w:rPr>
            </w:pPr>
            <w:r>
              <w:rPr>
                <w:rFonts w:hint="eastAsia" w:ascii="宋体" w:hAnsi="宋体" w:eastAsia="宋体" w:cs="宋体"/>
                <w:b/>
                <w:bCs/>
                <w:color w:val="000000" w:themeColor="text1"/>
                <w:kern w:val="0"/>
                <w:sz w:val="24"/>
                <w:szCs w:val="24"/>
                <w14:textFill>
                  <w14:solidFill>
                    <w14:schemeClr w14:val="tx1"/>
                  </w14:solidFill>
                </w14:textFill>
              </w:rPr>
              <w:t>②</w:t>
            </w:r>
            <w:r>
              <w:rPr>
                <w:rFonts w:ascii="Times New Roman" w:hAnsi="Times New Roman" w:eastAsia="宋体" w:cs="Times New Roman"/>
                <w:b/>
                <w:bCs/>
                <w:color w:val="000000" w:themeColor="text1"/>
                <w:kern w:val="0"/>
                <w:sz w:val="24"/>
                <w:szCs w:val="24"/>
                <w14:textFill>
                  <w14:solidFill>
                    <w14:schemeClr w14:val="tx1"/>
                  </w14:solidFill>
                </w14:textFill>
              </w:rPr>
              <w:t>检测布点</w:t>
            </w:r>
          </w:p>
          <w:p w14:paraId="0D873656">
            <w:pPr>
              <w:adjustRightInd w:val="0"/>
              <w:spacing w:line="360" w:lineRule="auto"/>
              <w:textAlignment w:val="baseline"/>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b/>
                <w:bCs/>
                <w:color w:val="000000" w:themeColor="text1"/>
                <w:kern w:val="0"/>
                <w:sz w:val="24"/>
                <w:szCs w:val="24"/>
                <w14:textFill>
                  <w14:solidFill>
                    <w14:schemeClr w14:val="tx1"/>
                  </w14:solidFill>
                </w14:textFill>
              </w:rPr>
              <w:t xml:space="preserve">    </w:t>
            </w:r>
            <w:r>
              <w:rPr>
                <w:rFonts w:ascii="Times New Roman" w:hAnsi="Times New Roman" w:eastAsia="宋体" w:cs="Times New Roman"/>
                <w:color w:val="000000" w:themeColor="text1"/>
                <w:kern w:val="0"/>
                <w:sz w:val="24"/>
                <w:szCs w:val="24"/>
                <w14:textFill>
                  <w14:solidFill>
                    <w14:schemeClr w14:val="tx1"/>
                  </w14:solidFill>
                </w14:textFill>
              </w:rPr>
              <w:t>根据评价等级划分、评价范围及导则要求，本项目监测点位布设及监测因子具体见下表。</w:t>
            </w:r>
          </w:p>
          <w:p w14:paraId="0CD625AF">
            <w:pPr>
              <w:adjustRightInd w:val="0"/>
              <w:spacing w:line="312" w:lineRule="atLeast"/>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bookmarkStart w:id="25" w:name="_Ref150787324"/>
            <w:r>
              <w:rPr>
                <w:rFonts w:ascii="Times New Roman" w:hAnsi="Times New Roman" w:eastAsia="宋体" w:cs="Times New Roman"/>
                <w:b/>
                <w:bCs/>
                <w:color w:val="000000" w:themeColor="text1"/>
                <w:szCs w:val="24"/>
                <w:lang w:val="pt-BR"/>
                <w14:textFill>
                  <w14:solidFill>
                    <w14:schemeClr w14:val="tx1"/>
                  </w14:solidFill>
                </w14:textFill>
              </w:rPr>
              <w:t xml:space="preserve">表3- </w:t>
            </w:r>
            <w:r>
              <w:rPr>
                <w:rFonts w:ascii="Times New Roman" w:hAnsi="Times New Roman" w:eastAsia="宋体" w:cs="Times New Roman"/>
                <w:b/>
                <w:bCs/>
                <w:color w:val="000000" w:themeColor="text1"/>
                <w:szCs w:val="24"/>
                <w:lang w:val="pt-BR"/>
                <w14:textFill>
                  <w14:solidFill>
                    <w14:schemeClr w14:val="tx1"/>
                  </w14:solidFill>
                </w14:textFill>
              </w:rPr>
              <w:fldChar w:fldCharType="begin"/>
            </w:r>
            <w:r>
              <w:rPr>
                <w:rFonts w:ascii="Times New Roman" w:hAnsi="Times New Roman" w:eastAsia="宋体" w:cs="Times New Roman"/>
                <w:b/>
                <w:bCs/>
                <w:color w:val="000000" w:themeColor="text1"/>
                <w:szCs w:val="24"/>
                <w:lang w:val="pt-BR"/>
                <w14:textFill>
                  <w14:solidFill>
                    <w14:schemeClr w14:val="tx1"/>
                  </w14:solidFill>
                </w14:textFill>
              </w:rPr>
              <w:instrText xml:space="preserve"> SEQ 表3- \* ARABIC </w:instrText>
            </w:r>
            <w:r>
              <w:rPr>
                <w:rFonts w:ascii="Times New Roman" w:hAnsi="Times New Roman" w:eastAsia="宋体" w:cs="Times New Roman"/>
                <w:b/>
                <w:bCs/>
                <w:color w:val="000000" w:themeColor="text1"/>
                <w:szCs w:val="24"/>
                <w:lang w:val="pt-BR"/>
                <w14:textFill>
                  <w14:solidFill>
                    <w14:schemeClr w14:val="tx1"/>
                  </w14:solidFill>
                </w14:textFill>
              </w:rPr>
              <w:fldChar w:fldCharType="separate"/>
            </w:r>
            <w:r>
              <w:rPr>
                <w:rFonts w:ascii="Times New Roman" w:hAnsi="Times New Roman" w:eastAsia="宋体" w:cs="Times New Roman"/>
                <w:b/>
                <w:bCs/>
                <w:color w:val="000000" w:themeColor="text1"/>
                <w:szCs w:val="24"/>
                <w:lang w:val="pt-BR"/>
                <w14:textFill>
                  <w14:solidFill>
                    <w14:schemeClr w14:val="tx1"/>
                  </w14:solidFill>
                </w14:textFill>
              </w:rPr>
              <w:t>2</w:t>
            </w:r>
            <w:r>
              <w:rPr>
                <w:rFonts w:ascii="Times New Roman" w:hAnsi="Times New Roman" w:eastAsia="宋体" w:cs="Times New Roman"/>
                <w:b/>
                <w:bCs/>
                <w:color w:val="000000" w:themeColor="text1"/>
                <w:szCs w:val="24"/>
                <w:lang w:val="pt-BR"/>
                <w14:textFill>
                  <w14:solidFill>
                    <w14:schemeClr w14:val="tx1"/>
                  </w14:solidFill>
                </w14:textFill>
              </w:rPr>
              <w:fldChar w:fldCharType="end"/>
            </w:r>
            <w:r>
              <w:rPr>
                <w:rFonts w:ascii="Times New Roman" w:hAnsi="Times New Roman" w:eastAsia="宋体" w:cs="Times New Roman"/>
                <w:b/>
                <w:bCs/>
                <w:color w:val="000000" w:themeColor="text1"/>
                <w:szCs w:val="24"/>
                <w14:textFill>
                  <w14:solidFill>
                    <w14:schemeClr w14:val="tx1"/>
                  </w14:solidFill>
                </w14:textFill>
              </w:rPr>
              <w:t xml:space="preserve">  </w:t>
            </w:r>
            <w:r>
              <w:rPr>
                <w:rFonts w:ascii="Times New Roman" w:hAnsi="Times New Roman" w:eastAsia="宋体" w:cs="Times New Roman"/>
                <w:b/>
                <w:color w:val="000000" w:themeColor="text1"/>
                <w:kern w:val="0"/>
                <w:szCs w:val="21"/>
                <w14:textFill>
                  <w14:solidFill>
                    <w14:schemeClr w14:val="tx1"/>
                  </w14:solidFill>
                </w14:textFill>
              </w:rPr>
              <w:t>环境空气现状</w:t>
            </w:r>
            <w:r>
              <w:rPr>
                <w:rFonts w:ascii="Times New Roman" w:hAnsi="Times New Roman" w:eastAsia="宋体" w:cs="Times New Roman"/>
                <w:b/>
                <w:color w:val="000000" w:themeColor="text1"/>
                <w:kern w:val="0"/>
                <w:szCs w:val="21"/>
                <w:shd w:val="clear" w:color="auto" w:fill="FFFFFF"/>
                <w14:textFill>
                  <w14:solidFill>
                    <w14:schemeClr w14:val="tx1"/>
                  </w14:solidFill>
                </w14:textFill>
              </w:rPr>
              <w:t>监测点位基本信息表</w:t>
            </w:r>
            <w:bookmarkEnd w:id="25"/>
          </w:p>
          <w:tbl>
            <w:tblPr>
              <w:tblStyle w:val="2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8"/>
              <w:gridCol w:w="2110"/>
              <w:gridCol w:w="1275"/>
              <w:gridCol w:w="1133"/>
              <w:gridCol w:w="3226"/>
            </w:tblGrid>
            <w:tr w14:paraId="0DE960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6" w:hRule="atLeast"/>
                <w:jc w:val="center"/>
              </w:trPr>
              <w:tc>
                <w:tcPr>
                  <w:tcW w:w="0" w:type="auto"/>
                  <w:vAlign w:val="center"/>
                </w:tcPr>
                <w:p w14:paraId="03F6C12E">
                  <w:pPr>
                    <w:adjustRightInd w:val="0"/>
                    <w:jc w:val="center"/>
                    <w:textAlignment w:val="baseline"/>
                    <w:rPr>
                      <w:rFonts w:ascii="Times New Roman" w:hAnsi="Times New Roman" w:eastAsia="宋体" w:cs="Times New Roman"/>
                      <w:b/>
                      <w:bCs/>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kern w:val="0"/>
                      <w:szCs w:val="21"/>
                      <w14:textFill>
                        <w14:solidFill>
                          <w14:schemeClr w14:val="tx1"/>
                        </w14:solidFill>
                      </w14:textFill>
                    </w:rPr>
                    <w:t>编号</w:t>
                  </w:r>
                </w:p>
              </w:tc>
              <w:tc>
                <w:tcPr>
                  <w:tcW w:w="2110" w:type="dxa"/>
                  <w:vAlign w:val="center"/>
                </w:tcPr>
                <w:p w14:paraId="326CA91B">
                  <w:pPr>
                    <w:adjustRightInd w:val="0"/>
                    <w:jc w:val="center"/>
                    <w:textAlignment w:val="baseline"/>
                    <w:rPr>
                      <w:rFonts w:ascii="Times New Roman" w:hAnsi="Times New Roman" w:eastAsia="宋体" w:cs="Times New Roman"/>
                      <w:b/>
                      <w:bCs/>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kern w:val="0"/>
                      <w:szCs w:val="21"/>
                      <w14:textFill>
                        <w14:solidFill>
                          <w14:schemeClr w14:val="tx1"/>
                        </w14:solidFill>
                      </w14:textFill>
                    </w:rPr>
                    <w:t>检测点位</w:t>
                  </w:r>
                </w:p>
              </w:tc>
              <w:tc>
                <w:tcPr>
                  <w:tcW w:w="1275" w:type="dxa"/>
                  <w:vAlign w:val="center"/>
                </w:tcPr>
                <w:p w14:paraId="13F3D25D">
                  <w:pPr>
                    <w:adjustRightInd w:val="0"/>
                    <w:jc w:val="center"/>
                    <w:textAlignment w:val="baseline"/>
                    <w:rPr>
                      <w:rFonts w:ascii="Times New Roman" w:hAnsi="Times New Roman" w:eastAsia="宋体" w:cs="Times New Roman"/>
                      <w:b/>
                      <w:bCs/>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kern w:val="0"/>
                      <w:szCs w:val="21"/>
                      <w14:textFill>
                        <w14:solidFill>
                          <w14:schemeClr w14:val="tx1"/>
                        </w14:solidFill>
                      </w14:textFill>
                    </w:rPr>
                    <w:t>方位</w:t>
                  </w:r>
                </w:p>
              </w:tc>
              <w:tc>
                <w:tcPr>
                  <w:tcW w:w="1133" w:type="dxa"/>
                  <w:vAlign w:val="center"/>
                </w:tcPr>
                <w:p w14:paraId="255ACEB7">
                  <w:pPr>
                    <w:adjustRightInd w:val="0"/>
                    <w:jc w:val="center"/>
                    <w:textAlignment w:val="baseline"/>
                    <w:rPr>
                      <w:rFonts w:ascii="Times New Roman" w:hAnsi="Times New Roman" w:eastAsia="宋体" w:cs="Times New Roman"/>
                      <w:b/>
                      <w:bCs/>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kern w:val="0"/>
                      <w:szCs w:val="21"/>
                      <w14:textFill>
                        <w14:solidFill>
                          <w14:schemeClr w14:val="tx1"/>
                        </w14:solidFill>
                      </w14:textFill>
                    </w:rPr>
                    <w:t>距厂界距离（m）</w:t>
                  </w:r>
                </w:p>
              </w:tc>
              <w:tc>
                <w:tcPr>
                  <w:tcW w:w="3226" w:type="dxa"/>
                  <w:vAlign w:val="center"/>
                </w:tcPr>
                <w:p w14:paraId="48D354E0">
                  <w:pPr>
                    <w:adjustRightInd w:val="0"/>
                    <w:jc w:val="center"/>
                    <w:textAlignment w:val="baseline"/>
                    <w:rPr>
                      <w:rFonts w:ascii="Times New Roman" w:hAnsi="Times New Roman" w:eastAsia="宋体" w:cs="Times New Roman"/>
                      <w:b/>
                      <w:bCs/>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kern w:val="0"/>
                      <w:szCs w:val="21"/>
                      <w14:textFill>
                        <w14:solidFill>
                          <w14:schemeClr w14:val="tx1"/>
                        </w14:solidFill>
                      </w14:textFill>
                    </w:rPr>
                    <w:t>监测项目</w:t>
                  </w:r>
                </w:p>
              </w:tc>
            </w:tr>
            <w:tr w14:paraId="15E7DA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6" w:hRule="atLeast"/>
                <w:jc w:val="center"/>
              </w:trPr>
              <w:tc>
                <w:tcPr>
                  <w:tcW w:w="0" w:type="auto"/>
                  <w:vAlign w:val="center"/>
                </w:tcPr>
                <w:p w14:paraId="01CEA074">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w:t>
                  </w:r>
                </w:p>
              </w:tc>
              <w:tc>
                <w:tcPr>
                  <w:tcW w:w="2110" w:type="dxa"/>
                  <w:vAlign w:val="center"/>
                </w:tcPr>
                <w:p w14:paraId="617EF8FC">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厂址</w:t>
                  </w:r>
                </w:p>
              </w:tc>
              <w:tc>
                <w:tcPr>
                  <w:tcW w:w="1275" w:type="dxa"/>
                  <w:vAlign w:val="center"/>
                </w:tcPr>
                <w:p w14:paraId="3B3001DF">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厂界范围内</w:t>
                  </w:r>
                </w:p>
              </w:tc>
              <w:tc>
                <w:tcPr>
                  <w:tcW w:w="1133" w:type="dxa"/>
                  <w:vAlign w:val="center"/>
                </w:tcPr>
                <w:p w14:paraId="128ABBF5">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3226" w:type="dxa"/>
                  <w:vAlign w:val="center"/>
                </w:tcPr>
                <w:p w14:paraId="64DB0E88">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TSP、氟化物、硫化氢、氨、臭气浓度、</w:t>
                  </w:r>
                  <w:r>
                    <w:rPr>
                      <w:rFonts w:ascii="Times New Roman" w:hAnsi="Times New Roman" w:eastAsia="宋体" w:cs="Times New Roman"/>
                      <w:bCs/>
                      <w:color w:val="FF0000"/>
                      <w:kern w:val="0"/>
                      <w:szCs w:val="21"/>
                    </w:rPr>
                    <w:t>二噁英</w:t>
                  </w:r>
                </w:p>
              </w:tc>
            </w:tr>
            <w:tr w14:paraId="332A7A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6" w:hRule="atLeast"/>
                <w:jc w:val="center"/>
              </w:trPr>
              <w:tc>
                <w:tcPr>
                  <w:tcW w:w="0" w:type="auto"/>
                  <w:vAlign w:val="center"/>
                </w:tcPr>
                <w:p w14:paraId="6C705157">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w:t>
                  </w:r>
                </w:p>
              </w:tc>
              <w:tc>
                <w:tcPr>
                  <w:tcW w:w="2110" w:type="dxa"/>
                  <w:vAlign w:val="center"/>
                </w:tcPr>
                <w:p w14:paraId="245DB4B6">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kern w:val="0"/>
                      <w:szCs w:val="21"/>
                    </w:rPr>
                    <w:t>下风向160m敏感点</w:t>
                  </w:r>
                </w:p>
              </w:tc>
              <w:tc>
                <w:tcPr>
                  <w:tcW w:w="1275" w:type="dxa"/>
                  <w:vAlign w:val="center"/>
                </w:tcPr>
                <w:p w14:paraId="6B1B7665">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南</w:t>
                  </w:r>
                </w:p>
              </w:tc>
              <w:tc>
                <w:tcPr>
                  <w:tcW w:w="1133" w:type="dxa"/>
                  <w:vAlign w:val="center"/>
                </w:tcPr>
                <w:p w14:paraId="49517725">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160</w:t>
                  </w:r>
                </w:p>
              </w:tc>
              <w:tc>
                <w:tcPr>
                  <w:tcW w:w="3226" w:type="dxa"/>
                  <w:vAlign w:val="center"/>
                </w:tcPr>
                <w:p w14:paraId="1DB5ED83">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FF0000"/>
                      <w:kern w:val="0"/>
                      <w:szCs w:val="21"/>
                    </w:rPr>
                    <w:t>汞、砷、铅、镍、六价铬、镉</w:t>
                  </w:r>
                </w:p>
              </w:tc>
            </w:tr>
          </w:tbl>
          <w:p w14:paraId="7CCB5C06">
            <w:pPr>
              <w:adjustRightInd w:val="0"/>
              <w:ind w:firstLine="480" w:firstLineChars="200"/>
              <w:textAlignment w:val="baseline"/>
              <w:rPr>
                <w:rFonts w:ascii="Times New Roman" w:hAnsi="Times New Roman" w:eastAsia="宋体" w:cs="Times New Roman"/>
                <w:color w:val="000000" w:themeColor="text1"/>
                <w:kern w:val="0"/>
                <w:sz w:val="24"/>
                <w:szCs w:val="24"/>
                <w14:textFill>
                  <w14:solidFill>
                    <w14:schemeClr w14:val="tx1"/>
                  </w14:solidFill>
                </w14:textFill>
              </w:rPr>
            </w:pPr>
          </w:p>
          <w:p w14:paraId="2ED0F714">
            <w:pPr>
              <w:adjustRightInd w:val="0"/>
              <w:spacing w:line="360" w:lineRule="auto"/>
              <w:ind w:firstLine="482" w:firstLineChars="200"/>
              <w:textAlignment w:val="baseline"/>
              <w:rPr>
                <w:rFonts w:ascii="Times New Roman" w:hAnsi="Times New Roman" w:eastAsia="宋体" w:cs="Times New Roman"/>
                <w:b/>
                <w:bCs/>
                <w:color w:val="000000" w:themeColor="text1"/>
                <w:kern w:val="0"/>
                <w:sz w:val="24"/>
                <w:szCs w:val="24"/>
                <w14:textFill>
                  <w14:solidFill>
                    <w14:schemeClr w14:val="tx1"/>
                  </w14:solidFill>
                </w14:textFill>
              </w:rPr>
            </w:pPr>
            <w:r>
              <w:rPr>
                <w:rFonts w:hint="eastAsia" w:ascii="宋体" w:hAnsi="宋体" w:eastAsia="宋体" w:cs="宋体"/>
                <w:b/>
                <w:bCs/>
                <w:color w:val="000000" w:themeColor="text1"/>
                <w:kern w:val="0"/>
                <w:sz w:val="24"/>
                <w:szCs w:val="24"/>
                <w14:textFill>
                  <w14:solidFill>
                    <w14:schemeClr w14:val="tx1"/>
                  </w14:solidFill>
                </w14:textFill>
              </w:rPr>
              <w:t>③</w:t>
            </w:r>
            <w:r>
              <w:rPr>
                <w:rFonts w:ascii="Times New Roman" w:hAnsi="Times New Roman" w:eastAsia="宋体" w:cs="Times New Roman"/>
                <w:b/>
                <w:bCs/>
                <w:color w:val="000000" w:themeColor="text1"/>
                <w:kern w:val="0"/>
                <w:sz w:val="24"/>
                <w:szCs w:val="24"/>
                <w14:textFill>
                  <w14:solidFill>
                    <w14:schemeClr w14:val="tx1"/>
                  </w14:solidFill>
                </w14:textFill>
              </w:rPr>
              <w:t>检测频次及监测因子</w:t>
            </w:r>
          </w:p>
          <w:p w14:paraId="4FCCD378">
            <w:pPr>
              <w:adjustRightInd w:val="0"/>
              <w:spacing w:line="360" w:lineRule="auto"/>
              <w:ind w:firstLine="480" w:firstLineChars="200"/>
              <w:textAlignment w:val="baseline"/>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TSP、氟化物：连续7天监测，每天获取1个24小时平均值；</w:t>
            </w:r>
          </w:p>
          <w:p w14:paraId="0EB7E4A4">
            <w:pPr>
              <w:pStyle w:val="2"/>
              <w:ind w:firstLine="492"/>
              <w:rPr>
                <w:rFonts w:ascii="Times New Roman" w:eastAsia="宋体" w:cs="Times New Roman"/>
                <w:color w:val="000000" w:themeColor="text1"/>
                <w:szCs w:val="24"/>
                <w14:textFill>
                  <w14:solidFill>
                    <w14:schemeClr w14:val="tx1"/>
                  </w14:solidFill>
                </w14:textFill>
              </w:rPr>
            </w:pPr>
            <w:r>
              <w:rPr>
                <w:rFonts w:ascii="Times New Roman" w:eastAsia="宋体" w:cs="Times New Roman"/>
                <w:bCs/>
                <w:color w:val="000000" w:themeColor="text1"/>
                <w:szCs w:val="24"/>
                <w14:textFill>
                  <w14:solidFill>
                    <w14:schemeClr w14:val="tx1"/>
                  </w14:solidFill>
                </w14:textFill>
              </w:rPr>
              <w:t>砷、铅、镍、</w:t>
            </w:r>
            <w:r>
              <w:rPr>
                <w:rFonts w:ascii="Times New Roman" w:eastAsia="宋体" w:cs="Times New Roman"/>
                <w:bCs/>
                <w:szCs w:val="24"/>
              </w:rPr>
              <w:t>镉</w:t>
            </w:r>
            <w:r>
              <w:rPr>
                <w:rFonts w:hint="eastAsia" w:ascii="Times New Roman" w:eastAsia="宋体" w:cs="Times New Roman"/>
                <w:bCs/>
                <w:szCs w:val="24"/>
              </w:rPr>
              <w:t>、</w:t>
            </w:r>
            <w:r>
              <w:rPr>
                <w:rFonts w:ascii="Times New Roman" w:eastAsia="宋体" w:cs="Times New Roman"/>
                <w:bCs/>
                <w:szCs w:val="24"/>
              </w:rPr>
              <w:t>汞、六价铬：</w:t>
            </w:r>
            <w:r>
              <w:rPr>
                <w:rFonts w:ascii="Times New Roman" w:eastAsia="宋体" w:cs="Times New Roman"/>
                <w:szCs w:val="24"/>
              </w:rPr>
              <w:t>连续</w:t>
            </w:r>
            <w:r>
              <w:rPr>
                <w:rFonts w:ascii="Times New Roman" w:eastAsia="宋体" w:cs="Times New Roman"/>
                <w:color w:val="000000" w:themeColor="text1"/>
                <w:szCs w:val="24"/>
                <w14:textFill>
                  <w14:solidFill>
                    <w14:schemeClr w14:val="tx1"/>
                  </w14:solidFill>
                </w14:textFill>
              </w:rPr>
              <w:t>7天监测，每天获取1个24小时平均值；</w:t>
            </w:r>
          </w:p>
          <w:p w14:paraId="5F8F165B">
            <w:pPr>
              <w:adjustRightInd w:val="0"/>
              <w:spacing w:line="360" w:lineRule="auto"/>
              <w:ind w:firstLine="480" w:firstLineChars="200"/>
              <w:textAlignment w:val="baseline"/>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氨、硫化氢、臭气浓度：连续7天监测，每天获取4个1小时平均值；</w:t>
            </w:r>
          </w:p>
          <w:p w14:paraId="0CF2B9AA">
            <w:pPr>
              <w:adjustRightInd w:val="0"/>
              <w:spacing w:line="360" w:lineRule="auto"/>
              <w:ind w:firstLine="480" w:firstLineChars="200"/>
              <w:textAlignment w:val="baseline"/>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二噁英：连续7天监测，每天监测1次。</w:t>
            </w:r>
          </w:p>
          <w:p w14:paraId="73C3513A">
            <w:pPr>
              <w:adjustRightInd w:val="0"/>
              <w:spacing w:line="360" w:lineRule="auto"/>
              <w:ind w:firstLine="482" w:firstLineChars="200"/>
              <w:textAlignment w:val="baseline"/>
              <w:rPr>
                <w:rFonts w:ascii="Times New Roman" w:hAnsi="Times New Roman" w:eastAsia="宋体" w:cs="Times New Roman"/>
                <w:b/>
                <w:bCs/>
                <w:color w:val="000000" w:themeColor="text1"/>
                <w:kern w:val="0"/>
                <w:sz w:val="24"/>
                <w:szCs w:val="24"/>
                <w14:textFill>
                  <w14:solidFill>
                    <w14:schemeClr w14:val="tx1"/>
                  </w14:solidFill>
                </w14:textFill>
              </w:rPr>
            </w:pPr>
            <w:r>
              <w:rPr>
                <w:rFonts w:hint="eastAsia" w:ascii="宋体" w:hAnsi="宋体" w:eastAsia="宋体" w:cs="宋体"/>
                <w:b/>
                <w:bCs/>
                <w:color w:val="000000" w:themeColor="text1"/>
                <w:kern w:val="0"/>
                <w:sz w:val="24"/>
                <w:szCs w:val="24"/>
                <w14:textFill>
                  <w14:solidFill>
                    <w14:schemeClr w14:val="tx1"/>
                  </w14:solidFill>
                </w14:textFill>
              </w:rPr>
              <w:t>④</w:t>
            </w:r>
            <w:r>
              <w:rPr>
                <w:rFonts w:ascii="Times New Roman" w:hAnsi="Times New Roman" w:eastAsia="宋体" w:cs="Times New Roman"/>
                <w:b/>
                <w:bCs/>
                <w:color w:val="000000" w:themeColor="text1"/>
                <w:kern w:val="0"/>
                <w:sz w:val="24"/>
                <w:szCs w:val="24"/>
                <w14:textFill>
                  <w14:solidFill>
                    <w14:schemeClr w14:val="tx1"/>
                  </w14:solidFill>
                </w14:textFill>
              </w:rPr>
              <w:t>检测方法</w:t>
            </w:r>
          </w:p>
          <w:p w14:paraId="6A8C57C3">
            <w:pPr>
              <w:adjustRightInd w:val="0"/>
              <w:spacing w:line="360" w:lineRule="auto"/>
              <w:ind w:firstLine="480" w:firstLineChars="200"/>
              <w:textAlignment w:val="baseline"/>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按照《环境空气质量手工监测技术规范》（HJ194-2017）及修改单、《环境空气质量监测点位布设技术规范》（HJ664-2013）</w:t>
            </w:r>
            <w:r>
              <w:rPr>
                <w:rFonts w:ascii="Times New Roman" w:hAnsi="Times New Roman" w:eastAsia="宋体" w:cs="Times New Roman"/>
                <w:color w:val="000000" w:themeColor="text1"/>
                <w:kern w:val="0"/>
                <w:sz w:val="24"/>
                <w14:textFill>
                  <w14:solidFill>
                    <w14:schemeClr w14:val="tx1"/>
                  </w14:solidFill>
                </w14:textFill>
              </w:rPr>
              <w:t>有关规定和要求执行。</w:t>
            </w:r>
          </w:p>
          <w:p w14:paraId="2F113B8A">
            <w:pPr>
              <w:adjustRightInd w:val="0"/>
              <w:spacing w:line="360" w:lineRule="auto"/>
              <w:ind w:firstLine="482" w:firstLineChars="200"/>
              <w:textAlignment w:val="baseline"/>
              <w:outlineLvl w:val="3"/>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b/>
                <w:bCs/>
                <w:color w:val="000000" w:themeColor="text1"/>
                <w:kern w:val="0"/>
                <w:sz w:val="24"/>
                <w:szCs w:val="24"/>
                <w14:textFill>
                  <w14:solidFill>
                    <w14:schemeClr w14:val="tx1"/>
                  </w14:solidFill>
                </w14:textFill>
              </w:rPr>
              <w:t>（2）环境空气质量现状评价</w:t>
            </w:r>
          </w:p>
          <w:p w14:paraId="77EB30F5">
            <w:pPr>
              <w:adjustRightInd w:val="0"/>
              <w:spacing w:line="360" w:lineRule="auto"/>
              <w:ind w:firstLine="482" w:firstLineChars="200"/>
              <w:textAlignment w:val="baseline"/>
              <w:rPr>
                <w:rFonts w:ascii="Times New Roman" w:hAnsi="Times New Roman" w:eastAsia="宋体" w:cs="Times New Roman"/>
                <w:b/>
                <w:bCs/>
                <w:color w:val="000000" w:themeColor="text1"/>
                <w:kern w:val="0"/>
                <w:sz w:val="24"/>
                <w:szCs w:val="24"/>
                <w14:textFill>
                  <w14:solidFill>
                    <w14:schemeClr w14:val="tx1"/>
                  </w14:solidFill>
                </w14:textFill>
              </w:rPr>
            </w:pPr>
            <w:r>
              <w:rPr>
                <w:rFonts w:hint="eastAsia" w:ascii="宋体" w:hAnsi="宋体" w:eastAsia="宋体" w:cs="宋体"/>
                <w:b/>
                <w:bCs/>
                <w:color w:val="000000" w:themeColor="text1"/>
                <w:kern w:val="0"/>
                <w:sz w:val="24"/>
                <w:szCs w:val="24"/>
                <w14:textFill>
                  <w14:solidFill>
                    <w14:schemeClr w14:val="tx1"/>
                  </w14:solidFill>
                </w14:textFill>
              </w:rPr>
              <w:t>①</w:t>
            </w:r>
            <w:r>
              <w:rPr>
                <w:rFonts w:ascii="Times New Roman" w:hAnsi="Times New Roman" w:eastAsia="宋体" w:cs="Times New Roman"/>
                <w:b/>
                <w:bCs/>
                <w:color w:val="000000" w:themeColor="text1"/>
                <w:kern w:val="0"/>
                <w:sz w:val="24"/>
                <w:szCs w:val="24"/>
                <w14:textFill>
                  <w14:solidFill>
                    <w14:schemeClr w14:val="tx1"/>
                  </w14:solidFill>
                </w14:textFill>
              </w:rPr>
              <w:t>评价标准</w:t>
            </w:r>
          </w:p>
          <w:p w14:paraId="0E81D6EA">
            <w:pPr>
              <w:adjustRightInd w:val="0"/>
              <w:spacing w:line="360" w:lineRule="auto"/>
              <w:ind w:firstLine="480" w:firstLineChars="200"/>
              <w:textAlignment w:val="baseline"/>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执行《环境影响评价技术导则大气环境》（HJ2.2-2018）附录D、《环境空气质量标准》（GB3095-2012）中标准限值。</w:t>
            </w:r>
          </w:p>
          <w:p w14:paraId="6805E824">
            <w:pPr>
              <w:adjustRightInd w:val="0"/>
              <w:spacing w:line="360" w:lineRule="auto"/>
              <w:ind w:firstLine="482" w:firstLineChars="200"/>
              <w:textAlignment w:val="baseline"/>
              <w:rPr>
                <w:rFonts w:ascii="Times New Roman" w:hAnsi="Times New Roman" w:eastAsia="宋体" w:cs="Times New Roman"/>
                <w:b/>
                <w:bCs/>
                <w:color w:val="000000" w:themeColor="text1"/>
                <w:kern w:val="0"/>
                <w:sz w:val="24"/>
                <w:szCs w:val="24"/>
                <w14:textFill>
                  <w14:solidFill>
                    <w14:schemeClr w14:val="tx1"/>
                  </w14:solidFill>
                </w14:textFill>
              </w:rPr>
            </w:pPr>
            <w:r>
              <w:rPr>
                <w:rFonts w:hint="eastAsia" w:ascii="宋体" w:hAnsi="宋体" w:eastAsia="宋体" w:cs="宋体"/>
                <w:b/>
                <w:bCs/>
                <w:color w:val="000000" w:themeColor="text1"/>
                <w:kern w:val="0"/>
                <w:sz w:val="24"/>
                <w:szCs w:val="24"/>
                <w14:textFill>
                  <w14:solidFill>
                    <w14:schemeClr w14:val="tx1"/>
                  </w14:solidFill>
                </w14:textFill>
              </w:rPr>
              <w:t>②</w:t>
            </w:r>
            <w:r>
              <w:rPr>
                <w:rFonts w:ascii="Times New Roman" w:hAnsi="Times New Roman" w:eastAsia="宋体" w:cs="Times New Roman"/>
                <w:b/>
                <w:bCs/>
                <w:color w:val="000000" w:themeColor="text1"/>
                <w:kern w:val="0"/>
                <w:sz w:val="24"/>
                <w:szCs w:val="24"/>
                <w14:textFill>
                  <w14:solidFill>
                    <w14:schemeClr w14:val="tx1"/>
                  </w14:solidFill>
                </w14:textFill>
              </w:rPr>
              <w:t>评价方法</w:t>
            </w:r>
          </w:p>
          <w:p w14:paraId="59851B49">
            <w:pPr>
              <w:adjustRightInd w:val="0"/>
              <w:spacing w:line="360" w:lineRule="auto"/>
              <w:ind w:firstLine="480" w:firstLineChars="200"/>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采用单项质量指数法进行评价，公式为：</w:t>
            </w:r>
          </w:p>
          <w:p w14:paraId="4CBE29B7">
            <w:pPr>
              <w:adjustRightInd w:val="0"/>
              <w:spacing w:line="360" w:lineRule="auto"/>
              <w:jc w:val="center"/>
              <w:textAlignment w:val="baseline"/>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P</w:t>
            </w:r>
            <w:r>
              <w:rPr>
                <w:rFonts w:ascii="Times New Roman" w:hAnsi="Times New Roman" w:eastAsia="宋体" w:cs="Times New Roman"/>
                <w:i/>
                <w:color w:val="000000" w:themeColor="text1"/>
                <w:kern w:val="0"/>
                <w:sz w:val="24"/>
                <w:szCs w:val="24"/>
                <w14:textFill>
                  <w14:solidFill>
                    <w14:schemeClr w14:val="tx1"/>
                  </w14:solidFill>
                </w14:textFill>
              </w:rPr>
              <w:t>i</w:t>
            </w:r>
            <w:r>
              <w:rPr>
                <w:rFonts w:ascii="Times New Roman" w:hAnsi="Times New Roman" w:eastAsia="宋体" w:cs="Times New Roman"/>
                <w:color w:val="000000" w:themeColor="text1"/>
                <w:kern w:val="0"/>
                <w:sz w:val="24"/>
                <w:szCs w:val="24"/>
                <w14:textFill>
                  <w14:solidFill>
                    <w14:schemeClr w14:val="tx1"/>
                  </w14:solidFill>
                </w14:textFill>
              </w:rPr>
              <w:t>=C</w:t>
            </w:r>
            <w:r>
              <w:rPr>
                <w:rFonts w:ascii="Times New Roman" w:hAnsi="Times New Roman" w:eastAsia="宋体" w:cs="Times New Roman"/>
                <w:i/>
                <w:color w:val="000000" w:themeColor="text1"/>
                <w:kern w:val="0"/>
                <w:sz w:val="24"/>
                <w:szCs w:val="24"/>
                <w14:textFill>
                  <w14:solidFill>
                    <w14:schemeClr w14:val="tx1"/>
                  </w14:solidFill>
                </w14:textFill>
              </w:rPr>
              <w:t>i</w:t>
            </w:r>
            <w:r>
              <w:rPr>
                <w:rFonts w:ascii="Times New Roman" w:hAnsi="Times New Roman" w:eastAsia="宋体" w:cs="Times New Roman"/>
                <w:color w:val="000000" w:themeColor="text1"/>
                <w:kern w:val="0"/>
                <w:sz w:val="24"/>
                <w:szCs w:val="24"/>
                <w14:textFill>
                  <w14:solidFill>
                    <w14:schemeClr w14:val="tx1"/>
                  </w14:solidFill>
                </w14:textFill>
              </w:rPr>
              <w:t>/S</w:t>
            </w:r>
            <w:r>
              <w:rPr>
                <w:rFonts w:ascii="Times New Roman" w:hAnsi="Times New Roman" w:eastAsia="宋体" w:cs="Times New Roman"/>
                <w:i/>
                <w:color w:val="000000" w:themeColor="text1"/>
                <w:kern w:val="0"/>
                <w:sz w:val="24"/>
                <w:szCs w:val="24"/>
                <w14:textFill>
                  <w14:solidFill>
                    <w14:schemeClr w14:val="tx1"/>
                  </w14:solidFill>
                </w14:textFill>
              </w:rPr>
              <w:t>i</w:t>
            </w:r>
          </w:p>
          <w:p w14:paraId="7F56B669">
            <w:pPr>
              <w:adjustRightInd w:val="0"/>
              <w:spacing w:line="360" w:lineRule="auto"/>
              <w:ind w:firstLine="600"/>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 xml:space="preserve">    式中：P</w:t>
            </w:r>
            <w:r>
              <w:rPr>
                <w:rFonts w:ascii="Times New Roman" w:hAnsi="Times New Roman" w:eastAsia="宋体" w:cs="Times New Roman"/>
                <w:color w:val="000000" w:themeColor="text1"/>
                <w:kern w:val="0"/>
                <w:sz w:val="24"/>
                <w:szCs w:val="20"/>
                <w:vertAlign w:val="subscript"/>
                <w14:textFill>
                  <w14:solidFill>
                    <w14:schemeClr w14:val="tx1"/>
                  </w14:solidFill>
                </w14:textFill>
              </w:rPr>
              <w:t>i</w:t>
            </w:r>
            <w:r>
              <w:rPr>
                <w:rFonts w:ascii="Times New Roman" w:hAnsi="Times New Roman" w:eastAsia="宋体" w:cs="Times New Roman"/>
                <w:color w:val="000000" w:themeColor="text1"/>
                <w:kern w:val="0"/>
                <w:sz w:val="24"/>
                <w:szCs w:val="20"/>
                <w14:textFill>
                  <w14:solidFill>
                    <w14:schemeClr w14:val="tx1"/>
                  </w14:solidFill>
                </w14:textFill>
              </w:rPr>
              <w:t>——i污染物的大气质量指数；</w:t>
            </w:r>
          </w:p>
          <w:p w14:paraId="24A782BB">
            <w:pPr>
              <w:adjustRightInd w:val="0"/>
              <w:spacing w:line="360" w:lineRule="auto"/>
              <w:ind w:firstLine="600"/>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 xml:space="preserve">          C</w:t>
            </w:r>
            <w:r>
              <w:rPr>
                <w:rFonts w:ascii="Times New Roman" w:hAnsi="Times New Roman" w:eastAsia="宋体" w:cs="Times New Roman"/>
                <w:color w:val="000000" w:themeColor="text1"/>
                <w:kern w:val="0"/>
                <w:sz w:val="24"/>
                <w:szCs w:val="20"/>
                <w:vertAlign w:val="subscript"/>
                <w14:textFill>
                  <w14:solidFill>
                    <w14:schemeClr w14:val="tx1"/>
                  </w14:solidFill>
                </w14:textFill>
              </w:rPr>
              <w:t>i</w:t>
            </w:r>
            <w:r>
              <w:rPr>
                <w:rFonts w:ascii="Times New Roman" w:hAnsi="Times New Roman" w:eastAsia="宋体" w:cs="Times New Roman"/>
                <w:color w:val="000000" w:themeColor="text1"/>
                <w:kern w:val="0"/>
                <w:sz w:val="24"/>
                <w:szCs w:val="20"/>
                <w14:textFill>
                  <w14:solidFill>
                    <w14:schemeClr w14:val="tx1"/>
                  </w14:solidFill>
                </w14:textFill>
              </w:rPr>
              <w:t>——i污染物的实测浓度值(mg/Nm</w:t>
            </w:r>
            <w:r>
              <w:rPr>
                <w:rFonts w:ascii="Times New Roman" w:hAnsi="Times New Roman" w:eastAsia="宋体" w:cs="Times New Roman"/>
                <w:color w:val="000000" w:themeColor="text1"/>
                <w:kern w:val="0"/>
                <w:sz w:val="24"/>
                <w:szCs w:val="20"/>
                <w:vertAlign w:val="superscript"/>
                <w14:textFill>
                  <w14:solidFill>
                    <w14:schemeClr w14:val="tx1"/>
                  </w14:solidFill>
                </w14:textFill>
              </w:rPr>
              <w:t>3</w:t>
            </w:r>
            <w:r>
              <w:rPr>
                <w:rFonts w:ascii="Times New Roman" w:hAnsi="Times New Roman" w:eastAsia="宋体" w:cs="Times New Roman"/>
                <w:color w:val="000000" w:themeColor="text1"/>
                <w:kern w:val="0"/>
                <w:sz w:val="24"/>
                <w:szCs w:val="20"/>
                <w14:textFill>
                  <w14:solidFill>
                    <w14:schemeClr w14:val="tx1"/>
                  </w14:solidFill>
                </w14:textFill>
              </w:rPr>
              <w:t>)；</w:t>
            </w:r>
          </w:p>
          <w:p w14:paraId="76190CA5">
            <w:pPr>
              <w:adjustRightInd w:val="0"/>
              <w:spacing w:line="360" w:lineRule="auto"/>
              <w:ind w:firstLine="600"/>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 xml:space="preserve">          S</w:t>
            </w:r>
            <w:r>
              <w:rPr>
                <w:rFonts w:ascii="Times New Roman" w:hAnsi="Times New Roman" w:eastAsia="宋体" w:cs="Times New Roman"/>
                <w:color w:val="000000" w:themeColor="text1"/>
                <w:kern w:val="0"/>
                <w:sz w:val="24"/>
                <w:szCs w:val="20"/>
                <w:vertAlign w:val="subscript"/>
                <w14:textFill>
                  <w14:solidFill>
                    <w14:schemeClr w14:val="tx1"/>
                  </w14:solidFill>
                </w14:textFill>
              </w:rPr>
              <w:t>i</w:t>
            </w:r>
            <w:r>
              <w:rPr>
                <w:rFonts w:ascii="Times New Roman" w:hAnsi="Times New Roman" w:eastAsia="宋体" w:cs="Times New Roman"/>
                <w:color w:val="000000" w:themeColor="text1"/>
                <w:kern w:val="0"/>
                <w:sz w:val="24"/>
                <w:szCs w:val="20"/>
                <w14:textFill>
                  <w14:solidFill>
                    <w14:schemeClr w14:val="tx1"/>
                  </w14:solidFill>
                </w14:textFill>
              </w:rPr>
              <w:t>——i污染物的评价标准(mg/Nm</w:t>
            </w:r>
            <w:r>
              <w:rPr>
                <w:rFonts w:ascii="Times New Roman" w:hAnsi="Times New Roman" w:eastAsia="宋体" w:cs="Times New Roman"/>
                <w:color w:val="000000" w:themeColor="text1"/>
                <w:kern w:val="0"/>
                <w:sz w:val="24"/>
                <w:szCs w:val="20"/>
                <w:vertAlign w:val="superscript"/>
                <w14:textFill>
                  <w14:solidFill>
                    <w14:schemeClr w14:val="tx1"/>
                  </w14:solidFill>
                </w14:textFill>
              </w:rPr>
              <w:t>3</w:t>
            </w:r>
            <w:r>
              <w:rPr>
                <w:rFonts w:ascii="Times New Roman" w:hAnsi="Times New Roman" w:eastAsia="宋体" w:cs="Times New Roman"/>
                <w:color w:val="000000" w:themeColor="text1"/>
                <w:kern w:val="0"/>
                <w:sz w:val="24"/>
                <w:szCs w:val="20"/>
                <w14:textFill>
                  <w14:solidFill>
                    <w14:schemeClr w14:val="tx1"/>
                  </w14:solidFill>
                </w14:textFill>
              </w:rPr>
              <w:t>)。</w:t>
            </w:r>
          </w:p>
          <w:p w14:paraId="33B36450">
            <w:pPr>
              <w:adjustRightInd w:val="0"/>
              <w:spacing w:line="360" w:lineRule="auto"/>
              <w:ind w:firstLine="480" w:firstLineChars="200"/>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当P</w:t>
            </w:r>
            <w:r>
              <w:rPr>
                <w:rFonts w:ascii="Times New Roman" w:hAnsi="Times New Roman" w:eastAsia="宋体" w:cs="Times New Roman"/>
                <w:color w:val="000000" w:themeColor="text1"/>
                <w:kern w:val="0"/>
                <w:sz w:val="24"/>
                <w:szCs w:val="20"/>
                <w:vertAlign w:val="subscript"/>
                <w14:textFill>
                  <w14:solidFill>
                    <w14:schemeClr w14:val="tx1"/>
                  </w14:solidFill>
                </w14:textFill>
              </w:rPr>
              <w:t>i</w:t>
            </w:r>
            <w:r>
              <w:rPr>
                <w:rFonts w:ascii="Times New Roman" w:hAnsi="Times New Roman" w:eastAsia="宋体" w:cs="Times New Roman"/>
                <w:color w:val="000000" w:themeColor="text1"/>
                <w:kern w:val="0"/>
                <w:sz w:val="24"/>
                <w:szCs w:val="20"/>
                <w14:textFill>
                  <w14:solidFill>
                    <w14:schemeClr w14:val="tx1"/>
                  </w14:solidFill>
                </w14:textFill>
              </w:rPr>
              <w:t>值大于1.0时，表明大气环境已受到该项评价因子所表征的污染物的污染。P</w:t>
            </w:r>
            <w:r>
              <w:rPr>
                <w:rFonts w:ascii="Times New Roman" w:hAnsi="Times New Roman" w:eastAsia="宋体" w:cs="Times New Roman"/>
                <w:color w:val="000000" w:themeColor="text1"/>
                <w:kern w:val="0"/>
                <w:sz w:val="24"/>
                <w:szCs w:val="20"/>
                <w:vertAlign w:val="subscript"/>
                <w14:textFill>
                  <w14:solidFill>
                    <w14:schemeClr w14:val="tx1"/>
                  </w14:solidFill>
                </w14:textFill>
              </w:rPr>
              <w:t>i</w:t>
            </w:r>
            <w:r>
              <w:rPr>
                <w:rFonts w:ascii="Times New Roman" w:hAnsi="Times New Roman" w:eastAsia="宋体" w:cs="Times New Roman"/>
                <w:color w:val="000000" w:themeColor="text1"/>
                <w:kern w:val="0"/>
                <w:sz w:val="24"/>
                <w:szCs w:val="20"/>
                <w14:textFill>
                  <w14:solidFill>
                    <w14:schemeClr w14:val="tx1"/>
                  </w14:solidFill>
                </w14:textFill>
              </w:rPr>
              <w:t>值越大，受污染程度越重；P</w:t>
            </w:r>
            <w:r>
              <w:rPr>
                <w:rFonts w:ascii="Times New Roman" w:hAnsi="Times New Roman" w:eastAsia="宋体" w:cs="Times New Roman"/>
                <w:color w:val="000000" w:themeColor="text1"/>
                <w:kern w:val="0"/>
                <w:sz w:val="24"/>
                <w:szCs w:val="20"/>
                <w:vertAlign w:val="subscript"/>
                <w14:textFill>
                  <w14:solidFill>
                    <w14:schemeClr w14:val="tx1"/>
                  </w14:solidFill>
                </w14:textFill>
              </w:rPr>
              <w:t>i</w:t>
            </w:r>
            <w:r>
              <w:rPr>
                <w:rFonts w:ascii="Times New Roman" w:hAnsi="Times New Roman" w:eastAsia="宋体" w:cs="Times New Roman"/>
                <w:color w:val="000000" w:themeColor="text1"/>
                <w:kern w:val="0"/>
                <w:sz w:val="24"/>
                <w:szCs w:val="20"/>
                <w14:textFill>
                  <w14:solidFill>
                    <w14:schemeClr w14:val="tx1"/>
                  </w14:solidFill>
                </w14:textFill>
              </w:rPr>
              <w:t>值越小，受污染程度越轻。</w:t>
            </w:r>
          </w:p>
          <w:p w14:paraId="3833FA18">
            <w:pPr>
              <w:adjustRightInd w:val="0"/>
              <w:spacing w:line="360" w:lineRule="auto"/>
              <w:ind w:firstLine="482" w:firstLineChars="200"/>
              <w:textAlignment w:val="baseline"/>
              <w:rPr>
                <w:rFonts w:ascii="Times New Roman" w:hAnsi="Times New Roman" w:eastAsia="宋体" w:cs="Times New Roman"/>
                <w:b/>
                <w:bCs/>
                <w:color w:val="000000" w:themeColor="text1"/>
                <w:kern w:val="0"/>
                <w:sz w:val="24"/>
                <w:szCs w:val="24"/>
                <w14:textFill>
                  <w14:solidFill>
                    <w14:schemeClr w14:val="tx1"/>
                  </w14:solidFill>
                </w14:textFill>
              </w:rPr>
            </w:pPr>
            <w:r>
              <w:rPr>
                <w:rFonts w:hint="eastAsia" w:ascii="宋体" w:hAnsi="宋体" w:eastAsia="宋体" w:cs="宋体"/>
                <w:b/>
                <w:bCs/>
                <w:color w:val="000000" w:themeColor="text1"/>
                <w:kern w:val="0"/>
                <w:sz w:val="24"/>
                <w:szCs w:val="24"/>
                <w14:textFill>
                  <w14:solidFill>
                    <w14:schemeClr w14:val="tx1"/>
                  </w14:solidFill>
                </w14:textFill>
              </w:rPr>
              <w:t>③</w:t>
            </w:r>
            <w:r>
              <w:rPr>
                <w:rFonts w:ascii="Times New Roman" w:hAnsi="Times New Roman" w:eastAsia="宋体" w:cs="Times New Roman"/>
                <w:b/>
                <w:bCs/>
                <w:color w:val="000000" w:themeColor="text1"/>
                <w:kern w:val="0"/>
                <w:sz w:val="24"/>
                <w:szCs w:val="24"/>
                <w14:textFill>
                  <w14:solidFill>
                    <w14:schemeClr w14:val="tx1"/>
                  </w14:solidFill>
                </w14:textFill>
              </w:rPr>
              <w:t xml:space="preserve">评价结果 </w:t>
            </w:r>
          </w:p>
          <w:p w14:paraId="191E4D1B">
            <w:pPr>
              <w:adjustRightInd w:val="0"/>
              <w:spacing w:line="360" w:lineRule="auto"/>
              <w:ind w:firstLine="480" w:firstLineChars="200"/>
              <w:textAlignment w:val="baseline"/>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经现状监测数据经整理、计算后，各测点的平均浓度值范围、单因子等标污染指数、超标率等见下表。</w:t>
            </w:r>
          </w:p>
          <w:p w14:paraId="4AAFFD94">
            <w:pPr>
              <w:adjustRightInd w:val="0"/>
              <w:spacing w:line="312" w:lineRule="atLeast"/>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szCs w:val="24"/>
                <w:lang w:val="pt-BR"/>
                <w14:textFill>
                  <w14:solidFill>
                    <w14:schemeClr w14:val="tx1"/>
                  </w14:solidFill>
                </w14:textFill>
              </w:rPr>
              <w:t xml:space="preserve">表3- </w:t>
            </w:r>
            <w:r>
              <w:rPr>
                <w:rFonts w:ascii="Times New Roman" w:hAnsi="Times New Roman" w:eastAsia="宋体" w:cs="Times New Roman"/>
                <w:b/>
                <w:bCs/>
                <w:color w:val="000000" w:themeColor="text1"/>
                <w:szCs w:val="24"/>
                <w:lang w:val="pt-BR"/>
                <w14:textFill>
                  <w14:solidFill>
                    <w14:schemeClr w14:val="tx1"/>
                  </w14:solidFill>
                </w14:textFill>
              </w:rPr>
              <w:fldChar w:fldCharType="begin"/>
            </w:r>
            <w:r>
              <w:rPr>
                <w:rFonts w:ascii="Times New Roman" w:hAnsi="Times New Roman" w:eastAsia="宋体" w:cs="Times New Roman"/>
                <w:b/>
                <w:bCs/>
                <w:color w:val="000000" w:themeColor="text1"/>
                <w:szCs w:val="24"/>
                <w:lang w:val="pt-BR"/>
                <w14:textFill>
                  <w14:solidFill>
                    <w14:schemeClr w14:val="tx1"/>
                  </w14:solidFill>
                </w14:textFill>
              </w:rPr>
              <w:instrText xml:space="preserve"> SEQ 表3- \* ARABIC </w:instrText>
            </w:r>
            <w:r>
              <w:rPr>
                <w:rFonts w:ascii="Times New Roman" w:hAnsi="Times New Roman" w:eastAsia="宋体" w:cs="Times New Roman"/>
                <w:b/>
                <w:bCs/>
                <w:color w:val="000000" w:themeColor="text1"/>
                <w:szCs w:val="24"/>
                <w:lang w:val="pt-BR"/>
                <w14:textFill>
                  <w14:solidFill>
                    <w14:schemeClr w14:val="tx1"/>
                  </w14:solidFill>
                </w14:textFill>
              </w:rPr>
              <w:fldChar w:fldCharType="separate"/>
            </w:r>
            <w:r>
              <w:rPr>
                <w:rFonts w:ascii="Times New Roman" w:hAnsi="Times New Roman" w:eastAsia="宋体" w:cs="Times New Roman"/>
                <w:b/>
                <w:bCs/>
                <w:color w:val="000000" w:themeColor="text1"/>
                <w:szCs w:val="24"/>
                <w:lang w:val="pt-BR"/>
                <w14:textFill>
                  <w14:solidFill>
                    <w14:schemeClr w14:val="tx1"/>
                  </w14:solidFill>
                </w14:textFill>
              </w:rPr>
              <w:t>3</w:t>
            </w:r>
            <w:r>
              <w:rPr>
                <w:rFonts w:ascii="Times New Roman" w:hAnsi="Times New Roman" w:eastAsia="宋体" w:cs="Times New Roman"/>
                <w:b/>
                <w:bCs/>
                <w:color w:val="000000" w:themeColor="text1"/>
                <w:szCs w:val="24"/>
                <w:lang w:val="pt-BR"/>
                <w14:textFill>
                  <w14:solidFill>
                    <w14:schemeClr w14:val="tx1"/>
                  </w14:solidFill>
                </w14:textFill>
              </w:rPr>
              <w:fldChar w:fldCharType="end"/>
            </w:r>
            <w:r>
              <w:rPr>
                <w:rFonts w:ascii="Times New Roman" w:hAnsi="Times New Roman" w:eastAsia="宋体" w:cs="Times New Roman"/>
                <w:b/>
                <w:bCs/>
                <w:color w:val="000000" w:themeColor="text1"/>
                <w:szCs w:val="24"/>
                <w14:textFill>
                  <w14:solidFill>
                    <w14:schemeClr w14:val="tx1"/>
                  </w14:solidFill>
                </w14:textFill>
              </w:rPr>
              <w:t xml:space="preserve">  </w:t>
            </w:r>
            <w:r>
              <w:rPr>
                <w:rFonts w:ascii="Times New Roman" w:hAnsi="Times New Roman" w:eastAsia="宋体" w:cs="Times New Roman"/>
                <w:b/>
                <w:color w:val="000000" w:themeColor="text1"/>
                <w:kern w:val="0"/>
                <w:szCs w:val="21"/>
                <w14:textFill>
                  <w14:solidFill>
                    <w14:schemeClr w14:val="tx1"/>
                  </w14:solidFill>
                </w14:textFill>
              </w:rPr>
              <w:t>环境空气现状</w:t>
            </w:r>
            <w:r>
              <w:rPr>
                <w:rFonts w:ascii="Times New Roman" w:hAnsi="Times New Roman" w:eastAsia="宋体" w:cs="Times New Roman"/>
                <w:b/>
                <w:color w:val="000000" w:themeColor="text1"/>
                <w:kern w:val="0"/>
                <w:szCs w:val="21"/>
                <w:shd w:val="clear" w:color="auto" w:fill="FFFFFF"/>
                <w14:textFill>
                  <w14:solidFill>
                    <w14:schemeClr w14:val="tx1"/>
                  </w14:solidFill>
                </w14:textFill>
              </w:rPr>
              <w:t>监测及评价结果</w:t>
            </w:r>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48"/>
              <w:gridCol w:w="982"/>
              <w:gridCol w:w="1549"/>
              <w:gridCol w:w="1231"/>
              <w:gridCol w:w="1235"/>
              <w:gridCol w:w="1231"/>
              <w:gridCol w:w="617"/>
              <w:gridCol w:w="878"/>
            </w:tblGrid>
            <w:tr w14:paraId="731FCF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tcMar>
                    <w:left w:w="28" w:type="dxa"/>
                    <w:right w:w="28" w:type="dxa"/>
                  </w:tcMar>
                  <w:vAlign w:val="center"/>
                </w:tcPr>
                <w:p w14:paraId="0D2B70B4">
                  <w:pPr>
                    <w:adjustRightInd w:val="0"/>
                    <w:spacing w:line="240" w:lineRule="exact"/>
                    <w:jc w:val="center"/>
                    <w:textAlignment w:val="baseline"/>
                    <w:rPr>
                      <w:rFonts w:ascii="Times New Roman" w:hAnsi="Times New Roman" w:eastAsia="宋体" w:cs="Times New Roman"/>
                      <w:b/>
                      <w:bCs/>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kern w:val="0"/>
                      <w:szCs w:val="21"/>
                      <w14:textFill>
                        <w14:solidFill>
                          <w14:schemeClr w14:val="tx1"/>
                        </w14:solidFill>
                      </w14:textFill>
                    </w:rPr>
                    <w:t>监测点</w:t>
                  </w:r>
                </w:p>
              </w:tc>
              <w:tc>
                <w:tcPr>
                  <w:tcW w:w="566" w:type="pct"/>
                  <w:tcMar>
                    <w:left w:w="28" w:type="dxa"/>
                    <w:right w:w="28" w:type="dxa"/>
                  </w:tcMar>
                  <w:vAlign w:val="center"/>
                </w:tcPr>
                <w:p w14:paraId="7806EC73">
                  <w:pPr>
                    <w:adjustRightInd w:val="0"/>
                    <w:spacing w:line="240" w:lineRule="exact"/>
                    <w:jc w:val="center"/>
                    <w:textAlignment w:val="baseline"/>
                    <w:rPr>
                      <w:rFonts w:ascii="Times New Roman" w:hAnsi="Times New Roman" w:eastAsia="宋体" w:cs="Times New Roman"/>
                      <w:b/>
                      <w:bCs/>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kern w:val="0"/>
                      <w:szCs w:val="21"/>
                      <w14:textFill>
                        <w14:solidFill>
                          <w14:schemeClr w14:val="tx1"/>
                        </w14:solidFill>
                      </w14:textFill>
                    </w:rPr>
                    <w:t>监测项目</w:t>
                  </w:r>
                </w:p>
              </w:tc>
              <w:tc>
                <w:tcPr>
                  <w:tcW w:w="893" w:type="pct"/>
                  <w:tcMar>
                    <w:left w:w="28" w:type="dxa"/>
                    <w:right w:w="28" w:type="dxa"/>
                  </w:tcMar>
                  <w:vAlign w:val="center"/>
                </w:tcPr>
                <w:p w14:paraId="1CA39E96">
                  <w:pPr>
                    <w:adjustRightInd w:val="0"/>
                    <w:spacing w:line="240" w:lineRule="exact"/>
                    <w:jc w:val="center"/>
                    <w:textAlignment w:val="baseline"/>
                    <w:rPr>
                      <w:rFonts w:ascii="Times New Roman" w:hAnsi="Times New Roman" w:eastAsia="宋体" w:cs="Times New Roman"/>
                      <w:b/>
                      <w:bCs/>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kern w:val="0"/>
                      <w:szCs w:val="21"/>
                      <w14:textFill>
                        <w14:solidFill>
                          <w14:schemeClr w14:val="tx1"/>
                        </w14:solidFill>
                      </w14:textFill>
                    </w:rPr>
                    <w:t>监测日期</w:t>
                  </w:r>
                </w:p>
              </w:tc>
              <w:tc>
                <w:tcPr>
                  <w:tcW w:w="710" w:type="pct"/>
                  <w:tcMar>
                    <w:left w:w="28" w:type="dxa"/>
                    <w:right w:w="28" w:type="dxa"/>
                  </w:tcMar>
                  <w:vAlign w:val="center"/>
                </w:tcPr>
                <w:p w14:paraId="473A8822">
                  <w:pPr>
                    <w:adjustRightInd w:val="0"/>
                    <w:spacing w:line="240" w:lineRule="exact"/>
                    <w:jc w:val="center"/>
                    <w:textAlignment w:val="baseline"/>
                    <w:rPr>
                      <w:rFonts w:ascii="Times New Roman" w:hAnsi="Times New Roman" w:eastAsia="宋体" w:cs="Times New Roman"/>
                      <w:b/>
                      <w:bCs/>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kern w:val="0"/>
                      <w:szCs w:val="21"/>
                      <w14:textFill>
                        <w14:solidFill>
                          <w14:schemeClr w14:val="tx1"/>
                        </w14:solidFill>
                      </w14:textFill>
                    </w:rPr>
                    <w:t>监测浓度（mg/m</w:t>
                  </w:r>
                  <w:r>
                    <w:rPr>
                      <w:rFonts w:ascii="Times New Roman" w:hAnsi="Times New Roman" w:eastAsia="宋体" w:cs="Times New Roman"/>
                      <w:b/>
                      <w:bCs/>
                      <w:color w:val="000000" w:themeColor="text1"/>
                      <w:kern w:val="0"/>
                      <w:szCs w:val="21"/>
                      <w:vertAlign w:val="superscript"/>
                      <w14:textFill>
                        <w14:solidFill>
                          <w14:schemeClr w14:val="tx1"/>
                        </w14:solidFill>
                      </w14:textFill>
                    </w:rPr>
                    <w:t>3</w:t>
                  </w:r>
                  <w:r>
                    <w:rPr>
                      <w:rFonts w:ascii="Times New Roman" w:hAnsi="Times New Roman" w:eastAsia="宋体" w:cs="Times New Roman"/>
                      <w:b/>
                      <w:bCs/>
                      <w:color w:val="000000" w:themeColor="text1"/>
                      <w:kern w:val="0"/>
                      <w:szCs w:val="21"/>
                      <w14:textFill>
                        <w14:solidFill>
                          <w14:schemeClr w14:val="tx1"/>
                        </w14:solidFill>
                      </w14:textFill>
                    </w:rPr>
                    <w:t>）</w:t>
                  </w:r>
                </w:p>
              </w:tc>
              <w:tc>
                <w:tcPr>
                  <w:tcW w:w="712" w:type="pct"/>
                  <w:vAlign w:val="center"/>
                </w:tcPr>
                <w:p w14:paraId="23500719">
                  <w:pPr>
                    <w:adjustRightInd w:val="0"/>
                    <w:spacing w:line="240" w:lineRule="exact"/>
                    <w:ind w:left="-105" w:leftChars="-50" w:right="-105" w:rightChars="-50"/>
                    <w:jc w:val="center"/>
                    <w:textAlignment w:val="baseline"/>
                    <w:rPr>
                      <w:rFonts w:ascii="Times New Roman" w:hAnsi="Times New Roman" w:eastAsia="宋体" w:cs="Times New Roman"/>
                      <w:b/>
                      <w:bCs/>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kern w:val="0"/>
                      <w:szCs w:val="21"/>
                      <w14:textFill>
                        <w14:solidFill>
                          <w14:schemeClr w14:val="tx1"/>
                        </w14:solidFill>
                      </w14:textFill>
                    </w:rPr>
                    <w:t>标准值（μg/m</w:t>
                  </w:r>
                  <w:r>
                    <w:rPr>
                      <w:rFonts w:ascii="Times New Roman" w:hAnsi="Times New Roman" w:eastAsia="宋体" w:cs="Times New Roman"/>
                      <w:b/>
                      <w:bCs/>
                      <w:color w:val="000000" w:themeColor="text1"/>
                      <w:kern w:val="0"/>
                      <w:szCs w:val="21"/>
                      <w:vertAlign w:val="superscript"/>
                      <w14:textFill>
                        <w14:solidFill>
                          <w14:schemeClr w14:val="tx1"/>
                        </w14:solidFill>
                      </w14:textFill>
                    </w:rPr>
                    <w:t>3</w:t>
                  </w:r>
                  <w:r>
                    <w:rPr>
                      <w:rFonts w:ascii="Times New Roman" w:hAnsi="Times New Roman" w:eastAsia="宋体" w:cs="Times New Roman"/>
                      <w:b/>
                      <w:bCs/>
                      <w:color w:val="000000" w:themeColor="text1"/>
                      <w:kern w:val="0"/>
                      <w:szCs w:val="21"/>
                      <w14:textFill>
                        <w14:solidFill>
                          <w14:schemeClr w14:val="tx1"/>
                        </w14:solidFill>
                      </w14:textFill>
                    </w:rPr>
                    <w:t>）</w:t>
                  </w:r>
                </w:p>
              </w:tc>
              <w:tc>
                <w:tcPr>
                  <w:tcW w:w="710" w:type="pct"/>
                  <w:tcMar>
                    <w:left w:w="28" w:type="dxa"/>
                    <w:right w:w="28" w:type="dxa"/>
                  </w:tcMar>
                  <w:vAlign w:val="center"/>
                </w:tcPr>
                <w:p w14:paraId="764CB3F3">
                  <w:pPr>
                    <w:adjustRightInd w:val="0"/>
                    <w:spacing w:line="240" w:lineRule="exact"/>
                    <w:jc w:val="center"/>
                    <w:textAlignment w:val="baseline"/>
                    <w:rPr>
                      <w:rFonts w:ascii="Times New Roman" w:hAnsi="Times New Roman" w:eastAsia="宋体" w:cs="Times New Roman"/>
                      <w:b/>
                      <w:bCs/>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kern w:val="0"/>
                      <w:szCs w:val="21"/>
                      <w14:textFill>
                        <w14:solidFill>
                          <w14:schemeClr w14:val="tx1"/>
                        </w14:solidFill>
                      </w14:textFill>
                    </w:rPr>
                    <w:t>污染物标准指数（P</w:t>
                  </w:r>
                  <w:r>
                    <w:rPr>
                      <w:rFonts w:ascii="Times New Roman" w:hAnsi="Times New Roman" w:eastAsia="宋体" w:cs="Times New Roman"/>
                      <w:b/>
                      <w:bCs/>
                      <w:color w:val="000000" w:themeColor="text1"/>
                      <w:kern w:val="0"/>
                      <w:szCs w:val="21"/>
                      <w:vertAlign w:val="subscript"/>
                      <w14:textFill>
                        <w14:solidFill>
                          <w14:schemeClr w14:val="tx1"/>
                        </w14:solidFill>
                      </w14:textFill>
                    </w:rPr>
                    <w:t>i</w:t>
                  </w:r>
                  <w:r>
                    <w:rPr>
                      <w:rFonts w:ascii="Times New Roman" w:hAnsi="Times New Roman" w:eastAsia="宋体" w:cs="Times New Roman"/>
                      <w:b/>
                      <w:bCs/>
                      <w:color w:val="000000" w:themeColor="text1"/>
                      <w:kern w:val="0"/>
                      <w:szCs w:val="21"/>
                      <w14:textFill>
                        <w14:solidFill>
                          <w14:schemeClr w14:val="tx1"/>
                        </w14:solidFill>
                      </w14:textFill>
                    </w:rPr>
                    <w:t>）</w:t>
                  </w:r>
                </w:p>
              </w:tc>
              <w:tc>
                <w:tcPr>
                  <w:tcW w:w="356" w:type="pct"/>
                  <w:tcMar>
                    <w:left w:w="28" w:type="dxa"/>
                    <w:right w:w="28" w:type="dxa"/>
                  </w:tcMar>
                  <w:vAlign w:val="center"/>
                </w:tcPr>
                <w:p w14:paraId="49CC07CE">
                  <w:pPr>
                    <w:adjustRightInd w:val="0"/>
                    <w:spacing w:line="240" w:lineRule="exact"/>
                    <w:jc w:val="center"/>
                    <w:textAlignment w:val="baseline"/>
                    <w:rPr>
                      <w:rFonts w:ascii="Times New Roman" w:hAnsi="Times New Roman" w:eastAsia="宋体" w:cs="Times New Roman"/>
                      <w:b/>
                      <w:bCs/>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kern w:val="0"/>
                      <w:szCs w:val="21"/>
                      <w14:textFill>
                        <w14:solidFill>
                          <w14:schemeClr w14:val="tx1"/>
                        </w14:solidFill>
                      </w14:textFill>
                    </w:rPr>
                    <w:t>超标率</w:t>
                  </w:r>
                </w:p>
              </w:tc>
              <w:tc>
                <w:tcPr>
                  <w:tcW w:w="506" w:type="pct"/>
                  <w:tcMar>
                    <w:left w:w="28" w:type="dxa"/>
                    <w:right w:w="28" w:type="dxa"/>
                  </w:tcMar>
                  <w:vAlign w:val="center"/>
                </w:tcPr>
                <w:p w14:paraId="55221DDE">
                  <w:pPr>
                    <w:adjustRightInd w:val="0"/>
                    <w:spacing w:line="240" w:lineRule="exact"/>
                    <w:jc w:val="center"/>
                    <w:textAlignment w:val="baseline"/>
                    <w:rPr>
                      <w:rFonts w:ascii="Times New Roman" w:hAnsi="Times New Roman" w:eastAsia="宋体" w:cs="Times New Roman"/>
                      <w:b/>
                      <w:bCs/>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kern w:val="0"/>
                      <w:szCs w:val="21"/>
                      <w14:textFill>
                        <w14:solidFill>
                          <w14:schemeClr w14:val="tx1"/>
                        </w14:solidFill>
                      </w14:textFill>
                    </w:rPr>
                    <w:t>最大超标倍数</w:t>
                  </w:r>
                </w:p>
              </w:tc>
            </w:tr>
            <w:tr w14:paraId="41A134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restart"/>
                  <w:tcMar>
                    <w:left w:w="28" w:type="dxa"/>
                    <w:right w:w="28" w:type="dxa"/>
                  </w:tcMar>
                  <w:vAlign w:val="center"/>
                </w:tcPr>
                <w:p w14:paraId="29015E87">
                  <w:pPr>
                    <w:adjustRightInd w:val="0"/>
                    <w:snapToGri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厂址</w:t>
                  </w:r>
                </w:p>
              </w:tc>
              <w:tc>
                <w:tcPr>
                  <w:tcW w:w="566" w:type="pct"/>
                  <w:vMerge w:val="restart"/>
                  <w:tcMar>
                    <w:left w:w="28" w:type="dxa"/>
                    <w:right w:w="28" w:type="dxa"/>
                  </w:tcMar>
                  <w:vAlign w:val="center"/>
                </w:tcPr>
                <w:p w14:paraId="7BA0E2E9">
                  <w:pPr>
                    <w:autoSpaceDE w:val="0"/>
                    <w:autoSpaceDN w:val="0"/>
                    <w:adjustRightIn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氨</w:t>
                  </w:r>
                </w:p>
              </w:tc>
              <w:tc>
                <w:tcPr>
                  <w:tcW w:w="893" w:type="pct"/>
                  <w:tcMar>
                    <w:left w:w="28" w:type="dxa"/>
                    <w:right w:w="28" w:type="dxa"/>
                  </w:tcMar>
                  <w:vAlign w:val="center"/>
                </w:tcPr>
                <w:p w14:paraId="2BB7857A">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2021.1.25</w:t>
                  </w:r>
                </w:p>
              </w:tc>
              <w:tc>
                <w:tcPr>
                  <w:tcW w:w="710" w:type="pct"/>
                  <w:tcMar>
                    <w:left w:w="28" w:type="dxa"/>
                    <w:right w:w="28" w:type="dxa"/>
                  </w:tcMar>
                  <w:vAlign w:val="center"/>
                </w:tcPr>
                <w:p w14:paraId="1F85BD78">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0.07~0.09</w:t>
                  </w:r>
                </w:p>
              </w:tc>
              <w:tc>
                <w:tcPr>
                  <w:tcW w:w="712" w:type="pct"/>
                  <w:vMerge w:val="restart"/>
                  <w:vAlign w:val="center"/>
                </w:tcPr>
                <w:p w14:paraId="09689FFA">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200</w:t>
                  </w:r>
                </w:p>
              </w:tc>
              <w:tc>
                <w:tcPr>
                  <w:tcW w:w="710" w:type="pct"/>
                  <w:tcMar>
                    <w:left w:w="28" w:type="dxa"/>
                    <w:right w:w="28" w:type="dxa"/>
                  </w:tcMar>
                  <w:vAlign w:val="center"/>
                </w:tcPr>
                <w:p w14:paraId="77B2A44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0.45</w:t>
                  </w:r>
                </w:p>
              </w:tc>
              <w:tc>
                <w:tcPr>
                  <w:tcW w:w="356" w:type="pct"/>
                  <w:tcMar>
                    <w:left w:w="28" w:type="dxa"/>
                    <w:right w:w="28" w:type="dxa"/>
                  </w:tcMar>
                  <w:vAlign w:val="center"/>
                </w:tcPr>
                <w:p w14:paraId="5F363B78">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34563AE6">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52C9BF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2DC5C12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3AFB3EA5">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5310FEF8">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2021.1.26</w:t>
                  </w:r>
                </w:p>
              </w:tc>
              <w:tc>
                <w:tcPr>
                  <w:tcW w:w="710" w:type="pct"/>
                  <w:tcMar>
                    <w:left w:w="28" w:type="dxa"/>
                    <w:right w:w="28" w:type="dxa"/>
                  </w:tcMar>
                  <w:vAlign w:val="center"/>
                </w:tcPr>
                <w:p w14:paraId="7C66E505">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0.06~0.09</w:t>
                  </w:r>
                </w:p>
              </w:tc>
              <w:tc>
                <w:tcPr>
                  <w:tcW w:w="712" w:type="pct"/>
                  <w:vMerge w:val="continue"/>
                  <w:vAlign w:val="center"/>
                </w:tcPr>
                <w:p w14:paraId="19A11CE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2103D446">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0.45</w:t>
                  </w:r>
                </w:p>
              </w:tc>
              <w:tc>
                <w:tcPr>
                  <w:tcW w:w="356" w:type="pct"/>
                  <w:tcMar>
                    <w:left w:w="28" w:type="dxa"/>
                    <w:right w:w="28" w:type="dxa"/>
                  </w:tcMar>
                  <w:vAlign w:val="center"/>
                </w:tcPr>
                <w:p w14:paraId="70B5424A">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133D637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5A8E84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33E82476">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399D9D7A">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068E6F42">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2021.1.27</w:t>
                  </w:r>
                </w:p>
              </w:tc>
              <w:tc>
                <w:tcPr>
                  <w:tcW w:w="710" w:type="pct"/>
                  <w:tcMar>
                    <w:left w:w="28" w:type="dxa"/>
                    <w:right w:w="28" w:type="dxa"/>
                  </w:tcMar>
                  <w:vAlign w:val="center"/>
                </w:tcPr>
                <w:p w14:paraId="3F926DC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0.07~0.09</w:t>
                  </w:r>
                </w:p>
              </w:tc>
              <w:tc>
                <w:tcPr>
                  <w:tcW w:w="712" w:type="pct"/>
                  <w:vMerge w:val="continue"/>
                  <w:vAlign w:val="center"/>
                </w:tcPr>
                <w:p w14:paraId="5D27257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164E687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0.45</w:t>
                  </w:r>
                </w:p>
              </w:tc>
              <w:tc>
                <w:tcPr>
                  <w:tcW w:w="356" w:type="pct"/>
                  <w:tcMar>
                    <w:left w:w="28" w:type="dxa"/>
                    <w:right w:w="28" w:type="dxa"/>
                  </w:tcMar>
                  <w:vAlign w:val="center"/>
                </w:tcPr>
                <w:p w14:paraId="53C54DC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378CF52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50E559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0DA42236">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04C11910">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2EA25C2C">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2021.1.28</w:t>
                  </w:r>
                </w:p>
              </w:tc>
              <w:tc>
                <w:tcPr>
                  <w:tcW w:w="710" w:type="pct"/>
                  <w:tcMar>
                    <w:left w:w="28" w:type="dxa"/>
                    <w:right w:w="28" w:type="dxa"/>
                  </w:tcMar>
                  <w:vAlign w:val="center"/>
                </w:tcPr>
                <w:p w14:paraId="5B9EE2A6">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0.06~0.08</w:t>
                  </w:r>
                </w:p>
              </w:tc>
              <w:tc>
                <w:tcPr>
                  <w:tcW w:w="712" w:type="pct"/>
                  <w:vMerge w:val="continue"/>
                  <w:vAlign w:val="center"/>
                </w:tcPr>
                <w:p w14:paraId="310AC0E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5A895B88">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0.4</w:t>
                  </w:r>
                </w:p>
              </w:tc>
              <w:tc>
                <w:tcPr>
                  <w:tcW w:w="356" w:type="pct"/>
                  <w:tcMar>
                    <w:left w:w="28" w:type="dxa"/>
                    <w:right w:w="28" w:type="dxa"/>
                  </w:tcMar>
                  <w:vAlign w:val="center"/>
                </w:tcPr>
                <w:p w14:paraId="519070A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56724020">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3A76F5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4BAAD635">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6E7B0FA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18D2B317">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2021.1.29</w:t>
                  </w:r>
                </w:p>
              </w:tc>
              <w:tc>
                <w:tcPr>
                  <w:tcW w:w="710" w:type="pct"/>
                  <w:tcMar>
                    <w:left w:w="28" w:type="dxa"/>
                    <w:right w:w="28" w:type="dxa"/>
                  </w:tcMar>
                  <w:vAlign w:val="center"/>
                </w:tcPr>
                <w:p w14:paraId="56BC1BE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0.07~0.09</w:t>
                  </w:r>
                </w:p>
              </w:tc>
              <w:tc>
                <w:tcPr>
                  <w:tcW w:w="712" w:type="pct"/>
                  <w:vMerge w:val="continue"/>
                  <w:vAlign w:val="center"/>
                </w:tcPr>
                <w:p w14:paraId="34EEFAC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1C1B9EF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0.45</w:t>
                  </w:r>
                </w:p>
              </w:tc>
              <w:tc>
                <w:tcPr>
                  <w:tcW w:w="356" w:type="pct"/>
                  <w:tcMar>
                    <w:left w:w="28" w:type="dxa"/>
                    <w:right w:w="28" w:type="dxa"/>
                  </w:tcMar>
                  <w:vAlign w:val="center"/>
                </w:tcPr>
                <w:p w14:paraId="007F13B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776AFBC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25461D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307D3F1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0DECFB54">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0AA104B8">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2021.1.30</w:t>
                  </w:r>
                </w:p>
              </w:tc>
              <w:tc>
                <w:tcPr>
                  <w:tcW w:w="710" w:type="pct"/>
                  <w:tcMar>
                    <w:left w:w="28" w:type="dxa"/>
                    <w:right w:w="28" w:type="dxa"/>
                  </w:tcMar>
                  <w:vAlign w:val="center"/>
                </w:tcPr>
                <w:p w14:paraId="2909847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0.08~0.10</w:t>
                  </w:r>
                </w:p>
              </w:tc>
              <w:tc>
                <w:tcPr>
                  <w:tcW w:w="712" w:type="pct"/>
                  <w:vMerge w:val="continue"/>
                  <w:vAlign w:val="center"/>
                </w:tcPr>
                <w:p w14:paraId="045E0F41">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2D81D3A0">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0.5</w:t>
                  </w:r>
                </w:p>
              </w:tc>
              <w:tc>
                <w:tcPr>
                  <w:tcW w:w="356" w:type="pct"/>
                  <w:tcMar>
                    <w:left w:w="28" w:type="dxa"/>
                    <w:right w:w="28" w:type="dxa"/>
                  </w:tcMar>
                  <w:vAlign w:val="center"/>
                </w:tcPr>
                <w:p w14:paraId="55BD19C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6540BB35">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3BB680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0888B7C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48D54BA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439934AF">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2021.1.31</w:t>
                  </w:r>
                </w:p>
              </w:tc>
              <w:tc>
                <w:tcPr>
                  <w:tcW w:w="710" w:type="pct"/>
                  <w:tcMar>
                    <w:left w:w="28" w:type="dxa"/>
                    <w:right w:w="28" w:type="dxa"/>
                  </w:tcMar>
                  <w:vAlign w:val="center"/>
                </w:tcPr>
                <w:p w14:paraId="2D37015A">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0.05~0.07</w:t>
                  </w:r>
                </w:p>
              </w:tc>
              <w:tc>
                <w:tcPr>
                  <w:tcW w:w="712" w:type="pct"/>
                  <w:vMerge w:val="continue"/>
                  <w:vAlign w:val="center"/>
                </w:tcPr>
                <w:p w14:paraId="7B75C561">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73CEC62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0.35</w:t>
                  </w:r>
                </w:p>
              </w:tc>
              <w:tc>
                <w:tcPr>
                  <w:tcW w:w="356" w:type="pct"/>
                  <w:tcMar>
                    <w:left w:w="28" w:type="dxa"/>
                    <w:right w:w="28" w:type="dxa"/>
                  </w:tcMar>
                  <w:vAlign w:val="center"/>
                </w:tcPr>
                <w:p w14:paraId="30FBD52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5E12F5E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541AC2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4405AEF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restart"/>
                  <w:tcMar>
                    <w:left w:w="28" w:type="dxa"/>
                    <w:right w:w="28" w:type="dxa"/>
                  </w:tcMar>
                  <w:vAlign w:val="center"/>
                </w:tcPr>
                <w:p w14:paraId="42CAB5B5">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硫化氢</w:t>
                  </w:r>
                </w:p>
              </w:tc>
              <w:tc>
                <w:tcPr>
                  <w:tcW w:w="893" w:type="pct"/>
                  <w:tcMar>
                    <w:left w:w="28" w:type="dxa"/>
                    <w:right w:w="28" w:type="dxa"/>
                  </w:tcMar>
                  <w:vAlign w:val="center"/>
                </w:tcPr>
                <w:p w14:paraId="11AE4930">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2021.1.25</w:t>
                  </w:r>
                </w:p>
              </w:tc>
              <w:tc>
                <w:tcPr>
                  <w:tcW w:w="710" w:type="pct"/>
                  <w:tcMar>
                    <w:left w:w="28" w:type="dxa"/>
                    <w:right w:w="28" w:type="dxa"/>
                  </w:tcMar>
                  <w:vAlign w:val="center"/>
                </w:tcPr>
                <w:p w14:paraId="56623B64">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0.001</w:t>
                  </w:r>
                </w:p>
              </w:tc>
              <w:tc>
                <w:tcPr>
                  <w:tcW w:w="712" w:type="pct"/>
                  <w:vMerge w:val="restart"/>
                  <w:vAlign w:val="center"/>
                </w:tcPr>
                <w:p w14:paraId="423B6C8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10</w:t>
                  </w:r>
                </w:p>
              </w:tc>
              <w:tc>
                <w:tcPr>
                  <w:tcW w:w="710" w:type="pct"/>
                  <w:tcMar>
                    <w:left w:w="28" w:type="dxa"/>
                    <w:right w:w="28" w:type="dxa"/>
                  </w:tcMar>
                  <w:vAlign w:val="center"/>
                </w:tcPr>
                <w:p w14:paraId="086E435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0.1</w:t>
                  </w:r>
                </w:p>
              </w:tc>
              <w:tc>
                <w:tcPr>
                  <w:tcW w:w="356" w:type="pct"/>
                  <w:tcMar>
                    <w:left w:w="28" w:type="dxa"/>
                    <w:right w:w="28" w:type="dxa"/>
                  </w:tcMar>
                  <w:vAlign w:val="center"/>
                </w:tcPr>
                <w:p w14:paraId="3F696BE5">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1AFEA63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2A47A1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0FE02C25">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68EDA72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680F0410">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2021.1.26</w:t>
                  </w:r>
                </w:p>
              </w:tc>
              <w:tc>
                <w:tcPr>
                  <w:tcW w:w="710" w:type="pct"/>
                  <w:tcMar>
                    <w:left w:w="28" w:type="dxa"/>
                    <w:right w:w="28" w:type="dxa"/>
                  </w:tcMar>
                  <w:vAlign w:val="center"/>
                </w:tcPr>
                <w:p w14:paraId="2F0A4492">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0.001</w:t>
                  </w:r>
                </w:p>
              </w:tc>
              <w:tc>
                <w:tcPr>
                  <w:tcW w:w="712" w:type="pct"/>
                  <w:vMerge w:val="continue"/>
                  <w:vAlign w:val="center"/>
                </w:tcPr>
                <w:p w14:paraId="3F7E155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4BA69A7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0.1</w:t>
                  </w:r>
                </w:p>
              </w:tc>
              <w:tc>
                <w:tcPr>
                  <w:tcW w:w="356" w:type="pct"/>
                  <w:tcMar>
                    <w:left w:w="28" w:type="dxa"/>
                    <w:right w:w="28" w:type="dxa"/>
                  </w:tcMar>
                  <w:vAlign w:val="center"/>
                </w:tcPr>
                <w:p w14:paraId="0521FF28">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053A58A4">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5CDC8C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2BB34AFA">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691DE1B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720C830E">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2021.1.27</w:t>
                  </w:r>
                </w:p>
              </w:tc>
              <w:tc>
                <w:tcPr>
                  <w:tcW w:w="710" w:type="pct"/>
                  <w:tcMar>
                    <w:left w:w="28" w:type="dxa"/>
                    <w:right w:w="28" w:type="dxa"/>
                  </w:tcMar>
                  <w:vAlign w:val="center"/>
                </w:tcPr>
                <w:p w14:paraId="621075E0">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0.001</w:t>
                  </w:r>
                </w:p>
              </w:tc>
              <w:tc>
                <w:tcPr>
                  <w:tcW w:w="712" w:type="pct"/>
                  <w:vMerge w:val="continue"/>
                  <w:vAlign w:val="center"/>
                </w:tcPr>
                <w:p w14:paraId="706C6B1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787D8B9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0.1</w:t>
                  </w:r>
                </w:p>
              </w:tc>
              <w:tc>
                <w:tcPr>
                  <w:tcW w:w="356" w:type="pct"/>
                  <w:tcMar>
                    <w:left w:w="28" w:type="dxa"/>
                    <w:right w:w="28" w:type="dxa"/>
                  </w:tcMar>
                  <w:vAlign w:val="center"/>
                </w:tcPr>
                <w:p w14:paraId="085E2714">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2F7BAC1A">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6690A3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138B9638">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4ADB31AA">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360A9408">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2021.1.28</w:t>
                  </w:r>
                </w:p>
              </w:tc>
              <w:tc>
                <w:tcPr>
                  <w:tcW w:w="710" w:type="pct"/>
                  <w:tcMar>
                    <w:left w:w="28" w:type="dxa"/>
                    <w:right w:w="28" w:type="dxa"/>
                  </w:tcMar>
                  <w:vAlign w:val="center"/>
                </w:tcPr>
                <w:p w14:paraId="1D3CCB1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0.001</w:t>
                  </w:r>
                </w:p>
              </w:tc>
              <w:tc>
                <w:tcPr>
                  <w:tcW w:w="712" w:type="pct"/>
                  <w:vMerge w:val="continue"/>
                  <w:vAlign w:val="center"/>
                </w:tcPr>
                <w:p w14:paraId="1796EE2A">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3D4795F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0.1</w:t>
                  </w:r>
                </w:p>
              </w:tc>
              <w:tc>
                <w:tcPr>
                  <w:tcW w:w="356" w:type="pct"/>
                  <w:tcMar>
                    <w:left w:w="28" w:type="dxa"/>
                    <w:right w:w="28" w:type="dxa"/>
                  </w:tcMar>
                  <w:vAlign w:val="center"/>
                </w:tcPr>
                <w:p w14:paraId="7A2D3EB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6EDADCF8">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3FD898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63A822F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0EB0AF00">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5714EBD5">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2021.1.29</w:t>
                  </w:r>
                </w:p>
              </w:tc>
              <w:tc>
                <w:tcPr>
                  <w:tcW w:w="710" w:type="pct"/>
                  <w:tcMar>
                    <w:left w:w="28" w:type="dxa"/>
                    <w:right w:w="28" w:type="dxa"/>
                  </w:tcMar>
                  <w:vAlign w:val="center"/>
                </w:tcPr>
                <w:p w14:paraId="138BCE75">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0.001</w:t>
                  </w:r>
                </w:p>
              </w:tc>
              <w:tc>
                <w:tcPr>
                  <w:tcW w:w="712" w:type="pct"/>
                  <w:vMerge w:val="continue"/>
                  <w:vAlign w:val="center"/>
                </w:tcPr>
                <w:p w14:paraId="38A3D99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0DD51A36">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0.1</w:t>
                  </w:r>
                </w:p>
              </w:tc>
              <w:tc>
                <w:tcPr>
                  <w:tcW w:w="356" w:type="pct"/>
                  <w:tcMar>
                    <w:left w:w="28" w:type="dxa"/>
                    <w:right w:w="28" w:type="dxa"/>
                  </w:tcMar>
                  <w:vAlign w:val="center"/>
                </w:tcPr>
                <w:p w14:paraId="21BAE16A">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38405D6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74B622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7982ABA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4F9F20D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586374FD">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2021.1.30</w:t>
                  </w:r>
                </w:p>
              </w:tc>
              <w:tc>
                <w:tcPr>
                  <w:tcW w:w="710" w:type="pct"/>
                  <w:tcMar>
                    <w:left w:w="28" w:type="dxa"/>
                    <w:right w:w="28" w:type="dxa"/>
                  </w:tcMar>
                  <w:vAlign w:val="center"/>
                </w:tcPr>
                <w:p w14:paraId="5BE29DF6">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0.001</w:t>
                  </w:r>
                </w:p>
              </w:tc>
              <w:tc>
                <w:tcPr>
                  <w:tcW w:w="712" w:type="pct"/>
                  <w:vMerge w:val="continue"/>
                  <w:vAlign w:val="center"/>
                </w:tcPr>
                <w:p w14:paraId="11E1DF9C">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0CD1DC8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0.1</w:t>
                  </w:r>
                </w:p>
              </w:tc>
              <w:tc>
                <w:tcPr>
                  <w:tcW w:w="356" w:type="pct"/>
                  <w:tcMar>
                    <w:left w:w="28" w:type="dxa"/>
                    <w:right w:w="28" w:type="dxa"/>
                  </w:tcMar>
                  <w:vAlign w:val="center"/>
                </w:tcPr>
                <w:p w14:paraId="309F220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674B44D6">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2CD1B0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5210485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7F014A4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53B01039">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2021.1.31</w:t>
                  </w:r>
                </w:p>
              </w:tc>
              <w:tc>
                <w:tcPr>
                  <w:tcW w:w="710" w:type="pct"/>
                  <w:tcMar>
                    <w:left w:w="28" w:type="dxa"/>
                    <w:right w:w="28" w:type="dxa"/>
                  </w:tcMar>
                  <w:vAlign w:val="center"/>
                </w:tcPr>
                <w:p w14:paraId="7203CF90">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0.001</w:t>
                  </w:r>
                </w:p>
              </w:tc>
              <w:tc>
                <w:tcPr>
                  <w:tcW w:w="712" w:type="pct"/>
                  <w:vMerge w:val="continue"/>
                  <w:vAlign w:val="center"/>
                </w:tcPr>
                <w:p w14:paraId="797A396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385646F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0.1</w:t>
                  </w:r>
                </w:p>
              </w:tc>
              <w:tc>
                <w:tcPr>
                  <w:tcW w:w="356" w:type="pct"/>
                  <w:tcMar>
                    <w:left w:w="28" w:type="dxa"/>
                    <w:right w:w="28" w:type="dxa"/>
                  </w:tcMar>
                  <w:vAlign w:val="center"/>
                </w:tcPr>
                <w:p w14:paraId="0CDB52D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39C2698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7B5D1C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43EE8C2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restart"/>
                  <w:tcMar>
                    <w:left w:w="28" w:type="dxa"/>
                    <w:right w:w="28" w:type="dxa"/>
                  </w:tcMar>
                  <w:vAlign w:val="center"/>
                </w:tcPr>
                <w:p w14:paraId="2805A0EF">
                  <w:pPr>
                    <w:adjustRightInd w:val="0"/>
                    <w:spacing w:line="240" w:lineRule="exact"/>
                    <w:ind w:left="-105" w:leftChars="-50" w:right="-105" w:rightChars="-5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臭气浓度</w:t>
                  </w:r>
                </w:p>
                <w:p w14:paraId="30B1EC3A">
                  <w:pPr>
                    <w:adjustRightInd w:val="0"/>
                    <w:spacing w:line="240" w:lineRule="exact"/>
                    <w:ind w:left="-105" w:leftChars="-50" w:right="-105" w:rightChars="-5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（无量纲</w:t>
                  </w:r>
                </w:p>
                <w:p w14:paraId="15760FA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893" w:type="pct"/>
                  <w:tcMar>
                    <w:left w:w="28" w:type="dxa"/>
                    <w:right w:w="28" w:type="dxa"/>
                  </w:tcMar>
                  <w:vAlign w:val="center"/>
                </w:tcPr>
                <w:p w14:paraId="792551DA">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2021.1.25</w:t>
                  </w:r>
                </w:p>
              </w:tc>
              <w:tc>
                <w:tcPr>
                  <w:tcW w:w="710" w:type="pct"/>
                  <w:tcMar>
                    <w:left w:w="28" w:type="dxa"/>
                    <w:right w:w="28" w:type="dxa"/>
                  </w:tcMar>
                  <w:vAlign w:val="center"/>
                </w:tcPr>
                <w:p w14:paraId="611C9314">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&lt;10</w:t>
                  </w:r>
                </w:p>
              </w:tc>
              <w:tc>
                <w:tcPr>
                  <w:tcW w:w="712" w:type="pct"/>
                  <w:vMerge w:val="restart"/>
                  <w:vAlign w:val="center"/>
                </w:tcPr>
                <w:p w14:paraId="2752C8A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w:t>
                  </w:r>
                </w:p>
              </w:tc>
              <w:tc>
                <w:tcPr>
                  <w:tcW w:w="710" w:type="pct"/>
                  <w:tcMar>
                    <w:left w:w="28" w:type="dxa"/>
                    <w:right w:w="28" w:type="dxa"/>
                  </w:tcMar>
                  <w:vAlign w:val="center"/>
                </w:tcPr>
                <w:p w14:paraId="53172B25">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＜0.5</w:t>
                  </w:r>
                </w:p>
              </w:tc>
              <w:tc>
                <w:tcPr>
                  <w:tcW w:w="356" w:type="pct"/>
                  <w:tcMar>
                    <w:left w:w="28" w:type="dxa"/>
                    <w:right w:w="28" w:type="dxa"/>
                  </w:tcMar>
                  <w:vAlign w:val="center"/>
                </w:tcPr>
                <w:p w14:paraId="4693D6C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0FE8A9A2">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39EB7A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66E9513A">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769A644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057A0813">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2021.1.26</w:t>
                  </w:r>
                </w:p>
              </w:tc>
              <w:tc>
                <w:tcPr>
                  <w:tcW w:w="710" w:type="pct"/>
                  <w:tcMar>
                    <w:left w:w="28" w:type="dxa"/>
                    <w:right w:w="28" w:type="dxa"/>
                  </w:tcMar>
                  <w:vAlign w:val="center"/>
                </w:tcPr>
                <w:p w14:paraId="22F694FF">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&lt;10</w:t>
                  </w:r>
                </w:p>
              </w:tc>
              <w:tc>
                <w:tcPr>
                  <w:tcW w:w="712" w:type="pct"/>
                  <w:vMerge w:val="continue"/>
                  <w:vAlign w:val="center"/>
                </w:tcPr>
                <w:p w14:paraId="796C1062">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1832930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＜0.5</w:t>
                  </w:r>
                </w:p>
              </w:tc>
              <w:tc>
                <w:tcPr>
                  <w:tcW w:w="356" w:type="pct"/>
                  <w:tcMar>
                    <w:left w:w="28" w:type="dxa"/>
                    <w:right w:w="28" w:type="dxa"/>
                  </w:tcMar>
                  <w:vAlign w:val="center"/>
                </w:tcPr>
                <w:p w14:paraId="4D40B50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241AB89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6F04F3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267CE792">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3F0B5B2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0BEF8E28">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2021.1.27</w:t>
                  </w:r>
                </w:p>
              </w:tc>
              <w:tc>
                <w:tcPr>
                  <w:tcW w:w="710" w:type="pct"/>
                  <w:tcMar>
                    <w:left w:w="28" w:type="dxa"/>
                    <w:right w:w="28" w:type="dxa"/>
                  </w:tcMar>
                  <w:vAlign w:val="center"/>
                </w:tcPr>
                <w:p w14:paraId="7B91380E">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&lt;10</w:t>
                  </w:r>
                </w:p>
              </w:tc>
              <w:tc>
                <w:tcPr>
                  <w:tcW w:w="712" w:type="pct"/>
                  <w:vMerge w:val="continue"/>
                  <w:vAlign w:val="center"/>
                </w:tcPr>
                <w:p w14:paraId="0F809702">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61837CF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＜0.5</w:t>
                  </w:r>
                </w:p>
              </w:tc>
              <w:tc>
                <w:tcPr>
                  <w:tcW w:w="356" w:type="pct"/>
                  <w:tcMar>
                    <w:left w:w="28" w:type="dxa"/>
                    <w:right w:w="28" w:type="dxa"/>
                  </w:tcMar>
                  <w:vAlign w:val="center"/>
                </w:tcPr>
                <w:p w14:paraId="43F1FF2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3D4D1A5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4E2BC9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2FF60B50">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53802E66">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62D6BAEB">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2021.1.28</w:t>
                  </w:r>
                </w:p>
              </w:tc>
              <w:tc>
                <w:tcPr>
                  <w:tcW w:w="710" w:type="pct"/>
                  <w:tcMar>
                    <w:left w:w="28" w:type="dxa"/>
                    <w:right w:w="28" w:type="dxa"/>
                  </w:tcMar>
                  <w:vAlign w:val="center"/>
                </w:tcPr>
                <w:p w14:paraId="240A1615">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&lt;10</w:t>
                  </w:r>
                </w:p>
              </w:tc>
              <w:tc>
                <w:tcPr>
                  <w:tcW w:w="712" w:type="pct"/>
                  <w:vMerge w:val="continue"/>
                  <w:vAlign w:val="center"/>
                </w:tcPr>
                <w:p w14:paraId="148B30E5">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7B607C3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＜0.5</w:t>
                  </w:r>
                </w:p>
              </w:tc>
              <w:tc>
                <w:tcPr>
                  <w:tcW w:w="356" w:type="pct"/>
                  <w:tcMar>
                    <w:left w:w="28" w:type="dxa"/>
                    <w:right w:w="28" w:type="dxa"/>
                  </w:tcMar>
                  <w:vAlign w:val="center"/>
                </w:tcPr>
                <w:p w14:paraId="140959B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15B3A44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4206CC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640B5F4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056F4E85">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162A06AF">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2021.1.29</w:t>
                  </w:r>
                </w:p>
              </w:tc>
              <w:tc>
                <w:tcPr>
                  <w:tcW w:w="710" w:type="pct"/>
                  <w:tcMar>
                    <w:left w:w="28" w:type="dxa"/>
                    <w:right w:w="28" w:type="dxa"/>
                  </w:tcMar>
                  <w:vAlign w:val="center"/>
                </w:tcPr>
                <w:p w14:paraId="3D230E85">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&lt;10</w:t>
                  </w:r>
                </w:p>
              </w:tc>
              <w:tc>
                <w:tcPr>
                  <w:tcW w:w="712" w:type="pct"/>
                  <w:vMerge w:val="continue"/>
                  <w:vAlign w:val="center"/>
                </w:tcPr>
                <w:p w14:paraId="29650C5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15A5ADB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＜0.5</w:t>
                  </w:r>
                </w:p>
              </w:tc>
              <w:tc>
                <w:tcPr>
                  <w:tcW w:w="356" w:type="pct"/>
                  <w:tcMar>
                    <w:left w:w="28" w:type="dxa"/>
                    <w:right w:w="28" w:type="dxa"/>
                  </w:tcMar>
                  <w:vAlign w:val="center"/>
                </w:tcPr>
                <w:p w14:paraId="439DF1D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0667A89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5F0D65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4FAD41E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7CF608D8">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6C28DC2D">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2021.1.30</w:t>
                  </w:r>
                </w:p>
              </w:tc>
              <w:tc>
                <w:tcPr>
                  <w:tcW w:w="710" w:type="pct"/>
                  <w:tcMar>
                    <w:left w:w="28" w:type="dxa"/>
                    <w:right w:w="28" w:type="dxa"/>
                  </w:tcMar>
                  <w:vAlign w:val="center"/>
                </w:tcPr>
                <w:p w14:paraId="579D3928">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&lt;10</w:t>
                  </w:r>
                </w:p>
              </w:tc>
              <w:tc>
                <w:tcPr>
                  <w:tcW w:w="712" w:type="pct"/>
                  <w:vMerge w:val="continue"/>
                  <w:vAlign w:val="center"/>
                </w:tcPr>
                <w:p w14:paraId="150D344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4CDC7A9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＜0.5</w:t>
                  </w:r>
                </w:p>
              </w:tc>
              <w:tc>
                <w:tcPr>
                  <w:tcW w:w="356" w:type="pct"/>
                  <w:tcMar>
                    <w:left w:w="28" w:type="dxa"/>
                    <w:right w:w="28" w:type="dxa"/>
                  </w:tcMar>
                  <w:vAlign w:val="center"/>
                </w:tcPr>
                <w:p w14:paraId="4C9A6532">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113D1935">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23A5A5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037E77D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2CE92014">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7FAF736A">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2021.1.31</w:t>
                  </w:r>
                </w:p>
              </w:tc>
              <w:tc>
                <w:tcPr>
                  <w:tcW w:w="710" w:type="pct"/>
                  <w:tcMar>
                    <w:left w:w="28" w:type="dxa"/>
                    <w:right w:w="28" w:type="dxa"/>
                  </w:tcMar>
                  <w:vAlign w:val="center"/>
                </w:tcPr>
                <w:p w14:paraId="2BF0F18D">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&lt;10</w:t>
                  </w:r>
                </w:p>
              </w:tc>
              <w:tc>
                <w:tcPr>
                  <w:tcW w:w="712" w:type="pct"/>
                  <w:vMerge w:val="continue"/>
                  <w:vAlign w:val="center"/>
                </w:tcPr>
                <w:p w14:paraId="2D6B310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2DEE1B51">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＜0.5</w:t>
                  </w:r>
                </w:p>
              </w:tc>
              <w:tc>
                <w:tcPr>
                  <w:tcW w:w="356" w:type="pct"/>
                  <w:tcMar>
                    <w:left w:w="28" w:type="dxa"/>
                    <w:right w:w="28" w:type="dxa"/>
                  </w:tcMar>
                  <w:vAlign w:val="center"/>
                </w:tcPr>
                <w:p w14:paraId="283063A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3A58F341">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7DC6DF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7309B8D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restart"/>
                  <w:tcMar>
                    <w:left w:w="28" w:type="dxa"/>
                    <w:right w:w="28" w:type="dxa"/>
                  </w:tcMar>
                  <w:vAlign w:val="center"/>
                </w:tcPr>
                <w:p w14:paraId="277D270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氟化物</w:t>
                  </w:r>
                </w:p>
              </w:tc>
              <w:tc>
                <w:tcPr>
                  <w:tcW w:w="893" w:type="pct"/>
                  <w:tcMar>
                    <w:left w:w="28" w:type="dxa"/>
                    <w:right w:w="28" w:type="dxa"/>
                  </w:tcMar>
                  <w:vAlign w:val="center"/>
                </w:tcPr>
                <w:p w14:paraId="3A67A878">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2021.1.26</w:t>
                  </w:r>
                </w:p>
              </w:tc>
              <w:tc>
                <w:tcPr>
                  <w:tcW w:w="710" w:type="pct"/>
                  <w:tcMar>
                    <w:left w:w="28" w:type="dxa"/>
                    <w:right w:w="28" w:type="dxa"/>
                  </w:tcMar>
                  <w:vAlign w:val="center"/>
                </w:tcPr>
                <w:p w14:paraId="4E42EC7B">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9.0</w:t>
                  </w:r>
                  <w:r>
                    <w:rPr>
                      <w:rFonts w:ascii="Times New Roman" w:hAnsi="Times New Roman" w:cs="Times New Roman"/>
                      <w:color w:val="000000" w:themeColor="text1"/>
                      <w:kern w:val="0"/>
                      <w:szCs w:val="21"/>
                      <w:lang w:bidi="ar"/>
                      <w14:textFill>
                        <w14:solidFill>
                          <w14:schemeClr w14:val="tx1"/>
                        </w14:solidFill>
                      </w14:textFill>
                    </w:rPr>
                    <w:t>×10</w:t>
                  </w:r>
                  <w:r>
                    <w:rPr>
                      <w:rFonts w:ascii="Times New Roman" w:hAnsi="Times New Roman" w:cs="Times New Roman"/>
                      <w:color w:val="000000" w:themeColor="text1"/>
                      <w:kern w:val="0"/>
                      <w:szCs w:val="21"/>
                      <w:vertAlign w:val="superscript"/>
                      <w:lang w:bidi="ar"/>
                      <w14:textFill>
                        <w14:solidFill>
                          <w14:schemeClr w14:val="tx1"/>
                        </w14:solidFill>
                      </w14:textFill>
                    </w:rPr>
                    <w:t>-5</w:t>
                  </w:r>
                </w:p>
              </w:tc>
              <w:tc>
                <w:tcPr>
                  <w:tcW w:w="712" w:type="pct"/>
                  <w:vMerge w:val="restart"/>
                  <w:vAlign w:val="center"/>
                </w:tcPr>
                <w:p w14:paraId="48409AC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7</w:t>
                  </w:r>
                </w:p>
              </w:tc>
              <w:tc>
                <w:tcPr>
                  <w:tcW w:w="710" w:type="pct"/>
                  <w:tcMar>
                    <w:left w:w="28" w:type="dxa"/>
                    <w:right w:w="28" w:type="dxa"/>
                  </w:tcMar>
                  <w:vAlign w:val="center"/>
                </w:tcPr>
                <w:p w14:paraId="04E9E686">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 xml:space="preserve">0.0129 </w:t>
                  </w:r>
                </w:p>
              </w:tc>
              <w:tc>
                <w:tcPr>
                  <w:tcW w:w="356" w:type="pct"/>
                  <w:tcMar>
                    <w:left w:w="28" w:type="dxa"/>
                    <w:right w:w="28" w:type="dxa"/>
                  </w:tcMar>
                  <w:vAlign w:val="center"/>
                </w:tcPr>
                <w:p w14:paraId="02DE26B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0A8576B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271D51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36B5C4B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1CD54BA2">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46C7AF25">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2021.1.27</w:t>
                  </w:r>
                </w:p>
              </w:tc>
              <w:tc>
                <w:tcPr>
                  <w:tcW w:w="710" w:type="pct"/>
                  <w:tcMar>
                    <w:left w:w="28" w:type="dxa"/>
                    <w:right w:w="28" w:type="dxa"/>
                  </w:tcMar>
                  <w:vAlign w:val="center"/>
                </w:tcPr>
                <w:p w14:paraId="76D6B611">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1.0</w:t>
                  </w:r>
                  <w:r>
                    <w:rPr>
                      <w:rFonts w:ascii="Times New Roman" w:hAnsi="Times New Roman" w:cs="Times New Roman"/>
                      <w:color w:val="000000" w:themeColor="text1"/>
                      <w:kern w:val="0"/>
                      <w:szCs w:val="21"/>
                      <w:lang w:bidi="ar"/>
                      <w14:textFill>
                        <w14:solidFill>
                          <w14:schemeClr w14:val="tx1"/>
                        </w14:solidFill>
                      </w14:textFill>
                    </w:rPr>
                    <w:t>×10</w:t>
                  </w:r>
                  <w:r>
                    <w:rPr>
                      <w:rFonts w:ascii="Times New Roman" w:hAnsi="Times New Roman" w:cs="Times New Roman"/>
                      <w:color w:val="000000" w:themeColor="text1"/>
                      <w:kern w:val="0"/>
                      <w:szCs w:val="21"/>
                      <w:vertAlign w:val="superscript"/>
                      <w:lang w:bidi="ar"/>
                      <w14:textFill>
                        <w14:solidFill>
                          <w14:schemeClr w14:val="tx1"/>
                        </w14:solidFill>
                      </w14:textFill>
                    </w:rPr>
                    <w:t>-4</w:t>
                  </w:r>
                </w:p>
              </w:tc>
              <w:tc>
                <w:tcPr>
                  <w:tcW w:w="712" w:type="pct"/>
                  <w:vMerge w:val="continue"/>
                  <w:vAlign w:val="center"/>
                </w:tcPr>
                <w:p w14:paraId="28FCF411">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46CBD61C">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 xml:space="preserve">0.0143 </w:t>
                  </w:r>
                </w:p>
              </w:tc>
              <w:tc>
                <w:tcPr>
                  <w:tcW w:w="356" w:type="pct"/>
                  <w:tcMar>
                    <w:left w:w="28" w:type="dxa"/>
                    <w:right w:w="28" w:type="dxa"/>
                  </w:tcMar>
                  <w:vAlign w:val="center"/>
                </w:tcPr>
                <w:p w14:paraId="1752311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619C0B6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492274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1E360265">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7814B3C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596CDA5C">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2021.1.28</w:t>
                  </w:r>
                </w:p>
              </w:tc>
              <w:tc>
                <w:tcPr>
                  <w:tcW w:w="710" w:type="pct"/>
                  <w:tcMar>
                    <w:left w:w="28" w:type="dxa"/>
                    <w:right w:w="28" w:type="dxa"/>
                  </w:tcMar>
                  <w:vAlign w:val="center"/>
                </w:tcPr>
                <w:p w14:paraId="7ED7E043">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8.0</w:t>
                  </w:r>
                  <w:r>
                    <w:rPr>
                      <w:rFonts w:ascii="Times New Roman" w:hAnsi="Times New Roman" w:cs="Times New Roman"/>
                      <w:color w:val="000000" w:themeColor="text1"/>
                      <w:kern w:val="0"/>
                      <w:szCs w:val="21"/>
                      <w:lang w:bidi="ar"/>
                      <w14:textFill>
                        <w14:solidFill>
                          <w14:schemeClr w14:val="tx1"/>
                        </w14:solidFill>
                      </w14:textFill>
                    </w:rPr>
                    <w:t>×10</w:t>
                  </w:r>
                  <w:r>
                    <w:rPr>
                      <w:rFonts w:ascii="Times New Roman" w:hAnsi="Times New Roman" w:cs="Times New Roman"/>
                      <w:color w:val="000000" w:themeColor="text1"/>
                      <w:kern w:val="0"/>
                      <w:szCs w:val="21"/>
                      <w:vertAlign w:val="superscript"/>
                      <w:lang w:bidi="ar"/>
                      <w14:textFill>
                        <w14:solidFill>
                          <w14:schemeClr w14:val="tx1"/>
                        </w14:solidFill>
                      </w14:textFill>
                    </w:rPr>
                    <w:t>-5</w:t>
                  </w:r>
                </w:p>
              </w:tc>
              <w:tc>
                <w:tcPr>
                  <w:tcW w:w="712" w:type="pct"/>
                  <w:vMerge w:val="continue"/>
                  <w:vAlign w:val="center"/>
                </w:tcPr>
                <w:p w14:paraId="60A42518">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3F178101">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 xml:space="preserve">0.0114 </w:t>
                  </w:r>
                </w:p>
              </w:tc>
              <w:tc>
                <w:tcPr>
                  <w:tcW w:w="356" w:type="pct"/>
                  <w:tcMar>
                    <w:left w:w="28" w:type="dxa"/>
                    <w:right w:w="28" w:type="dxa"/>
                  </w:tcMar>
                  <w:vAlign w:val="center"/>
                </w:tcPr>
                <w:p w14:paraId="48AC2B6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1BA1EE4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52644A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55A57240">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0616A1E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3E373518">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2021.1.29</w:t>
                  </w:r>
                </w:p>
              </w:tc>
              <w:tc>
                <w:tcPr>
                  <w:tcW w:w="710" w:type="pct"/>
                  <w:tcMar>
                    <w:left w:w="28" w:type="dxa"/>
                    <w:right w:w="28" w:type="dxa"/>
                  </w:tcMar>
                  <w:vAlign w:val="center"/>
                </w:tcPr>
                <w:p w14:paraId="68EB51BB">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9.0</w:t>
                  </w:r>
                  <w:r>
                    <w:rPr>
                      <w:rFonts w:ascii="Times New Roman" w:hAnsi="Times New Roman" w:cs="Times New Roman"/>
                      <w:color w:val="000000" w:themeColor="text1"/>
                      <w:kern w:val="0"/>
                      <w:szCs w:val="21"/>
                      <w:lang w:bidi="ar"/>
                      <w14:textFill>
                        <w14:solidFill>
                          <w14:schemeClr w14:val="tx1"/>
                        </w14:solidFill>
                      </w14:textFill>
                    </w:rPr>
                    <w:t>×10</w:t>
                  </w:r>
                  <w:r>
                    <w:rPr>
                      <w:rFonts w:ascii="Times New Roman" w:hAnsi="Times New Roman" w:cs="Times New Roman"/>
                      <w:color w:val="000000" w:themeColor="text1"/>
                      <w:kern w:val="0"/>
                      <w:szCs w:val="21"/>
                      <w:vertAlign w:val="superscript"/>
                      <w:lang w:bidi="ar"/>
                      <w14:textFill>
                        <w14:solidFill>
                          <w14:schemeClr w14:val="tx1"/>
                        </w14:solidFill>
                      </w14:textFill>
                    </w:rPr>
                    <w:t>-5</w:t>
                  </w:r>
                </w:p>
              </w:tc>
              <w:tc>
                <w:tcPr>
                  <w:tcW w:w="712" w:type="pct"/>
                  <w:vMerge w:val="continue"/>
                  <w:vAlign w:val="center"/>
                </w:tcPr>
                <w:p w14:paraId="1DB1C538">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0D27290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 xml:space="preserve">0.0129 </w:t>
                  </w:r>
                </w:p>
              </w:tc>
              <w:tc>
                <w:tcPr>
                  <w:tcW w:w="356" w:type="pct"/>
                  <w:tcMar>
                    <w:left w:w="28" w:type="dxa"/>
                    <w:right w:w="28" w:type="dxa"/>
                  </w:tcMar>
                  <w:vAlign w:val="center"/>
                </w:tcPr>
                <w:p w14:paraId="6F44636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0269CF41">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05CDA4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013524C4">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354AADD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28CEBBA2">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2021.1.30</w:t>
                  </w:r>
                </w:p>
              </w:tc>
              <w:tc>
                <w:tcPr>
                  <w:tcW w:w="710" w:type="pct"/>
                  <w:tcMar>
                    <w:left w:w="28" w:type="dxa"/>
                    <w:right w:w="28" w:type="dxa"/>
                  </w:tcMar>
                  <w:vAlign w:val="center"/>
                </w:tcPr>
                <w:p w14:paraId="31646C93">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1.0</w:t>
                  </w:r>
                  <w:r>
                    <w:rPr>
                      <w:rFonts w:ascii="Times New Roman" w:hAnsi="Times New Roman" w:cs="Times New Roman"/>
                      <w:color w:val="000000" w:themeColor="text1"/>
                      <w:kern w:val="0"/>
                      <w:szCs w:val="21"/>
                      <w:lang w:bidi="ar"/>
                      <w14:textFill>
                        <w14:solidFill>
                          <w14:schemeClr w14:val="tx1"/>
                        </w14:solidFill>
                      </w14:textFill>
                    </w:rPr>
                    <w:t>×10</w:t>
                  </w:r>
                  <w:r>
                    <w:rPr>
                      <w:rFonts w:ascii="Times New Roman" w:hAnsi="Times New Roman" w:cs="Times New Roman"/>
                      <w:color w:val="000000" w:themeColor="text1"/>
                      <w:kern w:val="0"/>
                      <w:szCs w:val="21"/>
                      <w:vertAlign w:val="superscript"/>
                      <w:lang w:bidi="ar"/>
                      <w14:textFill>
                        <w14:solidFill>
                          <w14:schemeClr w14:val="tx1"/>
                        </w14:solidFill>
                      </w14:textFill>
                    </w:rPr>
                    <w:t>-4</w:t>
                  </w:r>
                </w:p>
              </w:tc>
              <w:tc>
                <w:tcPr>
                  <w:tcW w:w="712" w:type="pct"/>
                  <w:vMerge w:val="continue"/>
                  <w:vAlign w:val="center"/>
                </w:tcPr>
                <w:p w14:paraId="49323805">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613AFFE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 xml:space="preserve">0.0143 </w:t>
                  </w:r>
                </w:p>
              </w:tc>
              <w:tc>
                <w:tcPr>
                  <w:tcW w:w="356" w:type="pct"/>
                  <w:tcMar>
                    <w:left w:w="28" w:type="dxa"/>
                    <w:right w:w="28" w:type="dxa"/>
                  </w:tcMar>
                  <w:vAlign w:val="center"/>
                </w:tcPr>
                <w:p w14:paraId="0A869D8C">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11E03C8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5F7FAE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466A63B6">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2B3C8BE0">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3AE25036">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2021.1.31</w:t>
                  </w:r>
                </w:p>
              </w:tc>
              <w:tc>
                <w:tcPr>
                  <w:tcW w:w="710" w:type="pct"/>
                  <w:tcMar>
                    <w:left w:w="28" w:type="dxa"/>
                    <w:right w:w="28" w:type="dxa"/>
                  </w:tcMar>
                  <w:vAlign w:val="center"/>
                </w:tcPr>
                <w:p w14:paraId="1734466E">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1.1</w:t>
                  </w:r>
                  <w:r>
                    <w:rPr>
                      <w:rFonts w:ascii="Times New Roman" w:hAnsi="Times New Roman" w:cs="Times New Roman"/>
                      <w:color w:val="000000" w:themeColor="text1"/>
                      <w:kern w:val="0"/>
                      <w:szCs w:val="21"/>
                      <w:lang w:bidi="ar"/>
                      <w14:textFill>
                        <w14:solidFill>
                          <w14:schemeClr w14:val="tx1"/>
                        </w14:solidFill>
                      </w14:textFill>
                    </w:rPr>
                    <w:t>×10</w:t>
                  </w:r>
                  <w:r>
                    <w:rPr>
                      <w:rFonts w:ascii="Times New Roman" w:hAnsi="Times New Roman" w:cs="Times New Roman"/>
                      <w:color w:val="000000" w:themeColor="text1"/>
                      <w:kern w:val="0"/>
                      <w:szCs w:val="21"/>
                      <w:vertAlign w:val="superscript"/>
                      <w:lang w:bidi="ar"/>
                      <w14:textFill>
                        <w14:solidFill>
                          <w14:schemeClr w14:val="tx1"/>
                        </w14:solidFill>
                      </w14:textFill>
                    </w:rPr>
                    <w:t>-4</w:t>
                  </w:r>
                </w:p>
              </w:tc>
              <w:tc>
                <w:tcPr>
                  <w:tcW w:w="712" w:type="pct"/>
                  <w:vMerge w:val="continue"/>
                  <w:vAlign w:val="center"/>
                </w:tcPr>
                <w:p w14:paraId="181CA744">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272B18F0">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 xml:space="preserve">0.0157 </w:t>
                  </w:r>
                </w:p>
              </w:tc>
              <w:tc>
                <w:tcPr>
                  <w:tcW w:w="356" w:type="pct"/>
                  <w:tcMar>
                    <w:left w:w="28" w:type="dxa"/>
                    <w:right w:w="28" w:type="dxa"/>
                  </w:tcMar>
                  <w:vAlign w:val="center"/>
                </w:tcPr>
                <w:p w14:paraId="7267A15C">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5754DFF6">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224DD4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6798746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6BE44FA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26F80495">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2021.2.1</w:t>
                  </w:r>
                </w:p>
              </w:tc>
              <w:tc>
                <w:tcPr>
                  <w:tcW w:w="710" w:type="pct"/>
                  <w:tcMar>
                    <w:left w:w="28" w:type="dxa"/>
                    <w:right w:w="28" w:type="dxa"/>
                  </w:tcMar>
                  <w:vAlign w:val="center"/>
                </w:tcPr>
                <w:p w14:paraId="61111D9A">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1.1</w:t>
                  </w:r>
                  <w:r>
                    <w:rPr>
                      <w:rFonts w:ascii="Times New Roman" w:hAnsi="Times New Roman" w:cs="Times New Roman"/>
                      <w:color w:val="000000" w:themeColor="text1"/>
                      <w:kern w:val="0"/>
                      <w:szCs w:val="21"/>
                      <w:lang w:bidi="ar"/>
                      <w14:textFill>
                        <w14:solidFill>
                          <w14:schemeClr w14:val="tx1"/>
                        </w14:solidFill>
                      </w14:textFill>
                    </w:rPr>
                    <w:t>×10</w:t>
                  </w:r>
                  <w:r>
                    <w:rPr>
                      <w:rFonts w:ascii="Times New Roman" w:hAnsi="Times New Roman" w:cs="Times New Roman"/>
                      <w:color w:val="000000" w:themeColor="text1"/>
                      <w:kern w:val="0"/>
                      <w:szCs w:val="21"/>
                      <w:vertAlign w:val="superscript"/>
                      <w:lang w:bidi="ar"/>
                      <w14:textFill>
                        <w14:solidFill>
                          <w14:schemeClr w14:val="tx1"/>
                        </w14:solidFill>
                      </w14:textFill>
                    </w:rPr>
                    <w:t>-4</w:t>
                  </w:r>
                </w:p>
              </w:tc>
              <w:tc>
                <w:tcPr>
                  <w:tcW w:w="712" w:type="pct"/>
                  <w:vMerge w:val="continue"/>
                  <w:vAlign w:val="center"/>
                </w:tcPr>
                <w:p w14:paraId="18A3E4F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3B186A2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 xml:space="preserve">0.0157 </w:t>
                  </w:r>
                </w:p>
              </w:tc>
              <w:tc>
                <w:tcPr>
                  <w:tcW w:w="356" w:type="pct"/>
                  <w:tcMar>
                    <w:left w:w="28" w:type="dxa"/>
                    <w:right w:w="28" w:type="dxa"/>
                  </w:tcMar>
                  <w:vAlign w:val="center"/>
                </w:tcPr>
                <w:p w14:paraId="0903EB26">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1254CF7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34B7E8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7E188F64">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restart"/>
                  <w:tcMar>
                    <w:left w:w="28" w:type="dxa"/>
                    <w:right w:w="28" w:type="dxa"/>
                  </w:tcMar>
                  <w:vAlign w:val="center"/>
                </w:tcPr>
                <w:p w14:paraId="53565EB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总悬浮颗粒物（TSP）</w:t>
                  </w:r>
                </w:p>
              </w:tc>
              <w:tc>
                <w:tcPr>
                  <w:tcW w:w="893" w:type="pct"/>
                  <w:tcMar>
                    <w:left w:w="28" w:type="dxa"/>
                    <w:right w:w="28" w:type="dxa"/>
                  </w:tcMar>
                  <w:vAlign w:val="center"/>
                </w:tcPr>
                <w:p w14:paraId="13E924B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2021.1.25</w:t>
                  </w:r>
                </w:p>
              </w:tc>
              <w:tc>
                <w:tcPr>
                  <w:tcW w:w="710" w:type="pct"/>
                  <w:tcMar>
                    <w:left w:w="28" w:type="dxa"/>
                    <w:right w:w="28" w:type="dxa"/>
                  </w:tcMar>
                  <w:vAlign w:val="center"/>
                </w:tcPr>
                <w:p w14:paraId="21BB17F7">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0.097</w:t>
                  </w:r>
                </w:p>
              </w:tc>
              <w:tc>
                <w:tcPr>
                  <w:tcW w:w="712" w:type="pct"/>
                  <w:vMerge w:val="restart"/>
                  <w:vAlign w:val="center"/>
                </w:tcPr>
                <w:p w14:paraId="3DF23AE2">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300</w:t>
                  </w:r>
                </w:p>
              </w:tc>
              <w:tc>
                <w:tcPr>
                  <w:tcW w:w="710" w:type="pct"/>
                  <w:tcMar>
                    <w:left w:w="28" w:type="dxa"/>
                    <w:right w:w="28" w:type="dxa"/>
                  </w:tcMar>
                  <w:vAlign w:val="center"/>
                </w:tcPr>
                <w:p w14:paraId="58E21D9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 xml:space="preserve">0.3233 </w:t>
                  </w:r>
                </w:p>
              </w:tc>
              <w:tc>
                <w:tcPr>
                  <w:tcW w:w="356" w:type="pct"/>
                  <w:tcMar>
                    <w:left w:w="28" w:type="dxa"/>
                    <w:right w:w="28" w:type="dxa"/>
                  </w:tcMar>
                  <w:vAlign w:val="center"/>
                </w:tcPr>
                <w:p w14:paraId="3713D79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5D877E0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2526A8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547" w:type="pct"/>
                  <w:vMerge w:val="continue"/>
                  <w:tcMar>
                    <w:left w:w="28" w:type="dxa"/>
                    <w:right w:w="28" w:type="dxa"/>
                  </w:tcMar>
                  <w:vAlign w:val="center"/>
                </w:tcPr>
                <w:p w14:paraId="1DA8B644">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6FEEDEA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0A1A1497">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2021.1.26</w:t>
                  </w:r>
                </w:p>
              </w:tc>
              <w:tc>
                <w:tcPr>
                  <w:tcW w:w="710" w:type="pct"/>
                  <w:tcMar>
                    <w:left w:w="28" w:type="dxa"/>
                    <w:right w:w="28" w:type="dxa"/>
                  </w:tcMar>
                  <w:vAlign w:val="center"/>
                </w:tcPr>
                <w:p w14:paraId="0D4B511D">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0.099</w:t>
                  </w:r>
                </w:p>
              </w:tc>
              <w:tc>
                <w:tcPr>
                  <w:tcW w:w="712" w:type="pct"/>
                  <w:vMerge w:val="continue"/>
                  <w:vAlign w:val="center"/>
                </w:tcPr>
                <w:p w14:paraId="3ABBC5E0">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10CA453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 xml:space="preserve">0.33 </w:t>
                  </w:r>
                </w:p>
              </w:tc>
              <w:tc>
                <w:tcPr>
                  <w:tcW w:w="356" w:type="pct"/>
                  <w:tcMar>
                    <w:left w:w="28" w:type="dxa"/>
                    <w:right w:w="28" w:type="dxa"/>
                  </w:tcMar>
                  <w:vAlign w:val="center"/>
                </w:tcPr>
                <w:p w14:paraId="0170F8E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01E5B25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43D772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476EEEA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5D993D2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0823DE59">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2021.1.27</w:t>
                  </w:r>
                </w:p>
              </w:tc>
              <w:tc>
                <w:tcPr>
                  <w:tcW w:w="710" w:type="pct"/>
                  <w:tcMar>
                    <w:left w:w="28" w:type="dxa"/>
                    <w:right w:w="28" w:type="dxa"/>
                  </w:tcMar>
                  <w:vAlign w:val="center"/>
                </w:tcPr>
                <w:p w14:paraId="7B866E2C">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0.125</w:t>
                  </w:r>
                </w:p>
              </w:tc>
              <w:tc>
                <w:tcPr>
                  <w:tcW w:w="712" w:type="pct"/>
                  <w:vMerge w:val="continue"/>
                  <w:vAlign w:val="center"/>
                </w:tcPr>
                <w:p w14:paraId="75EECF0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70DCDF95">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 xml:space="preserve">0.4167 </w:t>
                  </w:r>
                </w:p>
              </w:tc>
              <w:tc>
                <w:tcPr>
                  <w:tcW w:w="356" w:type="pct"/>
                  <w:tcMar>
                    <w:left w:w="28" w:type="dxa"/>
                    <w:right w:w="28" w:type="dxa"/>
                  </w:tcMar>
                  <w:vAlign w:val="center"/>
                </w:tcPr>
                <w:p w14:paraId="0C0A3984">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585F4A8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5C6472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1B194714">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5D1C35D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560D13F3">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2021.1.28</w:t>
                  </w:r>
                </w:p>
              </w:tc>
              <w:tc>
                <w:tcPr>
                  <w:tcW w:w="710" w:type="pct"/>
                  <w:tcMar>
                    <w:left w:w="28" w:type="dxa"/>
                    <w:right w:w="28" w:type="dxa"/>
                  </w:tcMar>
                  <w:vAlign w:val="center"/>
                </w:tcPr>
                <w:p w14:paraId="5C5A5F37">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0.090</w:t>
                  </w:r>
                </w:p>
              </w:tc>
              <w:tc>
                <w:tcPr>
                  <w:tcW w:w="712" w:type="pct"/>
                  <w:vMerge w:val="continue"/>
                  <w:vAlign w:val="center"/>
                </w:tcPr>
                <w:p w14:paraId="6FA5F93D">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1ABA24D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 xml:space="preserve">0.3 </w:t>
                  </w:r>
                </w:p>
              </w:tc>
              <w:tc>
                <w:tcPr>
                  <w:tcW w:w="356" w:type="pct"/>
                  <w:tcMar>
                    <w:left w:w="28" w:type="dxa"/>
                    <w:right w:w="28" w:type="dxa"/>
                  </w:tcMar>
                  <w:vAlign w:val="center"/>
                </w:tcPr>
                <w:p w14:paraId="1D206AD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5F9ABD46">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15C19F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6200E75A">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4135D4D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24C071F6">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2021.1.29</w:t>
                  </w:r>
                </w:p>
              </w:tc>
              <w:tc>
                <w:tcPr>
                  <w:tcW w:w="710" w:type="pct"/>
                  <w:tcMar>
                    <w:left w:w="28" w:type="dxa"/>
                    <w:right w:w="28" w:type="dxa"/>
                  </w:tcMar>
                  <w:vAlign w:val="center"/>
                </w:tcPr>
                <w:p w14:paraId="5522465A">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0.124</w:t>
                  </w:r>
                </w:p>
              </w:tc>
              <w:tc>
                <w:tcPr>
                  <w:tcW w:w="712" w:type="pct"/>
                  <w:vMerge w:val="continue"/>
                  <w:vAlign w:val="center"/>
                </w:tcPr>
                <w:p w14:paraId="5F103AA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596D4076">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 xml:space="preserve">0.4133 </w:t>
                  </w:r>
                </w:p>
              </w:tc>
              <w:tc>
                <w:tcPr>
                  <w:tcW w:w="356" w:type="pct"/>
                  <w:tcMar>
                    <w:left w:w="28" w:type="dxa"/>
                    <w:right w:w="28" w:type="dxa"/>
                  </w:tcMar>
                  <w:vAlign w:val="center"/>
                </w:tcPr>
                <w:p w14:paraId="3E90B0F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1587E49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1007EE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578031D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54A5D24C">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0DF2D3F1">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2021.1.30</w:t>
                  </w:r>
                </w:p>
              </w:tc>
              <w:tc>
                <w:tcPr>
                  <w:tcW w:w="710" w:type="pct"/>
                  <w:tcMar>
                    <w:left w:w="28" w:type="dxa"/>
                    <w:right w:w="28" w:type="dxa"/>
                  </w:tcMar>
                  <w:vAlign w:val="center"/>
                </w:tcPr>
                <w:p w14:paraId="32FAA380">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0.186</w:t>
                  </w:r>
                </w:p>
              </w:tc>
              <w:tc>
                <w:tcPr>
                  <w:tcW w:w="712" w:type="pct"/>
                  <w:vMerge w:val="continue"/>
                  <w:vAlign w:val="center"/>
                </w:tcPr>
                <w:p w14:paraId="076EC49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35507DF4">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 xml:space="preserve">0.62 </w:t>
                  </w:r>
                </w:p>
              </w:tc>
              <w:tc>
                <w:tcPr>
                  <w:tcW w:w="356" w:type="pct"/>
                  <w:tcMar>
                    <w:left w:w="28" w:type="dxa"/>
                    <w:right w:w="28" w:type="dxa"/>
                  </w:tcMar>
                  <w:vAlign w:val="center"/>
                </w:tcPr>
                <w:p w14:paraId="3CB156AC">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3F76D8F4">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304439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7033E0A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1143E84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7DA5731E">
                  <w:pPr>
                    <w:jc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2021.1.31</w:t>
                  </w:r>
                </w:p>
              </w:tc>
              <w:tc>
                <w:tcPr>
                  <w:tcW w:w="710" w:type="pct"/>
                  <w:tcMar>
                    <w:left w:w="28" w:type="dxa"/>
                    <w:right w:w="28" w:type="dxa"/>
                  </w:tcMar>
                  <w:vAlign w:val="center"/>
                </w:tcPr>
                <w:p w14:paraId="54D47C88">
                  <w:pPr>
                    <w:widowControl/>
                    <w:jc w:val="center"/>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0.108</w:t>
                  </w:r>
                </w:p>
              </w:tc>
              <w:tc>
                <w:tcPr>
                  <w:tcW w:w="712" w:type="pct"/>
                  <w:vMerge w:val="continue"/>
                  <w:vAlign w:val="center"/>
                </w:tcPr>
                <w:p w14:paraId="1ED596B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710" w:type="pct"/>
                  <w:tcMar>
                    <w:left w:w="28" w:type="dxa"/>
                    <w:right w:w="28" w:type="dxa"/>
                  </w:tcMar>
                  <w:vAlign w:val="center"/>
                </w:tcPr>
                <w:p w14:paraId="47FD8D3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 xml:space="preserve">0.36 </w:t>
                  </w:r>
                </w:p>
              </w:tc>
              <w:tc>
                <w:tcPr>
                  <w:tcW w:w="356" w:type="pct"/>
                  <w:tcMar>
                    <w:left w:w="28" w:type="dxa"/>
                    <w:right w:w="28" w:type="dxa"/>
                  </w:tcMar>
                  <w:vAlign w:val="center"/>
                </w:tcPr>
                <w:p w14:paraId="3190D2D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06" w:type="pct"/>
                  <w:tcMar>
                    <w:left w:w="28" w:type="dxa"/>
                    <w:right w:w="28" w:type="dxa"/>
                  </w:tcMar>
                  <w:vAlign w:val="center"/>
                </w:tcPr>
                <w:p w14:paraId="404CD48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r>
            <w:tr w14:paraId="351FB8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restart"/>
                  <w:tcMar>
                    <w:left w:w="28" w:type="dxa"/>
                    <w:right w:w="28" w:type="dxa"/>
                  </w:tcMar>
                  <w:vAlign w:val="center"/>
                </w:tcPr>
                <w:p w14:paraId="3660B195">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厂址</w:t>
                  </w:r>
                </w:p>
              </w:tc>
              <w:tc>
                <w:tcPr>
                  <w:tcW w:w="566" w:type="pct"/>
                  <w:vMerge w:val="restart"/>
                  <w:tcMar>
                    <w:left w:w="28" w:type="dxa"/>
                    <w:right w:w="28" w:type="dxa"/>
                  </w:tcMar>
                  <w:vAlign w:val="center"/>
                </w:tcPr>
                <w:p w14:paraId="0681A86A">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二噁英</w:t>
                  </w:r>
                </w:p>
              </w:tc>
              <w:tc>
                <w:tcPr>
                  <w:tcW w:w="893" w:type="pct"/>
                  <w:tcMar>
                    <w:left w:w="28" w:type="dxa"/>
                    <w:right w:w="28" w:type="dxa"/>
                  </w:tcMar>
                  <w:vAlign w:val="center"/>
                </w:tcPr>
                <w:p w14:paraId="342E5962">
                  <w:pPr>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2021.1.31</w:t>
                  </w:r>
                </w:p>
              </w:tc>
              <w:tc>
                <w:tcPr>
                  <w:tcW w:w="710" w:type="pct"/>
                  <w:tcMar>
                    <w:left w:w="28" w:type="dxa"/>
                    <w:right w:w="28" w:type="dxa"/>
                  </w:tcMar>
                  <w:vAlign w:val="center"/>
                </w:tcPr>
                <w:p w14:paraId="318FC9C6">
                  <w:pPr>
                    <w:widowControl/>
                    <w:jc w:val="center"/>
                    <w:textAlignment w:val="center"/>
                    <w:rPr>
                      <w:rFonts w:ascii="Times New Roman" w:hAnsi="Times New Roman" w:cs="Times New Roman"/>
                      <w:color w:val="FF0000"/>
                      <w:szCs w:val="21"/>
                    </w:rPr>
                  </w:pPr>
                  <w:r>
                    <w:rPr>
                      <w:rFonts w:ascii="Times New Roman" w:hAnsi="Times New Roman" w:cs="Times New Roman"/>
                      <w:color w:val="FF0000"/>
                      <w:szCs w:val="21"/>
                    </w:rPr>
                    <w:t>0.032</w:t>
                  </w:r>
                </w:p>
              </w:tc>
              <w:tc>
                <w:tcPr>
                  <w:tcW w:w="712" w:type="pct"/>
                  <w:vMerge w:val="restart"/>
                  <w:vAlign w:val="center"/>
                </w:tcPr>
                <w:p w14:paraId="22FC9C85">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0.6</w:t>
                  </w:r>
                </w:p>
              </w:tc>
              <w:tc>
                <w:tcPr>
                  <w:tcW w:w="710" w:type="pct"/>
                  <w:tcMar>
                    <w:left w:w="28" w:type="dxa"/>
                    <w:right w:w="28" w:type="dxa"/>
                  </w:tcMar>
                  <w:vAlign w:val="center"/>
                </w:tcPr>
                <w:p w14:paraId="620FA572">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szCs w:val="21"/>
                    </w:rPr>
                    <w:t>0.0533</w:t>
                  </w:r>
                </w:p>
              </w:tc>
              <w:tc>
                <w:tcPr>
                  <w:tcW w:w="356" w:type="pct"/>
                  <w:tcMar>
                    <w:left w:w="28" w:type="dxa"/>
                    <w:right w:w="28" w:type="dxa"/>
                  </w:tcMar>
                  <w:vAlign w:val="center"/>
                </w:tcPr>
                <w:p w14:paraId="60FBDAF4">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3381F027">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41FE00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5A7C3E3A">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62AC9A21">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60162D9C">
                  <w:pPr>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2021.2.1</w:t>
                  </w:r>
                </w:p>
              </w:tc>
              <w:tc>
                <w:tcPr>
                  <w:tcW w:w="710" w:type="pct"/>
                  <w:tcMar>
                    <w:left w:w="28" w:type="dxa"/>
                    <w:right w:w="28" w:type="dxa"/>
                  </w:tcMar>
                  <w:vAlign w:val="center"/>
                </w:tcPr>
                <w:p w14:paraId="50AB05C6">
                  <w:pPr>
                    <w:widowControl/>
                    <w:jc w:val="center"/>
                    <w:textAlignment w:val="center"/>
                    <w:rPr>
                      <w:rFonts w:ascii="Times New Roman" w:hAnsi="Times New Roman" w:cs="Times New Roman"/>
                      <w:color w:val="FF0000"/>
                      <w:szCs w:val="21"/>
                    </w:rPr>
                  </w:pPr>
                  <w:r>
                    <w:rPr>
                      <w:rFonts w:ascii="Times New Roman" w:hAnsi="Times New Roman" w:cs="Times New Roman"/>
                      <w:color w:val="FF0000"/>
                      <w:szCs w:val="21"/>
                    </w:rPr>
                    <w:t>0.031</w:t>
                  </w:r>
                </w:p>
              </w:tc>
              <w:tc>
                <w:tcPr>
                  <w:tcW w:w="712" w:type="pct"/>
                  <w:vMerge w:val="continue"/>
                  <w:vAlign w:val="center"/>
                </w:tcPr>
                <w:p w14:paraId="34B70456">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vAlign w:val="center"/>
                </w:tcPr>
                <w:p w14:paraId="6D9997DF">
                  <w:pPr>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0.0517</w:t>
                  </w:r>
                </w:p>
              </w:tc>
              <w:tc>
                <w:tcPr>
                  <w:tcW w:w="356" w:type="pct"/>
                  <w:tcMar>
                    <w:left w:w="28" w:type="dxa"/>
                    <w:right w:w="28" w:type="dxa"/>
                  </w:tcMar>
                  <w:vAlign w:val="center"/>
                </w:tcPr>
                <w:p w14:paraId="7E45B962">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0708331C">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485DE7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6F066F1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51338842">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0D6768C0">
                  <w:pPr>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2021.2.2</w:t>
                  </w:r>
                </w:p>
              </w:tc>
              <w:tc>
                <w:tcPr>
                  <w:tcW w:w="710" w:type="pct"/>
                  <w:tcMar>
                    <w:left w:w="28" w:type="dxa"/>
                    <w:right w:w="28" w:type="dxa"/>
                  </w:tcMar>
                  <w:vAlign w:val="center"/>
                </w:tcPr>
                <w:p w14:paraId="29759899">
                  <w:pPr>
                    <w:widowControl/>
                    <w:jc w:val="center"/>
                    <w:textAlignment w:val="center"/>
                    <w:rPr>
                      <w:rFonts w:ascii="Times New Roman" w:hAnsi="Times New Roman" w:cs="Times New Roman"/>
                      <w:color w:val="FF0000"/>
                      <w:szCs w:val="21"/>
                    </w:rPr>
                  </w:pPr>
                  <w:r>
                    <w:rPr>
                      <w:rFonts w:ascii="Times New Roman" w:hAnsi="Times New Roman" w:cs="Times New Roman"/>
                      <w:color w:val="FF0000"/>
                      <w:szCs w:val="21"/>
                    </w:rPr>
                    <w:t>0.034</w:t>
                  </w:r>
                </w:p>
              </w:tc>
              <w:tc>
                <w:tcPr>
                  <w:tcW w:w="712" w:type="pct"/>
                  <w:vMerge w:val="continue"/>
                  <w:vAlign w:val="center"/>
                </w:tcPr>
                <w:p w14:paraId="056B8051">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vAlign w:val="center"/>
                </w:tcPr>
                <w:p w14:paraId="454578CE">
                  <w:pPr>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0.0567</w:t>
                  </w:r>
                </w:p>
              </w:tc>
              <w:tc>
                <w:tcPr>
                  <w:tcW w:w="356" w:type="pct"/>
                  <w:tcMar>
                    <w:left w:w="28" w:type="dxa"/>
                    <w:right w:w="28" w:type="dxa"/>
                  </w:tcMar>
                  <w:vAlign w:val="center"/>
                </w:tcPr>
                <w:p w14:paraId="7CB594FB">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316504B9">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30245E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6A6D00D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1FCE740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3D331B6B">
                  <w:pPr>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2021.2.3</w:t>
                  </w:r>
                </w:p>
              </w:tc>
              <w:tc>
                <w:tcPr>
                  <w:tcW w:w="710" w:type="pct"/>
                  <w:tcMar>
                    <w:left w:w="28" w:type="dxa"/>
                    <w:right w:w="28" w:type="dxa"/>
                  </w:tcMar>
                  <w:vAlign w:val="center"/>
                </w:tcPr>
                <w:p w14:paraId="513FD524">
                  <w:pPr>
                    <w:widowControl/>
                    <w:jc w:val="center"/>
                    <w:textAlignment w:val="center"/>
                    <w:rPr>
                      <w:rFonts w:ascii="Times New Roman" w:hAnsi="Times New Roman" w:cs="Times New Roman"/>
                      <w:color w:val="FF0000"/>
                      <w:szCs w:val="21"/>
                    </w:rPr>
                  </w:pPr>
                  <w:r>
                    <w:rPr>
                      <w:rFonts w:ascii="Times New Roman" w:hAnsi="Times New Roman" w:cs="Times New Roman"/>
                      <w:color w:val="FF0000"/>
                      <w:szCs w:val="21"/>
                    </w:rPr>
                    <w:t>0.030</w:t>
                  </w:r>
                </w:p>
              </w:tc>
              <w:tc>
                <w:tcPr>
                  <w:tcW w:w="712" w:type="pct"/>
                  <w:vMerge w:val="continue"/>
                  <w:vAlign w:val="center"/>
                </w:tcPr>
                <w:p w14:paraId="32CADED8">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vAlign w:val="center"/>
                </w:tcPr>
                <w:p w14:paraId="40001524">
                  <w:pPr>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0.0500</w:t>
                  </w:r>
                </w:p>
              </w:tc>
              <w:tc>
                <w:tcPr>
                  <w:tcW w:w="356" w:type="pct"/>
                  <w:tcMar>
                    <w:left w:w="28" w:type="dxa"/>
                    <w:right w:w="28" w:type="dxa"/>
                  </w:tcMar>
                  <w:vAlign w:val="center"/>
                </w:tcPr>
                <w:p w14:paraId="12AC0A15">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7384BFDE">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54AA97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079998B6">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23BB33D8">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352F3740">
                  <w:pPr>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2021.2.4</w:t>
                  </w:r>
                </w:p>
              </w:tc>
              <w:tc>
                <w:tcPr>
                  <w:tcW w:w="710" w:type="pct"/>
                  <w:tcMar>
                    <w:left w:w="28" w:type="dxa"/>
                    <w:right w:w="28" w:type="dxa"/>
                  </w:tcMar>
                  <w:vAlign w:val="center"/>
                </w:tcPr>
                <w:p w14:paraId="5E97FDDF">
                  <w:pPr>
                    <w:widowControl/>
                    <w:jc w:val="center"/>
                    <w:textAlignment w:val="center"/>
                    <w:rPr>
                      <w:rFonts w:ascii="Times New Roman" w:hAnsi="Times New Roman" w:cs="Times New Roman"/>
                      <w:color w:val="FF0000"/>
                      <w:szCs w:val="21"/>
                    </w:rPr>
                  </w:pPr>
                  <w:r>
                    <w:rPr>
                      <w:rFonts w:ascii="Times New Roman" w:hAnsi="Times New Roman" w:cs="Times New Roman"/>
                      <w:color w:val="FF0000"/>
                      <w:szCs w:val="21"/>
                    </w:rPr>
                    <w:t>0.086</w:t>
                  </w:r>
                </w:p>
              </w:tc>
              <w:tc>
                <w:tcPr>
                  <w:tcW w:w="712" w:type="pct"/>
                  <w:vMerge w:val="continue"/>
                  <w:vAlign w:val="center"/>
                </w:tcPr>
                <w:p w14:paraId="038BB96C">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vAlign w:val="center"/>
                </w:tcPr>
                <w:p w14:paraId="4E7997EE">
                  <w:pPr>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0.1433</w:t>
                  </w:r>
                </w:p>
              </w:tc>
              <w:tc>
                <w:tcPr>
                  <w:tcW w:w="356" w:type="pct"/>
                  <w:tcMar>
                    <w:left w:w="28" w:type="dxa"/>
                    <w:right w:w="28" w:type="dxa"/>
                  </w:tcMar>
                  <w:vAlign w:val="center"/>
                </w:tcPr>
                <w:p w14:paraId="09CCA839">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0A0B4609">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746027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3A755071">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752B7A18">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76C8A679">
                  <w:pPr>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2021.2.5</w:t>
                  </w:r>
                </w:p>
              </w:tc>
              <w:tc>
                <w:tcPr>
                  <w:tcW w:w="710" w:type="pct"/>
                  <w:tcMar>
                    <w:left w:w="28" w:type="dxa"/>
                    <w:right w:w="28" w:type="dxa"/>
                  </w:tcMar>
                  <w:vAlign w:val="center"/>
                </w:tcPr>
                <w:p w14:paraId="389B8F94">
                  <w:pPr>
                    <w:widowControl/>
                    <w:jc w:val="center"/>
                    <w:textAlignment w:val="center"/>
                    <w:rPr>
                      <w:rFonts w:ascii="Times New Roman" w:hAnsi="Times New Roman" w:cs="Times New Roman"/>
                      <w:color w:val="FF0000"/>
                      <w:szCs w:val="21"/>
                    </w:rPr>
                  </w:pPr>
                  <w:r>
                    <w:rPr>
                      <w:rFonts w:ascii="Times New Roman" w:hAnsi="Times New Roman" w:cs="Times New Roman"/>
                      <w:color w:val="FF0000"/>
                      <w:szCs w:val="21"/>
                    </w:rPr>
                    <w:t>0.030</w:t>
                  </w:r>
                </w:p>
              </w:tc>
              <w:tc>
                <w:tcPr>
                  <w:tcW w:w="712" w:type="pct"/>
                  <w:vMerge w:val="continue"/>
                  <w:vAlign w:val="center"/>
                </w:tcPr>
                <w:p w14:paraId="32922A57">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vAlign w:val="center"/>
                </w:tcPr>
                <w:p w14:paraId="26BB25EE">
                  <w:pPr>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0.0500</w:t>
                  </w:r>
                </w:p>
              </w:tc>
              <w:tc>
                <w:tcPr>
                  <w:tcW w:w="356" w:type="pct"/>
                  <w:tcMar>
                    <w:left w:w="28" w:type="dxa"/>
                    <w:right w:w="28" w:type="dxa"/>
                  </w:tcMar>
                  <w:vAlign w:val="center"/>
                </w:tcPr>
                <w:p w14:paraId="0A89F6F2">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2326FBD1">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1931B5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429745D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5E03F696">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893" w:type="pct"/>
                  <w:tcMar>
                    <w:left w:w="28" w:type="dxa"/>
                    <w:right w:w="28" w:type="dxa"/>
                  </w:tcMar>
                  <w:vAlign w:val="center"/>
                </w:tcPr>
                <w:p w14:paraId="55FE04CB">
                  <w:pPr>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2021.2.6</w:t>
                  </w:r>
                </w:p>
              </w:tc>
              <w:tc>
                <w:tcPr>
                  <w:tcW w:w="710" w:type="pct"/>
                  <w:tcMar>
                    <w:left w:w="28" w:type="dxa"/>
                    <w:right w:w="28" w:type="dxa"/>
                  </w:tcMar>
                  <w:vAlign w:val="center"/>
                </w:tcPr>
                <w:p w14:paraId="5F98E087">
                  <w:pPr>
                    <w:widowControl/>
                    <w:jc w:val="center"/>
                    <w:textAlignment w:val="center"/>
                    <w:rPr>
                      <w:rFonts w:ascii="Times New Roman" w:hAnsi="Times New Roman" w:cs="Times New Roman"/>
                      <w:color w:val="FF0000"/>
                      <w:szCs w:val="21"/>
                    </w:rPr>
                  </w:pPr>
                  <w:r>
                    <w:rPr>
                      <w:rFonts w:ascii="Times New Roman" w:hAnsi="Times New Roman" w:cs="Times New Roman"/>
                      <w:color w:val="FF0000"/>
                      <w:szCs w:val="21"/>
                    </w:rPr>
                    <w:t>0.038</w:t>
                  </w:r>
                </w:p>
              </w:tc>
              <w:tc>
                <w:tcPr>
                  <w:tcW w:w="712" w:type="pct"/>
                  <w:vMerge w:val="continue"/>
                  <w:vAlign w:val="center"/>
                </w:tcPr>
                <w:p w14:paraId="01CF0CC3">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vAlign w:val="center"/>
                </w:tcPr>
                <w:p w14:paraId="24195B46">
                  <w:pPr>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0.0633</w:t>
                  </w:r>
                </w:p>
              </w:tc>
              <w:tc>
                <w:tcPr>
                  <w:tcW w:w="356" w:type="pct"/>
                  <w:tcMar>
                    <w:left w:w="28" w:type="dxa"/>
                    <w:right w:w="28" w:type="dxa"/>
                  </w:tcMar>
                  <w:vAlign w:val="center"/>
                </w:tcPr>
                <w:p w14:paraId="74EC973D">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78D6A456">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4A128A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restart"/>
                  <w:tcMar>
                    <w:left w:w="28" w:type="dxa"/>
                    <w:right w:w="28" w:type="dxa"/>
                  </w:tcMar>
                  <w:vAlign w:val="center"/>
                </w:tcPr>
                <w:p w14:paraId="186CBAC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下风向160m敏感点</w:t>
                  </w:r>
                </w:p>
              </w:tc>
              <w:tc>
                <w:tcPr>
                  <w:tcW w:w="566" w:type="pct"/>
                  <w:vMerge w:val="restart"/>
                  <w:tcMar>
                    <w:left w:w="28" w:type="dxa"/>
                    <w:right w:w="28" w:type="dxa"/>
                  </w:tcMar>
                  <w:vAlign w:val="center"/>
                </w:tcPr>
                <w:p w14:paraId="0795B023">
                  <w:pPr>
                    <w:adjustRightInd w:val="0"/>
                    <w:spacing w:line="240" w:lineRule="exact"/>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 w:val="24"/>
                      <w:szCs w:val="24"/>
                      <w14:textFill>
                        <w14:solidFill>
                          <w14:schemeClr w14:val="tx1"/>
                        </w14:solidFill>
                      </w14:textFill>
                    </w:rPr>
                    <w:t>汞</w:t>
                  </w:r>
                </w:p>
              </w:tc>
              <w:tc>
                <w:tcPr>
                  <w:tcW w:w="893" w:type="pct"/>
                  <w:tcMar>
                    <w:left w:w="28" w:type="dxa"/>
                    <w:right w:w="28" w:type="dxa"/>
                  </w:tcMar>
                  <w:vAlign w:val="center"/>
                </w:tcPr>
                <w:p w14:paraId="4666C949">
                  <w:pPr>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2023.7.15</w:t>
                  </w:r>
                </w:p>
              </w:tc>
              <w:tc>
                <w:tcPr>
                  <w:tcW w:w="710" w:type="pct"/>
                  <w:tcMar>
                    <w:left w:w="28" w:type="dxa"/>
                    <w:right w:w="28" w:type="dxa"/>
                  </w:tcMar>
                </w:tcPr>
                <w:p w14:paraId="0A436A65">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restart"/>
                  <w:vAlign w:val="center"/>
                </w:tcPr>
                <w:p w14:paraId="766315A4">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0.1</w:t>
                  </w:r>
                </w:p>
              </w:tc>
              <w:tc>
                <w:tcPr>
                  <w:tcW w:w="710" w:type="pct"/>
                  <w:tcMar>
                    <w:left w:w="28" w:type="dxa"/>
                    <w:right w:w="28" w:type="dxa"/>
                  </w:tcMar>
                </w:tcPr>
                <w:p w14:paraId="16D3D6CD">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59F4C7C6">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3C083E0C">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1527A5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38366982">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2FE0004D">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446324A5">
                  <w:pPr>
                    <w:jc w:val="center"/>
                    <w:rPr>
                      <w:rFonts w:ascii="Times New Roman" w:hAnsi="Times New Roman" w:cs="Times New Roman"/>
                      <w:color w:val="FF0000"/>
                    </w:rPr>
                  </w:pPr>
                  <w:r>
                    <w:rPr>
                      <w:rFonts w:ascii="Times New Roman" w:hAnsi="Times New Roman" w:eastAsia="宋体" w:cs="Times New Roman"/>
                      <w:color w:val="FF0000"/>
                      <w:kern w:val="0"/>
                      <w:szCs w:val="21"/>
                    </w:rPr>
                    <w:t>2023.7.16</w:t>
                  </w:r>
                </w:p>
              </w:tc>
              <w:tc>
                <w:tcPr>
                  <w:tcW w:w="710" w:type="pct"/>
                  <w:tcMar>
                    <w:left w:w="28" w:type="dxa"/>
                    <w:right w:w="28" w:type="dxa"/>
                  </w:tcMar>
                </w:tcPr>
                <w:p w14:paraId="00F4823C">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7B52B781">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2C9F8BD6">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65497110">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3DEE44A0">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7CD544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1E0CEB9C">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1957A59F">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4273E889">
                  <w:pPr>
                    <w:jc w:val="center"/>
                    <w:rPr>
                      <w:rFonts w:ascii="Times New Roman" w:hAnsi="Times New Roman" w:cs="Times New Roman"/>
                      <w:color w:val="FF0000"/>
                    </w:rPr>
                  </w:pPr>
                  <w:r>
                    <w:rPr>
                      <w:rFonts w:ascii="Times New Roman" w:hAnsi="Times New Roman" w:eastAsia="宋体" w:cs="Times New Roman"/>
                      <w:color w:val="FF0000"/>
                      <w:kern w:val="0"/>
                      <w:szCs w:val="21"/>
                    </w:rPr>
                    <w:t>2023.7.17</w:t>
                  </w:r>
                </w:p>
              </w:tc>
              <w:tc>
                <w:tcPr>
                  <w:tcW w:w="710" w:type="pct"/>
                  <w:tcMar>
                    <w:left w:w="28" w:type="dxa"/>
                    <w:right w:w="28" w:type="dxa"/>
                  </w:tcMar>
                </w:tcPr>
                <w:p w14:paraId="79DA7453">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18471D7D">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3354BC32">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59727C7A">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064C2280">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6E1125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5EE34750">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1D9B8E95">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781B59D5">
                  <w:pPr>
                    <w:jc w:val="center"/>
                    <w:rPr>
                      <w:rFonts w:ascii="Times New Roman" w:hAnsi="Times New Roman" w:cs="Times New Roman"/>
                      <w:color w:val="FF0000"/>
                    </w:rPr>
                  </w:pPr>
                  <w:r>
                    <w:rPr>
                      <w:rFonts w:ascii="Times New Roman" w:hAnsi="Times New Roman" w:eastAsia="宋体" w:cs="Times New Roman"/>
                      <w:color w:val="FF0000"/>
                      <w:kern w:val="0"/>
                      <w:szCs w:val="21"/>
                    </w:rPr>
                    <w:t>2023.7.18</w:t>
                  </w:r>
                </w:p>
              </w:tc>
              <w:tc>
                <w:tcPr>
                  <w:tcW w:w="710" w:type="pct"/>
                  <w:tcMar>
                    <w:left w:w="28" w:type="dxa"/>
                    <w:right w:w="28" w:type="dxa"/>
                  </w:tcMar>
                </w:tcPr>
                <w:p w14:paraId="15E55116">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694FF559">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5C2FA80F">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4668F63E">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461FED67">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207AB9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6BDC588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3B6826B3">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675D66D9">
                  <w:pPr>
                    <w:jc w:val="center"/>
                    <w:rPr>
                      <w:rFonts w:ascii="Times New Roman" w:hAnsi="Times New Roman" w:cs="Times New Roman"/>
                      <w:color w:val="FF0000"/>
                    </w:rPr>
                  </w:pPr>
                  <w:r>
                    <w:rPr>
                      <w:rFonts w:ascii="Times New Roman" w:hAnsi="Times New Roman" w:eastAsia="宋体" w:cs="Times New Roman"/>
                      <w:color w:val="FF0000"/>
                      <w:kern w:val="0"/>
                      <w:szCs w:val="21"/>
                    </w:rPr>
                    <w:t>2023.7.19</w:t>
                  </w:r>
                </w:p>
              </w:tc>
              <w:tc>
                <w:tcPr>
                  <w:tcW w:w="710" w:type="pct"/>
                  <w:tcMar>
                    <w:left w:w="28" w:type="dxa"/>
                    <w:right w:w="28" w:type="dxa"/>
                  </w:tcMar>
                </w:tcPr>
                <w:p w14:paraId="3EFC189E">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6F79A5E9">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152F18DE">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4FCCEDCE">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68DCBECF">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5F66A6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5ECE1BB4">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093E8136">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2CC6CF6C">
                  <w:pPr>
                    <w:jc w:val="center"/>
                    <w:rPr>
                      <w:rFonts w:ascii="Times New Roman" w:hAnsi="Times New Roman" w:cs="Times New Roman"/>
                      <w:color w:val="FF0000"/>
                    </w:rPr>
                  </w:pPr>
                  <w:r>
                    <w:rPr>
                      <w:rFonts w:ascii="Times New Roman" w:hAnsi="Times New Roman" w:eastAsia="宋体" w:cs="Times New Roman"/>
                      <w:color w:val="FF0000"/>
                      <w:kern w:val="0"/>
                      <w:szCs w:val="21"/>
                    </w:rPr>
                    <w:t>2023.7.20</w:t>
                  </w:r>
                </w:p>
              </w:tc>
              <w:tc>
                <w:tcPr>
                  <w:tcW w:w="710" w:type="pct"/>
                  <w:tcMar>
                    <w:left w:w="28" w:type="dxa"/>
                    <w:right w:w="28" w:type="dxa"/>
                  </w:tcMar>
                </w:tcPr>
                <w:p w14:paraId="39632B22">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7F34F88A">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30442072">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76457907">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0EFA4614">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3C3799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2EEBB828">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2B9BF4A6">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7DDDC8A2">
                  <w:pPr>
                    <w:jc w:val="center"/>
                    <w:rPr>
                      <w:rFonts w:ascii="Times New Roman" w:hAnsi="Times New Roman" w:cs="Times New Roman"/>
                      <w:color w:val="FF0000"/>
                    </w:rPr>
                  </w:pPr>
                  <w:r>
                    <w:rPr>
                      <w:rFonts w:ascii="Times New Roman" w:hAnsi="Times New Roman" w:eastAsia="宋体" w:cs="Times New Roman"/>
                      <w:color w:val="FF0000"/>
                      <w:kern w:val="0"/>
                      <w:szCs w:val="21"/>
                    </w:rPr>
                    <w:t>2023.7.21</w:t>
                  </w:r>
                </w:p>
              </w:tc>
              <w:tc>
                <w:tcPr>
                  <w:tcW w:w="710" w:type="pct"/>
                  <w:tcMar>
                    <w:left w:w="28" w:type="dxa"/>
                    <w:right w:w="28" w:type="dxa"/>
                  </w:tcMar>
                </w:tcPr>
                <w:p w14:paraId="0B543271">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34473E92">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4CE3BAB6">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1DBBEAD5">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7C160377">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524C0E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4B4D3DC0">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restart"/>
                  <w:tcMar>
                    <w:left w:w="28" w:type="dxa"/>
                    <w:right w:w="28" w:type="dxa"/>
                  </w:tcMar>
                  <w:vAlign w:val="center"/>
                </w:tcPr>
                <w:p w14:paraId="37548C41">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r>
                    <w:rPr>
                      <w:rFonts w:ascii="Times New Roman" w:hAnsi="Times New Roman" w:eastAsia="宋体" w:cs="Times New Roman"/>
                      <w:bCs/>
                      <w:color w:val="000000" w:themeColor="text1"/>
                      <w:kern w:val="0"/>
                      <w:sz w:val="24"/>
                      <w:szCs w:val="24"/>
                      <w14:textFill>
                        <w14:solidFill>
                          <w14:schemeClr w14:val="tx1"/>
                        </w14:solidFill>
                      </w14:textFill>
                    </w:rPr>
                    <w:t>砷</w:t>
                  </w:r>
                </w:p>
              </w:tc>
              <w:tc>
                <w:tcPr>
                  <w:tcW w:w="893" w:type="pct"/>
                  <w:tcMar>
                    <w:left w:w="28" w:type="dxa"/>
                    <w:right w:w="28" w:type="dxa"/>
                  </w:tcMar>
                  <w:vAlign w:val="center"/>
                </w:tcPr>
                <w:p w14:paraId="57253B43">
                  <w:pPr>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2023.7.15</w:t>
                  </w:r>
                </w:p>
              </w:tc>
              <w:tc>
                <w:tcPr>
                  <w:tcW w:w="710" w:type="pct"/>
                  <w:tcMar>
                    <w:left w:w="28" w:type="dxa"/>
                    <w:right w:w="28" w:type="dxa"/>
                  </w:tcMar>
                  <w:vAlign w:val="center"/>
                </w:tcPr>
                <w:p w14:paraId="05688B64">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restart"/>
                  <w:vAlign w:val="center"/>
                </w:tcPr>
                <w:p w14:paraId="243E4DB3">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0.012</w:t>
                  </w:r>
                </w:p>
              </w:tc>
              <w:tc>
                <w:tcPr>
                  <w:tcW w:w="710" w:type="pct"/>
                  <w:tcMar>
                    <w:left w:w="28" w:type="dxa"/>
                    <w:right w:w="28" w:type="dxa"/>
                  </w:tcMar>
                </w:tcPr>
                <w:p w14:paraId="3055D127">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25EC383F">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4F412BE9">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7B48EC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07A29BE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158D9CF9">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33A44A70">
                  <w:pPr>
                    <w:jc w:val="center"/>
                    <w:rPr>
                      <w:rFonts w:ascii="Times New Roman" w:hAnsi="Times New Roman" w:cs="Times New Roman"/>
                      <w:color w:val="FF0000"/>
                    </w:rPr>
                  </w:pPr>
                  <w:r>
                    <w:rPr>
                      <w:rFonts w:ascii="Times New Roman" w:hAnsi="Times New Roman" w:eastAsia="宋体" w:cs="Times New Roman"/>
                      <w:color w:val="FF0000"/>
                      <w:kern w:val="0"/>
                      <w:szCs w:val="21"/>
                    </w:rPr>
                    <w:t>2023.7.16</w:t>
                  </w:r>
                </w:p>
              </w:tc>
              <w:tc>
                <w:tcPr>
                  <w:tcW w:w="710" w:type="pct"/>
                  <w:tcMar>
                    <w:left w:w="28" w:type="dxa"/>
                    <w:right w:w="28" w:type="dxa"/>
                  </w:tcMar>
                  <w:vAlign w:val="center"/>
                </w:tcPr>
                <w:p w14:paraId="41E4AA50">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7B319A96">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4C3F4E04">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38AD3271">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1F3DB01B">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14A5A4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2D9EFDD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495EA8B6">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01634729">
                  <w:pPr>
                    <w:jc w:val="center"/>
                    <w:rPr>
                      <w:rFonts w:ascii="Times New Roman" w:hAnsi="Times New Roman" w:cs="Times New Roman"/>
                      <w:color w:val="FF0000"/>
                    </w:rPr>
                  </w:pPr>
                  <w:r>
                    <w:rPr>
                      <w:rFonts w:ascii="Times New Roman" w:hAnsi="Times New Roman" w:eastAsia="宋体" w:cs="Times New Roman"/>
                      <w:color w:val="FF0000"/>
                      <w:kern w:val="0"/>
                      <w:szCs w:val="21"/>
                    </w:rPr>
                    <w:t>2023.7.17</w:t>
                  </w:r>
                </w:p>
              </w:tc>
              <w:tc>
                <w:tcPr>
                  <w:tcW w:w="710" w:type="pct"/>
                  <w:tcMar>
                    <w:left w:w="28" w:type="dxa"/>
                    <w:right w:w="28" w:type="dxa"/>
                  </w:tcMar>
                  <w:vAlign w:val="center"/>
                </w:tcPr>
                <w:p w14:paraId="474E43A0">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6B29E2DB">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61A51A01">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1269D373">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3D44C5DB">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48F84E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65E22821">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25F821EA">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0375DC16">
                  <w:pPr>
                    <w:jc w:val="center"/>
                    <w:rPr>
                      <w:rFonts w:ascii="Times New Roman" w:hAnsi="Times New Roman" w:cs="Times New Roman"/>
                      <w:color w:val="FF0000"/>
                    </w:rPr>
                  </w:pPr>
                  <w:r>
                    <w:rPr>
                      <w:rFonts w:ascii="Times New Roman" w:hAnsi="Times New Roman" w:eastAsia="宋体" w:cs="Times New Roman"/>
                      <w:color w:val="FF0000"/>
                      <w:kern w:val="0"/>
                      <w:szCs w:val="21"/>
                    </w:rPr>
                    <w:t>2023.7.18</w:t>
                  </w:r>
                </w:p>
              </w:tc>
              <w:tc>
                <w:tcPr>
                  <w:tcW w:w="710" w:type="pct"/>
                  <w:tcMar>
                    <w:left w:w="28" w:type="dxa"/>
                    <w:right w:w="28" w:type="dxa"/>
                  </w:tcMar>
                  <w:vAlign w:val="center"/>
                </w:tcPr>
                <w:p w14:paraId="0F92D162">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62D9842F">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59724B7E">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16DFAA9B">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0EB93A9A">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29D1A8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0DDB51A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2B563E20">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6B47E49E">
                  <w:pPr>
                    <w:jc w:val="center"/>
                    <w:rPr>
                      <w:rFonts w:ascii="Times New Roman" w:hAnsi="Times New Roman" w:cs="Times New Roman"/>
                      <w:color w:val="FF0000"/>
                    </w:rPr>
                  </w:pPr>
                  <w:r>
                    <w:rPr>
                      <w:rFonts w:ascii="Times New Roman" w:hAnsi="Times New Roman" w:eastAsia="宋体" w:cs="Times New Roman"/>
                      <w:color w:val="FF0000"/>
                      <w:kern w:val="0"/>
                      <w:szCs w:val="21"/>
                    </w:rPr>
                    <w:t>2023.7.19</w:t>
                  </w:r>
                </w:p>
              </w:tc>
              <w:tc>
                <w:tcPr>
                  <w:tcW w:w="710" w:type="pct"/>
                  <w:tcMar>
                    <w:left w:w="28" w:type="dxa"/>
                    <w:right w:w="28" w:type="dxa"/>
                  </w:tcMar>
                  <w:vAlign w:val="center"/>
                </w:tcPr>
                <w:p w14:paraId="65206479">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00B53FCF">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2AFC627B">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57E6B1CC">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09F3745D">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7DA2D1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46E6FA4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62BE16E6">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00E8987C">
                  <w:pPr>
                    <w:jc w:val="center"/>
                    <w:rPr>
                      <w:rFonts w:ascii="Times New Roman" w:hAnsi="Times New Roman" w:cs="Times New Roman"/>
                      <w:color w:val="FF0000"/>
                    </w:rPr>
                  </w:pPr>
                  <w:r>
                    <w:rPr>
                      <w:rFonts w:ascii="Times New Roman" w:hAnsi="Times New Roman" w:eastAsia="宋体" w:cs="Times New Roman"/>
                      <w:color w:val="FF0000"/>
                      <w:kern w:val="0"/>
                      <w:szCs w:val="21"/>
                    </w:rPr>
                    <w:t>2023.7.20</w:t>
                  </w:r>
                </w:p>
              </w:tc>
              <w:tc>
                <w:tcPr>
                  <w:tcW w:w="710" w:type="pct"/>
                  <w:tcMar>
                    <w:left w:w="28" w:type="dxa"/>
                    <w:right w:w="28" w:type="dxa"/>
                  </w:tcMar>
                  <w:vAlign w:val="center"/>
                </w:tcPr>
                <w:p w14:paraId="04DC8315">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0AD008D4">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25F21A5A">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6AA3875E">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1BAAE883">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259BDF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7D862881">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0D9187D1">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7F0712A0">
                  <w:pPr>
                    <w:jc w:val="center"/>
                    <w:rPr>
                      <w:rFonts w:ascii="Times New Roman" w:hAnsi="Times New Roman" w:cs="Times New Roman"/>
                      <w:color w:val="FF0000"/>
                    </w:rPr>
                  </w:pPr>
                  <w:r>
                    <w:rPr>
                      <w:rFonts w:ascii="Times New Roman" w:hAnsi="Times New Roman" w:eastAsia="宋体" w:cs="Times New Roman"/>
                      <w:color w:val="FF0000"/>
                      <w:kern w:val="0"/>
                      <w:szCs w:val="21"/>
                    </w:rPr>
                    <w:t>2023.7.21</w:t>
                  </w:r>
                </w:p>
              </w:tc>
              <w:tc>
                <w:tcPr>
                  <w:tcW w:w="710" w:type="pct"/>
                  <w:tcMar>
                    <w:left w:w="28" w:type="dxa"/>
                    <w:right w:w="28" w:type="dxa"/>
                  </w:tcMar>
                  <w:vAlign w:val="center"/>
                </w:tcPr>
                <w:p w14:paraId="198F9670">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6E803AD8">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0A573EB9">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7DF71713">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6C3936A3">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7227AC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30B3BCE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restart"/>
                  <w:tcMar>
                    <w:left w:w="28" w:type="dxa"/>
                    <w:right w:w="28" w:type="dxa"/>
                  </w:tcMar>
                  <w:vAlign w:val="center"/>
                </w:tcPr>
                <w:p w14:paraId="2D43EAD0">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r>
                    <w:rPr>
                      <w:rFonts w:ascii="Times New Roman" w:hAnsi="Times New Roman" w:eastAsia="宋体" w:cs="Times New Roman"/>
                      <w:bCs/>
                      <w:color w:val="000000" w:themeColor="text1"/>
                      <w:kern w:val="0"/>
                      <w:sz w:val="24"/>
                      <w:szCs w:val="24"/>
                      <w14:textFill>
                        <w14:solidFill>
                          <w14:schemeClr w14:val="tx1"/>
                        </w14:solidFill>
                      </w14:textFill>
                    </w:rPr>
                    <w:t>铅</w:t>
                  </w:r>
                </w:p>
              </w:tc>
              <w:tc>
                <w:tcPr>
                  <w:tcW w:w="893" w:type="pct"/>
                  <w:tcMar>
                    <w:left w:w="28" w:type="dxa"/>
                    <w:right w:w="28" w:type="dxa"/>
                  </w:tcMar>
                  <w:vAlign w:val="center"/>
                </w:tcPr>
                <w:p w14:paraId="04A7FC9B">
                  <w:pPr>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2023.7.15</w:t>
                  </w:r>
                </w:p>
              </w:tc>
              <w:tc>
                <w:tcPr>
                  <w:tcW w:w="710" w:type="pct"/>
                  <w:tcMar>
                    <w:left w:w="28" w:type="dxa"/>
                    <w:right w:w="28" w:type="dxa"/>
                  </w:tcMar>
                  <w:vAlign w:val="center"/>
                </w:tcPr>
                <w:p w14:paraId="119D4385">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restart"/>
                  <w:vAlign w:val="center"/>
                </w:tcPr>
                <w:p w14:paraId="7B3DD815">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w:t>
                  </w:r>
                </w:p>
              </w:tc>
              <w:tc>
                <w:tcPr>
                  <w:tcW w:w="710" w:type="pct"/>
                  <w:tcMar>
                    <w:left w:w="28" w:type="dxa"/>
                    <w:right w:w="28" w:type="dxa"/>
                  </w:tcMar>
                </w:tcPr>
                <w:p w14:paraId="2DF8A004">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437547D4">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3F732884">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1EE5A6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6240BF0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0FC3F2A1">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2F125FD9">
                  <w:pPr>
                    <w:jc w:val="center"/>
                    <w:rPr>
                      <w:rFonts w:ascii="Times New Roman" w:hAnsi="Times New Roman" w:cs="Times New Roman"/>
                      <w:color w:val="FF0000"/>
                    </w:rPr>
                  </w:pPr>
                  <w:r>
                    <w:rPr>
                      <w:rFonts w:ascii="Times New Roman" w:hAnsi="Times New Roman" w:eastAsia="宋体" w:cs="Times New Roman"/>
                      <w:color w:val="FF0000"/>
                      <w:kern w:val="0"/>
                      <w:szCs w:val="21"/>
                    </w:rPr>
                    <w:t>2023.7.16</w:t>
                  </w:r>
                </w:p>
              </w:tc>
              <w:tc>
                <w:tcPr>
                  <w:tcW w:w="710" w:type="pct"/>
                  <w:tcMar>
                    <w:left w:w="28" w:type="dxa"/>
                    <w:right w:w="28" w:type="dxa"/>
                  </w:tcMar>
                  <w:vAlign w:val="center"/>
                </w:tcPr>
                <w:p w14:paraId="5451F885">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299E8137">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0496112F">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294C51DF">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76EC9A65">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3175E6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751E9CA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4CECF3E8">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77CB2C41">
                  <w:pPr>
                    <w:jc w:val="center"/>
                    <w:rPr>
                      <w:rFonts w:ascii="Times New Roman" w:hAnsi="Times New Roman" w:cs="Times New Roman"/>
                      <w:color w:val="FF0000"/>
                    </w:rPr>
                  </w:pPr>
                  <w:r>
                    <w:rPr>
                      <w:rFonts w:ascii="Times New Roman" w:hAnsi="Times New Roman" w:eastAsia="宋体" w:cs="Times New Roman"/>
                      <w:color w:val="FF0000"/>
                      <w:kern w:val="0"/>
                      <w:szCs w:val="21"/>
                    </w:rPr>
                    <w:t>2023.7.17</w:t>
                  </w:r>
                </w:p>
              </w:tc>
              <w:tc>
                <w:tcPr>
                  <w:tcW w:w="710" w:type="pct"/>
                  <w:tcMar>
                    <w:left w:w="28" w:type="dxa"/>
                    <w:right w:w="28" w:type="dxa"/>
                  </w:tcMar>
                  <w:vAlign w:val="center"/>
                </w:tcPr>
                <w:p w14:paraId="5D9334D7">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64D2A51D">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0C4CA610">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5D3F95B1">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349E112B">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07376B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0BDE7BF5">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5DCA44EC">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2A3B6D45">
                  <w:pPr>
                    <w:jc w:val="center"/>
                    <w:rPr>
                      <w:rFonts w:ascii="Times New Roman" w:hAnsi="Times New Roman" w:cs="Times New Roman"/>
                      <w:color w:val="FF0000"/>
                    </w:rPr>
                  </w:pPr>
                  <w:r>
                    <w:rPr>
                      <w:rFonts w:ascii="Times New Roman" w:hAnsi="Times New Roman" w:eastAsia="宋体" w:cs="Times New Roman"/>
                      <w:color w:val="FF0000"/>
                      <w:kern w:val="0"/>
                      <w:szCs w:val="21"/>
                    </w:rPr>
                    <w:t>2023.7.18</w:t>
                  </w:r>
                </w:p>
              </w:tc>
              <w:tc>
                <w:tcPr>
                  <w:tcW w:w="710" w:type="pct"/>
                  <w:tcMar>
                    <w:left w:w="28" w:type="dxa"/>
                    <w:right w:w="28" w:type="dxa"/>
                  </w:tcMar>
                  <w:vAlign w:val="center"/>
                </w:tcPr>
                <w:p w14:paraId="1AEBC684">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3CBCAF8C">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429175C7">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6C98FF7F">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37294F21">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6E87BA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6CCDA72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004A31C4">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4ECBE396">
                  <w:pPr>
                    <w:jc w:val="center"/>
                    <w:rPr>
                      <w:rFonts w:ascii="Times New Roman" w:hAnsi="Times New Roman" w:cs="Times New Roman"/>
                      <w:color w:val="FF0000"/>
                    </w:rPr>
                  </w:pPr>
                  <w:r>
                    <w:rPr>
                      <w:rFonts w:ascii="Times New Roman" w:hAnsi="Times New Roman" w:eastAsia="宋体" w:cs="Times New Roman"/>
                      <w:color w:val="FF0000"/>
                      <w:kern w:val="0"/>
                      <w:szCs w:val="21"/>
                    </w:rPr>
                    <w:t>2023.7.19</w:t>
                  </w:r>
                </w:p>
              </w:tc>
              <w:tc>
                <w:tcPr>
                  <w:tcW w:w="710" w:type="pct"/>
                  <w:tcMar>
                    <w:left w:w="28" w:type="dxa"/>
                    <w:right w:w="28" w:type="dxa"/>
                  </w:tcMar>
                  <w:vAlign w:val="center"/>
                </w:tcPr>
                <w:p w14:paraId="74ADEFFC">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4E96F06C">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7CC1371D">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0F2BDB95">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0877E54B">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03A886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62670F9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726D4022">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3433E52B">
                  <w:pPr>
                    <w:jc w:val="center"/>
                    <w:rPr>
                      <w:rFonts w:ascii="Times New Roman" w:hAnsi="Times New Roman" w:cs="Times New Roman"/>
                      <w:color w:val="FF0000"/>
                    </w:rPr>
                  </w:pPr>
                  <w:r>
                    <w:rPr>
                      <w:rFonts w:ascii="Times New Roman" w:hAnsi="Times New Roman" w:eastAsia="宋体" w:cs="Times New Roman"/>
                      <w:color w:val="FF0000"/>
                      <w:kern w:val="0"/>
                      <w:szCs w:val="21"/>
                    </w:rPr>
                    <w:t>2023.7.20</w:t>
                  </w:r>
                </w:p>
              </w:tc>
              <w:tc>
                <w:tcPr>
                  <w:tcW w:w="710" w:type="pct"/>
                  <w:tcMar>
                    <w:left w:w="28" w:type="dxa"/>
                    <w:right w:w="28" w:type="dxa"/>
                  </w:tcMar>
                  <w:vAlign w:val="center"/>
                </w:tcPr>
                <w:p w14:paraId="330EABBC">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29ED3F22">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109B0A90">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193F62BA">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31D2912D">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62DB32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7433CB9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08A1C534">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7C94FFF7">
                  <w:pPr>
                    <w:jc w:val="center"/>
                    <w:rPr>
                      <w:rFonts w:ascii="Times New Roman" w:hAnsi="Times New Roman" w:cs="Times New Roman"/>
                      <w:color w:val="FF0000"/>
                    </w:rPr>
                  </w:pPr>
                  <w:r>
                    <w:rPr>
                      <w:rFonts w:ascii="Times New Roman" w:hAnsi="Times New Roman" w:eastAsia="宋体" w:cs="Times New Roman"/>
                      <w:color w:val="FF0000"/>
                      <w:kern w:val="0"/>
                      <w:szCs w:val="21"/>
                    </w:rPr>
                    <w:t>2023.7.21</w:t>
                  </w:r>
                </w:p>
              </w:tc>
              <w:tc>
                <w:tcPr>
                  <w:tcW w:w="710" w:type="pct"/>
                  <w:tcMar>
                    <w:left w:w="28" w:type="dxa"/>
                    <w:right w:w="28" w:type="dxa"/>
                  </w:tcMar>
                  <w:vAlign w:val="center"/>
                </w:tcPr>
                <w:p w14:paraId="3543F979">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42911EE6">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685BBC08">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5B2C9022">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66FA0AA8">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355D7E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75C12D9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restart"/>
                  <w:tcMar>
                    <w:left w:w="28" w:type="dxa"/>
                    <w:right w:w="28" w:type="dxa"/>
                  </w:tcMar>
                  <w:vAlign w:val="center"/>
                </w:tcPr>
                <w:p w14:paraId="2E100C68">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r>
                    <w:rPr>
                      <w:rFonts w:ascii="Times New Roman" w:hAnsi="Times New Roman" w:eastAsia="宋体" w:cs="Times New Roman"/>
                      <w:bCs/>
                      <w:color w:val="000000" w:themeColor="text1"/>
                      <w:kern w:val="0"/>
                      <w:sz w:val="24"/>
                      <w:szCs w:val="24"/>
                      <w14:textFill>
                        <w14:solidFill>
                          <w14:schemeClr w14:val="tx1"/>
                        </w14:solidFill>
                      </w14:textFill>
                    </w:rPr>
                    <w:t>镍</w:t>
                  </w:r>
                </w:p>
              </w:tc>
              <w:tc>
                <w:tcPr>
                  <w:tcW w:w="893" w:type="pct"/>
                  <w:tcMar>
                    <w:left w:w="28" w:type="dxa"/>
                    <w:right w:w="28" w:type="dxa"/>
                  </w:tcMar>
                  <w:vAlign w:val="center"/>
                </w:tcPr>
                <w:p w14:paraId="2AD8A32E">
                  <w:pPr>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2023.7.15</w:t>
                  </w:r>
                </w:p>
              </w:tc>
              <w:tc>
                <w:tcPr>
                  <w:tcW w:w="710" w:type="pct"/>
                  <w:tcMar>
                    <w:left w:w="28" w:type="dxa"/>
                    <w:right w:w="28" w:type="dxa"/>
                  </w:tcMar>
                  <w:vAlign w:val="center"/>
                </w:tcPr>
                <w:p w14:paraId="0F9F515B">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restart"/>
                  <w:vAlign w:val="center"/>
                </w:tcPr>
                <w:p w14:paraId="72BE6919">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30</w:t>
                  </w:r>
                </w:p>
              </w:tc>
              <w:tc>
                <w:tcPr>
                  <w:tcW w:w="710" w:type="pct"/>
                  <w:tcMar>
                    <w:left w:w="28" w:type="dxa"/>
                    <w:right w:w="28" w:type="dxa"/>
                  </w:tcMar>
                </w:tcPr>
                <w:p w14:paraId="0D75448A">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5C402FF0">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6125376D">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6968E1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60CDAB4C">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5A47E9F3">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0925F858">
                  <w:pPr>
                    <w:jc w:val="center"/>
                    <w:rPr>
                      <w:rFonts w:ascii="Times New Roman" w:hAnsi="Times New Roman" w:cs="Times New Roman"/>
                      <w:color w:val="FF0000"/>
                    </w:rPr>
                  </w:pPr>
                  <w:r>
                    <w:rPr>
                      <w:rFonts w:ascii="Times New Roman" w:hAnsi="Times New Roman" w:eastAsia="宋体" w:cs="Times New Roman"/>
                      <w:color w:val="FF0000"/>
                      <w:kern w:val="0"/>
                      <w:szCs w:val="21"/>
                    </w:rPr>
                    <w:t>2023.7.16</w:t>
                  </w:r>
                </w:p>
              </w:tc>
              <w:tc>
                <w:tcPr>
                  <w:tcW w:w="710" w:type="pct"/>
                  <w:tcMar>
                    <w:left w:w="28" w:type="dxa"/>
                    <w:right w:w="28" w:type="dxa"/>
                  </w:tcMar>
                  <w:vAlign w:val="center"/>
                </w:tcPr>
                <w:p w14:paraId="683FEC57">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091C5D89">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48EF84A6">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28FEF8C1">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79DB814F">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33D82A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1B943A53">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03612E2A">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5913BFC1">
                  <w:pPr>
                    <w:jc w:val="center"/>
                    <w:rPr>
                      <w:rFonts w:ascii="Times New Roman" w:hAnsi="Times New Roman" w:cs="Times New Roman"/>
                      <w:color w:val="FF0000"/>
                    </w:rPr>
                  </w:pPr>
                  <w:r>
                    <w:rPr>
                      <w:rFonts w:ascii="Times New Roman" w:hAnsi="Times New Roman" w:eastAsia="宋体" w:cs="Times New Roman"/>
                      <w:color w:val="FF0000"/>
                      <w:kern w:val="0"/>
                      <w:szCs w:val="21"/>
                    </w:rPr>
                    <w:t>2023.7.17</w:t>
                  </w:r>
                </w:p>
              </w:tc>
              <w:tc>
                <w:tcPr>
                  <w:tcW w:w="710" w:type="pct"/>
                  <w:tcMar>
                    <w:left w:w="28" w:type="dxa"/>
                    <w:right w:w="28" w:type="dxa"/>
                  </w:tcMar>
                  <w:vAlign w:val="center"/>
                </w:tcPr>
                <w:p w14:paraId="5C5F8C1D">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431ED70D">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4B38C0C4">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6D7C3505">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33E62A77">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233DD2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57F0CA26">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7456D9B2">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71639082">
                  <w:pPr>
                    <w:jc w:val="center"/>
                    <w:rPr>
                      <w:rFonts w:ascii="Times New Roman" w:hAnsi="Times New Roman" w:cs="Times New Roman"/>
                      <w:color w:val="FF0000"/>
                    </w:rPr>
                  </w:pPr>
                  <w:r>
                    <w:rPr>
                      <w:rFonts w:ascii="Times New Roman" w:hAnsi="Times New Roman" w:eastAsia="宋体" w:cs="Times New Roman"/>
                      <w:color w:val="FF0000"/>
                      <w:kern w:val="0"/>
                      <w:szCs w:val="21"/>
                    </w:rPr>
                    <w:t>2023.7.18</w:t>
                  </w:r>
                </w:p>
              </w:tc>
              <w:tc>
                <w:tcPr>
                  <w:tcW w:w="710" w:type="pct"/>
                  <w:tcMar>
                    <w:left w:w="28" w:type="dxa"/>
                    <w:right w:w="28" w:type="dxa"/>
                  </w:tcMar>
                  <w:vAlign w:val="center"/>
                </w:tcPr>
                <w:p w14:paraId="1DFB1E9F">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1A8FFC43">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0B0DFFCD">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410A3012">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00445963">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45C3BF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0CE31E64">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481182B8">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081F18CD">
                  <w:pPr>
                    <w:jc w:val="center"/>
                    <w:rPr>
                      <w:rFonts w:ascii="Times New Roman" w:hAnsi="Times New Roman" w:cs="Times New Roman"/>
                      <w:color w:val="FF0000"/>
                    </w:rPr>
                  </w:pPr>
                  <w:r>
                    <w:rPr>
                      <w:rFonts w:ascii="Times New Roman" w:hAnsi="Times New Roman" w:eastAsia="宋体" w:cs="Times New Roman"/>
                      <w:color w:val="FF0000"/>
                      <w:kern w:val="0"/>
                      <w:szCs w:val="21"/>
                    </w:rPr>
                    <w:t>2023.7.19</w:t>
                  </w:r>
                </w:p>
              </w:tc>
              <w:tc>
                <w:tcPr>
                  <w:tcW w:w="710" w:type="pct"/>
                  <w:tcMar>
                    <w:left w:w="28" w:type="dxa"/>
                    <w:right w:w="28" w:type="dxa"/>
                  </w:tcMar>
                  <w:vAlign w:val="center"/>
                </w:tcPr>
                <w:p w14:paraId="6B2B054F">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2F0CCD8A">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4FE7EA80">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1103F61C">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6AFF22E3">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4AB633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2BB9E130">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04CB76AE">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441F1643">
                  <w:pPr>
                    <w:jc w:val="center"/>
                    <w:rPr>
                      <w:rFonts w:ascii="Times New Roman" w:hAnsi="Times New Roman" w:cs="Times New Roman"/>
                      <w:color w:val="FF0000"/>
                    </w:rPr>
                  </w:pPr>
                  <w:r>
                    <w:rPr>
                      <w:rFonts w:ascii="Times New Roman" w:hAnsi="Times New Roman" w:eastAsia="宋体" w:cs="Times New Roman"/>
                      <w:color w:val="FF0000"/>
                      <w:kern w:val="0"/>
                      <w:szCs w:val="21"/>
                    </w:rPr>
                    <w:t>2023.7.20</w:t>
                  </w:r>
                </w:p>
              </w:tc>
              <w:tc>
                <w:tcPr>
                  <w:tcW w:w="710" w:type="pct"/>
                  <w:tcMar>
                    <w:left w:w="28" w:type="dxa"/>
                    <w:right w:w="28" w:type="dxa"/>
                  </w:tcMar>
                  <w:vAlign w:val="center"/>
                </w:tcPr>
                <w:p w14:paraId="61DB2B27">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48D72BA5">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2E1DDE4D">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6280243A">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7D2E4AB8">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48163F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3867DCA9">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07B5C982">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029E9350">
                  <w:pPr>
                    <w:jc w:val="center"/>
                    <w:rPr>
                      <w:rFonts w:ascii="Times New Roman" w:hAnsi="Times New Roman" w:cs="Times New Roman"/>
                      <w:color w:val="FF0000"/>
                    </w:rPr>
                  </w:pPr>
                  <w:r>
                    <w:rPr>
                      <w:rFonts w:ascii="Times New Roman" w:hAnsi="Times New Roman" w:eastAsia="宋体" w:cs="Times New Roman"/>
                      <w:color w:val="FF0000"/>
                      <w:kern w:val="0"/>
                      <w:szCs w:val="21"/>
                    </w:rPr>
                    <w:t>2023.7.21</w:t>
                  </w:r>
                </w:p>
              </w:tc>
              <w:tc>
                <w:tcPr>
                  <w:tcW w:w="710" w:type="pct"/>
                  <w:tcMar>
                    <w:left w:w="28" w:type="dxa"/>
                    <w:right w:w="28" w:type="dxa"/>
                  </w:tcMar>
                  <w:vAlign w:val="center"/>
                </w:tcPr>
                <w:p w14:paraId="2FA52B7E">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7A897EEA">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065ED9B9">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5CA09857">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62C37626">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1DB73F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7D94D5C6">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restart"/>
                  <w:tcMar>
                    <w:left w:w="28" w:type="dxa"/>
                    <w:right w:w="28" w:type="dxa"/>
                  </w:tcMar>
                  <w:vAlign w:val="center"/>
                </w:tcPr>
                <w:p w14:paraId="1D0CABD8">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r>
                    <w:rPr>
                      <w:rFonts w:ascii="Times New Roman" w:hAnsi="Times New Roman" w:eastAsia="宋体" w:cs="Times New Roman"/>
                      <w:bCs/>
                      <w:color w:val="000000" w:themeColor="text1"/>
                      <w:kern w:val="0"/>
                      <w:sz w:val="24"/>
                      <w:szCs w:val="24"/>
                      <w14:textFill>
                        <w14:solidFill>
                          <w14:schemeClr w14:val="tx1"/>
                        </w14:solidFill>
                      </w14:textFill>
                    </w:rPr>
                    <w:t>六价铬</w:t>
                  </w:r>
                </w:p>
              </w:tc>
              <w:tc>
                <w:tcPr>
                  <w:tcW w:w="893" w:type="pct"/>
                  <w:tcMar>
                    <w:left w:w="28" w:type="dxa"/>
                    <w:right w:w="28" w:type="dxa"/>
                  </w:tcMar>
                  <w:vAlign w:val="center"/>
                </w:tcPr>
                <w:p w14:paraId="04558DB0">
                  <w:pPr>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2023.7.15</w:t>
                  </w:r>
                </w:p>
              </w:tc>
              <w:tc>
                <w:tcPr>
                  <w:tcW w:w="710" w:type="pct"/>
                  <w:tcMar>
                    <w:left w:w="28" w:type="dxa"/>
                    <w:right w:w="28" w:type="dxa"/>
                  </w:tcMar>
                  <w:vAlign w:val="center"/>
                </w:tcPr>
                <w:p w14:paraId="32E521D1">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restart"/>
                  <w:vAlign w:val="center"/>
                </w:tcPr>
                <w:p w14:paraId="7670AECE">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0.00005</w:t>
                  </w:r>
                </w:p>
              </w:tc>
              <w:tc>
                <w:tcPr>
                  <w:tcW w:w="710" w:type="pct"/>
                  <w:tcMar>
                    <w:left w:w="28" w:type="dxa"/>
                    <w:right w:w="28" w:type="dxa"/>
                  </w:tcMar>
                </w:tcPr>
                <w:p w14:paraId="7AA6D996">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50ABC7C2">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5EBE2895">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10D702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39ABB37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6C9C49DA">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1D58EE21">
                  <w:pPr>
                    <w:jc w:val="center"/>
                    <w:rPr>
                      <w:rFonts w:ascii="Times New Roman" w:hAnsi="Times New Roman" w:cs="Times New Roman"/>
                      <w:color w:val="FF0000"/>
                    </w:rPr>
                  </w:pPr>
                  <w:r>
                    <w:rPr>
                      <w:rFonts w:ascii="Times New Roman" w:hAnsi="Times New Roman" w:eastAsia="宋体" w:cs="Times New Roman"/>
                      <w:color w:val="FF0000"/>
                      <w:kern w:val="0"/>
                      <w:szCs w:val="21"/>
                    </w:rPr>
                    <w:t>2023.7.16</w:t>
                  </w:r>
                </w:p>
              </w:tc>
              <w:tc>
                <w:tcPr>
                  <w:tcW w:w="710" w:type="pct"/>
                  <w:tcMar>
                    <w:left w:w="28" w:type="dxa"/>
                    <w:right w:w="28" w:type="dxa"/>
                  </w:tcMar>
                  <w:vAlign w:val="center"/>
                </w:tcPr>
                <w:p w14:paraId="37678FC5">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7614C166">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2EDDE34A">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731ABD87">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34687E47">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3FA0C6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169C49A8">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1CC7B496">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29825A92">
                  <w:pPr>
                    <w:jc w:val="center"/>
                    <w:rPr>
                      <w:rFonts w:ascii="Times New Roman" w:hAnsi="Times New Roman" w:cs="Times New Roman"/>
                      <w:color w:val="FF0000"/>
                    </w:rPr>
                  </w:pPr>
                  <w:r>
                    <w:rPr>
                      <w:rFonts w:ascii="Times New Roman" w:hAnsi="Times New Roman" w:eastAsia="宋体" w:cs="Times New Roman"/>
                      <w:color w:val="FF0000"/>
                      <w:kern w:val="0"/>
                      <w:szCs w:val="21"/>
                    </w:rPr>
                    <w:t>2023.7.17</w:t>
                  </w:r>
                </w:p>
              </w:tc>
              <w:tc>
                <w:tcPr>
                  <w:tcW w:w="710" w:type="pct"/>
                  <w:tcMar>
                    <w:left w:w="28" w:type="dxa"/>
                    <w:right w:w="28" w:type="dxa"/>
                  </w:tcMar>
                  <w:vAlign w:val="center"/>
                </w:tcPr>
                <w:p w14:paraId="313068BE">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5E9C36B0">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10B9586B">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09C51FC3">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31F61DA9">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71A4C7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7CDFE304">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72001756">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1CD357B9">
                  <w:pPr>
                    <w:jc w:val="center"/>
                    <w:rPr>
                      <w:rFonts w:ascii="Times New Roman" w:hAnsi="Times New Roman" w:cs="Times New Roman"/>
                      <w:color w:val="FF0000"/>
                    </w:rPr>
                  </w:pPr>
                  <w:r>
                    <w:rPr>
                      <w:rFonts w:ascii="Times New Roman" w:hAnsi="Times New Roman" w:eastAsia="宋体" w:cs="Times New Roman"/>
                      <w:color w:val="FF0000"/>
                      <w:kern w:val="0"/>
                      <w:szCs w:val="21"/>
                    </w:rPr>
                    <w:t>2023.7.18</w:t>
                  </w:r>
                </w:p>
              </w:tc>
              <w:tc>
                <w:tcPr>
                  <w:tcW w:w="710" w:type="pct"/>
                  <w:tcMar>
                    <w:left w:w="28" w:type="dxa"/>
                    <w:right w:w="28" w:type="dxa"/>
                  </w:tcMar>
                  <w:vAlign w:val="center"/>
                </w:tcPr>
                <w:p w14:paraId="73F8B673">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56DE7523">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385808FA">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6FBE770F">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7910D7E6">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2F0DDF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18E81AF7">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2CB6CE1A">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7A653D98">
                  <w:pPr>
                    <w:jc w:val="center"/>
                    <w:rPr>
                      <w:rFonts w:ascii="Times New Roman" w:hAnsi="Times New Roman" w:cs="Times New Roman"/>
                      <w:color w:val="FF0000"/>
                    </w:rPr>
                  </w:pPr>
                  <w:r>
                    <w:rPr>
                      <w:rFonts w:ascii="Times New Roman" w:hAnsi="Times New Roman" w:eastAsia="宋体" w:cs="Times New Roman"/>
                      <w:color w:val="FF0000"/>
                      <w:kern w:val="0"/>
                      <w:szCs w:val="21"/>
                    </w:rPr>
                    <w:t>2023.7.19</w:t>
                  </w:r>
                </w:p>
              </w:tc>
              <w:tc>
                <w:tcPr>
                  <w:tcW w:w="710" w:type="pct"/>
                  <w:tcMar>
                    <w:left w:w="28" w:type="dxa"/>
                    <w:right w:w="28" w:type="dxa"/>
                  </w:tcMar>
                  <w:vAlign w:val="center"/>
                </w:tcPr>
                <w:p w14:paraId="644486D5">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7E3CF17E">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1CAA5100">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6A39287B">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7C9CEECA">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70C89E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249D15FC">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469C5CED">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7CBA3C10">
                  <w:pPr>
                    <w:jc w:val="center"/>
                    <w:rPr>
                      <w:rFonts w:ascii="Times New Roman" w:hAnsi="Times New Roman" w:cs="Times New Roman"/>
                      <w:color w:val="FF0000"/>
                    </w:rPr>
                  </w:pPr>
                  <w:r>
                    <w:rPr>
                      <w:rFonts w:ascii="Times New Roman" w:hAnsi="Times New Roman" w:eastAsia="宋体" w:cs="Times New Roman"/>
                      <w:color w:val="FF0000"/>
                      <w:kern w:val="0"/>
                      <w:szCs w:val="21"/>
                    </w:rPr>
                    <w:t>2023.7.20</w:t>
                  </w:r>
                </w:p>
              </w:tc>
              <w:tc>
                <w:tcPr>
                  <w:tcW w:w="710" w:type="pct"/>
                  <w:tcMar>
                    <w:left w:w="28" w:type="dxa"/>
                    <w:right w:w="28" w:type="dxa"/>
                  </w:tcMar>
                  <w:vAlign w:val="center"/>
                </w:tcPr>
                <w:p w14:paraId="5C76906B">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7A846C7E">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7C474618">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35ADD4EA">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4A49A356">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5FE6A0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51DC7C4F">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vAlign w:val="center"/>
                </w:tcPr>
                <w:p w14:paraId="58DF81E3">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241D554B">
                  <w:pPr>
                    <w:jc w:val="center"/>
                    <w:rPr>
                      <w:rFonts w:ascii="Times New Roman" w:hAnsi="Times New Roman" w:cs="Times New Roman"/>
                      <w:color w:val="FF0000"/>
                    </w:rPr>
                  </w:pPr>
                  <w:r>
                    <w:rPr>
                      <w:rFonts w:ascii="Times New Roman" w:hAnsi="Times New Roman" w:eastAsia="宋体" w:cs="Times New Roman"/>
                      <w:color w:val="FF0000"/>
                      <w:kern w:val="0"/>
                      <w:szCs w:val="21"/>
                    </w:rPr>
                    <w:t>2023.7.21</w:t>
                  </w:r>
                </w:p>
              </w:tc>
              <w:tc>
                <w:tcPr>
                  <w:tcW w:w="710" w:type="pct"/>
                  <w:tcMar>
                    <w:left w:w="28" w:type="dxa"/>
                    <w:right w:w="28" w:type="dxa"/>
                  </w:tcMar>
                  <w:vAlign w:val="center"/>
                </w:tcPr>
                <w:p w14:paraId="19E29EE9">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7286616B">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05669670">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74EBC2EF">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5A7AF588">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236ED0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vAlign w:val="center"/>
                </w:tcPr>
                <w:p w14:paraId="61B88402">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restart"/>
                  <w:tcMar>
                    <w:left w:w="28" w:type="dxa"/>
                    <w:right w:w="28" w:type="dxa"/>
                  </w:tcMar>
                  <w:vAlign w:val="center"/>
                </w:tcPr>
                <w:p w14:paraId="7943A4A4">
                  <w:pPr>
                    <w:adjustRightInd w:val="0"/>
                    <w:spacing w:line="240" w:lineRule="exact"/>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r>
                    <w:rPr>
                      <w:rFonts w:ascii="Times New Roman" w:hAnsi="Times New Roman" w:eastAsia="宋体" w:cs="Times New Roman"/>
                      <w:bCs/>
                      <w:color w:val="000000" w:themeColor="text1"/>
                      <w:kern w:val="0"/>
                      <w:sz w:val="24"/>
                      <w:szCs w:val="24"/>
                      <w14:textFill>
                        <w14:solidFill>
                          <w14:schemeClr w14:val="tx1"/>
                        </w14:solidFill>
                      </w14:textFill>
                    </w:rPr>
                    <w:t>镉</w:t>
                  </w:r>
                </w:p>
              </w:tc>
              <w:tc>
                <w:tcPr>
                  <w:tcW w:w="893" w:type="pct"/>
                  <w:tcMar>
                    <w:left w:w="28" w:type="dxa"/>
                    <w:right w:w="28" w:type="dxa"/>
                  </w:tcMar>
                  <w:vAlign w:val="center"/>
                </w:tcPr>
                <w:p w14:paraId="7E68C80B">
                  <w:pPr>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2023.7.15</w:t>
                  </w:r>
                </w:p>
              </w:tc>
              <w:tc>
                <w:tcPr>
                  <w:tcW w:w="710" w:type="pct"/>
                  <w:tcMar>
                    <w:left w:w="28" w:type="dxa"/>
                    <w:right w:w="28" w:type="dxa"/>
                  </w:tcMar>
                  <w:vAlign w:val="center"/>
                </w:tcPr>
                <w:p w14:paraId="5607464E">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restart"/>
                  <w:vAlign w:val="center"/>
                </w:tcPr>
                <w:p w14:paraId="3A875FFB">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0.01</w:t>
                  </w:r>
                </w:p>
              </w:tc>
              <w:tc>
                <w:tcPr>
                  <w:tcW w:w="710" w:type="pct"/>
                  <w:tcMar>
                    <w:left w:w="28" w:type="dxa"/>
                    <w:right w:w="28" w:type="dxa"/>
                  </w:tcMar>
                </w:tcPr>
                <w:p w14:paraId="4693DEEE">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468A5249">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10E52382">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1D4CBC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tcPr>
                <w:p w14:paraId="03C63CE2">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tcPr>
                <w:p w14:paraId="6C858E51">
                  <w:pPr>
                    <w:adjustRightInd w:val="0"/>
                    <w:spacing w:line="240" w:lineRule="exact"/>
                    <w:jc w:val="center"/>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4DD3BCD0">
                  <w:pPr>
                    <w:jc w:val="center"/>
                    <w:rPr>
                      <w:rFonts w:ascii="Times New Roman" w:hAnsi="Times New Roman" w:cs="Times New Roman"/>
                      <w:color w:val="FF0000"/>
                    </w:rPr>
                  </w:pPr>
                  <w:r>
                    <w:rPr>
                      <w:rFonts w:ascii="Times New Roman" w:hAnsi="Times New Roman" w:eastAsia="宋体" w:cs="Times New Roman"/>
                      <w:color w:val="FF0000"/>
                      <w:kern w:val="0"/>
                      <w:szCs w:val="21"/>
                    </w:rPr>
                    <w:t>2023.7.16</w:t>
                  </w:r>
                </w:p>
              </w:tc>
              <w:tc>
                <w:tcPr>
                  <w:tcW w:w="710" w:type="pct"/>
                  <w:tcMar>
                    <w:left w:w="28" w:type="dxa"/>
                    <w:right w:w="28" w:type="dxa"/>
                  </w:tcMar>
                  <w:vAlign w:val="center"/>
                </w:tcPr>
                <w:p w14:paraId="646CBEE8">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0834704E">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6BB5E185">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6A147C61">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6257B3F5">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3799E9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tcPr>
                <w:p w14:paraId="713A665E">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tcPr>
                <w:p w14:paraId="0982C928">
                  <w:pPr>
                    <w:adjustRightInd w:val="0"/>
                    <w:spacing w:line="240" w:lineRule="exact"/>
                    <w:jc w:val="center"/>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28CB3B7D">
                  <w:pPr>
                    <w:jc w:val="center"/>
                    <w:rPr>
                      <w:rFonts w:ascii="Times New Roman" w:hAnsi="Times New Roman" w:cs="Times New Roman"/>
                      <w:color w:val="FF0000"/>
                    </w:rPr>
                  </w:pPr>
                  <w:r>
                    <w:rPr>
                      <w:rFonts w:ascii="Times New Roman" w:hAnsi="Times New Roman" w:eastAsia="宋体" w:cs="Times New Roman"/>
                      <w:color w:val="FF0000"/>
                      <w:kern w:val="0"/>
                      <w:szCs w:val="21"/>
                    </w:rPr>
                    <w:t>2023.7.17</w:t>
                  </w:r>
                </w:p>
              </w:tc>
              <w:tc>
                <w:tcPr>
                  <w:tcW w:w="710" w:type="pct"/>
                  <w:tcMar>
                    <w:left w:w="28" w:type="dxa"/>
                    <w:right w:w="28" w:type="dxa"/>
                  </w:tcMar>
                  <w:vAlign w:val="center"/>
                </w:tcPr>
                <w:p w14:paraId="31565CF2">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1A8CD727">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5749E467">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19DFF011">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72247A57">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405546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tcPr>
                <w:p w14:paraId="5236FFEA">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tcPr>
                <w:p w14:paraId="189C520F">
                  <w:pPr>
                    <w:adjustRightInd w:val="0"/>
                    <w:spacing w:line="240" w:lineRule="exact"/>
                    <w:jc w:val="center"/>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603F3B74">
                  <w:pPr>
                    <w:jc w:val="center"/>
                    <w:rPr>
                      <w:rFonts w:ascii="Times New Roman" w:hAnsi="Times New Roman" w:cs="Times New Roman"/>
                      <w:color w:val="FF0000"/>
                    </w:rPr>
                  </w:pPr>
                  <w:r>
                    <w:rPr>
                      <w:rFonts w:ascii="Times New Roman" w:hAnsi="Times New Roman" w:eastAsia="宋体" w:cs="Times New Roman"/>
                      <w:color w:val="FF0000"/>
                      <w:kern w:val="0"/>
                      <w:szCs w:val="21"/>
                    </w:rPr>
                    <w:t>2023.7.18</w:t>
                  </w:r>
                </w:p>
              </w:tc>
              <w:tc>
                <w:tcPr>
                  <w:tcW w:w="710" w:type="pct"/>
                  <w:tcMar>
                    <w:left w:w="28" w:type="dxa"/>
                    <w:right w:w="28" w:type="dxa"/>
                  </w:tcMar>
                  <w:vAlign w:val="center"/>
                </w:tcPr>
                <w:p w14:paraId="43A12972">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21F792AF">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35360F18">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01851F63">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0E9BBD8F">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6A6B8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tcPr>
                <w:p w14:paraId="765449D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tcPr>
                <w:p w14:paraId="073F7686">
                  <w:pPr>
                    <w:adjustRightInd w:val="0"/>
                    <w:spacing w:line="240" w:lineRule="exact"/>
                    <w:jc w:val="center"/>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057EA6D7">
                  <w:pPr>
                    <w:jc w:val="center"/>
                    <w:rPr>
                      <w:rFonts w:ascii="Times New Roman" w:hAnsi="Times New Roman" w:cs="Times New Roman"/>
                      <w:color w:val="FF0000"/>
                    </w:rPr>
                  </w:pPr>
                  <w:r>
                    <w:rPr>
                      <w:rFonts w:ascii="Times New Roman" w:hAnsi="Times New Roman" w:eastAsia="宋体" w:cs="Times New Roman"/>
                      <w:color w:val="FF0000"/>
                      <w:kern w:val="0"/>
                      <w:szCs w:val="21"/>
                    </w:rPr>
                    <w:t>2023.7.19</w:t>
                  </w:r>
                </w:p>
              </w:tc>
              <w:tc>
                <w:tcPr>
                  <w:tcW w:w="710" w:type="pct"/>
                  <w:tcMar>
                    <w:left w:w="28" w:type="dxa"/>
                    <w:right w:w="28" w:type="dxa"/>
                  </w:tcMar>
                  <w:vAlign w:val="center"/>
                </w:tcPr>
                <w:p w14:paraId="127CF916">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1EF13D1C">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5A6849A7">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65D74C03">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72FEDD28">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13B407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tcPr>
                <w:p w14:paraId="7F9C115B">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tcPr>
                <w:p w14:paraId="53CFC754">
                  <w:pPr>
                    <w:adjustRightInd w:val="0"/>
                    <w:spacing w:line="240" w:lineRule="exact"/>
                    <w:jc w:val="center"/>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127398E5">
                  <w:pPr>
                    <w:jc w:val="center"/>
                    <w:rPr>
                      <w:rFonts w:ascii="Times New Roman" w:hAnsi="Times New Roman" w:cs="Times New Roman"/>
                      <w:color w:val="FF0000"/>
                    </w:rPr>
                  </w:pPr>
                  <w:r>
                    <w:rPr>
                      <w:rFonts w:ascii="Times New Roman" w:hAnsi="Times New Roman" w:eastAsia="宋体" w:cs="Times New Roman"/>
                      <w:color w:val="FF0000"/>
                      <w:kern w:val="0"/>
                      <w:szCs w:val="21"/>
                    </w:rPr>
                    <w:t>2023.7.20</w:t>
                  </w:r>
                </w:p>
              </w:tc>
              <w:tc>
                <w:tcPr>
                  <w:tcW w:w="710" w:type="pct"/>
                  <w:tcMar>
                    <w:left w:w="28" w:type="dxa"/>
                    <w:right w:w="28" w:type="dxa"/>
                  </w:tcMar>
                  <w:vAlign w:val="center"/>
                </w:tcPr>
                <w:p w14:paraId="78A60333">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47A440B6">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5AC88A3B">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1A81244C">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7E59E325">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r w14:paraId="0E6053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547" w:type="pct"/>
                  <w:vMerge w:val="continue"/>
                  <w:tcMar>
                    <w:left w:w="28" w:type="dxa"/>
                    <w:right w:w="28" w:type="dxa"/>
                  </w:tcMar>
                </w:tcPr>
                <w:p w14:paraId="18373C64">
                  <w:pPr>
                    <w:adjustRightInd w:val="0"/>
                    <w:spacing w:line="24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566" w:type="pct"/>
                  <w:vMerge w:val="continue"/>
                  <w:tcMar>
                    <w:left w:w="28" w:type="dxa"/>
                    <w:right w:w="28" w:type="dxa"/>
                  </w:tcMar>
                </w:tcPr>
                <w:p w14:paraId="2D507E37">
                  <w:pPr>
                    <w:adjustRightInd w:val="0"/>
                    <w:spacing w:line="240" w:lineRule="exact"/>
                    <w:jc w:val="center"/>
                    <w:textAlignment w:val="baseline"/>
                    <w:rPr>
                      <w:rFonts w:ascii="Times New Roman" w:hAnsi="Times New Roman" w:eastAsia="宋体" w:cs="Times New Roman"/>
                      <w:bCs/>
                      <w:color w:val="000000" w:themeColor="text1"/>
                      <w:kern w:val="0"/>
                      <w:sz w:val="24"/>
                      <w:szCs w:val="24"/>
                      <w14:textFill>
                        <w14:solidFill>
                          <w14:schemeClr w14:val="tx1"/>
                        </w14:solidFill>
                      </w14:textFill>
                    </w:rPr>
                  </w:pPr>
                </w:p>
              </w:tc>
              <w:tc>
                <w:tcPr>
                  <w:tcW w:w="893" w:type="pct"/>
                  <w:tcMar>
                    <w:left w:w="28" w:type="dxa"/>
                    <w:right w:w="28" w:type="dxa"/>
                  </w:tcMar>
                </w:tcPr>
                <w:p w14:paraId="3EC7DE9B">
                  <w:pPr>
                    <w:jc w:val="center"/>
                    <w:rPr>
                      <w:rFonts w:ascii="Times New Roman" w:hAnsi="Times New Roman" w:cs="Times New Roman"/>
                      <w:color w:val="FF0000"/>
                    </w:rPr>
                  </w:pPr>
                  <w:r>
                    <w:rPr>
                      <w:rFonts w:ascii="Times New Roman" w:hAnsi="Times New Roman" w:eastAsia="宋体" w:cs="Times New Roman"/>
                      <w:color w:val="FF0000"/>
                      <w:kern w:val="0"/>
                      <w:szCs w:val="21"/>
                    </w:rPr>
                    <w:t>2023.7.21</w:t>
                  </w:r>
                </w:p>
              </w:tc>
              <w:tc>
                <w:tcPr>
                  <w:tcW w:w="710" w:type="pct"/>
                  <w:tcMar>
                    <w:left w:w="28" w:type="dxa"/>
                    <w:right w:w="28" w:type="dxa"/>
                  </w:tcMar>
                  <w:vAlign w:val="center"/>
                </w:tcPr>
                <w:p w14:paraId="49FCACDB">
                  <w:pPr>
                    <w:jc w:val="center"/>
                    <w:rPr>
                      <w:rFonts w:ascii="Times New Roman" w:hAnsi="Times New Roman" w:eastAsia="宋体" w:cs="Times New Roman"/>
                      <w:color w:val="FF0000"/>
                      <w:kern w:val="0"/>
                      <w:szCs w:val="21"/>
                    </w:rPr>
                  </w:pPr>
                  <w:r>
                    <w:rPr>
                      <w:rFonts w:hint="eastAsia" w:ascii="Times New Roman" w:hAnsi="Times New Roman" w:eastAsia="宋体" w:cs="Times New Roman"/>
                      <w:color w:val="FF0000"/>
                      <w:kern w:val="0"/>
                      <w:szCs w:val="21"/>
                    </w:rPr>
                    <w:t>未检出</w:t>
                  </w:r>
                </w:p>
              </w:tc>
              <w:tc>
                <w:tcPr>
                  <w:tcW w:w="712" w:type="pct"/>
                  <w:vMerge w:val="continue"/>
                  <w:vAlign w:val="center"/>
                </w:tcPr>
                <w:p w14:paraId="6509BEA9">
                  <w:pPr>
                    <w:adjustRightInd w:val="0"/>
                    <w:spacing w:line="240" w:lineRule="exact"/>
                    <w:jc w:val="center"/>
                    <w:textAlignment w:val="baseline"/>
                    <w:rPr>
                      <w:rFonts w:ascii="Times New Roman" w:hAnsi="Times New Roman" w:eastAsia="宋体" w:cs="Times New Roman"/>
                      <w:color w:val="FF0000"/>
                      <w:kern w:val="0"/>
                      <w:szCs w:val="21"/>
                    </w:rPr>
                  </w:pPr>
                </w:p>
              </w:tc>
              <w:tc>
                <w:tcPr>
                  <w:tcW w:w="710" w:type="pct"/>
                  <w:tcMar>
                    <w:left w:w="28" w:type="dxa"/>
                    <w:right w:w="28" w:type="dxa"/>
                  </w:tcMar>
                </w:tcPr>
                <w:p w14:paraId="0F28FC05">
                  <w:pPr>
                    <w:jc w:val="center"/>
                    <w:rPr>
                      <w:rFonts w:ascii="Times New Roman" w:hAnsi="Times New Roman" w:eastAsia="宋体" w:cs="Times New Roman"/>
                      <w:color w:val="FF0000"/>
                      <w:szCs w:val="21"/>
                    </w:rPr>
                  </w:pPr>
                  <w:r>
                    <w:rPr>
                      <w:rFonts w:hint="eastAsia" w:ascii="Times New Roman" w:hAnsi="Times New Roman" w:eastAsia="宋体" w:cs="Times New Roman"/>
                      <w:color w:val="FF0000"/>
                      <w:kern w:val="0"/>
                      <w:szCs w:val="21"/>
                    </w:rPr>
                    <w:t>未检出</w:t>
                  </w:r>
                </w:p>
              </w:tc>
              <w:tc>
                <w:tcPr>
                  <w:tcW w:w="356" w:type="pct"/>
                  <w:tcMar>
                    <w:left w:w="28" w:type="dxa"/>
                    <w:right w:w="28" w:type="dxa"/>
                  </w:tcMar>
                  <w:vAlign w:val="center"/>
                </w:tcPr>
                <w:p w14:paraId="38CBA7E8">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c>
                <w:tcPr>
                  <w:tcW w:w="506" w:type="pct"/>
                  <w:tcMar>
                    <w:left w:w="28" w:type="dxa"/>
                    <w:right w:w="28" w:type="dxa"/>
                  </w:tcMar>
                  <w:vAlign w:val="center"/>
                </w:tcPr>
                <w:p w14:paraId="23E38F91">
                  <w:pPr>
                    <w:adjustRightInd w:val="0"/>
                    <w:spacing w:line="240" w:lineRule="exact"/>
                    <w:jc w:val="center"/>
                    <w:textAlignment w:val="baseline"/>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0</w:t>
                  </w:r>
                </w:p>
              </w:tc>
            </w:tr>
          </w:tbl>
          <w:p w14:paraId="23ED75D9">
            <w:pPr>
              <w:adjustRightInd w:val="0"/>
              <w:textAlignment w:val="baseline"/>
              <w:rPr>
                <w:rFonts w:ascii="Times New Roman" w:hAnsi="Times New Roman" w:eastAsia="宋体" w:cs="Times New Roman"/>
                <w:color w:val="000000" w:themeColor="text1"/>
                <w:kern w:val="0"/>
                <w:szCs w:val="24"/>
                <w14:textFill>
                  <w14:solidFill>
                    <w14:schemeClr w14:val="tx1"/>
                  </w14:solidFill>
                </w14:textFill>
              </w:rPr>
            </w:pPr>
            <w:r>
              <w:rPr>
                <w:rFonts w:ascii="Times New Roman" w:hAnsi="Times New Roman" w:eastAsia="宋体" w:cs="Times New Roman"/>
                <w:color w:val="000000" w:themeColor="text1"/>
                <w:kern w:val="0"/>
                <w:szCs w:val="24"/>
                <w14:textFill>
                  <w14:solidFill>
                    <w14:schemeClr w14:val="tx1"/>
                  </w14:solidFill>
                </w14:textFill>
              </w:rPr>
              <w:t>注：1、TSP、氟化物执行《环境空气质量标准》（GB3095-2012）中二级标准限值。</w:t>
            </w:r>
          </w:p>
          <w:p w14:paraId="33975349">
            <w:pPr>
              <w:adjustRightInd w:val="0"/>
              <w:ind w:firstLine="420" w:firstLineChars="200"/>
              <w:textAlignment w:val="baseline"/>
              <w:rPr>
                <w:rFonts w:ascii="Times New Roman" w:hAnsi="Times New Roman" w:eastAsia="宋体" w:cs="Times New Roman"/>
                <w:color w:val="000000" w:themeColor="text1"/>
                <w:kern w:val="0"/>
                <w:szCs w:val="24"/>
                <w14:textFill>
                  <w14:solidFill>
                    <w14:schemeClr w14:val="tx1"/>
                  </w14:solidFill>
                </w14:textFill>
              </w:rPr>
            </w:pPr>
            <w:r>
              <w:rPr>
                <w:rFonts w:ascii="Times New Roman" w:hAnsi="Times New Roman" w:eastAsia="宋体" w:cs="Times New Roman"/>
                <w:color w:val="000000" w:themeColor="text1"/>
                <w:kern w:val="0"/>
                <w:szCs w:val="24"/>
                <w14:textFill>
                  <w14:solidFill>
                    <w14:schemeClr w14:val="tx1"/>
                  </w14:solidFill>
                </w14:textFill>
              </w:rPr>
              <w:t>2、H</w:t>
            </w:r>
            <w:r>
              <w:rPr>
                <w:rFonts w:ascii="Times New Roman" w:hAnsi="Times New Roman" w:eastAsia="宋体" w:cs="Times New Roman"/>
                <w:color w:val="000000" w:themeColor="text1"/>
                <w:kern w:val="0"/>
                <w:szCs w:val="24"/>
                <w:vertAlign w:val="subscript"/>
                <w14:textFill>
                  <w14:solidFill>
                    <w14:schemeClr w14:val="tx1"/>
                  </w14:solidFill>
                </w14:textFill>
              </w:rPr>
              <w:t>2</w:t>
            </w:r>
            <w:r>
              <w:rPr>
                <w:rFonts w:ascii="Times New Roman" w:hAnsi="Times New Roman" w:eastAsia="宋体" w:cs="Times New Roman"/>
                <w:color w:val="000000" w:themeColor="text1"/>
                <w:kern w:val="0"/>
                <w:szCs w:val="24"/>
                <w14:textFill>
                  <w14:solidFill>
                    <w14:schemeClr w14:val="tx1"/>
                  </w14:solidFill>
                </w14:textFill>
              </w:rPr>
              <w:t>S、NH</w:t>
            </w:r>
            <w:r>
              <w:rPr>
                <w:rFonts w:ascii="Times New Roman" w:hAnsi="Times New Roman" w:eastAsia="宋体" w:cs="Times New Roman"/>
                <w:color w:val="000000" w:themeColor="text1"/>
                <w:kern w:val="0"/>
                <w:szCs w:val="24"/>
                <w:vertAlign w:val="subscript"/>
                <w14:textFill>
                  <w14:solidFill>
                    <w14:schemeClr w14:val="tx1"/>
                  </w14:solidFill>
                </w14:textFill>
              </w:rPr>
              <w:t>3</w:t>
            </w:r>
            <w:r>
              <w:rPr>
                <w:rFonts w:ascii="Times New Roman" w:hAnsi="Times New Roman" w:eastAsia="宋体" w:cs="Times New Roman"/>
                <w:color w:val="000000" w:themeColor="text1"/>
                <w:kern w:val="0"/>
                <w:szCs w:val="24"/>
                <w14:textFill>
                  <w14:solidFill>
                    <w14:schemeClr w14:val="tx1"/>
                  </w14:solidFill>
                </w14:textFill>
              </w:rPr>
              <w:t>执行《环境影响评价技术导则--大气环境》（HJ2.2-2018）附录D其他污染物空气质量浓度参考限值。</w:t>
            </w:r>
          </w:p>
          <w:p w14:paraId="518BBA98">
            <w:pPr>
              <w:adjustRightInd w:val="0"/>
              <w:ind w:firstLine="420" w:firstLineChars="200"/>
              <w:textAlignment w:val="baseline"/>
              <w:rPr>
                <w:rFonts w:ascii="Times New Roman" w:hAnsi="Times New Roman" w:eastAsia="宋体" w:cs="Times New Roman"/>
                <w:color w:val="000000" w:themeColor="text1"/>
                <w:kern w:val="0"/>
                <w:szCs w:val="24"/>
                <w14:textFill>
                  <w14:solidFill>
                    <w14:schemeClr w14:val="tx1"/>
                  </w14:solidFill>
                </w14:textFill>
              </w:rPr>
            </w:pPr>
            <w:r>
              <w:rPr>
                <w:rFonts w:ascii="Times New Roman" w:hAnsi="Times New Roman" w:eastAsia="宋体" w:cs="Times New Roman"/>
                <w:color w:val="000000" w:themeColor="text1"/>
                <w:kern w:val="0"/>
                <w:szCs w:val="24"/>
                <w14:textFill>
                  <w14:solidFill>
                    <w14:schemeClr w14:val="tx1"/>
                  </w14:solidFill>
                </w14:textFill>
              </w:rPr>
              <w:t>3、根据环发【2008】82号文中指出，在我国尚未制定二噁英环境质量标准的前提下，参照日本二噁英大气浓度限值（0.6pgTEQ/m</w:t>
            </w:r>
            <w:r>
              <w:rPr>
                <w:rFonts w:ascii="Times New Roman" w:hAnsi="Times New Roman" w:eastAsia="宋体" w:cs="Times New Roman"/>
                <w:color w:val="000000" w:themeColor="text1"/>
                <w:kern w:val="0"/>
                <w:szCs w:val="24"/>
                <w:vertAlign w:val="superscript"/>
                <w14:textFill>
                  <w14:solidFill>
                    <w14:schemeClr w14:val="tx1"/>
                  </w14:solidFill>
                </w14:textFill>
              </w:rPr>
              <w:t>3</w:t>
            </w:r>
            <w:r>
              <w:rPr>
                <w:rFonts w:ascii="Times New Roman" w:hAnsi="Times New Roman" w:eastAsia="宋体" w:cs="Times New Roman"/>
                <w:color w:val="000000" w:themeColor="text1"/>
                <w:kern w:val="0"/>
                <w:szCs w:val="24"/>
                <w14:textFill>
                  <w14:solidFill>
                    <w14:schemeClr w14:val="tx1"/>
                  </w14:solidFill>
                </w14:textFill>
              </w:rPr>
              <w:t>）。</w:t>
            </w:r>
          </w:p>
          <w:p w14:paraId="70A31252">
            <w:pPr>
              <w:adjustRightInd w:val="0"/>
              <w:ind w:firstLine="420" w:firstLineChars="200"/>
              <w:textAlignment w:val="baseline"/>
              <w:rPr>
                <w:rFonts w:ascii="Times New Roman" w:hAnsi="Times New Roman" w:eastAsia="宋体" w:cs="Times New Roman"/>
                <w:color w:val="000000" w:themeColor="text1"/>
                <w:kern w:val="0"/>
                <w:szCs w:val="24"/>
                <w14:textFill>
                  <w14:solidFill>
                    <w14:schemeClr w14:val="tx1"/>
                  </w14:solidFill>
                </w14:textFill>
              </w:rPr>
            </w:pPr>
            <w:r>
              <w:rPr>
                <w:rFonts w:ascii="Times New Roman" w:hAnsi="Times New Roman" w:eastAsia="宋体" w:cs="Times New Roman"/>
                <w:color w:val="000000" w:themeColor="text1"/>
                <w:kern w:val="0"/>
                <w:szCs w:val="24"/>
                <w14:textFill>
                  <w14:solidFill>
                    <w14:schemeClr w14:val="tx1"/>
                  </w14:solidFill>
                </w14:textFill>
              </w:rPr>
              <w:t>4、ND代表监测结果低于方法检出限。</w:t>
            </w:r>
          </w:p>
          <w:p w14:paraId="206BE006">
            <w:pPr>
              <w:adjustRightInd w:val="0"/>
              <w:ind w:firstLine="420" w:firstLineChars="200"/>
              <w:textAlignment w:val="baseline"/>
              <w:rPr>
                <w:rFonts w:ascii="Times New Roman" w:hAnsi="Times New Roman" w:eastAsia="宋体" w:cs="Times New Roman"/>
                <w:color w:val="000000" w:themeColor="text1"/>
                <w:kern w:val="0"/>
                <w:szCs w:val="24"/>
                <w14:textFill>
                  <w14:solidFill>
                    <w14:schemeClr w14:val="tx1"/>
                  </w14:solidFill>
                </w14:textFill>
              </w:rPr>
            </w:pPr>
            <w:r>
              <w:rPr>
                <w:rFonts w:ascii="Times New Roman" w:hAnsi="Times New Roman" w:eastAsia="宋体" w:cs="Times New Roman"/>
                <w:color w:val="000000" w:themeColor="text1"/>
                <w:kern w:val="0"/>
                <w:szCs w:val="24"/>
                <w14:textFill>
                  <w14:solidFill>
                    <w14:schemeClr w14:val="tx1"/>
                  </w14:solidFill>
                </w14:textFill>
              </w:rPr>
              <w:t>5、根据《环境影响评价技术导则-大气环境》（HJ2.2-2018），铅、汞、砷、铅、六价铬、镉按2、3、6倍折算。镍质量标准参照执行《大气污染物综合排放标准详解》0.03mg/m</w:t>
            </w:r>
            <w:r>
              <w:rPr>
                <w:rFonts w:ascii="Times New Roman" w:hAnsi="Times New Roman" w:eastAsia="宋体" w:cs="Times New Roman"/>
                <w:color w:val="000000" w:themeColor="text1"/>
                <w:kern w:val="0"/>
                <w:szCs w:val="24"/>
                <w:vertAlign w:val="superscript"/>
                <w14:textFill>
                  <w14:solidFill>
                    <w14:schemeClr w14:val="tx1"/>
                  </w14:solidFill>
                </w14:textFill>
              </w:rPr>
              <w:t>3</w:t>
            </w:r>
            <w:r>
              <w:rPr>
                <w:rFonts w:ascii="Times New Roman" w:hAnsi="Times New Roman" w:eastAsia="宋体" w:cs="Times New Roman"/>
                <w:color w:val="000000" w:themeColor="text1"/>
                <w:kern w:val="0"/>
                <w:szCs w:val="24"/>
                <w14:textFill>
                  <w14:solidFill>
                    <w14:schemeClr w14:val="tx1"/>
                  </w14:solidFill>
                </w14:textFill>
              </w:rPr>
              <w:t>.</w:t>
            </w:r>
          </w:p>
          <w:p w14:paraId="3363AE76">
            <w:pPr>
              <w:adjustRightInd w:val="0"/>
              <w:spacing w:before="156" w:beforeLines="50" w:line="360" w:lineRule="auto"/>
              <w:ind w:firstLine="480" w:firstLineChars="200"/>
              <w:textAlignment w:val="baseline"/>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由上分析可知，评价区域内各检测点位监测因子均能够满足相应的标准值。</w:t>
            </w:r>
          </w:p>
          <w:p w14:paraId="7D68A0D2">
            <w:pPr>
              <w:adjustRightInd w:val="0"/>
              <w:snapToGrid w:val="0"/>
              <w:spacing w:line="360" w:lineRule="auto"/>
              <w:rPr>
                <w:rFonts w:ascii="Times New Roman" w:hAnsi="Times New Roman" w:eastAsia="宋体" w:cs="Times New Roman"/>
                <w:b/>
                <w:color w:val="000000" w:themeColor="text1"/>
                <w:kern w:val="0"/>
                <w:sz w:val="24"/>
                <w:szCs w:val="24"/>
                <w14:textFill>
                  <w14:solidFill>
                    <w14:schemeClr w14:val="tx1"/>
                  </w14:solidFill>
                </w14:textFill>
              </w:rPr>
            </w:pPr>
            <w:r>
              <w:rPr>
                <w:rFonts w:ascii="Times New Roman" w:hAnsi="Times New Roman" w:eastAsia="宋体" w:cs="Times New Roman"/>
                <w:b/>
                <w:color w:val="000000" w:themeColor="text1"/>
                <w:kern w:val="0"/>
                <w:sz w:val="24"/>
                <w:szCs w:val="24"/>
                <w14:textFill>
                  <w14:solidFill>
                    <w14:schemeClr w14:val="tx1"/>
                  </w14:solidFill>
                </w14:textFill>
              </w:rPr>
              <w:t>二、地表水环境质量现状</w:t>
            </w:r>
          </w:p>
          <w:p w14:paraId="02C1DCC9">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lang w:bidi="ar"/>
                <w14:textFill>
                  <w14:solidFill>
                    <w14:schemeClr w14:val="tx1"/>
                  </w14:solidFill>
                </w14:textFill>
              </w:rPr>
              <w:t>本项目厂区周边无地表水系分布，且本项目不对外排放污水</w:t>
            </w:r>
            <w:r>
              <w:rPr>
                <w:rFonts w:ascii="Times New Roman" w:hAnsi="Times New Roman" w:eastAsia="宋体" w:cs="Times New Roman"/>
                <w:color w:val="000000" w:themeColor="text1"/>
                <w:sz w:val="24"/>
                <w:szCs w:val="24"/>
                <w14:textFill>
                  <w14:solidFill>
                    <w14:schemeClr w14:val="tx1"/>
                  </w14:solidFill>
                </w14:textFill>
              </w:rPr>
              <w:t>。根据《202</w:t>
            </w:r>
            <w:r>
              <w:rPr>
                <w:rFonts w:hint="eastAsia" w:ascii="Times New Roman" w:hAnsi="Times New Roman" w:eastAsia="宋体" w:cs="Times New Roman"/>
                <w:color w:val="000000" w:themeColor="text1"/>
                <w:sz w:val="24"/>
                <w:szCs w:val="24"/>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年遂宁市环境质量公告》，202</w:t>
            </w:r>
            <w:r>
              <w:rPr>
                <w:rFonts w:hint="eastAsia" w:ascii="Times New Roman" w:hAnsi="Times New Roman" w:eastAsia="宋体" w:cs="Times New Roman"/>
                <w:color w:val="000000" w:themeColor="text1"/>
                <w:sz w:val="24"/>
                <w:szCs w:val="24"/>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年遂宁市河流水质总体较好，安居区境内跑马滩、大安2个断面水质平稳，均达到III类地表水质量标准。</w:t>
            </w:r>
          </w:p>
          <w:p w14:paraId="3C29FFB1">
            <w:pPr>
              <w:adjustRightInd w:val="0"/>
              <w:snapToGrid w:val="0"/>
              <w:ind w:firstLine="422" w:firstLineChars="200"/>
              <w:jc w:val="center"/>
              <w:rPr>
                <w:rFonts w:ascii="Times New Roman" w:hAnsi="Times New Roman" w:eastAsia="宋体" w:cs="Times New Roman"/>
                <w:b/>
                <w:color w:val="000000" w:themeColor="text1"/>
                <w:szCs w:val="21"/>
                <w14:textFill>
                  <w14:solidFill>
                    <w14:schemeClr w14:val="tx1"/>
                  </w14:solidFill>
                </w14:textFill>
              </w:rPr>
            </w:pPr>
            <w:bookmarkStart w:id="26" w:name="_Ref150787343"/>
            <w:r>
              <w:rPr>
                <w:rFonts w:ascii="Times New Roman" w:hAnsi="Times New Roman" w:eastAsia="宋体" w:cs="Times New Roman"/>
                <w:b/>
                <w:bCs/>
                <w:color w:val="000000" w:themeColor="text1"/>
                <w:szCs w:val="24"/>
                <w:lang w:val="pt-BR"/>
                <w14:textFill>
                  <w14:solidFill>
                    <w14:schemeClr w14:val="tx1"/>
                  </w14:solidFill>
                </w14:textFill>
              </w:rPr>
              <w:t xml:space="preserve">表3- </w:t>
            </w:r>
            <w:r>
              <w:rPr>
                <w:rFonts w:ascii="Times New Roman" w:hAnsi="Times New Roman" w:eastAsia="宋体" w:cs="Times New Roman"/>
                <w:b/>
                <w:bCs/>
                <w:color w:val="000000" w:themeColor="text1"/>
                <w:szCs w:val="24"/>
                <w:lang w:val="pt-BR"/>
                <w14:textFill>
                  <w14:solidFill>
                    <w14:schemeClr w14:val="tx1"/>
                  </w14:solidFill>
                </w14:textFill>
              </w:rPr>
              <w:fldChar w:fldCharType="begin"/>
            </w:r>
            <w:r>
              <w:rPr>
                <w:rFonts w:ascii="Times New Roman" w:hAnsi="Times New Roman" w:eastAsia="宋体" w:cs="Times New Roman"/>
                <w:b/>
                <w:bCs/>
                <w:color w:val="000000" w:themeColor="text1"/>
                <w:szCs w:val="24"/>
                <w:lang w:val="pt-BR"/>
                <w14:textFill>
                  <w14:solidFill>
                    <w14:schemeClr w14:val="tx1"/>
                  </w14:solidFill>
                </w14:textFill>
              </w:rPr>
              <w:instrText xml:space="preserve"> SEQ 表3- \* ARABIC </w:instrText>
            </w:r>
            <w:r>
              <w:rPr>
                <w:rFonts w:ascii="Times New Roman" w:hAnsi="Times New Roman" w:eastAsia="宋体" w:cs="Times New Roman"/>
                <w:b/>
                <w:bCs/>
                <w:color w:val="000000" w:themeColor="text1"/>
                <w:szCs w:val="24"/>
                <w:lang w:val="pt-BR"/>
                <w14:textFill>
                  <w14:solidFill>
                    <w14:schemeClr w14:val="tx1"/>
                  </w14:solidFill>
                </w14:textFill>
              </w:rPr>
              <w:fldChar w:fldCharType="separate"/>
            </w:r>
            <w:r>
              <w:rPr>
                <w:rFonts w:ascii="Times New Roman" w:hAnsi="Times New Roman" w:eastAsia="宋体" w:cs="Times New Roman"/>
                <w:b/>
                <w:bCs/>
                <w:color w:val="000000" w:themeColor="text1"/>
                <w:szCs w:val="24"/>
                <w:lang w:val="pt-BR"/>
                <w14:textFill>
                  <w14:solidFill>
                    <w14:schemeClr w14:val="tx1"/>
                  </w14:solidFill>
                </w14:textFill>
              </w:rPr>
              <w:t>4</w:t>
            </w:r>
            <w:r>
              <w:rPr>
                <w:rFonts w:ascii="Times New Roman" w:hAnsi="Times New Roman" w:eastAsia="宋体" w:cs="Times New Roman"/>
                <w:b/>
                <w:bCs/>
                <w:color w:val="000000" w:themeColor="text1"/>
                <w:szCs w:val="24"/>
                <w:lang w:val="pt-BR"/>
                <w14:textFill>
                  <w14:solidFill>
                    <w14:schemeClr w14:val="tx1"/>
                  </w14:solidFill>
                </w14:textFill>
              </w:rPr>
              <w:fldChar w:fldCharType="end"/>
            </w:r>
            <w:r>
              <w:rPr>
                <w:rFonts w:ascii="Times New Roman" w:hAnsi="Times New Roman" w:eastAsia="宋体" w:cs="Times New Roman"/>
                <w:b/>
                <w:bCs/>
                <w:color w:val="000000" w:themeColor="text1"/>
                <w:szCs w:val="24"/>
                <w14:textFill>
                  <w14:solidFill>
                    <w14:schemeClr w14:val="tx1"/>
                  </w14:solidFill>
                </w14:textFill>
              </w:rPr>
              <w:t xml:space="preserve">  </w:t>
            </w:r>
            <w:r>
              <w:rPr>
                <w:rFonts w:ascii="Times New Roman" w:hAnsi="Times New Roman" w:eastAsia="宋体" w:cs="Times New Roman"/>
                <w:b/>
                <w:color w:val="000000" w:themeColor="text1"/>
                <w:szCs w:val="21"/>
                <w14:textFill>
                  <w14:solidFill>
                    <w14:schemeClr w14:val="tx1"/>
                  </w14:solidFill>
                </w14:textFill>
              </w:rPr>
              <w:t>202</w:t>
            </w:r>
            <w:r>
              <w:rPr>
                <w:rFonts w:hint="eastAsia" w:ascii="Times New Roman" w:hAnsi="Times New Roman" w:eastAsia="宋体" w:cs="Times New Roman"/>
                <w:b/>
                <w:color w:val="000000" w:themeColor="text1"/>
                <w:szCs w:val="21"/>
                <w14:textFill>
                  <w14:solidFill>
                    <w14:schemeClr w14:val="tx1"/>
                  </w14:solidFill>
                </w14:textFill>
              </w:rPr>
              <w:t>2</w:t>
            </w:r>
            <w:r>
              <w:rPr>
                <w:rFonts w:ascii="Times New Roman" w:hAnsi="Times New Roman" w:eastAsia="宋体" w:cs="Times New Roman"/>
                <w:b/>
                <w:color w:val="000000" w:themeColor="text1"/>
                <w:szCs w:val="21"/>
                <w14:textFill>
                  <w14:solidFill>
                    <w14:schemeClr w14:val="tx1"/>
                  </w14:solidFill>
                </w14:textFill>
              </w:rPr>
              <w:t>年遂宁市安居区断面河流水质评价结果表</w:t>
            </w:r>
            <w:bookmarkEnd w:id="26"/>
          </w:p>
          <w:tbl>
            <w:tblPr>
              <w:tblStyle w:val="2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57"/>
              <w:gridCol w:w="960"/>
              <w:gridCol w:w="1354"/>
              <w:gridCol w:w="824"/>
              <w:gridCol w:w="851"/>
              <w:gridCol w:w="850"/>
              <w:gridCol w:w="1134"/>
              <w:gridCol w:w="1134"/>
            </w:tblGrid>
            <w:tr w14:paraId="61CE67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57" w:type="dxa"/>
                  <w:shd w:val="clear" w:color="auto" w:fill="auto"/>
                  <w:vAlign w:val="center"/>
                </w:tcPr>
                <w:p w14:paraId="514D739E">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断面名称</w:t>
                  </w:r>
                </w:p>
              </w:tc>
              <w:tc>
                <w:tcPr>
                  <w:tcW w:w="960" w:type="dxa"/>
                  <w:shd w:val="clear" w:color="auto" w:fill="auto"/>
                  <w:vAlign w:val="center"/>
                </w:tcPr>
                <w:p w14:paraId="25DB255A">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所在地</w:t>
                  </w:r>
                </w:p>
              </w:tc>
              <w:tc>
                <w:tcPr>
                  <w:tcW w:w="1354" w:type="dxa"/>
                  <w:shd w:val="clear" w:color="auto" w:fill="auto"/>
                  <w:vAlign w:val="center"/>
                </w:tcPr>
                <w:p w14:paraId="1EFB83D9">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断面类别</w:t>
                  </w:r>
                </w:p>
              </w:tc>
              <w:tc>
                <w:tcPr>
                  <w:tcW w:w="824" w:type="dxa"/>
                  <w:shd w:val="clear" w:color="auto" w:fill="auto"/>
                  <w:vAlign w:val="center"/>
                </w:tcPr>
                <w:p w14:paraId="249BB238">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规定类别</w:t>
                  </w:r>
                </w:p>
              </w:tc>
              <w:tc>
                <w:tcPr>
                  <w:tcW w:w="851" w:type="dxa"/>
                  <w:shd w:val="clear" w:color="auto" w:fill="auto"/>
                  <w:vAlign w:val="center"/>
                </w:tcPr>
                <w:p w14:paraId="24DF8BD3">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上年度</w:t>
                  </w:r>
                </w:p>
                <w:p w14:paraId="582B80C3">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类别</w:t>
                  </w:r>
                </w:p>
              </w:tc>
              <w:tc>
                <w:tcPr>
                  <w:tcW w:w="850" w:type="dxa"/>
                  <w:shd w:val="clear" w:color="auto" w:fill="auto"/>
                  <w:vAlign w:val="center"/>
                </w:tcPr>
                <w:p w14:paraId="15430843">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本年度</w:t>
                  </w:r>
                </w:p>
                <w:p w14:paraId="61B95359">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类别</w:t>
                  </w:r>
                </w:p>
              </w:tc>
              <w:tc>
                <w:tcPr>
                  <w:tcW w:w="1134" w:type="dxa"/>
                  <w:shd w:val="clear" w:color="auto" w:fill="auto"/>
                  <w:vAlign w:val="center"/>
                </w:tcPr>
                <w:p w14:paraId="4F9FFD31">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主要污染指标/超标倍数</w:t>
                  </w:r>
                </w:p>
              </w:tc>
              <w:tc>
                <w:tcPr>
                  <w:tcW w:w="1134" w:type="dxa"/>
                  <w:vAlign w:val="center"/>
                </w:tcPr>
                <w:p w14:paraId="6C640D29">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单独评价指标/超标倍数</w:t>
                  </w:r>
                </w:p>
              </w:tc>
            </w:tr>
            <w:tr w14:paraId="089552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57" w:type="dxa"/>
                  <w:shd w:val="clear" w:color="auto" w:fill="auto"/>
                  <w:vAlign w:val="center"/>
                </w:tcPr>
                <w:p w14:paraId="0537282C">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跑马滩</w:t>
                  </w:r>
                </w:p>
              </w:tc>
              <w:tc>
                <w:tcPr>
                  <w:tcW w:w="960" w:type="dxa"/>
                  <w:shd w:val="clear" w:color="auto" w:fill="auto"/>
                  <w:vAlign w:val="center"/>
                </w:tcPr>
                <w:p w14:paraId="208B40C0">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安居区</w:t>
                  </w:r>
                </w:p>
              </w:tc>
              <w:tc>
                <w:tcPr>
                  <w:tcW w:w="1354" w:type="dxa"/>
                  <w:shd w:val="clear" w:color="auto" w:fill="auto"/>
                  <w:vAlign w:val="center"/>
                </w:tcPr>
                <w:p w14:paraId="3772A741">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国控</w:t>
                  </w:r>
                </w:p>
              </w:tc>
              <w:tc>
                <w:tcPr>
                  <w:tcW w:w="824" w:type="dxa"/>
                  <w:shd w:val="clear" w:color="auto" w:fill="auto"/>
                  <w:vAlign w:val="center"/>
                </w:tcPr>
                <w:p w14:paraId="4A507382">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III</w:t>
                  </w:r>
                </w:p>
              </w:tc>
              <w:tc>
                <w:tcPr>
                  <w:tcW w:w="851" w:type="dxa"/>
                  <w:shd w:val="clear" w:color="auto" w:fill="auto"/>
                  <w:vAlign w:val="center"/>
                </w:tcPr>
                <w:p w14:paraId="6D8B8135">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III</w:t>
                  </w:r>
                </w:p>
              </w:tc>
              <w:tc>
                <w:tcPr>
                  <w:tcW w:w="850" w:type="dxa"/>
                  <w:shd w:val="clear" w:color="auto" w:fill="auto"/>
                  <w:vAlign w:val="center"/>
                </w:tcPr>
                <w:p w14:paraId="6A000665">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III</w:t>
                  </w:r>
                </w:p>
              </w:tc>
              <w:tc>
                <w:tcPr>
                  <w:tcW w:w="1134" w:type="dxa"/>
                  <w:shd w:val="clear" w:color="auto" w:fill="auto"/>
                  <w:vAlign w:val="center"/>
                </w:tcPr>
                <w:p w14:paraId="57B2443B">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0363C35C">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r w14:paraId="6647BD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57" w:type="dxa"/>
                  <w:shd w:val="clear" w:color="auto" w:fill="auto"/>
                  <w:vAlign w:val="center"/>
                </w:tcPr>
                <w:p w14:paraId="76C3358E">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大安</w:t>
                  </w:r>
                </w:p>
              </w:tc>
              <w:tc>
                <w:tcPr>
                  <w:tcW w:w="960" w:type="dxa"/>
                  <w:shd w:val="clear" w:color="auto" w:fill="auto"/>
                  <w:vAlign w:val="center"/>
                </w:tcPr>
                <w:p w14:paraId="44C1F163">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安居区</w:t>
                  </w:r>
                </w:p>
              </w:tc>
              <w:tc>
                <w:tcPr>
                  <w:tcW w:w="1354" w:type="dxa"/>
                  <w:shd w:val="clear" w:color="auto" w:fill="auto"/>
                  <w:vAlign w:val="center"/>
                </w:tcPr>
                <w:p w14:paraId="34B08461">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国控</w:t>
                  </w:r>
                </w:p>
              </w:tc>
              <w:tc>
                <w:tcPr>
                  <w:tcW w:w="824" w:type="dxa"/>
                  <w:shd w:val="clear" w:color="auto" w:fill="auto"/>
                  <w:vAlign w:val="center"/>
                </w:tcPr>
                <w:p w14:paraId="60D4DC80">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III</w:t>
                  </w:r>
                </w:p>
              </w:tc>
              <w:tc>
                <w:tcPr>
                  <w:tcW w:w="851" w:type="dxa"/>
                  <w:shd w:val="clear" w:color="auto" w:fill="auto"/>
                  <w:vAlign w:val="center"/>
                </w:tcPr>
                <w:p w14:paraId="4061241E">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III</w:t>
                  </w:r>
                </w:p>
              </w:tc>
              <w:tc>
                <w:tcPr>
                  <w:tcW w:w="850" w:type="dxa"/>
                  <w:shd w:val="clear" w:color="auto" w:fill="auto"/>
                  <w:vAlign w:val="center"/>
                </w:tcPr>
                <w:p w14:paraId="50065827">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III</w:t>
                  </w:r>
                </w:p>
              </w:tc>
              <w:tc>
                <w:tcPr>
                  <w:tcW w:w="1134" w:type="dxa"/>
                  <w:shd w:val="clear" w:color="auto" w:fill="auto"/>
                  <w:vAlign w:val="center"/>
                </w:tcPr>
                <w:p w14:paraId="47921D0B">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675E890C">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tbl>
          <w:p w14:paraId="55CE1051">
            <w:pPr>
              <w:adjustRightInd w:val="0"/>
              <w:snapToGrid w:val="0"/>
              <w:spacing w:line="360" w:lineRule="auto"/>
              <w:rPr>
                <w:rFonts w:ascii="Times New Roman" w:hAnsi="Times New Roman" w:eastAsia="宋体" w:cs="Times New Roman"/>
                <w:color w:val="000000" w:themeColor="text1"/>
                <w:sz w:val="24"/>
                <w:szCs w:val="24"/>
                <w:lang w:val="zh-CN"/>
                <w14:textFill>
                  <w14:solidFill>
                    <w14:schemeClr w14:val="tx1"/>
                  </w14:solidFill>
                </w14:textFill>
              </w:rPr>
            </w:pPr>
          </w:p>
          <w:p w14:paraId="21A18D29">
            <w:pPr>
              <w:adjustRightInd w:val="0"/>
              <w:snapToGrid w:val="0"/>
              <w:spacing w:line="360" w:lineRule="auto"/>
              <w:rPr>
                <w:rFonts w:ascii="Times New Roman" w:hAnsi="Times New Roman" w:eastAsia="宋体" w:cs="Times New Roman"/>
                <w:color w:val="000000" w:themeColor="text1"/>
                <w:sz w:val="24"/>
                <w:szCs w:val="24"/>
                <w:lang w:val="zh-CN"/>
                <w14:textFill>
                  <w14:solidFill>
                    <w14:schemeClr w14:val="tx1"/>
                  </w14:solidFill>
                </w14:textFill>
              </w:rPr>
            </w:pPr>
            <w:r>
              <w:rPr>
                <w:rFonts w:ascii="Times New Roman" w:hAnsi="Times New Roman" w:eastAsia="宋体" w:cs="Times New Roman"/>
                <w:color w:val="000000" w:themeColor="text1"/>
                <w:sz w:val="24"/>
                <w:szCs w:val="24"/>
                <w:lang w:val="zh-CN"/>
                <w14:textFill>
                  <w14:solidFill>
                    <w14:schemeClr w14:val="tx1"/>
                  </w14:solidFill>
                </w14:textFill>
              </w:rPr>
              <w:t>三</w:t>
            </w:r>
            <w:r>
              <w:rPr>
                <w:rFonts w:ascii="Times New Roman" w:hAnsi="Times New Roman" w:eastAsia="宋体" w:cs="Times New Roman"/>
                <w:b/>
                <w:color w:val="000000" w:themeColor="text1"/>
                <w:sz w:val="24"/>
                <w:szCs w:val="24"/>
                <w14:textFill>
                  <w14:solidFill>
                    <w14:schemeClr w14:val="tx1"/>
                  </w14:solidFill>
                </w14:textFill>
              </w:rPr>
              <w:t>、声学环境质量现状</w:t>
            </w:r>
          </w:p>
          <w:p w14:paraId="197C505D">
            <w:pPr>
              <w:adjustRightInd w:val="0"/>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1、监测布点</w:t>
            </w:r>
          </w:p>
          <w:p w14:paraId="22EDF10E">
            <w:pPr>
              <w:snapToGrid w:val="0"/>
              <w:spacing w:line="360" w:lineRule="auto"/>
              <w:ind w:firstLine="48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本项目在所在厂区场界4个方向分别设置一个点位，临近敏感点设置3个监测点，具体监测点布设见下表。</w:t>
            </w:r>
          </w:p>
          <w:p w14:paraId="632CD3DA">
            <w:pPr>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4"/>
                <w:lang w:val="pt-BR"/>
                <w14:textFill>
                  <w14:solidFill>
                    <w14:schemeClr w14:val="tx1"/>
                  </w14:solidFill>
                </w14:textFill>
              </w:rPr>
              <w:t xml:space="preserve">表3- </w:t>
            </w:r>
            <w:r>
              <w:rPr>
                <w:rFonts w:ascii="Times New Roman" w:hAnsi="Times New Roman" w:eastAsia="宋体" w:cs="Times New Roman"/>
                <w:b/>
                <w:bCs/>
                <w:color w:val="000000" w:themeColor="text1"/>
                <w:szCs w:val="24"/>
                <w:lang w:val="pt-BR"/>
                <w14:textFill>
                  <w14:solidFill>
                    <w14:schemeClr w14:val="tx1"/>
                  </w14:solidFill>
                </w14:textFill>
              </w:rPr>
              <w:fldChar w:fldCharType="begin"/>
            </w:r>
            <w:r>
              <w:rPr>
                <w:rFonts w:ascii="Times New Roman" w:hAnsi="Times New Roman" w:eastAsia="宋体" w:cs="Times New Roman"/>
                <w:b/>
                <w:bCs/>
                <w:color w:val="000000" w:themeColor="text1"/>
                <w:szCs w:val="24"/>
                <w:lang w:val="pt-BR"/>
                <w14:textFill>
                  <w14:solidFill>
                    <w14:schemeClr w14:val="tx1"/>
                  </w14:solidFill>
                </w14:textFill>
              </w:rPr>
              <w:instrText xml:space="preserve"> SEQ 表3- \* ARABIC </w:instrText>
            </w:r>
            <w:r>
              <w:rPr>
                <w:rFonts w:ascii="Times New Roman" w:hAnsi="Times New Roman" w:eastAsia="宋体" w:cs="Times New Roman"/>
                <w:b/>
                <w:bCs/>
                <w:color w:val="000000" w:themeColor="text1"/>
                <w:szCs w:val="24"/>
                <w:lang w:val="pt-BR"/>
                <w14:textFill>
                  <w14:solidFill>
                    <w14:schemeClr w14:val="tx1"/>
                  </w14:solidFill>
                </w14:textFill>
              </w:rPr>
              <w:fldChar w:fldCharType="separate"/>
            </w:r>
            <w:r>
              <w:rPr>
                <w:rFonts w:ascii="Times New Roman" w:hAnsi="Times New Roman" w:eastAsia="宋体" w:cs="Times New Roman"/>
                <w:b/>
                <w:bCs/>
                <w:color w:val="000000" w:themeColor="text1"/>
                <w:szCs w:val="24"/>
                <w:lang w:val="pt-BR"/>
                <w14:textFill>
                  <w14:solidFill>
                    <w14:schemeClr w14:val="tx1"/>
                  </w14:solidFill>
                </w14:textFill>
              </w:rPr>
              <w:t>5</w:t>
            </w:r>
            <w:r>
              <w:rPr>
                <w:rFonts w:ascii="Times New Roman" w:hAnsi="Times New Roman" w:eastAsia="宋体" w:cs="Times New Roman"/>
                <w:b/>
                <w:bCs/>
                <w:color w:val="000000" w:themeColor="text1"/>
                <w:szCs w:val="24"/>
                <w:lang w:val="pt-BR"/>
                <w14:textFill>
                  <w14:solidFill>
                    <w14:schemeClr w14:val="tx1"/>
                  </w14:solidFill>
                </w14:textFill>
              </w:rPr>
              <w:fldChar w:fldCharType="end"/>
            </w:r>
            <w:r>
              <w:rPr>
                <w:rFonts w:ascii="Times New Roman" w:hAnsi="Times New Roman" w:eastAsia="宋体" w:cs="Times New Roman"/>
                <w:b/>
                <w:bCs/>
                <w:color w:val="000000" w:themeColor="text1"/>
                <w:szCs w:val="24"/>
                <w14:textFill>
                  <w14:solidFill>
                    <w14:schemeClr w14:val="tx1"/>
                  </w14:solidFill>
                </w14:textFill>
              </w:rPr>
              <w:t xml:space="preserve">  </w:t>
            </w:r>
            <w:r>
              <w:rPr>
                <w:rFonts w:ascii="Times New Roman" w:hAnsi="Times New Roman" w:eastAsia="宋体" w:cs="Times New Roman"/>
                <w:b/>
                <w:color w:val="000000" w:themeColor="text1"/>
                <w:szCs w:val="21"/>
                <w14:textFill>
                  <w14:solidFill>
                    <w14:schemeClr w14:val="tx1"/>
                  </w14:solidFill>
                </w14:textFill>
              </w:rPr>
              <w:t>噪声监测布点</w:t>
            </w:r>
          </w:p>
          <w:tbl>
            <w:tblPr>
              <w:tblStyle w:val="24"/>
              <w:tblW w:w="5000" w:type="pct"/>
              <w:tblInd w:w="1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3650"/>
              <w:gridCol w:w="2891"/>
            </w:tblGrid>
            <w:tr w14:paraId="7DC2B5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28" w:type="pct"/>
                  <w:vAlign w:val="center"/>
                </w:tcPr>
                <w:p w14:paraId="7AB2AF55">
                  <w:pPr>
                    <w:snapToGrid w:val="0"/>
                    <w:jc w:val="center"/>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序号</w:t>
                  </w:r>
                </w:p>
              </w:tc>
              <w:tc>
                <w:tcPr>
                  <w:tcW w:w="2105" w:type="pct"/>
                  <w:vAlign w:val="center"/>
                </w:tcPr>
                <w:p w14:paraId="1AEEE2B6">
                  <w:pPr>
                    <w:snapToGrid w:val="0"/>
                    <w:jc w:val="center"/>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监测点位置</w:t>
                  </w:r>
                </w:p>
              </w:tc>
              <w:tc>
                <w:tcPr>
                  <w:tcW w:w="1667" w:type="pct"/>
                  <w:vAlign w:val="center"/>
                </w:tcPr>
                <w:p w14:paraId="7D2A188A">
                  <w:pPr>
                    <w:snapToGrid w:val="0"/>
                    <w:jc w:val="center"/>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备注</w:t>
                  </w:r>
                </w:p>
              </w:tc>
            </w:tr>
            <w:tr w14:paraId="1D3033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28" w:type="pct"/>
                  <w:vAlign w:val="center"/>
                </w:tcPr>
                <w:p w14:paraId="3C346DF3">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w:t>
                  </w:r>
                </w:p>
              </w:tc>
              <w:tc>
                <w:tcPr>
                  <w:tcW w:w="3591" w:type="dxa"/>
                  <w:vAlign w:val="center"/>
                </w:tcPr>
                <w:p w14:paraId="66717803">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AN1项目东厂界外1m处</w:t>
                  </w:r>
                </w:p>
              </w:tc>
              <w:tc>
                <w:tcPr>
                  <w:tcW w:w="1667" w:type="pct"/>
                  <w:vAlign w:val="center"/>
                </w:tcPr>
                <w:p w14:paraId="24A3454A">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环境噪声</w:t>
                  </w:r>
                </w:p>
              </w:tc>
            </w:tr>
            <w:tr w14:paraId="4C6A1E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28" w:type="pct"/>
                  <w:vAlign w:val="center"/>
                </w:tcPr>
                <w:p w14:paraId="4A012503">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w:t>
                  </w:r>
                </w:p>
              </w:tc>
              <w:tc>
                <w:tcPr>
                  <w:tcW w:w="3591" w:type="dxa"/>
                  <w:vAlign w:val="center"/>
                </w:tcPr>
                <w:p w14:paraId="1C25D166">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AN2项目南厂界外1m处</w:t>
                  </w:r>
                </w:p>
              </w:tc>
              <w:tc>
                <w:tcPr>
                  <w:tcW w:w="1667" w:type="pct"/>
                  <w:vAlign w:val="center"/>
                </w:tcPr>
                <w:p w14:paraId="7DD62FB8">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环境噪声</w:t>
                  </w:r>
                </w:p>
              </w:tc>
            </w:tr>
            <w:tr w14:paraId="164FA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28" w:type="pct"/>
                  <w:vAlign w:val="center"/>
                </w:tcPr>
                <w:p w14:paraId="441E917E">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3#</w:t>
                  </w:r>
                </w:p>
              </w:tc>
              <w:tc>
                <w:tcPr>
                  <w:tcW w:w="3591" w:type="dxa"/>
                  <w:vAlign w:val="center"/>
                </w:tcPr>
                <w:p w14:paraId="2C486EED">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AN3项目西厂界外1m处</w:t>
                  </w:r>
                </w:p>
              </w:tc>
              <w:tc>
                <w:tcPr>
                  <w:tcW w:w="1667" w:type="pct"/>
                  <w:vAlign w:val="center"/>
                </w:tcPr>
                <w:p w14:paraId="2DA93F33">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环境噪声</w:t>
                  </w:r>
                </w:p>
              </w:tc>
            </w:tr>
            <w:tr w14:paraId="60AC47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28" w:type="pct"/>
                  <w:vAlign w:val="center"/>
                </w:tcPr>
                <w:p w14:paraId="298D43AB">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4#</w:t>
                  </w:r>
                </w:p>
              </w:tc>
              <w:tc>
                <w:tcPr>
                  <w:tcW w:w="3591" w:type="dxa"/>
                  <w:vAlign w:val="center"/>
                </w:tcPr>
                <w:p w14:paraId="42A2F320">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AN4项目北厂界外1m处</w:t>
                  </w:r>
                </w:p>
              </w:tc>
              <w:tc>
                <w:tcPr>
                  <w:tcW w:w="1667" w:type="pct"/>
                  <w:vAlign w:val="center"/>
                </w:tcPr>
                <w:p w14:paraId="4CB75015">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环境噪声</w:t>
                  </w:r>
                </w:p>
              </w:tc>
            </w:tr>
            <w:tr w14:paraId="4002E1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28" w:type="pct"/>
                  <w:vAlign w:val="center"/>
                </w:tcPr>
                <w:p w14:paraId="2A05DD10">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5#</w:t>
                  </w:r>
                </w:p>
              </w:tc>
              <w:tc>
                <w:tcPr>
                  <w:tcW w:w="3591" w:type="dxa"/>
                  <w:vAlign w:val="center"/>
                </w:tcPr>
                <w:p w14:paraId="6A03C2F3">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AN5项目西侧敏感点</w:t>
                  </w:r>
                </w:p>
              </w:tc>
              <w:tc>
                <w:tcPr>
                  <w:tcW w:w="1667" w:type="pct"/>
                  <w:vAlign w:val="center"/>
                </w:tcPr>
                <w:p w14:paraId="312778A4">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环境噪声</w:t>
                  </w:r>
                </w:p>
              </w:tc>
            </w:tr>
            <w:tr w14:paraId="28A345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7" w:hRule="atLeast"/>
              </w:trPr>
              <w:tc>
                <w:tcPr>
                  <w:tcW w:w="1228" w:type="pct"/>
                  <w:vAlign w:val="center"/>
                </w:tcPr>
                <w:p w14:paraId="23EEB4A8">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6#</w:t>
                  </w:r>
                </w:p>
              </w:tc>
              <w:tc>
                <w:tcPr>
                  <w:tcW w:w="3591" w:type="dxa"/>
                  <w:vAlign w:val="center"/>
                </w:tcPr>
                <w:p w14:paraId="28F68054">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AN6项目东南侧敏感点</w:t>
                  </w:r>
                </w:p>
              </w:tc>
              <w:tc>
                <w:tcPr>
                  <w:tcW w:w="1667" w:type="pct"/>
                  <w:vAlign w:val="center"/>
                </w:tcPr>
                <w:p w14:paraId="1D63145D">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环境噪声</w:t>
                  </w:r>
                </w:p>
              </w:tc>
            </w:tr>
            <w:tr w14:paraId="7C3AA3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28" w:type="pct"/>
                  <w:vAlign w:val="center"/>
                </w:tcPr>
                <w:p w14:paraId="762B6E84">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7#</w:t>
                  </w:r>
                </w:p>
              </w:tc>
              <w:tc>
                <w:tcPr>
                  <w:tcW w:w="3591" w:type="dxa"/>
                  <w:vAlign w:val="center"/>
                </w:tcPr>
                <w:p w14:paraId="52900094">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AN7项目东北侧敏感点</w:t>
                  </w:r>
                </w:p>
              </w:tc>
              <w:tc>
                <w:tcPr>
                  <w:tcW w:w="1667" w:type="pct"/>
                  <w:vAlign w:val="center"/>
                </w:tcPr>
                <w:p w14:paraId="3095ACAC">
                  <w:pPr>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环境噪声</w:t>
                  </w:r>
                </w:p>
              </w:tc>
            </w:tr>
          </w:tbl>
          <w:p w14:paraId="581419B5">
            <w:pPr>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2、监测项目与监测方法</w:t>
            </w:r>
          </w:p>
          <w:p w14:paraId="0FE53D0D">
            <w:pPr>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本次环评噪声现状监测的项目为：各测点处的昼夜等效连续A声级。</w:t>
            </w:r>
          </w:p>
          <w:p w14:paraId="40E63414">
            <w:pPr>
              <w:snapToGrid w:val="0"/>
              <w:spacing w:line="360" w:lineRule="auto"/>
              <w:ind w:firstLine="48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监测方法及数据统计按照《声环境质量标准》（GB3096-2008）进行测量。</w:t>
            </w:r>
          </w:p>
          <w:p w14:paraId="0DED3A78">
            <w:pPr>
              <w:snapToGrid w:val="0"/>
              <w:spacing w:line="360" w:lineRule="auto"/>
              <w:ind w:firstLine="48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测量频次：共监测2天，昼间及夜间各1次。</w:t>
            </w:r>
          </w:p>
          <w:p w14:paraId="3A6FBFF9">
            <w:pPr>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3、评价标准</w:t>
            </w:r>
          </w:p>
          <w:p w14:paraId="3D9DD64E">
            <w:pPr>
              <w:snapToGrid w:val="0"/>
              <w:spacing w:line="360" w:lineRule="auto"/>
              <w:ind w:firstLine="48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区域执行《声环境质量标准》（GB3095-2008）2类标准，标准限值为昼间L</w:t>
            </w:r>
            <w:r>
              <w:rPr>
                <w:rFonts w:ascii="Times New Roman" w:hAnsi="Times New Roman" w:eastAsia="宋体" w:cs="Times New Roman"/>
                <w:color w:val="000000" w:themeColor="text1"/>
                <w:sz w:val="24"/>
                <w:szCs w:val="24"/>
                <w:vertAlign w:val="subscript"/>
                <w14:textFill>
                  <w14:solidFill>
                    <w14:schemeClr w14:val="tx1"/>
                  </w14:solidFill>
                </w14:textFill>
              </w:rPr>
              <w:t>Aeq</w:t>
            </w:r>
            <w:r>
              <w:rPr>
                <w:rFonts w:ascii="Times New Roman" w:hAnsi="Times New Roman" w:eastAsia="黑体" w:cs="Times New Roman"/>
                <w:color w:val="000000" w:themeColor="text1"/>
                <w:sz w:val="24"/>
                <w:szCs w:val="24"/>
                <w14:textFill>
                  <w14:solidFill>
                    <w14:schemeClr w14:val="tx1"/>
                  </w14:solidFill>
                </w14:textFill>
              </w:rPr>
              <w:t>≤</w:t>
            </w:r>
            <w:r>
              <w:rPr>
                <w:rFonts w:ascii="Times New Roman" w:hAnsi="Times New Roman" w:eastAsia="宋体" w:cs="Times New Roman"/>
                <w:color w:val="000000" w:themeColor="text1"/>
                <w:sz w:val="24"/>
                <w:szCs w:val="24"/>
                <w14:textFill>
                  <w14:solidFill>
                    <w14:schemeClr w14:val="tx1"/>
                  </w14:solidFill>
                </w14:textFill>
              </w:rPr>
              <w:t>60dB（A），夜间L</w:t>
            </w:r>
            <w:r>
              <w:rPr>
                <w:rFonts w:ascii="Times New Roman" w:hAnsi="Times New Roman" w:eastAsia="宋体" w:cs="Times New Roman"/>
                <w:color w:val="000000" w:themeColor="text1"/>
                <w:sz w:val="24"/>
                <w:szCs w:val="24"/>
                <w:vertAlign w:val="subscript"/>
                <w14:textFill>
                  <w14:solidFill>
                    <w14:schemeClr w14:val="tx1"/>
                  </w14:solidFill>
                </w14:textFill>
              </w:rPr>
              <w:t>Aeq</w:t>
            </w:r>
            <w:r>
              <w:rPr>
                <w:rFonts w:ascii="Times New Roman" w:hAnsi="Times New Roman" w:eastAsia="黑体" w:cs="Times New Roman"/>
                <w:color w:val="000000" w:themeColor="text1"/>
                <w:sz w:val="24"/>
                <w:szCs w:val="24"/>
                <w14:textFill>
                  <w14:solidFill>
                    <w14:schemeClr w14:val="tx1"/>
                  </w14:solidFill>
                </w14:textFill>
              </w:rPr>
              <w:t>≤</w:t>
            </w:r>
            <w:r>
              <w:rPr>
                <w:rFonts w:ascii="Times New Roman" w:hAnsi="Times New Roman" w:eastAsia="宋体" w:cs="Times New Roman"/>
                <w:color w:val="000000" w:themeColor="text1"/>
                <w:sz w:val="24"/>
                <w:szCs w:val="24"/>
                <w14:textFill>
                  <w14:solidFill>
                    <w14:schemeClr w14:val="tx1"/>
                  </w14:solidFill>
                </w14:textFill>
              </w:rPr>
              <w:t>50dB（A）。</w:t>
            </w:r>
          </w:p>
          <w:p w14:paraId="4AF3A80B">
            <w:pPr>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4、评价方法</w:t>
            </w:r>
          </w:p>
          <w:p w14:paraId="3DD9568E">
            <w:pPr>
              <w:snapToGrid w:val="0"/>
              <w:spacing w:line="360" w:lineRule="auto"/>
              <w:ind w:firstLine="48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评价方法是以等效A声级作为评价量，对照标准进行分析，结果见下表。</w:t>
            </w:r>
          </w:p>
          <w:p w14:paraId="44629DEA">
            <w:pPr>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5、评价结果与分析</w:t>
            </w:r>
          </w:p>
          <w:p w14:paraId="4BDE1A3F">
            <w:pPr>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4"/>
                <w:lang w:val="pt-BR"/>
                <w14:textFill>
                  <w14:solidFill>
                    <w14:schemeClr w14:val="tx1"/>
                  </w14:solidFill>
                </w14:textFill>
              </w:rPr>
              <w:t xml:space="preserve">表3- </w:t>
            </w:r>
            <w:r>
              <w:rPr>
                <w:rFonts w:ascii="Times New Roman" w:hAnsi="Times New Roman" w:eastAsia="宋体" w:cs="Times New Roman"/>
                <w:b/>
                <w:bCs/>
                <w:color w:val="000000" w:themeColor="text1"/>
                <w:szCs w:val="24"/>
                <w:lang w:val="pt-BR"/>
                <w14:textFill>
                  <w14:solidFill>
                    <w14:schemeClr w14:val="tx1"/>
                  </w14:solidFill>
                </w14:textFill>
              </w:rPr>
              <w:fldChar w:fldCharType="begin"/>
            </w:r>
            <w:r>
              <w:rPr>
                <w:rFonts w:ascii="Times New Roman" w:hAnsi="Times New Roman" w:eastAsia="宋体" w:cs="Times New Roman"/>
                <w:b/>
                <w:bCs/>
                <w:color w:val="000000" w:themeColor="text1"/>
                <w:szCs w:val="24"/>
                <w:lang w:val="pt-BR"/>
                <w14:textFill>
                  <w14:solidFill>
                    <w14:schemeClr w14:val="tx1"/>
                  </w14:solidFill>
                </w14:textFill>
              </w:rPr>
              <w:instrText xml:space="preserve"> SEQ 表3- \* ARABIC </w:instrText>
            </w:r>
            <w:r>
              <w:rPr>
                <w:rFonts w:ascii="Times New Roman" w:hAnsi="Times New Roman" w:eastAsia="宋体" w:cs="Times New Roman"/>
                <w:b/>
                <w:bCs/>
                <w:color w:val="000000" w:themeColor="text1"/>
                <w:szCs w:val="24"/>
                <w:lang w:val="pt-BR"/>
                <w14:textFill>
                  <w14:solidFill>
                    <w14:schemeClr w14:val="tx1"/>
                  </w14:solidFill>
                </w14:textFill>
              </w:rPr>
              <w:fldChar w:fldCharType="separate"/>
            </w:r>
            <w:r>
              <w:rPr>
                <w:rFonts w:ascii="Times New Roman" w:hAnsi="Times New Roman" w:eastAsia="宋体" w:cs="Times New Roman"/>
                <w:b/>
                <w:bCs/>
                <w:color w:val="000000" w:themeColor="text1"/>
                <w:szCs w:val="24"/>
                <w:lang w:val="pt-BR"/>
                <w14:textFill>
                  <w14:solidFill>
                    <w14:schemeClr w14:val="tx1"/>
                  </w14:solidFill>
                </w14:textFill>
              </w:rPr>
              <w:t>6</w:t>
            </w:r>
            <w:r>
              <w:rPr>
                <w:rFonts w:ascii="Times New Roman" w:hAnsi="Times New Roman" w:eastAsia="宋体" w:cs="Times New Roman"/>
                <w:b/>
                <w:bCs/>
                <w:color w:val="000000" w:themeColor="text1"/>
                <w:szCs w:val="24"/>
                <w:lang w:val="pt-BR"/>
                <w14:textFill>
                  <w14:solidFill>
                    <w14:schemeClr w14:val="tx1"/>
                  </w14:solidFill>
                </w14:textFill>
              </w:rPr>
              <w:fldChar w:fldCharType="end"/>
            </w:r>
            <w:r>
              <w:rPr>
                <w:rFonts w:ascii="Times New Roman" w:hAnsi="Times New Roman" w:eastAsia="宋体" w:cs="Times New Roman"/>
                <w:b/>
                <w:bCs/>
                <w:color w:val="000000" w:themeColor="text1"/>
                <w:szCs w:val="24"/>
                <w14:textFill>
                  <w14:solidFill>
                    <w14:schemeClr w14:val="tx1"/>
                  </w14:solidFill>
                </w14:textFill>
              </w:rPr>
              <w:t xml:space="preserve">  </w:t>
            </w:r>
            <w:r>
              <w:rPr>
                <w:rFonts w:ascii="Times New Roman" w:hAnsi="Times New Roman" w:eastAsia="宋体" w:cs="Times New Roman"/>
                <w:b/>
                <w:color w:val="000000" w:themeColor="text1"/>
                <w:szCs w:val="21"/>
                <w14:textFill>
                  <w14:solidFill>
                    <w14:schemeClr w14:val="tx1"/>
                  </w14:solidFill>
                </w14:textFill>
              </w:rPr>
              <w:t>噪声监测结果</w:t>
            </w:r>
          </w:p>
          <w:tbl>
            <w:tblPr>
              <w:tblStyle w:val="24"/>
              <w:tblW w:w="5000" w:type="pct"/>
              <w:tblInd w:w="1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21"/>
              <w:gridCol w:w="3113"/>
              <w:gridCol w:w="682"/>
              <w:gridCol w:w="883"/>
              <w:gridCol w:w="701"/>
              <w:gridCol w:w="876"/>
              <w:gridCol w:w="1595"/>
            </w:tblGrid>
            <w:tr w14:paraId="624A96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74" w:type="pct"/>
                  <w:vMerge w:val="restart"/>
                  <w:vAlign w:val="center"/>
                </w:tcPr>
                <w:p w14:paraId="230AA092">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检测</w:t>
                  </w:r>
                </w:p>
                <w:p w14:paraId="6DAD24F0">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项目</w:t>
                  </w:r>
                </w:p>
              </w:tc>
              <w:tc>
                <w:tcPr>
                  <w:tcW w:w="1795" w:type="pct"/>
                  <w:vMerge w:val="restart"/>
                  <w:vAlign w:val="center"/>
                </w:tcPr>
                <w:p w14:paraId="3CF4B673">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检测点位</w:t>
                  </w:r>
                </w:p>
              </w:tc>
              <w:tc>
                <w:tcPr>
                  <w:tcW w:w="1811" w:type="pct"/>
                  <w:gridSpan w:val="4"/>
                  <w:vAlign w:val="center"/>
                </w:tcPr>
                <w:p w14:paraId="2D7F5521">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检测日期、时段及结果L</w:t>
                  </w:r>
                  <w:r>
                    <w:rPr>
                      <w:rFonts w:ascii="Times New Roman" w:hAnsi="Times New Roman" w:eastAsia="宋体" w:cs="Times New Roman"/>
                      <w:color w:val="000000" w:themeColor="text1"/>
                      <w:szCs w:val="21"/>
                      <w:vertAlign w:val="subscript"/>
                      <w14:textFill>
                        <w14:solidFill>
                          <w14:schemeClr w14:val="tx1"/>
                        </w14:solidFill>
                      </w14:textFill>
                    </w:rPr>
                    <w:t>eq</w:t>
                  </w:r>
                </w:p>
              </w:tc>
              <w:tc>
                <w:tcPr>
                  <w:tcW w:w="918" w:type="pct"/>
                  <w:vMerge w:val="restart"/>
                  <w:vAlign w:val="center"/>
                </w:tcPr>
                <w:p w14:paraId="714C8EA2">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执行</w:t>
                  </w:r>
                </w:p>
                <w:p w14:paraId="74849C66">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标准</w:t>
                  </w:r>
                </w:p>
              </w:tc>
            </w:tr>
            <w:tr w14:paraId="0B5D5B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74" w:type="pct"/>
                  <w:vMerge w:val="continue"/>
                  <w:vAlign w:val="center"/>
                </w:tcPr>
                <w:p w14:paraId="14B408C9">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795" w:type="pct"/>
                  <w:vMerge w:val="continue"/>
                  <w:vAlign w:val="center"/>
                </w:tcPr>
                <w:p w14:paraId="214BF68B">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902" w:type="pct"/>
                  <w:gridSpan w:val="2"/>
                  <w:vAlign w:val="center"/>
                </w:tcPr>
                <w:p w14:paraId="0FDF8929">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1月25日</w:t>
                  </w:r>
                </w:p>
              </w:tc>
              <w:tc>
                <w:tcPr>
                  <w:tcW w:w="909" w:type="pct"/>
                  <w:gridSpan w:val="2"/>
                  <w:vAlign w:val="center"/>
                </w:tcPr>
                <w:p w14:paraId="57597945">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1月26日</w:t>
                  </w:r>
                </w:p>
              </w:tc>
              <w:tc>
                <w:tcPr>
                  <w:tcW w:w="918" w:type="pct"/>
                  <w:vMerge w:val="continue"/>
                  <w:vAlign w:val="center"/>
                </w:tcPr>
                <w:p w14:paraId="0D9907A7">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r>
            <w:tr w14:paraId="235CB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74" w:type="pct"/>
                  <w:vMerge w:val="continue"/>
                  <w:vAlign w:val="center"/>
                </w:tcPr>
                <w:p w14:paraId="58DF3BEA">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795" w:type="pct"/>
                  <w:vMerge w:val="continue"/>
                  <w:vAlign w:val="center"/>
                </w:tcPr>
                <w:p w14:paraId="7E59BB3E">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393" w:type="pct"/>
                  <w:vAlign w:val="center"/>
                </w:tcPr>
                <w:p w14:paraId="68C79C27">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昼间</w:t>
                  </w:r>
                </w:p>
              </w:tc>
              <w:tc>
                <w:tcPr>
                  <w:tcW w:w="509" w:type="pct"/>
                  <w:vAlign w:val="center"/>
                </w:tcPr>
                <w:p w14:paraId="26EB043A">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夜间</w:t>
                  </w:r>
                </w:p>
              </w:tc>
              <w:tc>
                <w:tcPr>
                  <w:tcW w:w="404" w:type="pct"/>
                  <w:vAlign w:val="center"/>
                </w:tcPr>
                <w:p w14:paraId="63C92FCF">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昼间</w:t>
                  </w:r>
                </w:p>
              </w:tc>
              <w:tc>
                <w:tcPr>
                  <w:tcW w:w="504" w:type="pct"/>
                  <w:vAlign w:val="center"/>
                </w:tcPr>
                <w:p w14:paraId="521D9658">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夜间</w:t>
                  </w:r>
                </w:p>
              </w:tc>
              <w:tc>
                <w:tcPr>
                  <w:tcW w:w="918" w:type="pct"/>
                  <w:vMerge w:val="continue"/>
                  <w:vAlign w:val="center"/>
                </w:tcPr>
                <w:p w14:paraId="25F3D8D4">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r>
            <w:tr w14:paraId="35460F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74" w:type="pct"/>
                  <w:vMerge w:val="restart"/>
                  <w:vAlign w:val="center"/>
                </w:tcPr>
                <w:p w14:paraId="7A1A6223">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环境</w:t>
                  </w:r>
                </w:p>
                <w:p w14:paraId="4C4E1EEE">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噪声</w:t>
                  </w:r>
                </w:p>
              </w:tc>
              <w:tc>
                <w:tcPr>
                  <w:tcW w:w="1795" w:type="pct"/>
                  <w:vAlign w:val="center"/>
                </w:tcPr>
                <w:p w14:paraId="1EA7172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AN1项目红线边界东侧外1m</w:t>
                  </w:r>
                </w:p>
              </w:tc>
              <w:tc>
                <w:tcPr>
                  <w:tcW w:w="393" w:type="pct"/>
                  <w:vAlign w:val="center"/>
                </w:tcPr>
                <w:p w14:paraId="2C264EF7">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w:t>
                  </w:r>
                </w:p>
              </w:tc>
              <w:tc>
                <w:tcPr>
                  <w:tcW w:w="509" w:type="pct"/>
                  <w:vAlign w:val="center"/>
                </w:tcPr>
                <w:p w14:paraId="15CB2F7A">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48</w:t>
                  </w:r>
                </w:p>
              </w:tc>
              <w:tc>
                <w:tcPr>
                  <w:tcW w:w="404" w:type="pct"/>
                  <w:vAlign w:val="center"/>
                </w:tcPr>
                <w:p w14:paraId="3A3ECA34">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w:t>
                  </w:r>
                </w:p>
              </w:tc>
              <w:tc>
                <w:tcPr>
                  <w:tcW w:w="504" w:type="pct"/>
                  <w:vAlign w:val="center"/>
                </w:tcPr>
                <w:p w14:paraId="7787AAA8">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48</w:t>
                  </w:r>
                </w:p>
              </w:tc>
              <w:tc>
                <w:tcPr>
                  <w:tcW w:w="918" w:type="pct"/>
                  <w:vMerge w:val="restart"/>
                  <w:vAlign w:val="center"/>
                </w:tcPr>
                <w:p w14:paraId="50442C69">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昼间≤60dB、夜间≤50dB</w:t>
                  </w:r>
                </w:p>
              </w:tc>
            </w:tr>
            <w:tr w14:paraId="7EF208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74" w:type="pct"/>
                  <w:vMerge w:val="continue"/>
                  <w:vAlign w:val="center"/>
                </w:tcPr>
                <w:p w14:paraId="35E95AE5">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795" w:type="pct"/>
                  <w:vAlign w:val="center"/>
                </w:tcPr>
                <w:p w14:paraId="442B0C2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AN2项目红线边界南侧外1m</w:t>
                  </w:r>
                </w:p>
              </w:tc>
              <w:tc>
                <w:tcPr>
                  <w:tcW w:w="393" w:type="pct"/>
                  <w:vAlign w:val="center"/>
                </w:tcPr>
                <w:p w14:paraId="52F3B9CA">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52</w:t>
                  </w:r>
                </w:p>
              </w:tc>
              <w:tc>
                <w:tcPr>
                  <w:tcW w:w="509" w:type="pct"/>
                  <w:vAlign w:val="center"/>
                </w:tcPr>
                <w:p w14:paraId="38BA421B">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46</w:t>
                  </w:r>
                </w:p>
              </w:tc>
              <w:tc>
                <w:tcPr>
                  <w:tcW w:w="404" w:type="pct"/>
                  <w:vAlign w:val="center"/>
                </w:tcPr>
                <w:p w14:paraId="3BC75611">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51</w:t>
                  </w:r>
                </w:p>
              </w:tc>
              <w:tc>
                <w:tcPr>
                  <w:tcW w:w="504" w:type="pct"/>
                  <w:vAlign w:val="center"/>
                </w:tcPr>
                <w:p w14:paraId="21D3F504">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47</w:t>
                  </w:r>
                </w:p>
              </w:tc>
              <w:tc>
                <w:tcPr>
                  <w:tcW w:w="918" w:type="pct"/>
                  <w:vMerge w:val="continue"/>
                  <w:vAlign w:val="center"/>
                </w:tcPr>
                <w:p w14:paraId="6DF176F7">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r>
            <w:tr w14:paraId="29D647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74" w:type="pct"/>
                  <w:vMerge w:val="continue"/>
                  <w:vAlign w:val="center"/>
                </w:tcPr>
                <w:p w14:paraId="24A1C6DC">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795" w:type="pct"/>
                  <w:vAlign w:val="center"/>
                </w:tcPr>
                <w:p w14:paraId="755D711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AN3项目红线边界西侧外1m</w:t>
                  </w:r>
                </w:p>
              </w:tc>
              <w:tc>
                <w:tcPr>
                  <w:tcW w:w="393" w:type="pct"/>
                  <w:vAlign w:val="center"/>
                </w:tcPr>
                <w:p w14:paraId="183CCE35">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52</w:t>
                  </w:r>
                </w:p>
              </w:tc>
              <w:tc>
                <w:tcPr>
                  <w:tcW w:w="509" w:type="pct"/>
                  <w:vAlign w:val="center"/>
                </w:tcPr>
                <w:p w14:paraId="7CE071F8">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48</w:t>
                  </w:r>
                </w:p>
              </w:tc>
              <w:tc>
                <w:tcPr>
                  <w:tcW w:w="404" w:type="pct"/>
                  <w:vAlign w:val="center"/>
                </w:tcPr>
                <w:p w14:paraId="3510CF11">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52</w:t>
                  </w:r>
                </w:p>
              </w:tc>
              <w:tc>
                <w:tcPr>
                  <w:tcW w:w="504" w:type="pct"/>
                  <w:vAlign w:val="center"/>
                </w:tcPr>
                <w:p w14:paraId="4B17CB17">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48</w:t>
                  </w:r>
                </w:p>
              </w:tc>
              <w:tc>
                <w:tcPr>
                  <w:tcW w:w="918" w:type="pct"/>
                  <w:vMerge w:val="continue"/>
                  <w:vAlign w:val="center"/>
                </w:tcPr>
                <w:p w14:paraId="6A841DA1">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r>
            <w:tr w14:paraId="1DD42A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74" w:type="pct"/>
                  <w:vMerge w:val="continue"/>
                  <w:vAlign w:val="center"/>
                </w:tcPr>
                <w:p w14:paraId="2F4962C5">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795" w:type="pct"/>
                  <w:vAlign w:val="center"/>
                </w:tcPr>
                <w:p w14:paraId="57D2895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AN4项目红线边界北侧外1m</w:t>
                  </w:r>
                </w:p>
              </w:tc>
              <w:tc>
                <w:tcPr>
                  <w:tcW w:w="393" w:type="pct"/>
                  <w:vAlign w:val="center"/>
                </w:tcPr>
                <w:p w14:paraId="3D871661">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51</w:t>
                  </w:r>
                </w:p>
              </w:tc>
              <w:tc>
                <w:tcPr>
                  <w:tcW w:w="509" w:type="pct"/>
                  <w:vAlign w:val="center"/>
                </w:tcPr>
                <w:p w14:paraId="64BFC857">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46</w:t>
                  </w:r>
                </w:p>
              </w:tc>
              <w:tc>
                <w:tcPr>
                  <w:tcW w:w="404" w:type="pct"/>
                  <w:vAlign w:val="center"/>
                </w:tcPr>
                <w:p w14:paraId="7905969A">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50</w:t>
                  </w:r>
                </w:p>
              </w:tc>
              <w:tc>
                <w:tcPr>
                  <w:tcW w:w="504" w:type="pct"/>
                  <w:vAlign w:val="center"/>
                </w:tcPr>
                <w:p w14:paraId="3867381B">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47</w:t>
                  </w:r>
                </w:p>
              </w:tc>
              <w:tc>
                <w:tcPr>
                  <w:tcW w:w="918" w:type="pct"/>
                  <w:vMerge w:val="continue"/>
                  <w:vAlign w:val="center"/>
                </w:tcPr>
                <w:p w14:paraId="71FD5F82">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r>
            <w:tr w14:paraId="08503F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74" w:type="pct"/>
                  <w:vMerge w:val="continue"/>
                  <w:vAlign w:val="center"/>
                </w:tcPr>
                <w:p w14:paraId="744D48CB">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795" w:type="pct"/>
                  <w:vAlign w:val="center"/>
                </w:tcPr>
                <w:p w14:paraId="54630D0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AN5项目西侧敏感点</w:t>
                  </w:r>
                </w:p>
              </w:tc>
              <w:tc>
                <w:tcPr>
                  <w:tcW w:w="393" w:type="pct"/>
                  <w:vAlign w:val="center"/>
                </w:tcPr>
                <w:p w14:paraId="6540B0A4">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50</w:t>
                  </w:r>
                </w:p>
              </w:tc>
              <w:tc>
                <w:tcPr>
                  <w:tcW w:w="509" w:type="pct"/>
                  <w:vAlign w:val="center"/>
                </w:tcPr>
                <w:p w14:paraId="34FB7BC3">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48</w:t>
                  </w:r>
                </w:p>
              </w:tc>
              <w:tc>
                <w:tcPr>
                  <w:tcW w:w="404" w:type="pct"/>
                  <w:vAlign w:val="center"/>
                </w:tcPr>
                <w:p w14:paraId="2A2C47C5">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50</w:t>
                  </w:r>
                </w:p>
              </w:tc>
              <w:tc>
                <w:tcPr>
                  <w:tcW w:w="504" w:type="pct"/>
                  <w:vAlign w:val="center"/>
                </w:tcPr>
                <w:p w14:paraId="78F1AA1D">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47</w:t>
                  </w:r>
                </w:p>
              </w:tc>
              <w:tc>
                <w:tcPr>
                  <w:tcW w:w="918" w:type="pct"/>
                  <w:vMerge w:val="continue"/>
                  <w:vAlign w:val="center"/>
                </w:tcPr>
                <w:p w14:paraId="4A5CC5DF">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r>
            <w:tr w14:paraId="536922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74" w:type="pct"/>
                  <w:vMerge w:val="continue"/>
                  <w:vAlign w:val="center"/>
                </w:tcPr>
                <w:p w14:paraId="1945B34C">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795" w:type="pct"/>
                  <w:vAlign w:val="center"/>
                </w:tcPr>
                <w:p w14:paraId="5AFBA3CD">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AN6项目东南侧敏感点</w:t>
                  </w:r>
                </w:p>
              </w:tc>
              <w:tc>
                <w:tcPr>
                  <w:tcW w:w="393" w:type="pct"/>
                  <w:vAlign w:val="center"/>
                </w:tcPr>
                <w:p w14:paraId="1D92823B">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49</w:t>
                  </w:r>
                </w:p>
              </w:tc>
              <w:tc>
                <w:tcPr>
                  <w:tcW w:w="509" w:type="pct"/>
                  <w:vAlign w:val="center"/>
                </w:tcPr>
                <w:p w14:paraId="797CAC51">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45</w:t>
                  </w:r>
                </w:p>
              </w:tc>
              <w:tc>
                <w:tcPr>
                  <w:tcW w:w="404" w:type="pct"/>
                  <w:vAlign w:val="center"/>
                </w:tcPr>
                <w:p w14:paraId="745F606A">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48</w:t>
                  </w:r>
                </w:p>
              </w:tc>
              <w:tc>
                <w:tcPr>
                  <w:tcW w:w="504" w:type="pct"/>
                  <w:vAlign w:val="center"/>
                </w:tcPr>
                <w:p w14:paraId="5577FC63">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45</w:t>
                  </w:r>
                </w:p>
              </w:tc>
              <w:tc>
                <w:tcPr>
                  <w:tcW w:w="918" w:type="pct"/>
                  <w:vMerge w:val="continue"/>
                  <w:vAlign w:val="center"/>
                </w:tcPr>
                <w:p w14:paraId="17EDEBAC">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r>
            <w:tr w14:paraId="1B4679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74" w:type="pct"/>
                  <w:vMerge w:val="continue"/>
                  <w:vAlign w:val="center"/>
                </w:tcPr>
                <w:p w14:paraId="5D6B5F9F">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795" w:type="pct"/>
                  <w:vAlign w:val="center"/>
                </w:tcPr>
                <w:p w14:paraId="70E70389">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AN7项目东北侧敏感点</w:t>
                  </w:r>
                </w:p>
              </w:tc>
              <w:tc>
                <w:tcPr>
                  <w:tcW w:w="393" w:type="pct"/>
                  <w:vAlign w:val="center"/>
                </w:tcPr>
                <w:p w14:paraId="1D3DBE2F">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50</w:t>
                  </w:r>
                </w:p>
              </w:tc>
              <w:tc>
                <w:tcPr>
                  <w:tcW w:w="509" w:type="pct"/>
                  <w:vAlign w:val="center"/>
                </w:tcPr>
                <w:p w14:paraId="68B67055">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46</w:t>
                  </w:r>
                </w:p>
              </w:tc>
              <w:tc>
                <w:tcPr>
                  <w:tcW w:w="404" w:type="pct"/>
                  <w:vAlign w:val="center"/>
                </w:tcPr>
                <w:p w14:paraId="5AF5F560">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51</w:t>
                  </w:r>
                </w:p>
              </w:tc>
              <w:tc>
                <w:tcPr>
                  <w:tcW w:w="504" w:type="pct"/>
                  <w:vAlign w:val="center"/>
                </w:tcPr>
                <w:p w14:paraId="7FA757F1">
                  <w:pPr>
                    <w:overflowPunct w:val="0"/>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46</w:t>
                  </w:r>
                </w:p>
              </w:tc>
              <w:tc>
                <w:tcPr>
                  <w:tcW w:w="918" w:type="pct"/>
                  <w:vMerge w:val="continue"/>
                  <w:vAlign w:val="center"/>
                </w:tcPr>
                <w:p w14:paraId="61900B92">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r>
            <w:tr w14:paraId="1D8B71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474" w:type="pct"/>
                  <w:vAlign w:val="center"/>
                </w:tcPr>
                <w:p w14:paraId="3B58A23B">
                  <w:pPr>
                    <w:overflowPunct w:val="0"/>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备注</w:t>
                  </w:r>
                </w:p>
              </w:tc>
              <w:tc>
                <w:tcPr>
                  <w:tcW w:w="4525" w:type="pct"/>
                  <w:gridSpan w:val="6"/>
                  <w:vAlign w:val="center"/>
                </w:tcPr>
                <w:p w14:paraId="50680978">
                  <w:pPr>
                    <w:overflowPunct w:val="0"/>
                    <w:adjustRightInd w:val="0"/>
                    <w:snapToGrid w:val="0"/>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检测时，无风雨，无雷电，风速&lt;5m/s。</w:t>
                  </w:r>
                </w:p>
              </w:tc>
            </w:tr>
          </w:tbl>
          <w:p w14:paraId="39FE194B">
            <w:pPr>
              <w:spacing w:line="360" w:lineRule="auto"/>
              <w:ind w:firstLine="480" w:firstLineChars="200"/>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从上表中可以看到，本项目厂界及环境敏感点噪声均满足《声环境质量标准》（GB3096-2008）2类标准要求。说明项目评价区域声环境质量良好。</w:t>
            </w:r>
          </w:p>
          <w:p w14:paraId="36A6267D">
            <w:pPr>
              <w:spacing w:line="360" w:lineRule="auto"/>
              <w:jc w:val="left"/>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四、地下水</w:t>
            </w:r>
          </w:p>
          <w:p w14:paraId="127C88CA">
            <w:pPr>
              <w:spacing w:line="360" w:lineRule="auto"/>
              <w:jc w:val="left"/>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1、现状监测</w:t>
            </w:r>
          </w:p>
          <w:p w14:paraId="30F32FF3">
            <w:pPr>
              <w:adjustRightInd w:val="0"/>
              <w:spacing w:line="360" w:lineRule="auto"/>
              <w:ind w:firstLine="482" w:firstLineChars="200"/>
              <w:textAlignment w:val="baseline"/>
              <w:rPr>
                <w:rFonts w:ascii="Times New Roman" w:hAnsi="Times New Roman" w:eastAsia="宋体" w:cs="Times New Roman"/>
                <w:b/>
                <w:bCs/>
                <w:color w:val="000000" w:themeColor="text1"/>
                <w:kern w:val="0"/>
                <w:sz w:val="24"/>
                <w:szCs w:val="24"/>
                <w14:textFill>
                  <w14:solidFill>
                    <w14:schemeClr w14:val="tx1"/>
                  </w14:solidFill>
                </w14:textFill>
              </w:rPr>
            </w:pPr>
            <w:r>
              <w:rPr>
                <w:rFonts w:ascii="Times New Roman" w:hAnsi="Times New Roman" w:eastAsia="宋体" w:cs="Times New Roman"/>
                <w:b/>
                <w:bCs/>
                <w:color w:val="000000" w:themeColor="text1"/>
                <w:kern w:val="0"/>
                <w:sz w:val="24"/>
                <w:szCs w:val="24"/>
                <w14:textFill>
                  <w14:solidFill>
                    <w14:schemeClr w14:val="tx1"/>
                  </w14:solidFill>
                </w14:textFill>
              </w:rPr>
              <w:t>（1）检测单位及检测时间</w:t>
            </w:r>
          </w:p>
          <w:p w14:paraId="00242E1E">
            <w:pPr>
              <w:spacing w:line="360" w:lineRule="auto"/>
              <w:ind w:firstLine="480" w:firstLineChars="200"/>
              <w:jc w:val="left"/>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kern w:val="0"/>
                <w:sz w:val="24"/>
                <w:szCs w:val="24"/>
                <w14:textFill>
                  <w14:solidFill>
                    <w14:schemeClr w14:val="tx1"/>
                  </w14:solidFill>
                </w14:textFill>
              </w:rPr>
              <w:t>本次评价委托四川国测检测技术有限公司于</w:t>
            </w:r>
            <w:r>
              <w:rPr>
                <w:rFonts w:ascii="Times New Roman" w:hAnsi="Times New Roman" w:eastAsia="宋体" w:cs="Times New Roman"/>
                <w:color w:val="000000" w:themeColor="text1"/>
                <w:kern w:val="0"/>
                <w:sz w:val="24"/>
                <w:szCs w:val="20"/>
                <w14:textFill>
                  <w14:solidFill>
                    <w14:schemeClr w14:val="tx1"/>
                  </w14:solidFill>
                </w14:textFill>
              </w:rPr>
              <w:t>2021年1月25日对本项目所在区域地下水进行环境质量现状监测。</w:t>
            </w:r>
          </w:p>
          <w:p w14:paraId="1A730543">
            <w:pPr>
              <w:numPr>
                <w:ilvl w:val="0"/>
                <w:numId w:val="6"/>
              </w:numPr>
              <w:spacing w:line="360" w:lineRule="auto"/>
              <w:ind w:firstLine="482" w:firstLineChars="200"/>
              <w:jc w:val="left"/>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监测点位设置</w:t>
            </w:r>
          </w:p>
          <w:p w14:paraId="32FD464B">
            <w:pPr>
              <w:pStyle w:val="2"/>
              <w:ind w:firstLine="492"/>
            </w:pPr>
          </w:p>
          <w:p w14:paraId="1517C863">
            <w:pPr>
              <w:pStyle w:val="6"/>
            </w:pPr>
          </w:p>
          <w:p w14:paraId="64B9A315">
            <w:pPr>
              <w:adjustRightInd w:val="0"/>
              <w:spacing w:line="312" w:lineRule="atLeast"/>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szCs w:val="24"/>
                <w:lang w:val="pt-BR"/>
                <w14:textFill>
                  <w14:solidFill>
                    <w14:schemeClr w14:val="tx1"/>
                  </w14:solidFill>
                </w14:textFill>
              </w:rPr>
              <w:t xml:space="preserve">表3- </w:t>
            </w:r>
            <w:r>
              <w:rPr>
                <w:rFonts w:ascii="Times New Roman" w:hAnsi="Times New Roman" w:eastAsia="宋体" w:cs="Times New Roman"/>
                <w:b/>
                <w:bCs/>
                <w:color w:val="000000" w:themeColor="text1"/>
                <w:szCs w:val="24"/>
                <w:lang w:val="pt-BR"/>
                <w14:textFill>
                  <w14:solidFill>
                    <w14:schemeClr w14:val="tx1"/>
                  </w14:solidFill>
                </w14:textFill>
              </w:rPr>
              <w:fldChar w:fldCharType="begin"/>
            </w:r>
            <w:r>
              <w:rPr>
                <w:rFonts w:ascii="Times New Roman" w:hAnsi="Times New Roman" w:eastAsia="宋体" w:cs="Times New Roman"/>
                <w:b/>
                <w:bCs/>
                <w:color w:val="000000" w:themeColor="text1"/>
                <w:szCs w:val="24"/>
                <w:lang w:val="pt-BR"/>
                <w14:textFill>
                  <w14:solidFill>
                    <w14:schemeClr w14:val="tx1"/>
                  </w14:solidFill>
                </w14:textFill>
              </w:rPr>
              <w:instrText xml:space="preserve"> SEQ 表3- \* ARABIC </w:instrText>
            </w:r>
            <w:r>
              <w:rPr>
                <w:rFonts w:ascii="Times New Roman" w:hAnsi="Times New Roman" w:eastAsia="宋体" w:cs="Times New Roman"/>
                <w:b/>
                <w:bCs/>
                <w:color w:val="000000" w:themeColor="text1"/>
                <w:szCs w:val="24"/>
                <w:lang w:val="pt-BR"/>
                <w14:textFill>
                  <w14:solidFill>
                    <w14:schemeClr w14:val="tx1"/>
                  </w14:solidFill>
                </w14:textFill>
              </w:rPr>
              <w:fldChar w:fldCharType="separate"/>
            </w:r>
            <w:r>
              <w:rPr>
                <w:rFonts w:ascii="Times New Roman" w:hAnsi="Times New Roman" w:eastAsia="宋体" w:cs="Times New Roman"/>
                <w:b/>
                <w:bCs/>
                <w:color w:val="000000" w:themeColor="text1"/>
                <w:szCs w:val="24"/>
                <w:lang w:val="pt-BR"/>
                <w14:textFill>
                  <w14:solidFill>
                    <w14:schemeClr w14:val="tx1"/>
                  </w14:solidFill>
                </w14:textFill>
              </w:rPr>
              <w:t>7</w:t>
            </w:r>
            <w:r>
              <w:rPr>
                <w:rFonts w:ascii="Times New Roman" w:hAnsi="Times New Roman" w:eastAsia="宋体" w:cs="Times New Roman"/>
                <w:b/>
                <w:bCs/>
                <w:color w:val="000000" w:themeColor="text1"/>
                <w:szCs w:val="24"/>
                <w:lang w:val="pt-BR"/>
                <w14:textFill>
                  <w14:solidFill>
                    <w14:schemeClr w14:val="tx1"/>
                  </w14:solidFill>
                </w14:textFill>
              </w:rPr>
              <w:fldChar w:fldCharType="end"/>
            </w:r>
            <w:r>
              <w:rPr>
                <w:rFonts w:ascii="Times New Roman" w:hAnsi="Times New Roman" w:eastAsia="宋体" w:cs="Times New Roman"/>
                <w:b/>
                <w:bCs/>
                <w:color w:val="000000" w:themeColor="text1"/>
                <w:szCs w:val="24"/>
                <w14:textFill>
                  <w14:solidFill>
                    <w14:schemeClr w14:val="tx1"/>
                  </w14:solidFill>
                </w14:textFill>
              </w:rPr>
              <w:t xml:space="preserve">  </w:t>
            </w:r>
            <w:r>
              <w:rPr>
                <w:rFonts w:ascii="Times New Roman" w:hAnsi="Times New Roman" w:eastAsia="宋体" w:cs="Times New Roman"/>
                <w:b/>
                <w:color w:val="000000" w:themeColor="text1"/>
                <w:kern w:val="0"/>
                <w:szCs w:val="21"/>
                <w14:textFill>
                  <w14:solidFill>
                    <w14:schemeClr w14:val="tx1"/>
                  </w14:solidFill>
                </w14:textFill>
              </w:rPr>
              <w:t>地下水现状</w:t>
            </w:r>
            <w:r>
              <w:rPr>
                <w:rFonts w:ascii="Times New Roman" w:hAnsi="Times New Roman" w:eastAsia="宋体" w:cs="Times New Roman"/>
                <w:b/>
                <w:color w:val="000000" w:themeColor="text1"/>
                <w:kern w:val="0"/>
                <w:szCs w:val="21"/>
                <w:shd w:val="clear" w:color="auto" w:fill="FFFFFF"/>
                <w14:textFill>
                  <w14:solidFill>
                    <w14:schemeClr w14:val="tx1"/>
                  </w14:solidFill>
                </w14:textFill>
              </w:rPr>
              <w:t>监测布点基本信息表</w:t>
            </w:r>
          </w:p>
          <w:tbl>
            <w:tblPr>
              <w:tblStyle w:val="24"/>
              <w:tblW w:w="8299"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609"/>
              <w:gridCol w:w="1339"/>
              <w:gridCol w:w="1401"/>
              <w:gridCol w:w="4950"/>
            </w:tblGrid>
            <w:tr w14:paraId="10644EF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78" w:hRule="atLeast"/>
                <w:jc w:val="center"/>
              </w:trPr>
              <w:tc>
                <w:tcPr>
                  <w:tcW w:w="609" w:type="dxa"/>
                  <w:vAlign w:val="center"/>
                </w:tcPr>
                <w:p w14:paraId="5AD6C4B3">
                  <w:pPr>
                    <w:adjustRightInd w:val="0"/>
                    <w:jc w:val="center"/>
                    <w:textAlignment w:val="baseline"/>
                    <w:rPr>
                      <w:rFonts w:ascii="Times New Roman" w:hAnsi="Times New Roman" w:eastAsia="宋体" w:cs="Times New Roman"/>
                      <w:b/>
                      <w:bCs/>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kern w:val="0"/>
                      <w:szCs w:val="21"/>
                      <w14:textFill>
                        <w14:solidFill>
                          <w14:schemeClr w14:val="tx1"/>
                        </w14:solidFill>
                      </w14:textFill>
                    </w:rPr>
                    <w:t>编号</w:t>
                  </w:r>
                </w:p>
              </w:tc>
              <w:tc>
                <w:tcPr>
                  <w:tcW w:w="1339" w:type="dxa"/>
                  <w:vAlign w:val="center"/>
                </w:tcPr>
                <w:p w14:paraId="5363D7E6">
                  <w:pPr>
                    <w:adjustRightInd w:val="0"/>
                    <w:jc w:val="center"/>
                    <w:textAlignment w:val="baseline"/>
                    <w:rPr>
                      <w:rFonts w:ascii="Times New Roman" w:hAnsi="Times New Roman" w:eastAsia="宋体" w:cs="Times New Roman"/>
                      <w:b/>
                      <w:bCs/>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kern w:val="0"/>
                      <w:szCs w:val="21"/>
                      <w14:textFill>
                        <w14:solidFill>
                          <w14:schemeClr w14:val="tx1"/>
                        </w14:solidFill>
                      </w14:textFill>
                    </w:rPr>
                    <w:t>监测点位</w:t>
                  </w:r>
                </w:p>
              </w:tc>
              <w:tc>
                <w:tcPr>
                  <w:tcW w:w="1401" w:type="dxa"/>
                  <w:vAlign w:val="center"/>
                </w:tcPr>
                <w:p w14:paraId="33C1DE62">
                  <w:pPr>
                    <w:adjustRightInd w:val="0"/>
                    <w:ind w:left="-105" w:leftChars="-50" w:right="-105" w:rightChars="-50"/>
                    <w:jc w:val="center"/>
                    <w:textAlignment w:val="baseline"/>
                    <w:rPr>
                      <w:rFonts w:ascii="Times New Roman" w:hAnsi="Times New Roman" w:eastAsia="宋体" w:cs="Times New Roman"/>
                      <w:b/>
                      <w:bCs/>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kern w:val="0"/>
                      <w:szCs w:val="21"/>
                      <w14:textFill>
                        <w14:solidFill>
                          <w14:schemeClr w14:val="tx1"/>
                        </w14:solidFill>
                      </w14:textFill>
                    </w:rPr>
                    <w:t>距本项目方位</w:t>
                  </w:r>
                </w:p>
              </w:tc>
              <w:tc>
                <w:tcPr>
                  <w:tcW w:w="4950" w:type="dxa"/>
                  <w:vAlign w:val="center"/>
                </w:tcPr>
                <w:p w14:paraId="1ECBCECC">
                  <w:pPr>
                    <w:adjustRightInd w:val="0"/>
                    <w:jc w:val="center"/>
                    <w:textAlignment w:val="baseline"/>
                    <w:rPr>
                      <w:rFonts w:ascii="Times New Roman" w:hAnsi="Times New Roman" w:eastAsia="宋体" w:cs="Times New Roman"/>
                      <w:b/>
                      <w:bCs/>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kern w:val="0"/>
                      <w:szCs w:val="21"/>
                      <w14:textFill>
                        <w14:solidFill>
                          <w14:schemeClr w14:val="tx1"/>
                        </w14:solidFill>
                      </w14:textFill>
                    </w:rPr>
                    <w:t>监测因子</w:t>
                  </w:r>
                </w:p>
              </w:tc>
            </w:tr>
            <w:tr w14:paraId="2835CD7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78" w:hRule="atLeast"/>
                <w:jc w:val="center"/>
              </w:trPr>
              <w:tc>
                <w:tcPr>
                  <w:tcW w:w="609" w:type="dxa"/>
                  <w:vAlign w:val="center"/>
                </w:tcPr>
                <w:p w14:paraId="4AE61EB5">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w:t>
                  </w:r>
                </w:p>
              </w:tc>
              <w:tc>
                <w:tcPr>
                  <w:tcW w:w="1339" w:type="dxa"/>
                  <w:vAlign w:val="center"/>
                </w:tcPr>
                <w:p w14:paraId="69D7F6CC">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项目南侧点（本项目生产、生活用水取水井）</w:t>
                  </w:r>
                </w:p>
              </w:tc>
              <w:tc>
                <w:tcPr>
                  <w:tcW w:w="1401" w:type="dxa"/>
                  <w:vAlign w:val="center"/>
                </w:tcPr>
                <w:p w14:paraId="241A7D18">
                  <w:pPr>
                    <w:adjustRightInd w:val="0"/>
                    <w:ind w:left="-105" w:leftChars="-50" w:right="-105" w:rightChars="-5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南侧约155m</w:t>
                  </w:r>
                </w:p>
              </w:tc>
              <w:tc>
                <w:tcPr>
                  <w:tcW w:w="4950" w:type="dxa"/>
                  <w:vAlign w:val="center"/>
                </w:tcPr>
                <w:p w14:paraId="5B8AF736">
                  <w:pPr>
                    <w:jc w:val="left"/>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K</w:t>
                  </w:r>
                  <w:r>
                    <w:rPr>
                      <w:rFonts w:ascii="Times New Roman" w:hAnsi="Times New Roman" w:eastAsia="宋体" w:cs="Times New Roman"/>
                      <w:color w:val="000000" w:themeColor="text1"/>
                      <w:kern w:val="0"/>
                      <w:szCs w:val="21"/>
                      <w:vertAlign w:val="superscript"/>
                      <w14:textFill>
                        <w14:solidFill>
                          <w14:schemeClr w14:val="tx1"/>
                        </w14:solidFill>
                      </w14:textFill>
                    </w:rPr>
                    <w:t>+</w:t>
                  </w:r>
                  <w:r>
                    <w:rPr>
                      <w:rFonts w:ascii="Times New Roman" w:hAnsi="Times New Roman" w:eastAsia="宋体" w:cs="Times New Roman"/>
                      <w:color w:val="000000" w:themeColor="text1"/>
                      <w:kern w:val="0"/>
                      <w:szCs w:val="21"/>
                      <w14:textFill>
                        <w14:solidFill>
                          <w14:schemeClr w14:val="tx1"/>
                        </w14:solidFill>
                      </w14:textFill>
                    </w:rPr>
                    <w:t>、Na</w:t>
                  </w:r>
                  <w:r>
                    <w:rPr>
                      <w:rFonts w:ascii="Times New Roman" w:hAnsi="Times New Roman" w:eastAsia="宋体" w:cs="Times New Roman"/>
                      <w:color w:val="000000" w:themeColor="text1"/>
                      <w:kern w:val="0"/>
                      <w:szCs w:val="21"/>
                      <w:vertAlign w:val="superscript"/>
                      <w14:textFill>
                        <w14:solidFill>
                          <w14:schemeClr w14:val="tx1"/>
                        </w14:solidFill>
                      </w14:textFill>
                    </w:rPr>
                    <w:t>+</w:t>
                  </w:r>
                  <w:r>
                    <w:rPr>
                      <w:rFonts w:ascii="Times New Roman" w:hAnsi="Times New Roman" w:eastAsia="宋体" w:cs="Times New Roman"/>
                      <w:color w:val="000000" w:themeColor="text1"/>
                      <w:kern w:val="0"/>
                      <w:szCs w:val="21"/>
                      <w14:textFill>
                        <w14:solidFill>
                          <w14:schemeClr w14:val="tx1"/>
                        </w14:solidFill>
                      </w14:textFill>
                    </w:rPr>
                    <w:t>、Ca</w:t>
                  </w:r>
                  <w:r>
                    <w:rPr>
                      <w:rFonts w:ascii="Times New Roman" w:hAnsi="Times New Roman" w:eastAsia="宋体" w:cs="Times New Roman"/>
                      <w:color w:val="000000" w:themeColor="text1"/>
                      <w:kern w:val="0"/>
                      <w:szCs w:val="21"/>
                      <w:vertAlign w:val="superscript"/>
                      <w14:textFill>
                        <w14:solidFill>
                          <w14:schemeClr w14:val="tx1"/>
                        </w14:solidFill>
                      </w14:textFill>
                    </w:rPr>
                    <w:t>2+</w:t>
                  </w:r>
                  <w:r>
                    <w:rPr>
                      <w:rFonts w:ascii="Times New Roman" w:hAnsi="Times New Roman" w:eastAsia="宋体" w:cs="Times New Roman"/>
                      <w:color w:val="000000" w:themeColor="text1"/>
                      <w:kern w:val="0"/>
                      <w:szCs w:val="21"/>
                      <w14:textFill>
                        <w14:solidFill>
                          <w14:schemeClr w14:val="tx1"/>
                        </w14:solidFill>
                      </w14:textFill>
                    </w:rPr>
                    <w:t>、Mg</w:t>
                  </w:r>
                  <w:r>
                    <w:rPr>
                      <w:rFonts w:ascii="Times New Roman" w:hAnsi="Times New Roman" w:eastAsia="宋体" w:cs="Times New Roman"/>
                      <w:color w:val="000000" w:themeColor="text1"/>
                      <w:kern w:val="0"/>
                      <w:szCs w:val="21"/>
                      <w:vertAlign w:val="superscript"/>
                      <w14:textFill>
                        <w14:solidFill>
                          <w14:schemeClr w14:val="tx1"/>
                        </w14:solidFill>
                      </w14:textFill>
                    </w:rPr>
                    <w:t>2+</w:t>
                  </w:r>
                  <w:r>
                    <w:rPr>
                      <w:rFonts w:ascii="Times New Roman" w:hAnsi="Times New Roman" w:eastAsia="宋体" w:cs="Times New Roman"/>
                      <w:color w:val="000000" w:themeColor="text1"/>
                      <w:kern w:val="0"/>
                      <w:szCs w:val="21"/>
                      <w14:textFill>
                        <w14:solidFill>
                          <w14:schemeClr w14:val="tx1"/>
                        </w14:solidFill>
                      </w14:textFill>
                    </w:rPr>
                    <w:t>、CO</w:t>
                  </w:r>
                  <w:r>
                    <w:rPr>
                      <w:rFonts w:ascii="Times New Roman" w:hAnsi="Times New Roman" w:eastAsia="宋体" w:cs="Times New Roman"/>
                      <w:color w:val="000000" w:themeColor="text1"/>
                      <w:kern w:val="0"/>
                      <w:szCs w:val="21"/>
                      <w:vertAlign w:val="subscript"/>
                      <w14:textFill>
                        <w14:solidFill>
                          <w14:schemeClr w14:val="tx1"/>
                        </w14:solidFill>
                      </w14:textFill>
                    </w:rPr>
                    <w:t>3</w:t>
                  </w:r>
                  <w:r>
                    <w:rPr>
                      <w:rFonts w:ascii="Times New Roman" w:hAnsi="Times New Roman" w:eastAsia="宋体" w:cs="Times New Roman"/>
                      <w:color w:val="000000" w:themeColor="text1"/>
                      <w:kern w:val="0"/>
                      <w:szCs w:val="21"/>
                      <w:vertAlign w:val="superscript"/>
                      <w14:textFill>
                        <w14:solidFill>
                          <w14:schemeClr w14:val="tx1"/>
                        </w14:solidFill>
                      </w14:textFill>
                    </w:rPr>
                    <w:t>2-</w:t>
                  </w:r>
                  <w:r>
                    <w:rPr>
                      <w:rFonts w:ascii="Times New Roman" w:hAnsi="Times New Roman" w:eastAsia="宋体" w:cs="Times New Roman"/>
                      <w:color w:val="000000" w:themeColor="text1"/>
                      <w:kern w:val="0"/>
                      <w:szCs w:val="21"/>
                      <w14:textFill>
                        <w14:solidFill>
                          <w14:schemeClr w14:val="tx1"/>
                        </w14:solidFill>
                      </w14:textFill>
                    </w:rPr>
                    <w:t>、HCO</w:t>
                  </w:r>
                  <w:r>
                    <w:rPr>
                      <w:rFonts w:ascii="Times New Roman" w:hAnsi="Times New Roman" w:eastAsia="宋体" w:cs="Times New Roman"/>
                      <w:color w:val="000000" w:themeColor="text1"/>
                      <w:kern w:val="0"/>
                      <w:szCs w:val="21"/>
                      <w:vertAlign w:val="subscript"/>
                      <w14:textFill>
                        <w14:solidFill>
                          <w14:schemeClr w14:val="tx1"/>
                        </w14:solidFill>
                      </w14:textFill>
                    </w:rPr>
                    <w:t>3</w:t>
                  </w:r>
                  <w:r>
                    <w:rPr>
                      <w:rFonts w:ascii="Times New Roman" w:hAnsi="Times New Roman" w:eastAsia="宋体" w:cs="Times New Roman"/>
                      <w:color w:val="000000" w:themeColor="text1"/>
                      <w:kern w:val="0"/>
                      <w:szCs w:val="21"/>
                      <w:vertAlign w:val="superscript"/>
                      <w14:textFill>
                        <w14:solidFill>
                          <w14:schemeClr w14:val="tx1"/>
                        </w14:solidFill>
                      </w14:textFill>
                    </w:rPr>
                    <w:t>-</w:t>
                  </w:r>
                  <w:r>
                    <w:rPr>
                      <w:rFonts w:ascii="Times New Roman" w:hAnsi="Times New Roman" w:eastAsia="宋体" w:cs="Times New Roman"/>
                      <w:color w:val="000000" w:themeColor="text1"/>
                      <w:kern w:val="0"/>
                      <w:szCs w:val="21"/>
                      <w14:textFill>
                        <w14:solidFill>
                          <w14:schemeClr w14:val="tx1"/>
                        </w14:solidFill>
                      </w14:textFill>
                    </w:rPr>
                    <w:t>、C</w:t>
                  </w:r>
                  <w:r>
                    <w:rPr>
                      <w:rFonts w:ascii="Times New Roman" w:hAnsi="Times New Roman" w:eastAsia="宋体" w:cs="Times New Roman"/>
                      <w:color w:val="000000" w:themeColor="text1"/>
                      <w:kern w:val="0"/>
                      <w:szCs w:val="21"/>
                      <w:vertAlign w:val="superscript"/>
                      <w14:textFill>
                        <w14:solidFill>
                          <w14:schemeClr w14:val="tx1"/>
                        </w14:solidFill>
                      </w14:textFill>
                    </w:rPr>
                    <w:t>l-</w:t>
                  </w:r>
                  <w:r>
                    <w:rPr>
                      <w:rFonts w:ascii="Times New Roman" w:hAnsi="Times New Roman" w:eastAsia="宋体" w:cs="Times New Roman"/>
                      <w:color w:val="000000" w:themeColor="text1"/>
                      <w:kern w:val="0"/>
                      <w:szCs w:val="21"/>
                      <w14:textFill>
                        <w14:solidFill>
                          <w14:schemeClr w14:val="tx1"/>
                        </w14:solidFill>
                      </w14:textFill>
                    </w:rPr>
                    <w:t>、SO</w:t>
                  </w:r>
                  <w:r>
                    <w:rPr>
                      <w:rFonts w:ascii="Times New Roman" w:hAnsi="Times New Roman" w:eastAsia="宋体" w:cs="Times New Roman"/>
                      <w:color w:val="000000" w:themeColor="text1"/>
                      <w:kern w:val="0"/>
                      <w:szCs w:val="21"/>
                      <w:vertAlign w:val="subscript"/>
                      <w14:textFill>
                        <w14:solidFill>
                          <w14:schemeClr w14:val="tx1"/>
                        </w14:solidFill>
                      </w14:textFill>
                    </w:rPr>
                    <w:t>4</w:t>
                  </w:r>
                  <w:r>
                    <w:rPr>
                      <w:rFonts w:ascii="Times New Roman" w:hAnsi="Times New Roman" w:eastAsia="宋体" w:cs="Times New Roman"/>
                      <w:color w:val="000000" w:themeColor="text1"/>
                      <w:kern w:val="0"/>
                      <w:szCs w:val="21"/>
                      <w:vertAlign w:val="superscript"/>
                      <w14:textFill>
                        <w14:solidFill>
                          <w14:schemeClr w14:val="tx1"/>
                        </w14:solidFill>
                      </w14:textFill>
                    </w:rPr>
                    <w:t>2-</w:t>
                  </w:r>
                  <w:r>
                    <w:rPr>
                      <w:rFonts w:ascii="Times New Roman" w:hAnsi="Times New Roman" w:eastAsia="宋体" w:cs="Times New Roman"/>
                      <w:color w:val="000000" w:themeColor="text1"/>
                      <w:kern w:val="0"/>
                      <w:szCs w:val="21"/>
                      <w14:textFill>
                        <w14:solidFill>
                          <w14:schemeClr w14:val="tx1"/>
                        </w14:solidFill>
                      </w14:textFill>
                    </w:rPr>
                    <w:t>、pH、氨氮、硝酸盐、亚硝酸盐、挥发性酚类、</w:t>
                  </w:r>
                  <w:r>
                    <w:rPr>
                      <w:rFonts w:ascii="Times New Roman" w:hAnsi="Times New Roman" w:eastAsia="宋体" w:cs="Times New Roman"/>
                      <w:color w:val="000000" w:themeColor="text1"/>
                      <w:szCs w:val="21"/>
                      <w14:textFill>
                        <w14:solidFill>
                          <w14:schemeClr w14:val="tx1"/>
                        </w14:solidFill>
                      </w14:textFill>
                    </w:rPr>
                    <w:t>氰化物、砷、汞、铬（六价）、总硬度、铅、氟、镉、铁、锰、溶解性总固体、耗氧量（COD</w:t>
                  </w:r>
                  <w:r>
                    <w:rPr>
                      <w:rFonts w:ascii="Times New Roman" w:hAnsi="Times New Roman" w:eastAsia="宋体" w:cs="Times New Roman"/>
                      <w:color w:val="000000" w:themeColor="text1"/>
                      <w:szCs w:val="21"/>
                      <w:vertAlign w:val="subscript"/>
                      <w14:textFill>
                        <w14:solidFill>
                          <w14:schemeClr w14:val="tx1"/>
                        </w14:solidFill>
                      </w14:textFill>
                    </w:rPr>
                    <w:t>Mn</w:t>
                  </w:r>
                  <w:r>
                    <w:rPr>
                      <w:rFonts w:ascii="Times New Roman" w:hAnsi="Times New Roman" w:eastAsia="宋体" w:cs="Times New Roman"/>
                      <w:color w:val="000000" w:themeColor="text1"/>
                      <w:szCs w:val="21"/>
                      <w14:textFill>
                        <w14:solidFill>
                          <w14:schemeClr w14:val="tx1"/>
                        </w14:solidFill>
                      </w14:textFill>
                    </w:rPr>
                    <w:t>法，以O</w:t>
                  </w:r>
                  <w:r>
                    <w:rPr>
                      <w:rFonts w:ascii="Times New Roman" w:hAnsi="Times New Roman" w:eastAsia="宋体" w:cs="Times New Roman"/>
                      <w:color w:val="000000" w:themeColor="text1"/>
                      <w:szCs w:val="21"/>
                      <w:vertAlign w:val="subscript"/>
                      <w14:textFill>
                        <w14:solidFill>
                          <w14:schemeClr w14:val="tx1"/>
                        </w14:solidFill>
                      </w14:textFill>
                    </w:rPr>
                    <w:t>2</w:t>
                  </w:r>
                  <w:r>
                    <w:rPr>
                      <w:rFonts w:ascii="Times New Roman" w:hAnsi="Times New Roman" w:eastAsia="宋体" w:cs="Times New Roman"/>
                      <w:color w:val="000000" w:themeColor="text1"/>
                      <w:szCs w:val="21"/>
                      <w14:textFill>
                        <w14:solidFill>
                          <w14:schemeClr w14:val="tx1"/>
                        </w14:solidFill>
                      </w14:textFill>
                    </w:rPr>
                    <w:t>计）</w:t>
                  </w:r>
                </w:p>
              </w:tc>
            </w:tr>
          </w:tbl>
          <w:p w14:paraId="760232F0">
            <w:pPr>
              <w:spacing w:line="360" w:lineRule="auto"/>
              <w:ind w:firstLine="482" w:firstLineChars="200"/>
              <w:jc w:val="left"/>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（3）监测方法</w:t>
            </w:r>
          </w:p>
          <w:p w14:paraId="127BA0EB">
            <w:pPr>
              <w:spacing w:line="360" w:lineRule="auto"/>
              <w:ind w:firstLine="480" w:firstLineChars="200"/>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按照国家环保总局颁发的《地下水环境监测技术规范》（HJ/T164-2004）的有关规定和《地下水质量标准》（GB/T14848-2017）的要求执行。</w:t>
            </w:r>
          </w:p>
          <w:p w14:paraId="4602623F">
            <w:pPr>
              <w:spacing w:line="360" w:lineRule="auto"/>
              <w:jc w:val="left"/>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2、地下水环境质量现状评价</w:t>
            </w:r>
          </w:p>
          <w:p w14:paraId="24979BAC">
            <w:pPr>
              <w:adjustRightInd w:val="0"/>
              <w:spacing w:line="360" w:lineRule="auto"/>
              <w:ind w:firstLine="482" w:firstLineChars="200"/>
              <w:textAlignment w:val="baseline"/>
              <w:rPr>
                <w:rFonts w:ascii="Times New Roman" w:hAnsi="Times New Roman" w:eastAsia="宋体" w:cs="Times New Roman"/>
                <w:b/>
                <w:color w:val="000000" w:themeColor="text1"/>
                <w:kern w:val="0"/>
                <w:sz w:val="24"/>
                <w:szCs w:val="20"/>
                <w14:textFill>
                  <w14:solidFill>
                    <w14:schemeClr w14:val="tx1"/>
                  </w14:solidFill>
                </w14:textFill>
              </w:rPr>
            </w:pPr>
            <w:r>
              <w:rPr>
                <w:rFonts w:ascii="Times New Roman" w:hAnsi="Times New Roman" w:eastAsia="宋体" w:cs="Times New Roman"/>
                <w:b/>
                <w:color w:val="000000" w:themeColor="text1"/>
                <w:kern w:val="0"/>
                <w:sz w:val="24"/>
                <w:szCs w:val="20"/>
                <w14:textFill>
                  <w14:solidFill>
                    <w14:schemeClr w14:val="tx1"/>
                  </w14:solidFill>
                </w14:textFill>
              </w:rPr>
              <w:t>（1）评价标准</w:t>
            </w:r>
          </w:p>
          <w:p w14:paraId="43389695">
            <w:pPr>
              <w:adjustRightInd w:val="0"/>
              <w:spacing w:line="360" w:lineRule="auto"/>
              <w:ind w:firstLine="480" w:firstLineChars="200"/>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该评价执行《地下水质量标准》（GB/T14848-2017）</w:t>
            </w:r>
            <w:r>
              <w:rPr>
                <w:rFonts w:hint="eastAsia" w:ascii="宋体" w:hAnsi="宋体" w:eastAsia="宋体" w:cs="宋体"/>
                <w:color w:val="000000" w:themeColor="text1"/>
                <w:kern w:val="0"/>
                <w:sz w:val="24"/>
                <w:szCs w:val="24"/>
                <w14:textFill>
                  <w14:solidFill>
                    <w14:schemeClr w14:val="tx1"/>
                  </w14:solidFill>
                </w14:textFill>
              </w:rPr>
              <w:t>Ⅲ</w:t>
            </w:r>
            <w:r>
              <w:rPr>
                <w:rFonts w:ascii="Times New Roman" w:hAnsi="Times New Roman" w:eastAsia="宋体" w:cs="Times New Roman"/>
                <w:color w:val="000000" w:themeColor="text1"/>
                <w:kern w:val="0"/>
                <w:sz w:val="24"/>
                <w:szCs w:val="24"/>
                <w14:textFill>
                  <w14:solidFill>
                    <w14:schemeClr w14:val="tx1"/>
                  </w14:solidFill>
                </w14:textFill>
              </w:rPr>
              <w:t>类标准</w:t>
            </w:r>
            <w:r>
              <w:rPr>
                <w:rFonts w:ascii="Times New Roman" w:hAnsi="Times New Roman" w:eastAsia="宋体" w:cs="Times New Roman"/>
                <w:color w:val="000000" w:themeColor="text1"/>
                <w:kern w:val="0"/>
                <w:sz w:val="24"/>
                <w:szCs w:val="20"/>
                <w14:textFill>
                  <w14:solidFill>
                    <w14:schemeClr w14:val="tx1"/>
                  </w14:solidFill>
                </w14:textFill>
              </w:rPr>
              <w:t>。</w:t>
            </w:r>
          </w:p>
          <w:p w14:paraId="3DEA94B8">
            <w:pPr>
              <w:adjustRightInd w:val="0"/>
              <w:spacing w:line="360" w:lineRule="auto"/>
              <w:ind w:firstLine="482" w:firstLineChars="200"/>
              <w:textAlignment w:val="baseline"/>
              <w:rPr>
                <w:rFonts w:ascii="Times New Roman" w:hAnsi="Times New Roman" w:eastAsia="宋体" w:cs="Times New Roman"/>
                <w:b/>
                <w:color w:val="000000" w:themeColor="text1"/>
                <w:kern w:val="0"/>
                <w:sz w:val="24"/>
                <w:szCs w:val="20"/>
                <w14:textFill>
                  <w14:solidFill>
                    <w14:schemeClr w14:val="tx1"/>
                  </w14:solidFill>
                </w14:textFill>
              </w:rPr>
            </w:pPr>
            <w:r>
              <w:rPr>
                <w:rFonts w:ascii="Times New Roman" w:hAnsi="Times New Roman" w:eastAsia="宋体" w:cs="Times New Roman"/>
                <w:b/>
                <w:color w:val="000000" w:themeColor="text1"/>
                <w:kern w:val="0"/>
                <w:sz w:val="24"/>
                <w:szCs w:val="20"/>
                <w14:textFill>
                  <w14:solidFill>
                    <w14:schemeClr w14:val="tx1"/>
                  </w14:solidFill>
                </w14:textFill>
              </w:rPr>
              <w:t>（2）评价方法</w:t>
            </w:r>
          </w:p>
          <w:p w14:paraId="68750081">
            <w:pPr>
              <w:adjustRightInd w:val="0"/>
              <w:spacing w:line="360" w:lineRule="auto"/>
              <w:ind w:firstLine="480" w:firstLineChars="200"/>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为了能直观反映水质现状，科学的评判水体中污染物是否超标，评价采用单项水质指数评价方法，即：</w:t>
            </w:r>
          </w:p>
          <w:p w14:paraId="37D4CED7">
            <w:pPr>
              <w:adjustRightInd w:val="0"/>
              <w:spacing w:line="312" w:lineRule="atLeast"/>
              <w:jc w:val="center"/>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S</w:t>
            </w:r>
            <w:r>
              <w:rPr>
                <w:rFonts w:ascii="Times New Roman" w:hAnsi="Times New Roman" w:eastAsia="宋体" w:cs="Times New Roman"/>
                <w:color w:val="000000" w:themeColor="text1"/>
                <w:kern w:val="0"/>
                <w:sz w:val="24"/>
                <w:szCs w:val="20"/>
                <w:vertAlign w:val="subscript"/>
                <w14:textFill>
                  <w14:solidFill>
                    <w14:schemeClr w14:val="tx1"/>
                  </w14:solidFill>
                </w14:textFill>
              </w:rPr>
              <w:t>i,j</w:t>
            </w:r>
            <w:r>
              <w:rPr>
                <w:rFonts w:ascii="Times New Roman" w:hAnsi="Times New Roman" w:eastAsia="宋体" w:cs="Times New Roman"/>
                <w:color w:val="000000" w:themeColor="text1"/>
                <w:kern w:val="0"/>
                <w:sz w:val="24"/>
                <w:szCs w:val="20"/>
                <w14:textFill>
                  <w14:solidFill>
                    <w14:schemeClr w14:val="tx1"/>
                  </w14:solidFill>
                </w14:textFill>
              </w:rPr>
              <w:t>＝</w:t>
            </w:r>
            <w:r>
              <w:rPr>
                <w:rFonts w:ascii="Times New Roman" w:hAnsi="Times New Roman" w:eastAsia="宋体" w:cs="Times New Roman"/>
                <w:color w:val="000000" w:themeColor="text1"/>
                <w:kern w:val="0"/>
                <w:position w:val="-18"/>
                <w:sz w:val="24"/>
                <w:szCs w:val="20"/>
                <w14:textFill>
                  <w14:solidFill>
                    <w14:schemeClr w14:val="tx1"/>
                  </w14:solidFill>
                </w14:textFill>
              </w:rPr>
              <w:object>
                <v:shape id="_x0000_i1027" o:spt="75" type="#_x0000_t75" style="height:21.9pt;width:21.9pt;" o:ole="t" filled="f" o:preferrelative="t" stroked="f" coordsize="21600,21600">
                  <v:path/>
                  <v:fill on="f" focussize="0,0"/>
                  <v:stroke on="f" joinstyle="miter"/>
                  <v:imagedata r:id="rId33" o:title=""/>
                  <o:lock v:ext="edit" aspectratio="t"/>
                  <w10:wrap type="none"/>
                  <w10:anchorlock/>
                </v:shape>
                <o:OLEObject Type="Embed" ProgID="Equation.3" ShapeID="_x0000_i1027" DrawAspect="Content" ObjectID="_1468075727" r:id="rId32">
                  <o:LockedField>false</o:LockedField>
                </o:OLEObject>
              </w:object>
            </w:r>
          </w:p>
          <w:p w14:paraId="25FD27D8">
            <w:pPr>
              <w:adjustRightInd w:val="0"/>
              <w:spacing w:line="360" w:lineRule="auto"/>
              <w:ind w:firstLine="480"/>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 xml:space="preserve">    式中：S</w:t>
            </w:r>
            <w:r>
              <w:rPr>
                <w:rFonts w:ascii="Times New Roman" w:hAnsi="Times New Roman" w:eastAsia="宋体" w:cs="Times New Roman"/>
                <w:color w:val="000000" w:themeColor="text1"/>
                <w:kern w:val="0"/>
                <w:sz w:val="24"/>
                <w:szCs w:val="20"/>
                <w:vertAlign w:val="subscript"/>
                <w14:textFill>
                  <w14:solidFill>
                    <w14:schemeClr w14:val="tx1"/>
                  </w14:solidFill>
                </w14:textFill>
              </w:rPr>
              <w:t>i,j</w:t>
            </w:r>
            <w:r>
              <w:rPr>
                <w:rFonts w:ascii="Times New Roman" w:hAnsi="Times New Roman" w:eastAsia="宋体" w:cs="Times New Roman"/>
                <w:color w:val="000000" w:themeColor="text1"/>
                <w:kern w:val="0"/>
                <w:sz w:val="24"/>
                <w:szCs w:val="20"/>
                <w14:textFill>
                  <w14:solidFill>
                    <w14:schemeClr w14:val="tx1"/>
                  </w14:solidFill>
                </w14:textFill>
              </w:rPr>
              <w:softHyphen/>
            </w:r>
            <w:r>
              <w:rPr>
                <w:rFonts w:ascii="Times New Roman" w:hAnsi="Times New Roman" w:eastAsia="宋体" w:cs="Times New Roman"/>
                <w:color w:val="000000" w:themeColor="text1"/>
                <w:kern w:val="0"/>
                <w:sz w:val="24"/>
                <w:szCs w:val="20"/>
                <w14:textFill>
                  <w14:solidFill>
                    <w14:schemeClr w14:val="tx1"/>
                  </w14:solidFill>
                </w14:textFill>
              </w:rPr>
              <w:softHyphen/>
            </w:r>
            <w:r>
              <w:rPr>
                <w:rFonts w:ascii="Times New Roman" w:hAnsi="Times New Roman" w:eastAsia="宋体" w:cs="Times New Roman"/>
                <w:color w:val="000000" w:themeColor="text1"/>
                <w:kern w:val="0"/>
                <w:sz w:val="24"/>
                <w:szCs w:val="20"/>
                <w14:textFill>
                  <w14:solidFill>
                    <w14:schemeClr w14:val="tx1"/>
                  </w14:solidFill>
                </w14:textFill>
              </w:rPr>
              <w:softHyphen/>
            </w:r>
            <w:r>
              <w:rPr>
                <w:rFonts w:ascii="Times New Roman" w:hAnsi="Times New Roman" w:eastAsia="宋体" w:cs="Times New Roman"/>
                <w:color w:val="000000" w:themeColor="text1"/>
                <w:kern w:val="0"/>
                <w:sz w:val="24"/>
                <w:szCs w:val="20"/>
                <w14:textFill>
                  <w14:solidFill>
                    <w14:schemeClr w14:val="tx1"/>
                  </w14:solidFill>
                </w14:textFill>
              </w:rPr>
              <w:t>──单因子污染指数；</w:t>
            </w:r>
          </w:p>
          <w:p w14:paraId="52E9476E">
            <w:pPr>
              <w:adjustRightInd w:val="0"/>
              <w:spacing w:line="360" w:lineRule="auto"/>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 xml:space="preserve">              C</w:t>
            </w:r>
            <w:r>
              <w:rPr>
                <w:rFonts w:ascii="Times New Roman" w:hAnsi="Times New Roman" w:eastAsia="宋体" w:cs="Times New Roman"/>
                <w:color w:val="000000" w:themeColor="text1"/>
                <w:kern w:val="0"/>
                <w:sz w:val="24"/>
                <w:szCs w:val="20"/>
                <w:vertAlign w:val="subscript"/>
                <w14:textFill>
                  <w14:solidFill>
                    <w14:schemeClr w14:val="tx1"/>
                  </w14:solidFill>
                </w14:textFill>
              </w:rPr>
              <w:t>i，j</w:t>
            </w:r>
            <w:r>
              <w:rPr>
                <w:rFonts w:ascii="Times New Roman" w:hAnsi="Times New Roman" w:eastAsia="宋体" w:cs="Times New Roman"/>
                <w:color w:val="000000" w:themeColor="text1"/>
                <w:kern w:val="0"/>
                <w:sz w:val="24"/>
                <w:szCs w:val="20"/>
                <w14:textFill>
                  <w14:solidFill>
                    <w14:schemeClr w14:val="tx1"/>
                  </w14:solidFill>
                </w14:textFill>
              </w:rPr>
              <w:t>──污染物浓度实测浓度(mg/L)；</w:t>
            </w:r>
          </w:p>
          <w:p w14:paraId="3599F253">
            <w:pPr>
              <w:adjustRightInd w:val="0"/>
              <w:spacing w:line="360" w:lineRule="auto"/>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 xml:space="preserve">              C</w:t>
            </w:r>
            <w:r>
              <w:rPr>
                <w:rFonts w:ascii="Times New Roman" w:hAnsi="Times New Roman" w:eastAsia="宋体" w:cs="Times New Roman"/>
                <w:color w:val="000000" w:themeColor="text1"/>
                <w:kern w:val="0"/>
                <w:sz w:val="24"/>
                <w:szCs w:val="20"/>
                <w:vertAlign w:val="subscript"/>
                <w14:textFill>
                  <w14:solidFill>
                    <w14:schemeClr w14:val="tx1"/>
                  </w14:solidFill>
                </w14:textFill>
              </w:rPr>
              <w:t>si</w:t>
            </w:r>
            <w:r>
              <w:rPr>
                <w:rFonts w:ascii="Times New Roman" w:hAnsi="Times New Roman" w:eastAsia="宋体" w:cs="Times New Roman"/>
                <w:color w:val="000000" w:themeColor="text1"/>
                <w:kern w:val="0"/>
                <w:sz w:val="24"/>
                <w:szCs w:val="20"/>
                <w14:textFill>
                  <w14:solidFill>
                    <w14:schemeClr w14:val="tx1"/>
                  </w14:solidFill>
                </w14:textFill>
              </w:rPr>
              <w:t>──水质因子标准浓度限值(mg/ L)。</w:t>
            </w:r>
          </w:p>
          <w:p w14:paraId="670299F4">
            <w:pPr>
              <w:adjustRightInd w:val="0"/>
              <w:spacing w:line="360" w:lineRule="auto"/>
              <w:ind w:firstLine="480" w:firstLineChars="200"/>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对具有上下限标准的PH，按照下式进行计算：</w:t>
            </w:r>
          </w:p>
          <w:p w14:paraId="53DB2724">
            <w:pPr>
              <w:adjustRightInd w:val="0"/>
              <w:spacing w:line="360" w:lineRule="auto"/>
              <w:jc w:val="center"/>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Pi ＝(pH</w:t>
            </w:r>
            <w:r>
              <w:rPr>
                <w:rFonts w:ascii="Times New Roman" w:hAnsi="Times New Roman" w:eastAsia="宋体" w:cs="Times New Roman"/>
                <w:i/>
                <w:color w:val="000000" w:themeColor="text1"/>
                <w:kern w:val="0"/>
                <w:sz w:val="24"/>
                <w:szCs w:val="20"/>
                <w14:textFill>
                  <w14:solidFill>
                    <w14:schemeClr w14:val="tx1"/>
                  </w14:solidFill>
                </w14:textFill>
              </w:rPr>
              <w:t>i</w:t>
            </w:r>
            <w:r>
              <w:rPr>
                <w:rFonts w:ascii="Times New Roman" w:hAnsi="Times New Roman" w:eastAsia="宋体" w:cs="Times New Roman"/>
                <w:color w:val="000000" w:themeColor="text1"/>
                <w:kern w:val="0"/>
                <w:sz w:val="24"/>
                <w:szCs w:val="20"/>
                <w14:textFill>
                  <w14:solidFill>
                    <w14:schemeClr w14:val="tx1"/>
                  </w14:solidFill>
                </w14:textFill>
              </w:rPr>
              <w:t>－7.0)/(pHs-7.0)     当pH&gt;7.0时</w:t>
            </w:r>
          </w:p>
          <w:p w14:paraId="55BCB60E">
            <w:pPr>
              <w:adjustRightInd w:val="0"/>
              <w:spacing w:line="360" w:lineRule="auto"/>
              <w:jc w:val="center"/>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Pi ＝(7.0－pH</w:t>
            </w:r>
            <w:r>
              <w:rPr>
                <w:rFonts w:ascii="Times New Roman" w:hAnsi="Times New Roman" w:eastAsia="宋体" w:cs="Times New Roman"/>
                <w:i/>
                <w:color w:val="000000" w:themeColor="text1"/>
                <w:kern w:val="0"/>
                <w:sz w:val="24"/>
                <w:szCs w:val="20"/>
                <w14:textFill>
                  <w14:solidFill>
                    <w14:schemeClr w14:val="tx1"/>
                  </w14:solidFill>
                </w14:textFill>
              </w:rPr>
              <w:t>i</w:t>
            </w:r>
            <w:r>
              <w:rPr>
                <w:rFonts w:ascii="Times New Roman" w:hAnsi="Times New Roman" w:eastAsia="宋体" w:cs="Times New Roman"/>
                <w:color w:val="000000" w:themeColor="text1"/>
                <w:kern w:val="0"/>
                <w:sz w:val="24"/>
                <w:szCs w:val="20"/>
                <w14:textFill>
                  <w14:solidFill>
                    <w14:schemeClr w14:val="tx1"/>
                  </w14:solidFill>
                </w14:textFill>
              </w:rPr>
              <w:t>)/(7.0- pHs)    当pH≤7.0时</w:t>
            </w:r>
          </w:p>
          <w:p w14:paraId="767F1B7E">
            <w:pPr>
              <w:adjustRightInd w:val="0"/>
              <w:spacing w:line="360" w:lineRule="auto"/>
              <w:ind w:firstLine="1560" w:firstLineChars="650"/>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其中：pH</w:t>
            </w:r>
            <w:r>
              <w:rPr>
                <w:rFonts w:ascii="Times New Roman" w:hAnsi="Times New Roman" w:eastAsia="宋体" w:cs="Times New Roman"/>
                <w:i/>
                <w:color w:val="000000" w:themeColor="text1"/>
                <w:kern w:val="0"/>
                <w:sz w:val="24"/>
                <w:szCs w:val="20"/>
                <w14:textFill>
                  <w14:solidFill>
                    <w14:schemeClr w14:val="tx1"/>
                  </w14:solidFill>
                </w14:textFill>
              </w:rPr>
              <w:t>i</w:t>
            </w:r>
            <w:r>
              <w:rPr>
                <w:rFonts w:ascii="Times New Roman" w:hAnsi="Times New Roman" w:eastAsia="宋体" w:cs="Times New Roman"/>
                <w:color w:val="000000" w:themeColor="text1"/>
                <w:kern w:val="0"/>
                <w:sz w:val="24"/>
                <w:szCs w:val="20"/>
                <w14:textFill>
                  <w14:solidFill>
                    <w14:schemeClr w14:val="tx1"/>
                  </w14:solidFill>
                </w14:textFill>
              </w:rPr>
              <w:t>──为实测pH值；</w:t>
            </w:r>
          </w:p>
          <w:p w14:paraId="721D0D3F">
            <w:pPr>
              <w:adjustRightInd w:val="0"/>
              <w:spacing w:line="360" w:lineRule="auto"/>
              <w:ind w:firstLine="2160" w:firstLineChars="900"/>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 xml:space="preserve"> pH</w:t>
            </w:r>
            <w:r>
              <w:rPr>
                <w:rFonts w:ascii="Times New Roman" w:hAnsi="Times New Roman" w:eastAsia="宋体" w:cs="Times New Roman"/>
                <w:i/>
                <w:color w:val="000000" w:themeColor="text1"/>
                <w:kern w:val="0"/>
                <w:sz w:val="24"/>
                <w:szCs w:val="20"/>
                <w14:textFill>
                  <w14:solidFill>
                    <w14:schemeClr w14:val="tx1"/>
                  </w14:solidFill>
                </w14:textFill>
              </w:rPr>
              <w:t>s</w:t>
            </w:r>
            <w:r>
              <w:rPr>
                <w:rFonts w:ascii="Times New Roman" w:hAnsi="Times New Roman" w:eastAsia="宋体" w:cs="Times New Roman"/>
                <w:color w:val="000000" w:themeColor="text1"/>
                <w:kern w:val="0"/>
                <w:sz w:val="24"/>
                <w:szCs w:val="20"/>
                <w14:textFill>
                  <w14:solidFill>
                    <w14:schemeClr w14:val="tx1"/>
                  </w14:solidFill>
                </w14:textFill>
              </w:rPr>
              <w:t>──为pH的质量标准的上(下)限值。</w:t>
            </w:r>
          </w:p>
          <w:p w14:paraId="65257B89">
            <w:pPr>
              <w:adjustRightInd w:val="0"/>
              <w:spacing w:line="360" w:lineRule="auto"/>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 xml:space="preserve">     当水质评价因子的标准指数大于1，表明该评价因子的水质超过了规定的水质标准，已经不能满足相应的水域功能要求。</w:t>
            </w:r>
          </w:p>
          <w:p w14:paraId="798EECA3">
            <w:pPr>
              <w:adjustRightInd w:val="0"/>
              <w:spacing w:line="360" w:lineRule="auto"/>
              <w:ind w:firstLine="482" w:firstLineChars="200"/>
              <w:textAlignment w:val="baseline"/>
              <w:rPr>
                <w:rFonts w:ascii="Times New Roman" w:hAnsi="Times New Roman" w:eastAsia="宋体" w:cs="Times New Roman"/>
                <w:b/>
                <w:color w:val="000000" w:themeColor="text1"/>
                <w:kern w:val="0"/>
                <w:sz w:val="24"/>
                <w:szCs w:val="20"/>
                <w14:textFill>
                  <w14:solidFill>
                    <w14:schemeClr w14:val="tx1"/>
                  </w14:solidFill>
                </w14:textFill>
              </w:rPr>
            </w:pPr>
            <w:r>
              <w:rPr>
                <w:rFonts w:ascii="Times New Roman" w:hAnsi="Times New Roman" w:eastAsia="宋体" w:cs="Times New Roman"/>
                <w:b/>
                <w:color w:val="000000" w:themeColor="text1"/>
                <w:kern w:val="0"/>
                <w:sz w:val="24"/>
                <w:szCs w:val="20"/>
                <w14:textFill>
                  <w14:solidFill>
                    <w14:schemeClr w14:val="tx1"/>
                  </w14:solidFill>
                </w14:textFill>
              </w:rPr>
              <w:t>（3）评价结果与分析</w:t>
            </w:r>
          </w:p>
          <w:p w14:paraId="315AF1B9">
            <w:pPr>
              <w:adjustRightInd w:val="0"/>
              <w:spacing w:line="360" w:lineRule="auto"/>
              <w:ind w:firstLine="480" w:firstLineChars="200"/>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采用上述单项水质指数评价法，各水质评价因子标准指数见表3-8。</w:t>
            </w:r>
          </w:p>
          <w:p w14:paraId="059EAD2B">
            <w:pPr>
              <w:pStyle w:val="2"/>
              <w:ind w:firstLine="492"/>
            </w:pPr>
          </w:p>
          <w:p w14:paraId="0CD262D7">
            <w:pPr>
              <w:pStyle w:val="6"/>
            </w:pPr>
          </w:p>
          <w:p w14:paraId="29A58FC5">
            <w:pPr>
              <w:adjustRightInd w:val="0"/>
              <w:spacing w:line="312" w:lineRule="atLeast"/>
              <w:jc w:val="center"/>
              <w:textAlignment w:val="baseline"/>
              <w:rPr>
                <w:rFonts w:ascii="Times New Roman" w:hAnsi="Times New Roman" w:eastAsia="宋体" w:cs="Times New Roman"/>
                <w:b/>
                <w:bCs/>
                <w:color w:val="000000" w:themeColor="text1"/>
                <w:kern w:val="0"/>
                <w:sz w:val="18"/>
                <w:szCs w:val="18"/>
                <w14:textFill>
                  <w14:solidFill>
                    <w14:schemeClr w14:val="tx1"/>
                  </w14:solidFill>
                </w14:textFill>
              </w:rPr>
            </w:pPr>
            <w:r>
              <w:rPr>
                <w:rFonts w:ascii="Times New Roman" w:hAnsi="Times New Roman" w:eastAsia="宋体" w:cs="Times New Roman"/>
                <w:b/>
                <w:bCs/>
                <w:color w:val="000000" w:themeColor="text1"/>
                <w:szCs w:val="24"/>
                <w:lang w:val="pt-BR"/>
                <w14:textFill>
                  <w14:solidFill>
                    <w14:schemeClr w14:val="tx1"/>
                  </w14:solidFill>
                </w14:textFill>
              </w:rPr>
              <w:t xml:space="preserve">表3- </w:t>
            </w:r>
            <w:r>
              <w:rPr>
                <w:rFonts w:ascii="Times New Roman" w:hAnsi="Times New Roman" w:eastAsia="宋体" w:cs="Times New Roman"/>
                <w:b/>
                <w:bCs/>
                <w:color w:val="000000" w:themeColor="text1"/>
                <w:szCs w:val="24"/>
                <w:lang w:val="pt-BR"/>
                <w14:textFill>
                  <w14:solidFill>
                    <w14:schemeClr w14:val="tx1"/>
                  </w14:solidFill>
                </w14:textFill>
              </w:rPr>
              <w:fldChar w:fldCharType="begin"/>
            </w:r>
            <w:r>
              <w:rPr>
                <w:rFonts w:ascii="Times New Roman" w:hAnsi="Times New Roman" w:eastAsia="宋体" w:cs="Times New Roman"/>
                <w:b/>
                <w:bCs/>
                <w:color w:val="000000" w:themeColor="text1"/>
                <w:szCs w:val="24"/>
                <w:lang w:val="pt-BR"/>
                <w14:textFill>
                  <w14:solidFill>
                    <w14:schemeClr w14:val="tx1"/>
                  </w14:solidFill>
                </w14:textFill>
              </w:rPr>
              <w:instrText xml:space="preserve"> SEQ 表3- \* ARABIC </w:instrText>
            </w:r>
            <w:r>
              <w:rPr>
                <w:rFonts w:ascii="Times New Roman" w:hAnsi="Times New Roman" w:eastAsia="宋体" w:cs="Times New Roman"/>
                <w:b/>
                <w:bCs/>
                <w:color w:val="000000" w:themeColor="text1"/>
                <w:szCs w:val="24"/>
                <w:lang w:val="pt-BR"/>
                <w14:textFill>
                  <w14:solidFill>
                    <w14:schemeClr w14:val="tx1"/>
                  </w14:solidFill>
                </w14:textFill>
              </w:rPr>
              <w:fldChar w:fldCharType="separate"/>
            </w:r>
            <w:r>
              <w:rPr>
                <w:rFonts w:ascii="Times New Roman" w:hAnsi="Times New Roman" w:eastAsia="宋体" w:cs="Times New Roman"/>
                <w:b/>
                <w:bCs/>
                <w:color w:val="000000" w:themeColor="text1"/>
                <w:szCs w:val="24"/>
                <w:lang w:val="pt-BR"/>
                <w14:textFill>
                  <w14:solidFill>
                    <w14:schemeClr w14:val="tx1"/>
                  </w14:solidFill>
                </w14:textFill>
              </w:rPr>
              <w:t>8</w:t>
            </w:r>
            <w:r>
              <w:rPr>
                <w:rFonts w:ascii="Times New Roman" w:hAnsi="Times New Roman" w:eastAsia="宋体" w:cs="Times New Roman"/>
                <w:b/>
                <w:bCs/>
                <w:color w:val="000000" w:themeColor="text1"/>
                <w:szCs w:val="24"/>
                <w:lang w:val="pt-BR"/>
                <w14:textFill>
                  <w14:solidFill>
                    <w14:schemeClr w14:val="tx1"/>
                  </w14:solidFill>
                </w14:textFill>
              </w:rPr>
              <w:fldChar w:fldCharType="end"/>
            </w:r>
            <w:r>
              <w:rPr>
                <w:rFonts w:ascii="Times New Roman" w:hAnsi="Times New Roman" w:eastAsia="宋体" w:cs="Times New Roman"/>
                <w:b/>
                <w:bCs/>
                <w:color w:val="000000" w:themeColor="text1"/>
                <w:szCs w:val="24"/>
                <w14:textFill>
                  <w14:solidFill>
                    <w14:schemeClr w14:val="tx1"/>
                  </w14:solidFill>
                </w14:textFill>
              </w:rPr>
              <w:t xml:space="preserve">  </w:t>
            </w:r>
            <w:r>
              <w:rPr>
                <w:rFonts w:ascii="Times New Roman" w:hAnsi="Times New Roman" w:eastAsia="宋体" w:cs="Times New Roman"/>
                <w:b/>
                <w:bCs/>
                <w:color w:val="000000" w:themeColor="text1"/>
                <w:kern w:val="0"/>
                <w:szCs w:val="16"/>
                <w14:textFill>
                  <w14:solidFill>
                    <w14:schemeClr w14:val="tx1"/>
                  </w14:solidFill>
                </w14:textFill>
              </w:rPr>
              <w:t>地下水质量监测及评价结果（单位：mg/L，pH 无量纲）</w:t>
            </w:r>
          </w:p>
          <w:tbl>
            <w:tblPr>
              <w:tblStyle w:val="24"/>
              <w:tblW w:w="8201"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2247"/>
              <w:gridCol w:w="1276"/>
              <w:gridCol w:w="1134"/>
              <w:gridCol w:w="992"/>
              <w:gridCol w:w="1276"/>
              <w:gridCol w:w="1276"/>
            </w:tblGrid>
            <w:tr w14:paraId="7A5832F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46" w:hRule="atLeast"/>
                <w:jc w:val="center"/>
              </w:trPr>
              <w:tc>
                <w:tcPr>
                  <w:tcW w:w="2247" w:type="dxa"/>
                  <w:vAlign w:val="center"/>
                </w:tcPr>
                <w:p w14:paraId="46C622DD">
                  <w:pPr>
                    <w:adjustRightInd w:val="0"/>
                    <w:ind w:left="-42" w:leftChars="-20" w:right="-42" w:rightChars="-20"/>
                    <w:jc w:val="center"/>
                    <w:textAlignment w:val="baseline"/>
                    <w:rPr>
                      <w:rFonts w:ascii="Times New Roman" w:hAnsi="Times New Roman" w:eastAsia="宋体" w:cs="Times New Roman"/>
                      <w:b/>
                      <w:bCs/>
                      <w:color w:val="000000" w:themeColor="text1"/>
                      <w:kern w:val="0"/>
                      <w:sz w:val="18"/>
                      <w:szCs w:val="18"/>
                      <w14:textFill>
                        <w14:solidFill>
                          <w14:schemeClr w14:val="tx1"/>
                        </w14:solidFill>
                      </w14:textFill>
                    </w:rPr>
                  </w:pPr>
                  <w:bookmarkStart w:id="27" w:name="_Hlk78294999"/>
                  <w:r>
                    <w:rPr>
                      <w:rFonts w:ascii="Times New Roman" w:hAnsi="Times New Roman" w:eastAsia="宋体" w:cs="Times New Roman"/>
                      <w:b/>
                      <w:bCs/>
                      <w:color w:val="000000" w:themeColor="text1"/>
                      <w:kern w:val="0"/>
                      <w:sz w:val="18"/>
                      <w:szCs w:val="18"/>
                      <w14:textFill>
                        <w14:solidFill>
                          <w14:schemeClr w14:val="tx1"/>
                        </w14:solidFill>
                      </w14:textFill>
                    </w:rPr>
                    <w:t>检测项目</w:t>
                  </w:r>
                </w:p>
              </w:tc>
              <w:tc>
                <w:tcPr>
                  <w:tcW w:w="1276" w:type="dxa"/>
                  <w:vAlign w:val="center"/>
                </w:tcPr>
                <w:p w14:paraId="5884A3B6">
                  <w:pPr>
                    <w:adjustRightInd w:val="0"/>
                    <w:ind w:left="-42" w:leftChars="-20" w:right="-42" w:rightChars="-20"/>
                    <w:jc w:val="center"/>
                    <w:textAlignment w:val="baseline"/>
                    <w:rPr>
                      <w:rFonts w:ascii="Times New Roman" w:hAnsi="Times New Roman" w:eastAsia="宋体" w:cs="Times New Roman"/>
                      <w:b/>
                      <w:bCs/>
                      <w:color w:val="000000" w:themeColor="text1"/>
                      <w:kern w:val="0"/>
                      <w:sz w:val="18"/>
                      <w:szCs w:val="18"/>
                      <w14:textFill>
                        <w14:solidFill>
                          <w14:schemeClr w14:val="tx1"/>
                        </w14:solidFill>
                      </w14:textFill>
                    </w:rPr>
                  </w:pPr>
                  <w:r>
                    <w:rPr>
                      <w:rFonts w:ascii="Times New Roman" w:hAnsi="Times New Roman" w:eastAsia="宋体" w:cs="Times New Roman"/>
                      <w:b/>
                      <w:bCs/>
                      <w:color w:val="000000" w:themeColor="text1"/>
                      <w:kern w:val="0"/>
                      <w:sz w:val="18"/>
                      <w:szCs w:val="18"/>
                      <w14:textFill>
                        <w14:solidFill>
                          <w14:schemeClr w14:val="tx1"/>
                        </w14:solidFill>
                      </w14:textFill>
                    </w:rPr>
                    <w:t>监测结果</w:t>
                  </w:r>
                </w:p>
              </w:tc>
              <w:tc>
                <w:tcPr>
                  <w:tcW w:w="1134" w:type="dxa"/>
                  <w:vAlign w:val="center"/>
                </w:tcPr>
                <w:p w14:paraId="3D677402">
                  <w:pPr>
                    <w:adjustRightInd w:val="0"/>
                    <w:ind w:left="-42" w:leftChars="-20" w:right="-42" w:rightChars="-20"/>
                    <w:jc w:val="center"/>
                    <w:textAlignment w:val="baseline"/>
                    <w:rPr>
                      <w:rFonts w:ascii="Times New Roman" w:hAnsi="Times New Roman" w:eastAsia="宋体" w:cs="Times New Roman"/>
                      <w:b/>
                      <w:bCs/>
                      <w:color w:val="000000" w:themeColor="text1"/>
                      <w:kern w:val="0"/>
                      <w:sz w:val="18"/>
                      <w:szCs w:val="18"/>
                      <w14:textFill>
                        <w14:solidFill>
                          <w14:schemeClr w14:val="tx1"/>
                        </w14:solidFill>
                      </w14:textFill>
                    </w:rPr>
                  </w:pPr>
                  <w:r>
                    <w:rPr>
                      <w:rFonts w:ascii="Times New Roman" w:hAnsi="Times New Roman" w:eastAsia="宋体" w:cs="Times New Roman"/>
                      <w:b/>
                      <w:bCs/>
                      <w:color w:val="000000" w:themeColor="text1"/>
                      <w:kern w:val="0"/>
                      <w:sz w:val="18"/>
                      <w:szCs w:val="18"/>
                      <w14:textFill>
                        <w14:solidFill>
                          <w14:schemeClr w14:val="tx1"/>
                        </w14:solidFill>
                      </w14:textFill>
                    </w:rPr>
                    <w:t>标准值</w:t>
                  </w:r>
                </w:p>
              </w:tc>
              <w:tc>
                <w:tcPr>
                  <w:tcW w:w="992" w:type="dxa"/>
                  <w:vAlign w:val="center"/>
                </w:tcPr>
                <w:p w14:paraId="17751A9F">
                  <w:pPr>
                    <w:adjustRightInd w:val="0"/>
                    <w:ind w:left="-42" w:leftChars="-20" w:right="-42" w:rightChars="-20"/>
                    <w:jc w:val="center"/>
                    <w:textAlignment w:val="baseline"/>
                    <w:rPr>
                      <w:rFonts w:ascii="Times New Roman" w:hAnsi="Times New Roman" w:eastAsia="宋体" w:cs="Times New Roman"/>
                      <w:b/>
                      <w:bCs/>
                      <w:color w:val="000000" w:themeColor="text1"/>
                      <w:kern w:val="0"/>
                      <w:sz w:val="18"/>
                      <w:szCs w:val="18"/>
                      <w14:textFill>
                        <w14:solidFill>
                          <w14:schemeClr w14:val="tx1"/>
                        </w14:solidFill>
                      </w14:textFill>
                    </w:rPr>
                  </w:pPr>
                  <w:r>
                    <w:rPr>
                      <w:rFonts w:ascii="Times New Roman" w:hAnsi="Times New Roman" w:eastAsia="宋体" w:cs="Times New Roman"/>
                      <w:b/>
                      <w:bCs/>
                      <w:color w:val="000000" w:themeColor="text1"/>
                      <w:kern w:val="0"/>
                      <w:sz w:val="18"/>
                      <w:szCs w:val="18"/>
                      <w14:textFill>
                        <w14:solidFill>
                          <w14:schemeClr w14:val="tx1"/>
                        </w14:solidFill>
                      </w14:textFill>
                    </w:rPr>
                    <w:t>超标率</w:t>
                  </w:r>
                </w:p>
              </w:tc>
              <w:tc>
                <w:tcPr>
                  <w:tcW w:w="1276" w:type="dxa"/>
                  <w:vAlign w:val="center"/>
                </w:tcPr>
                <w:p w14:paraId="24F13DBD">
                  <w:pPr>
                    <w:adjustRightInd w:val="0"/>
                    <w:ind w:left="-42" w:leftChars="-20" w:right="-42" w:rightChars="-20"/>
                    <w:jc w:val="center"/>
                    <w:textAlignment w:val="baseline"/>
                    <w:rPr>
                      <w:rFonts w:ascii="Times New Roman" w:hAnsi="Times New Roman" w:eastAsia="宋体" w:cs="Times New Roman"/>
                      <w:b/>
                      <w:bCs/>
                      <w:color w:val="000000" w:themeColor="text1"/>
                      <w:kern w:val="0"/>
                      <w:sz w:val="18"/>
                      <w:szCs w:val="18"/>
                      <w14:textFill>
                        <w14:solidFill>
                          <w14:schemeClr w14:val="tx1"/>
                        </w14:solidFill>
                      </w14:textFill>
                    </w:rPr>
                  </w:pPr>
                  <w:r>
                    <w:rPr>
                      <w:rFonts w:ascii="Times New Roman" w:hAnsi="Times New Roman" w:eastAsia="宋体" w:cs="Times New Roman"/>
                      <w:b/>
                      <w:bCs/>
                      <w:color w:val="000000" w:themeColor="text1"/>
                      <w:kern w:val="0"/>
                      <w:sz w:val="18"/>
                      <w:szCs w:val="18"/>
                      <w14:textFill>
                        <w14:solidFill>
                          <w14:schemeClr w14:val="tx1"/>
                        </w14:solidFill>
                      </w14:textFill>
                    </w:rPr>
                    <w:t>Pimax</w:t>
                  </w:r>
                </w:p>
              </w:tc>
              <w:tc>
                <w:tcPr>
                  <w:tcW w:w="1276" w:type="dxa"/>
                  <w:vAlign w:val="center"/>
                </w:tcPr>
                <w:p w14:paraId="32F9ACEC">
                  <w:pPr>
                    <w:adjustRightInd w:val="0"/>
                    <w:ind w:left="-42" w:leftChars="-20" w:right="-42" w:rightChars="-20"/>
                    <w:jc w:val="center"/>
                    <w:textAlignment w:val="baseline"/>
                    <w:rPr>
                      <w:rFonts w:ascii="Times New Roman" w:hAnsi="Times New Roman" w:eastAsia="宋体" w:cs="Times New Roman"/>
                      <w:b/>
                      <w:bCs/>
                      <w:color w:val="000000" w:themeColor="text1"/>
                      <w:kern w:val="0"/>
                      <w:sz w:val="18"/>
                      <w:szCs w:val="18"/>
                      <w14:textFill>
                        <w14:solidFill>
                          <w14:schemeClr w14:val="tx1"/>
                        </w14:solidFill>
                      </w14:textFill>
                    </w:rPr>
                  </w:pPr>
                  <w:r>
                    <w:rPr>
                      <w:rFonts w:ascii="Times New Roman" w:hAnsi="Times New Roman" w:eastAsia="宋体" w:cs="Times New Roman"/>
                      <w:b/>
                      <w:bCs/>
                      <w:color w:val="000000" w:themeColor="text1"/>
                      <w:kern w:val="0"/>
                      <w:sz w:val="18"/>
                      <w:szCs w:val="18"/>
                      <w14:textFill>
                        <w14:solidFill>
                          <w14:schemeClr w14:val="tx1"/>
                        </w14:solidFill>
                      </w14:textFill>
                    </w:rPr>
                    <w:t>达标情况</w:t>
                  </w:r>
                </w:p>
              </w:tc>
            </w:tr>
            <w:tr w14:paraId="12F3241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1D7DEB02">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pH值</w:t>
                  </w:r>
                </w:p>
              </w:tc>
              <w:tc>
                <w:tcPr>
                  <w:tcW w:w="1276" w:type="dxa"/>
                  <w:vAlign w:val="center"/>
                </w:tcPr>
                <w:p w14:paraId="729AD619">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14:textFill>
                        <w14:solidFill>
                          <w14:schemeClr w14:val="tx1"/>
                        </w14:solidFill>
                      </w14:textFill>
                    </w:rPr>
                    <w:t>7.23</w:t>
                  </w:r>
                </w:p>
              </w:tc>
              <w:tc>
                <w:tcPr>
                  <w:tcW w:w="1134" w:type="dxa"/>
                  <w:vAlign w:val="center"/>
                </w:tcPr>
                <w:p w14:paraId="792890EB">
                  <w:pPr>
                    <w:adjustRightInd w:val="0"/>
                    <w:ind w:left="-105" w:leftChars="-50" w:right="-105" w:rightChars="-5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6.5~8.5</w:t>
                  </w:r>
                </w:p>
              </w:tc>
              <w:tc>
                <w:tcPr>
                  <w:tcW w:w="992" w:type="dxa"/>
                  <w:vAlign w:val="center"/>
                </w:tcPr>
                <w:p w14:paraId="0C7348FD">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0</w:t>
                  </w:r>
                </w:p>
              </w:tc>
              <w:tc>
                <w:tcPr>
                  <w:tcW w:w="1276" w:type="dxa"/>
                  <w:vAlign w:val="center"/>
                </w:tcPr>
                <w:p w14:paraId="4DA320E8">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0.1533</w:t>
                  </w:r>
                </w:p>
              </w:tc>
              <w:tc>
                <w:tcPr>
                  <w:tcW w:w="1276" w:type="dxa"/>
                  <w:vAlign w:val="center"/>
                </w:tcPr>
                <w:p w14:paraId="125BE727">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tr w14:paraId="14D3DB3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7543CEE8">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总硬度</w:t>
                  </w:r>
                </w:p>
              </w:tc>
              <w:tc>
                <w:tcPr>
                  <w:tcW w:w="1276" w:type="dxa"/>
                  <w:vAlign w:val="center"/>
                </w:tcPr>
                <w:p w14:paraId="13B4C480">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366</w:t>
                  </w:r>
                </w:p>
              </w:tc>
              <w:tc>
                <w:tcPr>
                  <w:tcW w:w="1134" w:type="dxa"/>
                  <w:vAlign w:val="center"/>
                </w:tcPr>
                <w:p w14:paraId="63763C44">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450</w:t>
                  </w:r>
                </w:p>
              </w:tc>
              <w:tc>
                <w:tcPr>
                  <w:tcW w:w="992" w:type="dxa"/>
                  <w:vAlign w:val="center"/>
                </w:tcPr>
                <w:p w14:paraId="27F1F77B">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0</w:t>
                  </w:r>
                </w:p>
              </w:tc>
              <w:tc>
                <w:tcPr>
                  <w:tcW w:w="1276" w:type="dxa"/>
                  <w:vAlign w:val="center"/>
                </w:tcPr>
                <w:p w14:paraId="545953B6">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0.8133</w:t>
                  </w:r>
                </w:p>
              </w:tc>
              <w:tc>
                <w:tcPr>
                  <w:tcW w:w="1276" w:type="dxa"/>
                  <w:vAlign w:val="center"/>
                </w:tcPr>
                <w:p w14:paraId="159E5B4D">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tr w14:paraId="43F3B5A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7938DFBF">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溶解性总固体</w:t>
                  </w:r>
                </w:p>
              </w:tc>
              <w:tc>
                <w:tcPr>
                  <w:tcW w:w="1276" w:type="dxa"/>
                  <w:vAlign w:val="center"/>
                </w:tcPr>
                <w:p w14:paraId="344953F5">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482</w:t>
                  </w:r>
                </w:p>
              </w:tc>
              <w:tc>
                <w:tcPr>
                  <w:tcW w:w="1134" w:type="dxa"/>
                  <w:vAlign w:val="center"/>
                </w:tcPr>
                <w:p w14:paraId="60E87DAC">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1000</w:t>
                  </w:r>
                </w:p>
              </w:tc>
              <w:tc>
                <w:tcPr>
                  <w:tcW w:w="992" w:type="dxa"/>
                  <w:vAlign w:val="center"/>
                </w:tcPr>
                <w:p w14:paraId="59FFD67E">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0</w:t>
                  </w:r>
                </w:p>
              </w:tc>
              <w:tc>
                <w:tcPr>
                  <w:tcW w:w="1276" w:type="dxa"/>
                  <w:vAlign w:val="center"/>
                </w:tcPr>
                <w:p w14:paraId="365A0256">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0.7</w:t>
                  </w:r>
                </w:p>
              </w:tc>
              <w:tc>
                <w:tcPr>
                  <w:tcW w:w="1276" w:type="dxa"/>
                  <w:vAlign w:val="center"/>
                </w:tcPr>
                <w:p w14:paraId="6CC69A0F">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tr w14:paraId="55F48D3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40E52851">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氨氮</w:t>
                  </w:r>
                </w:p>
              </w:tc>
              <w:tc>
                <w:tcPr>
                  <w:tcW w:w="1276" w:type="dxa"/>
                  <w:vAlign w:val="center"/>
                </w:tcPr>
                <w:p w14:paraId="11691833">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0.03</w:t>
                  </w:r>
                </w:p>
              </w:tc>
              <w:tc>
                <w:tcPr>
                  <w:tcW w:w="1134" w:type="dxa"/>
                  <w:vAlign w:val="center"/>
                </w:tcPr>
                <w:p w14:paraId="26383F67">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0.5</w:t>
                  </w:r>
                </w:p>
              </w:tc>
              <w:tc>
                <w:tcPr>
                  <w:tcW w:w="992" w:type="dxa"/>
                  <w:vAlign w:val="center"/>
                </w:tcPr>
                <w:p w14:paraId="7256BF1D">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0</w:t>
                  </w:r>
                </w:p>
              </w:tc>
              <w:tc>
                <w:tcPr>
                  <w:tcW w:w="1276" w:type="dxa"/>
                  <w:vAlign w:val="center"/>
                </w:tcPr>
                <w:p w14:paraId="1BBBE716">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0.06</w:t>
                  </w:r>
                </w:p>
              </w:tc>
              <w:tc>
                <w:tcPr>
                  <w:tcW w:w="1276" w:type="dxa"/>
                  <w:vAlign w:val="center"/>
                </w:tcPr>
                <w:p w14:paraId="7C5BB0AA">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tr w14:paraId="09E5DB8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3F3A006B">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挥发酚</w:t>
                  </w:r>
                </w:p>
              </w:tc>
              <w:tc>
                <w:tcPr>
                  <w:tcW w:w="1276" w:type="dxa"/>
                  <w:vAlign w:val="center"/>
                </w:tcPr>
                <w:p w14:paraId="0C81AEF1">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未检出</w:t>
                  </w:r>
                </w:p>
              </w:tc>
              <w:tc>
                <w:tcPr>
                  <w:tcW w:w="1134" w:type="dxa"/>
                  <w:vAlign w:val="center"/>
                </w:tcPr>
                <w:p w14:paraId="74F30DC6">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0.002</w:t>
                  </w:r>
                </w:p>
              </w:tc>
              <w:tc>
                <w:tcPr>
                  <w:tcW w:w="992" w:type="dxa"/>
                  <w:vAlign w:val="center"/>
                </w:tcPr>
                <w:p w14:paraId="7861433A">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77715D2C">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0D763F06">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tr w14:paraId="0475863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1395321A">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耗氧量（COD</w:t>
                  </w:r>
                  <w:r>
                    <w:rPr>
                      <w:rFonts w:ascii="Times New Roman" w:hAnsi="Times New Roman" w:eastAsia="宋体" w:cs="Times New Roman"/>
                      <w:color w:val="000000" w:themeColor="text1"/>
                      <w:szCs w:val="21"/>
                      <w:vertAlign w:val="subscript"/>
                      <w14:textFill>
                        <w14:solidFill>
                          <w14:schemeClr w14:val="tx1"/>
                        </w14:solidFill>
                      </w14:textFill>
                    </w:rPr>
                    <w:t>Mn</w:t>
                  </w:r>
                  <w:r>
                    <w:rPr>
                      <w:rFonts w:ascii="Times New Roman" w:hAnsi="Times New Roman" w:eastAsia="宋体" w:cs="Times New Roman"/>
                      <w:color w:val="000000" w:themeColor="text1"/>
                      <w:szCs w:val="21"/>
                      <w14:textFill>
                        <w14:solidFill>
                          <w14:schemeClr w14:val="tx1"/>
                        </w14:solidFill>
                      </w14:textFill>
                    </w:rPr>
                    <w:t>法）</w:t>
                  </w:r>
                </w:p>
              </w:tc>
              <w:tc>
                <w:tcPr>
                  <w:tcW w:w="1276" w:type="dxa"/>
                  <w:vAlign w:val="center"/>
                </w:tcPr>
                <w:p w14:paraId="3B493197">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0.64</w:t>
                  </w:r>
                </w:p>
              </w:tc>
              <w:tc>
                <w:tcPr>
                  <w:tcW w:w="1134" w:type="dxa"/>
                  <w:vAlign w:val="center"/>
                </w:tcPr>
                <w:p w14:paraId="149F4511">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w:t>
                  </w:r>
                </w:p>
              </w:tc>
              <w:tc>
                <w:tcPr>
                  <w:tcW w:w="992" w:type="dxa"/>
                  <w:vAlign w:val="center"/>
                </w:tcPr>
                <w:p w14:paraId="6878AEBD">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1276" w:type="dxa"/>
                  <w:vAlign w:val="center"/>
                </w:tcPr>
                <w:p w14:paraId="220CF07A">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0.2133</w:t>
                  </w:r>
                </w:p>
              </w:tc>
              <w:tc>
                <w:tcPr>
                  <w:tcW w:w="1276" w:type="dxa"/>
                  <w:vAlign w:val="center"/>
                </w:tcPr>
                <w:p w14:paraId="24A18D2E">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tr w14:paraId="033B9E6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12729716">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六价铬</w:t>
                  </w:r>
                </w:p>
              </w:tc>
              <w:tc>
                <w:tcPr>
                  <w:tcW w:w="1276" w:type="dxa"/>
                  <w:vAlign w:val="center"/>
                </w:tcPr>
                <w:p w14:paraId="4FB914B4">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未检出</w:t>
                  </w:r>
                </w:p>
              </w:tc>
              <w:tc>
                <w:tcPr>
                  <w:tcW w:w="1134" w:type="dxa"/>
                  <w:vAlign w:val="center"/>
                </w:tcPr>
                <w:p w14:paraId="6986F70D">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0.05</w:t>
                  </w:r>
                </w:p>
              </w:tc>
              <w:tc>
                <w:tcPr>
                  <w:tcW w:w="992" w:type="dxa"/>
                  <w:vAlign w:val="center"/>
                </w:tcPr>
                <w:p w14:paraId="658D936F">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1922AEE0">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1A796094">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tr w14:paraId="4F214AD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002E8523">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氰化物</w:t>
                  </w:r>
                </w:p>
              </w:tc>
              <w:tc>
                <w:tcPr>
                  <w:tcW w:w="1276" w:type="dxa"/>
                  <w:vAlign w:val="center"/>
                </w:tcPr>
                <w:p w14:paraId="6E9EC8AD">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未检出</w:t>
                  </w:r>
                </w:p>
              </w:tc>
              <w:tc>
                <w:tcPr>
                  <w:tcW w:w="1134" w:type="dxa"/>
                  <w:vAlign w:val="center"/>
                </w:tcPr>
                <w:p w14:paraId="65CF28B0">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0.05</w:t>
                  </w:r>
                </w:p>
              </w:tc>
              <w:tc>
                <w:tcPr>
                  <w:tcW w:w="992" w:type="dxa"/>
                  <w:vAlign w:val="center"/>
                </w:tcPr>
                <w:p w14:paraId="10B38884">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3702E083">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053B3003">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tr w14:paraId="1135E95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4F9E6F77">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1276" w:type="dxa"/>
                  <w:vAlign w:val="center"/>
                </w:tcPr>
                <w:p w14:paraId="7C6E20EE">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0.43</w:t>
                  </w:r>
                </w:p>
              </w:tc>
              <w:tc>
                <w:tcPr>
                  <w:tcW w:w="1134" w:type="dxa"/>
                  <w:vAlign w:val="center"/>
                </w:tcPr>
                <w:p w14:paraId="29D2B98B">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w:t>
                  </w:r>
                </w:p>
              </w:tc>
              <w:tc>
                <w:tcPr>
                  <w:tcW w:w="992" w:type="dxa"/>
                  <w:vAlign w:val="center"/>
                </w:tcPr>
                <w:p w14:paraId="1C6EF06A">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1276" w:type="dxa"/>
                  <w:vAlign w:val="center"/>
                </w:tcPr>
                <w:p w14:paraId="62E2908F">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0.43</w:t>
                  </w:r>
                </w:p>
              </w:tc>
              <w:tc>
                <w:tcPr>
                  <w:tcW w:w="1276" w:type="dxa"/>
                  <w:vAlign w:val="center"/>
                </w:tcPr>
                <w:p w14:paraId="5A3C9BF8">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tr w14:paraId="058D150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4D420D2E">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亚硝酸盐氮</w:t>
                  </w:r>
                </w:p>
              </w:tc>
              <w:tc>
                <w:tcPr>
                  <w:tcW w:w="1276" w:type="dxa"/>
                  <w:vAlign w:val="center"/>
                </w:tcPr>
                <w:p w14:paraId="7EF4A10C">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未检出</w:t>
                  </w:r>
                </w:p>
              </w:tc>
              <w:tc>
                <w:tcPr>
                  <w:tcW w:w="1134" w:type="dxa"/>
                  <w:vAlign w:val="center"/>
                </w:tcPr>
                <w:p w14:paraId="35DDC70A">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w:t>
                  </w:r>
                </w:p>
              </w:tc>
              <w:tc>
                <w:tcPr>
                  <w:tcW w:w="992" w:type="dxa"/>
                  <w:vAlign w:val="center"/>
                </w:tcPr>
                <w:p w14:paraId="0E8E04F1">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396EB27A">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61BB638A">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tr w14:paraId="707C33C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3C03B2FC">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重碳酸根</w:t>
                  </w:r>
                </w:p>
              </w:tc>
              <w:tc>
                <w:tcPr>
                  <w:tcW w:w="1276" w:type="dxa"/>
                  <w:vAlign w:val="center"/>
                </w:tcPr>
                <w:p w14:paraId="027D07A0">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424</w:t>
                  </w:r>
                </w:p>
              </w:tc>
              <w:tc>
                <w:tcPr>
                  <w:tcW w:w="1134" w:type="dxa"/>
                  <w:vAlign w:val="center"/>
                </w:tcPr>
                <w:p w14:paraId="6FB9D289">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62007D01">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1276" w:type="dxa"/>
                  <w:vAlign w:val="center"/>
                </w:tcPr>
                <w:p w14:paraId="103E9674">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247A3572">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w:t>
                  </w:r>
                </w:p>
              </w:tc>
            </w:tr>
            <w:tr w14:paraId="66547F9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70BD2DFB">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碳酸根</w:t>
                  </w:r>
                </w:p>
              </w:tc>
              <w:tc>
                <w:tcPr>
                  <w:tcW w:w="1276" w:type="dxa"/>
                  <w:vAlign w:val="center"/>
                </w:tcPr>
                <w:p w14:paraId="1057CCBA">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未检出</w:t>
                  </w:r>
                </w:p>
              </w:tc>
              <w:tc>
                <w:tcPr>
                  <w:tcW w:w="1134" w:type="dxa"/>
                  <w:vAlign w:val="center"/>
                </w:tcPr>
                <w:p w14:paraId="4549ADC0">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4C8CDED1">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4766E765">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19AF75D8">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w:t>
                  </w:r>
                </w:p>
              </w:tc>
            </w:tr>
            <w:tr w14:paraId="5A216A0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76ACAEA8">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硫酸盐</w:t>
                  </w:r>
                </w:p>
              </w:tc>
              <w:tc>
                <w:tcPr>
                  <w:tcW w:w="1276" w:type="dxa"/>
                  <w:vAlign w:val="center"/>
                </w:tcPr>
                <w:p w14:paraId="6D41471F">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52.8</w:t>
                  </w:r>
                </w:p>
              </w:tc>
              <w:tc>
                <w:tcPr>
                  <w:tcW w:w="1134" w:type="dxa"/>
                  <w:vAlign w:val="center"/>
                </w:tcPr>
                <w:p w14:paraId="4AFD0C62">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250</w:t>
                  </w:r>
                </w:p>
              </w:tc>
              <w:tc>
                <w:tcPr>
                  <w:tcW w:w="992" w:type="dxa"/>
                  <w:vAlign w:val="center"/>
                </w:tcPr>
                <w:p w14:paraId="354B41F5">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1276" w:type="dxa"/>
                  <w:vAlign w:val="center"/>
                </w:tcPr>
                <w:p w14:paraId="1BDABFB6">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0.2112</w:t>
                  </w:r>
                </w:p>
              </w:tc>
              <w:tc>
                <w:tcPr>
                  <w:tcW w:w="1276" w:type="dxa"/>
                  <w:vAlign w:val="center"/>
                </w:tcPr>
                <w:p w14:paraId="610CC6A3">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tr w14:paraId="2303AC8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213DF336">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氯化物</w:t>
                  </w:r>
                </w:p>
              </w:tc>
              <w:tc>
                <w:tcPr>
                  <w:tcW w:w="1276" w:type="dxa"/>
                  <w:vAlign w:val="center"/>
                </w:tcPr>
                <w:p w14:paraId="319D35D7">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4.41</w:t>
                  </w:r>
                </w:p>
              </w:tc>
              <w:tc>
                <w:tcPr>
                  <w:tcW w:w="1134" w:type="dxa"/>
                  <w:vAlign w:val="center"/>
                </w:tcPr>
                <w:p w14:paraId="2AC88A54">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250</w:t>
                  </w:r>
                </w:p>
              </w:tc>
              <w:tc>
                <w:tcPr>
                  <w:tcW w:w="992" w:type="dxa"/>
                  <w:vAlign w:val="center"/>
                </w:tcPr>
                <w:p w14:paraId="58C517B6">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1276" w:type="dxa"/>
                  <w:vAlign w:val="center"/>
                </w:tcPr>
                <w:p w14:paraId="61FF4B08">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0.0176</w:t>
                  </w:r>
                </w:p>
              </w:tc>
              <w:tc>
                <w:tcPr>
                  <w:tcW w:w="1276" w:type="dxa"/>
                  <w:vAlign w:val="center"/>
                </w:tcPr>
                <w:p w14:paraId="2A03C1E9">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tr w14:paraId="10116D5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7C89722A">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硝酸盐氮</w:t>
                  </w:r>
                </w:p>
              </w:tc>
              <w:tc>
                <w:tcPr>
                  <w:tcW w:w="1276" w:type="dxa"/>
                  <w:vAlign w:val="center"/>
                </w:tcPr>
                <w:p w14:paraId="0AFDFABB">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 xml:space="preserve">1.79 </w:t>
                  </w:r>
                </w:p>
              </w:tc>
              <w:tc>
                <w:tcPr>
                  <w:tcW w:w="1134" w:type="dxa"/>
                  <w:vAlign w:val="center"/>
                </w:tcPr>
                <w:p w14:paraId="50E900BE">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20</w:t>
                  </w:r>
                </w:p>
              </w:tc>
              <w:tc>
                <w:tcPr>
                  <w:tcW w:w="992" w:type="dxa"/>
                  <w:vAlign w:val="center"/>
                </w:tcPr>
                <w:p w14:paraId="7DD54473">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1276" w:type="dxa"/>
                  <w:vAlign w:val="center"/>
                </w:tcPr>
                <w:p w14:paraId="274C5CCC">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0.0895</w:t>
                  </w:r>
                </w:p>
              </w:tc>
              <w:tc>
                <w:tcPr>
                  <w:tcW w:w="1276" w:type="dxa"/>
                  <w:vAlign w:val="center"/>
                </w:tcPr>
                <w:p w14:paraId="5D4A6C7A">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tr w14:paraId="4D7FC0F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5956C2E5">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钾</w:t>
                  </w:r>
                </w:p>
              </w:tc>
              <w:tc>
                <w:tcPr>
                  <w:tcW w:w="1276" w:type="dxa"/>
                  <w:vAlign w:val="center"/>
                </w:tcPr>
                <w:p w14:paraId="78367C84">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0.639</w:t>
                  </w:r>
                </w:p>
              </w:tc>
              <w:tc>
                <w:tcPr>
                  <w:tcW w:w="1134" w:type="dxa"/>
                  <w:vAlign w:val="center"/>
                </w:tcPr>
                <w:p w14:paraId="1E50834D">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992" w:type="dxa"/>
                  <w:vAlign w:val="center"/>
                </w:tcPr>
                <w:p w14:paraId="1D510FB7">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283EBF2B">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41C940C4">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w:t>
                  </w:r>
                </w:p>
              </w:tc>
            </w:tr>
            <w:tr w14:paraId="24C8268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2B8D46E3">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钠</w:t>
                  </w:r>
                </w:p>
              </w:tc>
              <w:tc>
                <w:tcPr>
                  <w:tcW w:w="1276" w:type="dxa"/>
                  <w:vAlign w:val="center"/>
                </w:tcPr>
                <w:p w14:paraId="04FCAC55">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16.8</w:t>
                  </w:r>
                </w:p>
              </w:tc>
              <w:tc>
                <w:tcPr>
                  <w:tcW w:w="1134" w:type="dxa"/>
                  <w:vAlign w:val="center"/>
                </w:tcPr>
                <w:p w14:paraId="44810345">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200</w:t>
                  </w:r>
                </w:p>
              </w:tc>
              <w:tc>
                <w:tcPr>
                  <w:tcW w:w="992" w:type="dxa"/>
                  <w:vAlign w:val="center"/>
                </w:tcPr>
                <w:p w14:paraId="7C823F25">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1276" w:type="dxa"/>
                  <w:vAlign w:val="center"/>
                </w:tcPr>
                <w:p w14:paraId="16CB6BD3">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0.084</w:t>
                  </w:r>
                </w:p>
              </w:tc>
              <w:tc>
                <w:tcPr>
                  <w:tcW w:w="1276" w:type="dxa"/>
                  <w:vAlign w:val="center"/>
                </w:tcPr>
                <w:p w14:paraId="510404EF">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tr w14:paraId="6369F22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6CD529BC">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钙</w:t>
                  </w:r>
                </w:p>
              </w:tc>
              <w:tc>
                <w:tcPr>
                  <w:tcW w:w="1276" w:type="dxa"/>
                  <w:vAlign w:val="center"/>
                </w:tcPr>
                <w:p w14:paraId="09ABCCA6">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126</w:t>
                  </w:r>
                </w:p>
              </w:tc>
              <w:tc>
                <w:tcPr>
                  <w:tcW w:w="1134" w:type="dxa"/>
                  <w:vAlign w:val="center"/>
                </w:tcPr>
                <w:p w14:paraId="2BE294EF">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61DC4C49">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6504FF70">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28484FE5">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w:t>
                  </w:r>
                </w:p>
              </w:tc>
            </w:tr>
            <w:tr w14:paraId="5538955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71ED9A4F">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镁</w:t>
                  </w:r>
                </w:p>
              </w:tc>
              <w:tc>
                <w:tcPr>
                  <w:tcW w:w="1276" w:type="dxa"/>
                  <w:vAlign w:val="center"/>
                </w:tcPr>
                <w:p w14:paraId="323331DD">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19.5</w:t>
                  </w:r>
                </w:p>
              </w:tc>
              <w:tc>
                <w:tcPr>
                  <w:tcW w:w="1134" w:type="dxa"/>
                  <w:vAlign w:val="center"/>
                </w:tcPr>
                <w:p w14:paraId="4B682BB6">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718E5BF0">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3BC1F17E">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12A1C51D">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w:t>
                  </w:r>
                </w:p>
              </w:tc>
            </w:tr>
            <w:tr w14:paraId="703B462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43B784FF">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汞</w:t>
                  </w:r>
                </w:p>
              </w:tc>
              <w:tc>
                <w:tcPr>
                  <w:tcW w:w="1276" w:type="dxa"/>
                  <w:vAlign w:val="center"/>
                </w:tcPr>
                <w:p w14:paraId="53B95715">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1.5×10</w:t>
                  </w:r>
                  <w:r>
                    <w:rPr>
                      <w:rFonts w:ascii="Times New Roman" w:hAnsi="Times New Roman" w:eastAsia="宋体" w:cs="Times New Roman"/>
                      <w:color w:val="000000" w:themeColor="text1"/>
                      <w:kern w:val="0"/>
                      <w:szCs w:val="21"/>
                      <w:vertAlign w:val="superscript"/>
                      <w:lang w:bidi="ar"/>
                      <w14:textFill>
                        <w14:solidFill>
                          <w14:schemeClr w14:val="tx1"/>
                        </w14:solidFill>
                      </w14:textFill>
                    </w:rPr>
                    <w:t>-4</w:t>
                  </w:r>
                </w:p>
              </w:tc>
              <w:tc>
                <w:tcPr>
                  <w:tcW w:w="1134" w:type="dxa"/>
                  <w:vAlign w:val="center"/>
                </w:tcPr>
                <w:p w14:paraId="2222E536">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0.001</w:t>
                  </w:r>
                </w:p>
              </w:tc>
              <w:tc>
                <w:tcPr>
                  <w:tcW w:w="992" w:type="dxa"/>
                  <w:vAlign w:val="center"/>
                </w:tcPr>
                <w:p w14:paraId="0D3EF4EB">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1276" w:type="dxa"/>
                  <w:vAlign w:val="center"/>
                </w:tcPr>
                <w:p w14:paraId="7D93C4C8">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0.15</w:t>
                  </w:r>
                </w:p>
              </w:tc>
              <w:tc>
                <w:tcPr>
                  <w:tcW w:w="1276" w:type="dxa"/>
                  <w:vAlign w:val="center"/>
                </w:tcPr>
                <w:p w14:paraId="31B4E91F">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tr w14:paraId="6A8E447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4A6C9859">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砷</w:t>
                  </w:r>
                </w:p>
              </w:tc>
              <w:tc>
                <w:tcPr>
                  <w:tcW w:w="1276" w:type="dxa"/>
                  <w:vAlign w:val="center"/>
                </w:tcPr>
                <w:p w14:paraId="1C9FBFCC">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未检出</w:t>
                  </w:r>
                </w:p>
              </w:tc>
              <w:tc>
                <w:tcPr>
                  <w:tcW w:w="1134" w:type="dxa"/>
                  <w:vAlign w:val="center"/>
                </w:tcPr>
                <w:p w14:paraId="23A7924D">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w:t>
                  </w:r>
                </w:p>
              </w:tc>
              <w:tc>
                <w:tcPr>
                  <w:tcW w:w="992" w:type="dxa"/>
                  <w:vAlign w:val="center"/>
                </w:tcPr>
                <w:p w14:paraId="08998411">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1276" w:type="dxa"/>
                  <w:vAlign w:val="center"/>
                </w:tcPr>
                <w:p w14:paraId="23E67A37">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507B8110">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tr w14:paraId="5C4E0B9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67DCDA19">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镉</w:t>
                  </w:r>
                </w:p>
              </w:tc>
              <w:tc>
                <w:tcPr>
                  <w:tcW w:w="1276" w:type="dxa"/>
                  <w:vAlign w:val="center"/>
                </w:tcPr>
                <w:p w14:paraId="10EACB6A">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未检出</w:t>
                  </w:r>
                </w:p>
              </w:tc>
              <w:tc>
                <w:tcPr>
                  <w:tcW w:w="1134" w:type="dxa"/>
                  <w:vAlign w:val="center"/>
                </w:tcPr>
                <w:p w14:paraId="6A16CD82">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0.005</w:t>
                  </w:r>
                </w:p>
              </w:tc>
              <w:tc>
                <w:tcPr>
                  <w:tcW w:w="992" w:type="dxa"/>
                  <w:vAlign w:val="center"/>
                </w:tcPr>
                <w:p w14:paraId="77BB68A6">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1276" w:type="dxa"/>
                  <w:vAlign w:val="center"/>
                </w:tcPr>
                <w:p w14:paraId="0920D65E">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169FA559">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tr w14:paraId="3D92D94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31EFADF5">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铅</w:t>
                  </w:r>
                </w:p>
              </w:tc>
              <w:tc>
                <w:tcPr>
                  <w:tcW w:w="1276" w:type="dxa"/>
                  <w:vAlign w:val="center"/>
                </w:tcPr>
                <w:p w14:paraId="0DFC3CD1">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未检出</w:t>
                  </w:r>
                </w:p>
              </w:tc>
              <w:tc>
                <w:tcPr>
                  <w:tcW w:w="1134" w:type="dxa"/>
                  <w:vAlign w:val="center"/>
                </w:tcPr>
                <w:p w14:paraId="6272FF6E">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w:t>
                  </w:r>
                </w:p>
              </w:tc>
              <w:tc>
                <w:tcPr>
                  <w:tcW w:w="992" w:type="dxa"/>
                  <w:vAlign w:val="center"/>
                </w:tcPr>
                <w:p w14:paraId="5655B9B3">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1276" w:type="dxa"/>
                  <w:vAlign w:val="center"/>
                </w:tcPr>
                <w:p w14:paraId="22153CEC">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1F7895C2">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tr w14:paraId="3BE30C0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47CB3D03">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铁</w:t>
                  </w:r>
                </w:p>
              </w:tc>
              <w:tc>
                <w:tcPr>
                  <w:tcW w:w="1276" w:type="dxa"/>
                  <w:vAlign w:val="center"/>
                </w:tcPr>
                <w:p w14:paraId="14D634D2">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未检出</w:t>
                  </w:r>
                </w:p>
              </w:tc>
              <w:tc>
                <w:tcPr>
                  <w:tcW w:w="1134" w:type="dxa"/>
                  <w:vAlign w:val="center"/>
                </w:tcPr>
                <w:p w14:paraId="27D60D48">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0.3</w:t>
                  </w:r>
                </w:p>
              </w:tc>
              <w:tc>
                <w:tcPr>
                  <w:tcW w:w="992" w:type="dxa"/>
                  <w:vAlign w:val="center"/>
                </w:tcPr>
                <w:p w14:paraId="2197968B">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1276" w:type="dxa"/>
                  <w:vAlign w:val="center"/>
                </w:tcPr>
                <w:p w14:paraId="0D66660E">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48DC865E">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tr w14:paraId="1EFFEA5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7" w:hRule="atLeast"/>
                <w:jc w:val="center"/>
              </w:trPr>
              <w:tc>
                <w:tcPr>
                  <w:tcW w:w="2247" w:type="dxa"/>
                  <w:vAlign w:val="center"/>
                </w:tcPr>
                <w:p w14:paraId="35D3EEEE">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锰</w:t>
                  </w:r>
                </w:p>
              </w:tc>
              <w:tc>
                <w:tcPr>
                  <w:tcW w:w="1276" w:type="dxa"/>
                  <w:vAlign w:val="center"/>
                </w:tcPr>
                <w:p w14:paraId="1111A163">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未检出</w:t>
                  </w:r>
                </w:p>
              </w:tc>
              <w:tc>
                <w:tcPr>
                  <w:tcW w:w="1134" w:type="dxa"/>
                  <w:vAlign w:val="center"/>
                </w:tcPr>
                <w:p w14:paraId="0E7A215B">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0.1</w:t>
                  </w:r>
                </w:p>
              </w:tc>
              <w:tc>
                <w:tcPr>
                  <w:tcW w:w="992" w:type="dxa"/>
                  <w:vAlign w:val="center"/>
                </w:tcPr>
                <w:p w14:paraId="55123DA2">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1276" w:type="dxa"/>
                  <w:vAlign w:val="center"/>
                </w:tcPr>
                <w:p w14:paraId="524A5F67">
                  <w:pPr>
                    <w:adjustRightInd w:val="0"/>
                    <w:ind w:left="-42" w:leftChars="-20" w:right="-42" w:rightChars="-2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1276" w:type="dxa"/>
                  <w:vAlign w:val="center"/>
                </w:tcPr>
                <w:p w14:paraId="776A549F">
                  <w:pPr>
                    <w:adjustRightInd w:val="0"/>
                    <w:ind w:left="-42" w:leftChars="-20" w:right="-42" w:rightChars="-20"/>
                    <w:jc w:val="center"/>
                    <w:textAlignment w:val="baseline"/>
                    <w:rPr>
                      <w:rFonts w:ascii="Times New Roman" w:hAnsi="Times New Roman" w:eastAsia="宋体" w:cs="Times New Roman"/>
                      <w:color w:val="000000" w:themeColor="text1"/>
                      <w:kern w:val="0"/>
                      <w:sz w:val="18"/>
                      <w:szCs w:val="18"/>
                      <w14:textFill>
                        <w14:solidFill>
                          <w14:schemeClr w14:val="tx1"/>
                        </w14:solidFill>
                      </w14:textFill>
                    </w:rPr>
                  </w:pPr>
                  <w:r>
                    <w:rPr>
                      <w:rFonts w:ascii="Times New Roman" w:hAnsi="Times New Roman" w:eastAsia="宋体" w:cs="Times New Roman"/>
                      <w:color w:val="000000" w:themeColor="text1"/>
                      <w:kern w:val="0"/>
                      <w:sz w:val="18"/>
                      <w:szCs w:val="18"/>
                      <w14:textFill>
                        <w14:solidFill>
                          <w14:schemeClr w14:val="tx1"/>
                        </w14:solidFill>
                      </w14:textFill>
                    </w:rPr>
                    <w:t>达标</w:t>
                  </w:r>
                </w:p>
              </w:tc>
            </w:tr>
            <w:bookmarkEnd w:id="27"/>
          </w:tbl>
          <w:p w14:paraId="2F31F64A">
            <w:pPr>
              <w:adjustRightInd w:val="0"/>
              <w:spacing w:line="360" w:lineRule="auto"/>
              <w:ind w:firstLine="120" w:firstLineChars="50"/>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 xml:space="preserve">    综上，由上表可知，项目所在地地下水指标满足《地下水质量标准》（GB/T14848-2017）中III类标准要求。</w:t>
            </w:r>
          </w:p>
          <w:p w14:paraId="21347CE4">
            <w:pPr>
              <w:spacing w:line="360" w:lineRule="auto"/>
              <w:jc w:val="left"/>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五、土壤环境</w:t>
            </w:r>
          </w:p>
          <w:p w14:paraId="65DD6BCE">
            <w:pPr>
              <w:spacing w:line="360" w:lineRule="auto"/>
              <w:jc w:val="left"/>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1、土壤环境质量现状监测</w:t>
            </w:r>
          </w:p>
          <w:p w14:paraId="613CF519">
            <w:pPr>
              <w:adjustRightInd w:val="0"/>
              <w:spacing w:line="360" w:lineRule="auto"/>
              <w:ind w:firstLine="482" w:firstLineChars="200"/>
              <w:textAlignment w:val="baseline"/>
              <w:rPr>
                <w:rFonts w:ascii="Times New Roman" w:hAnsi="Times New Roman" w:eastAsia="宋体" w:cs="Times New Roman"/>
                <w:b/>
                <w:bCs/>
                <w:color w:val="000000" w:themeColor="text1"/>
                <w:kern w:val="0"/>
                <w:sz w:val="24"/>
                <w:szCs w:val="24"/>
                <w14:textFill>
                  <w14:solidFill>
                    <w14:schemeClr w14:val="tx1"/>
                  </w14:solidFill>
                </w14:textFill>
              </w:rPr>
            </w:pPr>
            <w:r>
              <w:rPr>
                <w:rFonts w:ascii="Times New Roman" w:hAnsi="Times New Roman" w:eastAsia="宋体" w:cs="Times New Roman"/>
                <w:b/>
                <w:bCs/>
                <w:color w:val="000000" w:themeColor="text1"/>
                <w:kern w:val="0"/>
                <w:sz w:val="24"/>
                <w:szCs w:val="24"/>
                <w14:textFill>
                  <w14:solidFill>
                    <w14:schemeClr w14:val="tx1"/>
                  </w14:solidFill>
                </w14:textFill>
              </w:rPr>
              <w:t>（1）监测单位及监测时间</w:t>
            </w:r>
          </w:p>
          <w:p w14:paraId="5DD97FF8">
            <w:pPr>
              <w:adjustRightInd w:val="0"/>
              <w:spacing w:line="360" w:lineRule="auto"/>
              <w:ind w:firstLine="480" w:firstLineChars="200"/>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评价委托</w:t>
            </w:r>
            <w:r>
              <w:rPr>
                <w:rFonts w:ascii="Times New Roman" w:hAnsi="Times New Roman" w:eastAsia="宋体" w:cs="Times New Roman"/>
                <w:bCs/>
                <w:color w:val="000000" w:themeColor="text1"/>
                <w:kern w:val="0"/>
                <w:sz w:val="24"/>
                <w:szCs w:val="24"/>
                <w14:textFill>
                  <w14:solidFill>
                    <w14:schemeClr w14:val="tx1"/>
                  </w14:solidFill>
                </w14:textFill>
              </w:rPr>
              <w:t>四川国测检测技术有限公司于</w:t>
            </w:r>
            <w:r>
              <w:rPr>
                <w:rFonts w:ascii="Times New Roman" w:hAnsi="Times New Roman" w:eastAsia="宋体" w:cs="Times New Roman"/>
                <w:color w:val="000000" w:themeColor="text1"/>
                <w:kern w:val="0"/>
                <w:sz w:val="24"/>
                <w:szCs w:val="20"/>
                <w14:textFill>
                  <w14:solidFill>
                    <w14:schemeClr w14:val="tx1"/>
                  </w14:solidFill>
                </w14:textFill>
              </w:rPr>
              <w:t>2021年1月26日对本项目布点监测的土壤。土壤二噁英委托山东高研检测技术服务进行检测。</w:t>
            </w:r>
          </w:p>
          <w:p w14:paraId="09FD6E6C">
            <w:pPr>
              <w:adjustRightInd w:val="0"/>
              <w:spacing w:line="360" w:lineRule="auto"/>
              <w:ind w:firstLine="482" w:firstLineChars="200"/>
              <w:textAlignment w:val="baseline"/>
              <w:rPr>
                <w:rFonts w:ascii="Times New Roman" w:hAnsi="Times New Roman" w:eastAsia="宋体" w:cs="Times New Roman"/>
                <w:b/>
                <w:bCs/>
                <w:color w:val="000000" w:themeColor="text1"/>
                <w:kern w:val="0"/>
                <w:sz w:val="24"/>
                <w:szCs w:val="24"/>
                <w14:textFill>
                  <w14:solidFill>
                    <w14:schemeClr w14:val="tx1"/>
                  </w14:solidFill>
                </w14:textFill>
              </w:rPr>
            </w:pPr>
            <w:r>
              <w:rPr>
                <w:rFonts w:ascii="Times New Roman" w:hAnsi="Times New Roman" w:eastAsia="宋体" w:cs="Times New Roman"/>
                <w:b/>
                <w:bCs/>
                <w:color w:val="000000" w:themeColor="text1"/>
                <w:kern w:val="0"/>
                <w:sz w:val="24"/>
                <w:szCs w:val="24"/>
                <w14:textFill>
                  <w14:solidFill>
                    <w14:schemeClr w14:val="tx1"/>
                  </w14:solidFill>
                </w14:textFill>
              </w:rPr>
              <w:t>（2）监测布点及监测因子</w:t>
            </w:r>
          </w:p>
          <w:p w14:paraId="0CF7014F">
            <w:pPr>
              <w:adjustRightInd w:val="0"/>
              <w:spacing w:line="360" w:lineRule="auto"/>
              <w:ind w:firstLine="480" w:firstLineChars="200"/>
              <w:textAlignment w:val="baseline"/>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厂区内设置3个柱状样点、1个表层样点，厂区外设置2个表层样点，具体点位详见下表。</w:t>
            </w:r>
          </w:p>
          <w:p w14:paraId="6CD8907B">
            <w:pPr>
              <w:adjustRightInd w:val="0"/>
              <w:spacing w:line="312" w:lineRule="atLeast"/>
              <w:jc w:val="center"/>
              <w:textAlignment w:val="baseline"/>
              <w:rPr>
                <w:rFonts w:ascii="Times New Roman" w:hAnsi="Times New Roman" w:eastAsia="宋体" w:cs="Times New Roman"/>
                <w:b/>
                <w:bCs/>
                <w:color w:val="000000" w:themeColor="text1"/>
                <w:kern w:val="0"/>
                <w:sz w:val="18"/>
                <w:szCs w:val="18"/>
                <w14:textFill>
                  <w14:solidFill>
                    <w14:schemeClr w14:val="tx1"/>
                  </w14:solidFill>
                </w14:textFill>
              </w:rPr>
            </w:pPr>
            <w:r>
              <w:rPr>
                <w:rFonts w:ascii="Times New Roman" w:hAnsi="Times New Roman" w:eastAsia="宋体" w:cs="Times New Roman"/>
                <w:b/>
                <w:bCs/>
                <w:color w:val="000000" w:themeColor="text1"/>
                <w:szCs w:val="24"/>
                <w:lang w:val="pt-BR"/>
                <w14:textFill>
                  <w14:solidFill>
                    <w14:schemeClr w14:val="tx1"/>
                  </w14:solidFill>
                </w14:textFill>
              </w:rPr>
              <w:t xml:space="preserve">表3- </w:t>
            </w:r>
            <w:r>
              <w:rPr>
                <w:rFonts w:ascii="Times New Roman" w:hAnsi="Times New Roman" w:eastAsia="宋体" w:cs="Times New Roman"/>
                <w:b/>
                <w:bCs/>
                <w:color w:val="000000" w:themeColor="text1"/>
                <w:szCs w:val="24"/>
                <w:lang w:val="pt-BR"/>
                <w14:textFill>
                  <w14:solidFill>
                    <w14:schemeClr w14:val="tx1"/>
                  </w14:solidFill>
                </w14:textFill>
              </w:rPr>
              <w:fldChar w:fldCharType="begin"/>
            </w:r>
            <w:r>
              <w:rPr>
                <w:rFonts w:ascii="Times New Roman" w:hAnsi="Times New Roman" w:eastAsia="宋体" w:cs="Times New Roman"/>
                <w:b/>
                <w:bCs/>
                <w:color w:val="000000" w:themeColor="text1"/>
                <w:szCs w:val="24"/>
                <w:lang w:val="pt-BR"/>
                <w14:textFill>
                  <w14:solidFill>
                    <w14:schemeClr w14:val="tx1"/>
                  </w14:solidFill>
                </w14:textFill>
              </w:rPr>
              <w:instrText xml:space="preserve"> SEQ 表3- \* ARABIC </w:instrText>
            </w:r>
            <w:r>
              <w:rPr>
                <w:rFonts w:ascii="Times New Roman" w:hAnsi="Times New Roman" w:eastAsia="宋体" w:cs="Times New Roman"/>
                <w:b/>
                <w:bCs/>
                <w:color w:val="000000" w:themeColor="text1"/>
                <w:szCs w:val="24"/>
                <w:lang w:val="pt-BR"/>
                <w14:textFill>
                  <w14:solidFill>
                    <w14:schemeClr w14:val="tx1"/>
                  </w14:solidFill>
                </w14:textFill>
              </w:rPr>
              <w:fldChar w:fldCharType="separate"/>
            </w:r>
            <w:r>
              <w:rPr>
                <w:rFonts w:ascii="Times New Roman" w:hAnsi="Times New Roman" w:eastAsia="宋体" w:cs="Times New Roman"/>
                <w:b/>
                <w:bCs/>
                <w:color w:val="000000" w:themeColor="text1"/>
                <w:szCs w:val="24"/>
                <w:lang w:val="pt-BR"/>
                <w14:textFill>
                  <w14:solidFill>
                    <w14:schemeClr w14:val="tx1"/>
                  </w14:solidFill>
                </w14:textFill>
              </w:rPr>
              <w:t>9</w:t>
            </w:r>
            <w:r>
              <w:rPr>
                <w:rFonts w:ascii="Times New Roman" w:hAnsi="Times New Roman" w:eastAsia="宋体" w:cs="Times New Roman"/>
                <w:b/>
                <w:bCs/>
                <w:color w:val="000000" w:themeColor="text1"/>
                <w:szCs w:val="24"/>
                <w:lang w:val="pt-BR"/>
                <w14:textFill>
                  <w14:solidFill>
                    <w14:schemeClr w14:val="tx1"/>
                  </w14:solidFill>
                </w14:textFill>
              </w:rPr>
              <w:fldChar w:fldCharType="end"/>
            </w:r>
            <w:r>
              <w:rPr>
                <w:rFonts w:ascii="Times New Roman" w:hAnsi="Times New Roman" w:eastAsia="宋体" w:cs="Times New Roman"/>
                <w:b/>
                <w:bCs/>
                <w:color w:val="000000" w:themeColor="text1"/>
                <w:szCs w:val="24"/>
                <w14:textFill>
                  <w14:solidFill>
                    <w14:schemeClr w14:val="tx1"/>
                  </w14:solidFill>
                </w14:textFill>
              </w:rPr>
              <w:t xml:space="preserve">  </w:t>
            </w:r>
            <w:r>
              <w:rPr>
                <w:rFonts w:ascii="Times New Roman" w:hAnsi="Times New Roman" w:eastAsia="宋体" w:cs="Times New Roman"/>
                <w:b/>
                <w:bCs/>
                <w:color w:val="000000" w:themeColor="text1"/>
                <w:kern w:val="0"/>
                <w:szCs w:val="21"/>
                <w14:textFill>
                  <w14:solidFill>
                    <w14:schemeClr w14:val="tx1"/>
                  </w14:solidFill>
                </w14:textFill>
              </w:rPr>
              <w:t>土壤监测布点</w:t>
            </w:r>
          </w:p>
          <w:tbl>
            <w:tblPr>
              <w:tblStyle w:val="24"/>
              <w:tblW w:w="82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7"/>
              <w:gridCol w:w="650"/>
              <w:gridCol w:w="1487"/>
              <w:gridCol w:w="1134"/>
              <w:gridCol w:w="3809"/>
              <w:gridCol w:w="744"/>
            </w:tblGrid>
            <w:tr w14:paraId="671146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418" w:type="dxa"/>
                  <w:vAlign w:val="center"/>
                </w:tcPr>
                <w:p w14:paraId="0646D94C">
                  <w:pPr>
                    <w:adjustRightInd w:val="0"/>
                    <w:spacing w:line="360" w:lineRule="exact"/>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类别</w:t>
                  </w:r>
                </w:p>
              </w:tc>
              <w:tc>
                <w:tcPr>
                  <w:tcW w:w="651" w:type="dxa"/>
                  <w:vAlign w:val="center"/>
                </w:tcPr>
                <w:p w14:paraId="2AC6CEE7">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编号</w:t>
                  </w:r>
                </w:p>
              </w:tc>
              <w:tc>
                <w:tcPr>
                  <w:tcW w:w="2609" w:type="dxa"/>
                  <w:gridSpan w:val="2"/>
                  <w:vAlign w:val="center"/>
                </w:tcPr>
                <w:p w14:paraId="58A3752A">
                  <w:pPr>
                    <w:adjustRightInd w:val="0"/>
                    <w:spacing w:line="360" w:lineRule="exact"/>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监测点位</w:t>
                  </w:r>
                </w:p>
              </w:tc>
              <w:tc>
                <w:tcPr>
                  <w:tcW w:w="3827" w:type="dxa"/>
                  <w:vAlign w:val="center"/>
                </w:tcPr>
                <w:p w14:paraId="1C020C27">
                  <w:pPr>
                    <w:adjustRightInd w:val="0"/>
                    <w:spacing w:line="360" w:lineRule="exact"/>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监测项目</w:t>
                  </w:r>
                </w:p>
              </w:tc>
              <w:tc>
                <w:tcPr>
                  <w:tcW w:w="746" w:type="dxa"/>
                  <w:vAlign w:val="center"/>
                </w:tcPr>
                <w:p w14:paraId="2039A66E">
                  <w:pPr>
                    <w:adjustRightInd w:val="0"/>
                    <w:spacing w:line="360" w:lineRule="exact"/>
                    <w:jc w:val="center"/>
                    <w:textAlignment w:val="baseline"/>
                    <w:rPr>
                      <w:rFonts w:ascii="Times New Roman" w:hAnsi="Times New Roman" w:eastAsia="宋体" w:cs="Times New Roman"/>
                      <w:b/>
                      <w:color w:val="000000" w:themeColor="text1"/>
                      <w:kern w:val="0"/>
                      <w:sz w:val="22"/>
                      <w14:textFill>
                        <w14:solidFill>
                          <w14:schemeClr w14:val="tx1"/>
                        </w14:solidFill>
                      </w14:textFill>
                    </w:rPr>
                  </w:pPr>
                  <w:r>
                    <w:rPr>
                      <w:rFonts w:ascii="Times New Roman" w:hAnsi="Times New Roman" w:eastAsia="宋体" w:cs="Times New Roman"/>
                      <w:b/>
                      <w:color w:val="000000" w:themeColor="text1"/>
                      <w:kern w:val="0"/>
                      <w:sz w:val="22"/>
                      <w14:textFill>
                        <w14:solidFill>
                          <w14:schemeClr w14:val="tx1"/>
                        </w14:solidFill>
                      </w14:textFill>
                    </w:rPr>
                    <w:t>监测频次</w:t>
                  </w:r>
                </w:p>
              </w:tc>
            </w:tr>
            <w:tr w14:paraId="7045B5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418" w:type="dxa"/>
                  <w:vMerge w:val="restart"/>
                  <w:vAlign w:val="center"/>
                </w:tcPr>
                <w:p w14:paraId="5EDC425A">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土壤</w:t>
                  </w:r>
                </w:p>
              </w:tc>
              <w:tc>
                <w:tcPr>
                  <w:tcW w:w="651" w:type="dxa"/>
                  <w:vMerge w:val="restart"/>
                  <w:vAlign w:val="center"/>
                </w:tcPr>
                <w:p w14:paraId="62F3857D">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SE1</w:t>
                  </w:r>
                </w:p>
              </w:tc>
              <w:tc>
                <w:tcPr>
                  <w:tcW w:w="1475" w:type="dxa"/>
                  <w:vMerge w:val="restart"/>
                  <w:vAlign w:val="center"/>
                </w:tcPr>
                <w:p w14:paraId="35E52879">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场内柱状点1（105.46441°，30.50052°）</w:t>
                  </w:r>
                </w:p>
              </w:tc>
              <w:tc>
                <w:tcPr>
                  <w:tcW w:w="1134" w:type="dxa"/>
                  <w:vAlign w:val="center"/>
                </w:tcPr>
                <w:p w14:paraId="1C483D7C">
                  <w:pPr>
                    <w:autoSpaceDE w:val="0"/>
                    <w:autoSpaceDN w:val="0"/>
                    <w:adjustRightInd w:val="0"/>
                    <w:ind w:left="-63" w:leftChars="-30" w:right="-63" w:rightChars="-3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14:textFill>
                        <w14:solidFill>
                          <w14:schemeClr w14:val="tx1"/>
                        </w14:solidFill>
                      </w14:textFill>
                    </w:rPr>
                    <w:t>0~50cm</w:t>
                  </w:r>
                </w:p>
              </w:tc>
              <w:tc>
                <w:tcPr>
                  <w:tcW w:w="3827" w:type="dxa"/>
                  <w:vMerge w:val="restart"/>
                  <w:vAlign w:val="center"/>
                </w:tcPr>
                <w:p w14:paraId="06FC4A3B">
                  <w:pPr>
                    <w:autoSpaceDE w:val="0"/>
                    <w:autoSpaceDN w:val="0"/>
                    <w:adjustRightIn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pH值、</w:t>
                  </w:r>
                  <w:r>
                    <w:rPr>
                      <w:rFonts w:ascii="Times New Roman" w:hAnsi="Times New Roman" w:eastAsia="宋体" w:cs="Times New Roman"/>
                      <w:color w:val="000000" w:themeColor="text1"/>
                      <w14:textFill>
                        <w14:solidFill>
                          <w14:schemeClr w14:val="tx1"/>
                        </w14:solidFill>
                      </w14:textFill>
                    </w:rPr>
                    <w:t>阳离子交换量、氧化还原电位、容重、</w:t>
                  </w:r>
                  <w:r>
                    <w:rPr>
                      <w:rFonts w:ascii="Times New Roman" w:hAnsi="Times New Roman" w:eastAsia="宋体" w:cs="Times New Roman"/>
                      <w:color w:val="000000" w:themeColor="text1"/>
                      <w:kern w:val="0"/>
                      <w:szCs w:val="21"/>
                      <w14:textFill>
                        <w14:solidFill>
                          <w14:schemeClr w14:val="tx1"/>
                        </w14:solidFill>
                      </w14:textFill>
                    </w:rPr>
                    <w:t>氟化物、铅、汞、镉、砷、锰、六价铬</w:t>
                  </w:r>
                </w:p>
              </w:tc>
              <w:tc>
                <w:tcPr>
                  <w:tcW w:w="746" w:type="dxa"/>
                  <w:vMerge w:val="restart"/>
                  <w:vAlign w:val="center"/>
                </w:tcPr>
                <w:p w14:paraId="5A5E8D6F">
                  <w:pPr>
                    <w:widowControl/>
                    <w:adjustRightInd w:val="0"/>
                    <w:snapToGrid w:val="0"/>
                    <w:ind w:left="-126" w:leftChars="-60" w:right="-141" w:rightChars="-67"/>
                    <w:jc w:val="center"/>
                    <w:textAlignment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检测1天</w:t>
                  </w:r>
                </w:p>
                <w:p w14:paraId="30742DD3">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每天1次</w:t>
                  </w:r>
                </w:p>
              </w:tc>
            </w:tr>
            <w:tr w14:paraId="64DE14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atLeast"/>
                <w:jc w:val="center"/>
              </w:trPr>
              <w:tc>
                <w:tcPr>
                  <w:tcW w:w="418" w:type="dxa"/>
                  <w:vMerge w:val="continue"/>
                  <w:vAlign w:val="center"/>
                </w:tcPr>
                <w:p w14:paraId="1790DE89">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c>
                <w:tcPr>
                  <w:tcW w:w="651" w:type="dxa"/>
                  <w:vMerge w:val="continue"/>
                  <w:vAlign w:val="center"/>
                </w:tcPr>
                <w:p w14:paraId="450B1560">
                  <w:pPr>
                    <w:adjustRightInd w:val="0"/>
                    <w:spacing w:line="36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1475" w:type="dxa"/>
                  <w:vMerge w:val="continue"/>
                  <w:vAlign w:val="center"/>
                </w:tcPr>
                <w:p w14:paraId="5FDE9E01">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c>
                <w:tcPr>
                  <w:tcW w:w="1134" w:type="dxa"/>
                  <w:vAlign w:val="center"/>
                </w:tcPr>
                <w:p w14:paraId="02234D65">
                  <w:pPr>
                    <w:autoSpaceDE w:val="0"/>
                    <w:autoSpaceDN w:val="0"/>
                    <w:adjustRightInd w:val="0"/>
                    <w:ind w:left="-63" w:leftChars="-30" w:right="-63" w:rightChars="-3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14:textFill>
                        <w14:solidFill>
                          <w14:schemeClr w14:val="tx1"/>
                        </w14:solidFill>
                      </w14:textFill>
                    </w:rPr>
                    <w:t>50~150cm</w:t>
                  </w:r>
                </w:p>
              </w:tc>
              <w:tc>
                <w:tcPr>
                  <w:tcW w:w="3827" w:type="dxa"/>
                  <w:vMerge w:val="continue"/>
                  <w:vAlign w:val="center"/>
                </w:tcPr>
                <w:p w14:paraId="77D2B7E9">
                  <w:pPr>
                    <w:autoSpaceDE w:val="0"/>
                    <w:autoSpaceDN w:val="0"/>
                    <w:adjustRightInd w:val="0"/>
                    <w:jc w:val="center"/>
                    <w:rPr>
                      <w:rFonts w:ascii="Times New Roman" w:hAnsi="Times New Roman" w:eastAsia="宋体" w:cs="Times New Roman"/>
                      <w:bCs/>
                      <w:color w:val="000000" w:themeColor="text1"/>
                      <w:kern w:val="0"/>
                      <w:szCs w:val="21"/>
                      <w14:textFill>
                        <w14:solidFill>
                          <w14:schemeClr w14:val="tx1"/>
                        </w14:solidFill>
                      </w14:textFill>
                    </w:rPr>
                  </w:pPr>
                </w:p>
              </w:tc>
              <w:tc>
                <w:tcPr>
                  <w:tcW w:w="746" w:type="dxa"/>
                  <w:vMerge w:val="continue"/>
                  <w:vAlign w:val="center"/>
                </w:tcPr>
                <w:p w14:paraId="4D899581">
                  <w:pPr>
                    <w:widowControl/>
                    <w:adjustRightInd w:val="0"/>
                    <w:snapToGrid w:val="0"/>
                    <w:ind w:left="-126" w:leftChars="-60" w:right="-141" w:rightChars="-67"/>
                    <w:jc w:val="center"/>
                    <w:textAlignment w:val="center"/>
                    <w:rPr>
                      <w:rFonts w:ascii="Times New Roman" w:hAnsi="Times New Roman" w:eastAsia="宋体" w:cs="Times New Roman"/>
                      <w:bCs/>
                      <w:color w:val="000000" w:themeColor="text1"/>
                      <w:kern w:val="0"/>
                      <w:szCs w:val="21"/>
                      <w14:textFill>
                        <w14:solidFill>
                          <w14:schemeClr w14:val="tx1"/>
                        </w14:solidFill>
                      </w14:textFill>
                    </w:rPr>
                  </w:pPr>
                </w:p>
              </w:tc>
            </w:tr>
            <w:tr w14:paraId="47682A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 w:hRule="atLeast"/>
                <w:jc w:val="center"/>
              </w:trPr>
              <w:tc>
                <w:tcPr>
                  <w:tcW w:w="418" w:type="dxa"/>
                  <w:vMerge w:val="continue"/>
                  <w:vAlign w:val="center"/>
                </w:tcPr>
                <w:p w14:paraId="74E44970">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c>
                <w:tcPr>
                  <w:tcW w:w="651" w:type="dxa"/>
                  <w:vMerge w:val="continue"/>
                  <w:vAlign w:val="center"/>
                </w:tcPr>
                <w:p w14:paraId="53A93AF4">
                  <w:pPr>
                    <w:adjustRightInd w:val="0"/>
                    <w:spacing w:line="36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1475" w:type="dxa"/>
                  <w:vMerge w:val="continue"/>
                  <w:vAlign w:val="center"/>
                </w:tcPr>
                <w:p w14:paraId="588E0A59">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c>
                <w:tcPr>
                  <w:tcW w:w="1134" w:type="dxa"/>
                  <w:vAlign w:val="center"/>
                </w:tcPr>
                <w:p w14:paraId="537518D3">
                  <w:pPr>
                    <w:autoSpaceDE w:val="0"/>
                    <w:autoSpaceDN w:val="0"/>
                    <w:adjustRightInd w:val="0"/>
                    <w:ind w:left="-63" w:leftChars="-30" w:right="-63" w:rightChars="-3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14:textFill>
                        <w14:solidFill>
                          <w14:schemeClr w14:val="tx1"/>
                        </w14:solidFill>
                      </w14:textFill>
                    </w:rPr>
                    <w:t>150~300cm</w:t>
                  </w:r>
                </w:p>
              </w:tc>
              <w:tc>
                <w:tcPr>
                  <w:tcW w:w="3827" w:type="dxa"/>
                  <w:vMerge w:val="continue"/>
                  <w:vAlign w:val="center"/>
                </w:tcPr>
                <w:p w14:paraId="49F94DC3">
                  <w:pPr>
                    <w:autoSpaceDE w:val="0"/>
                    <w:autoSpaceDN w:val="0"/>
                    <w:adjustRightInd w:val="0"/>
                    <w:jc w:val="center"/>
                    <w:rPr>
                      <w:rFonts w:ascii="Times New Roman" w:hAnsi="Times New Roman" w:eastAsia="宋体" w:cs="Times New Roman"/>
                      <w:bCs/>
                      <w:color w:val="000000" w:themeColor="text1"/>
                      <w:kern w:val="0"/>
                      <w:szCs w:val="21"/>
                      <w14:textFill>
                        <w14:solidFill>
                          <w14:schemeClr w14:val="tx1"/>
                        </w14:solidFill>
                      </w14:textFill>
                    </w:rPr>
                  </w:pPr>
                </w:p>
              </w:tc>
              <w:tc>
                <w:tcPr>
                  <w:tcW w:w="746" w:type="dxa"/>
                  <w:vMerge w:val="continue"/>
                  <w:vAlign w:val="center"/>
                </w:tcPr>
                <w:p w14:paraId="13673970">
                  <w:pPr>
                    <w:widowControl/>
                    <w:adjustRightInd w:val="0"/>
                    <w:snapToGrid w:val="0"/>
                    <w:ind w:left="-126" w:leftChars="-60" w:right="-141" w:rightChars="-67"/>
                    <w:jc w:val="center"/>
                    <w:textAlignment w:val="center"/>
                    <w:rPr>
                      <w:rFonts w:ascii="Times New Roman" w:hAnsi="Times New Roman" w:eastAsia="宋体" w:cs="Times New Roman"/>
                      <w:bCs/>
                      <w:color w:val="000000" w:themeColor="text1"/>
                      <w:kern w:val="0"/>
                      <w:szCs w:val="21"/>
                      <w14:textFill>
                        <w14:solidFill>
                          <w14:schemeClr w14:val="tx1"/>
                        </w14:solidFill>
                      </w14:textFill>
                    </w:rPr>
                  </w:pPr>
                </w:p>
              </w:tc>
            </w:tr>
            <w:tr w14:paraId="7611EE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418" w:type="dxa"/>
                  <w:vMerge w:val="continue"/>
                  <w:vAlign w:val="center"/>
                </w:tcPr>
                <w:p w14:paraId="75B102E1">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c>
                <w:tcPr>
                  <w:tcW w:w="651" w:type="dxa"/>
                  <w:vMerge w:val="restart"/>
                  <w:vAlign w:val="center"/>
                </w:tcPr>
                <w:p w14:paraId="1895E78C">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SE2</w:t>
                  </w:r>
                </w:p>
              </w:tc>
              <w:tc>
                <w:tcPr>
                  <w:tcW w:w="1475" w:type="dxa"/>
                  <w:vMerge w:val="restart"/>
                  <w:vAlign w:val="center"/>
                </w:tcPr>
                <w:p w14:paraId="2F096F1E">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场内柱状点2（105.46373°，30.50142°）</w:t>
                  </w:r>
                </w:p>
              </w:tc>
              <w:tc>
                <w:tcPr>
                  <w:tcW w:w="1134" w:type="dxa"/>
                  <w:vAlign w:val="center"/>
                </w:tcPr>
                <w:p w14:paraId="754DF224">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14:textFill>
                        <w14:solidFill>
                          <w14:schemeClr w14:val="tx1"/>
                        </w14:solidFill>
                      </w14:textFill>
                    </w:rPr>
                    <w:t>0~50cm</w:t>
                  </w:r>
                </w:p>
              </w:tc>
              <w:tc>
                <w:tcPr>
                  <w:tcW w:w="3827" w:type="dxa"/>
                  <w:vMerge w:val="restart"/>
                  <w:vAlign w:val="center"/>
                </w:tcPr>
                <w:p w14:paraId="5F4DBDFE">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pH值、氟化物、铅、汞、镉、砷、锰、六价铬</w:t>
                  </w:r>
                </w:p>
              </w:tc>
              <w:tc>
                <w:tcPr>
                  <w:tcW w:w="746" w:type="dxa"/>
                  <w:vMerge w:val="continue"/>
                  <w:vAlign w:val="center"/>
                </w:tcPr>
                <w:p w14:paraId="23ADDC72">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r>
            <w:tr w14:paraId="3B4B40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418" w:type="dxa"/>
                  <w:vMerge w:val="continue"/>
                  <w:vAlign w:val="center"/>
                </w:tcPr>
                <w:p w14:paraId="28B0259D">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c>
                <w:tcPr>
                  <w:tcW w:w="651" w:type="dxa"/>
                  <w:vMerge w:val="continue"/>
                  <w:vAlign w:val="center"/>
                </w:tcPr>
                <w:p w14:paraId="2E16DF37">
                  <w:pPr>
                    <w:adjustRightInd w:val="0"/>
                    <w:spacing w:line="36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1475" w:type="dxa"/>
                  <w:vMerge w:val="continue"/>
                  <w:vAlign w:val="center"/>
                </w:tcPr>
                <w:p w14:paraId="767DDDEA">
                  <w:pPr>
                    <w:adjustRightInd w:val="0"/>
                    <w:ind w:left="-63" w:leftChars="-30" w:right="-63" w:rightChars="-3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1134" w:type="dxa"/>
                  <w:vAlign w:val="center"/>
                </w:tcPr>
                <w:p w14:paraId="64C7B057">
                  <w:pPr>
                    <w:autoSpaceDE w:val="0"/>
                    <w:autoSpaceDN w:val="0"/>
                    <w:adjustRightInd w:val="0"/>
                    <w:ind w:left="-63" w:leftChars="-30" w:right="-63" w:rightChars="-3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cs="Times New Roman"/>
                      <w:color w:val="000000" w:themeColor="text1"/>
                      <w14:textFill>
                        <w14:solidFill>
                          <w14:schemeClr w14:val="tx1"/>
                        </w14:solidFill>
                      </w14:textFill>
                    </w:rPr>
                    <w:t>50~150cm</w:t>
                  </w:r>
                </w:p>
              </w:tc>
              <w:tc>
                <w:tcPr>
                  <w:tcW w:w="3827" w:type="dxa"/>
                  <w:vMerge w:val="continue"/>
                  <w:vAlign w:val="center"/>
                </w:tcPr>
                <w:p w14:paraId="2A59C239">
                  <w:pPr>
                    <w:autoSpaceDE w:val="0"/>
                    <w:autoSpaceDN w:val="0"/>
                    <w:adjustRightInd w:val="0"/>
                    <w:jc w:val="center"/>
                    <w:rPr>
                      <w:rFonts w:ascii="Times New Roman" w:hAnsi="Times New Roman" w:eastAsia="宋体" w:cs="Times New Roman"/>
                      <w:color w:val="000000" w:themeColor="text1"/>
                      <w:kern w:val="0"/>
                      <w:szCs w:val="21"/>
                      <w14:textFill>
                        <w14:solidFill>
                          <w14:schemeClr w14:val="tx1"/>
                        </w14:solidFill>
                      </w14:textFill>
                    </w:rPr>
                  </w:pPr>
                </w:p>
              </w:tc>
              <w:tc>
                <w:tcPr>
                  <w:tcW w:w="746" w:type="dxa"/>
                  <w:vMerge w:val="continue"/>
                  <w:vAlign w:val="center"/>
                </w:tcPr>
                <w:p w14:paraId="5FBC6E4D">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r>
            <w:tr w14:paraId="08C8A6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418" w:type="dxa"/>
                  <w:vMerge w:val="continue"/>
                  <w:vAlign w:val="center"/>
                </w:tcPr>
                <w:p w14:paraId="7F231ED8">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c>
                <w:tcPr>
                  <w:tcW w:w="651" w:type="dxa"/>
                  <w:vMerge w:val="continue"/>
                  <w:vAlign w:val="center"/>
                </w:tcPr>
                <w:p w14:paraId="6879501E">
                  <w:pPr>
                    <w:adjustRightInd w:val="0"/>
                    <w:spacing w:line="36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1475" w:type="dxa"/>
                  <w:vMerge w:val="continue"/>
                  <w:vAlign w:val="center"/>
                </w:tcPr>
                <w:p w14:paraId="65518447">
                  <w:pPr>
                    <w:adjustRightInd w:val="0"/>
                    <w:ind w:left="-63" w:leftChars="-30" w:right="-63" w:rightChars="-3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1134" w:type="dxa"/>
                  <w:vAlign w:val="center"/>
                </w:tcPr>
                <w:p w14:paraId="329EB76D">
                  <w:pPr>
                    <w:autoSpaceDE w:val="0"/>
                    <w:autoSpaceDN w:val="0"/>
                    <w:adjustRightInd w:val="0"/>
                    <w:ind w:left="-63" w:leftChars="-30" w:right="-63" w:rightChars="-3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cs="Times New Roman"/>
                      <w:color w:val="000000" w:themeColor="text1"/>
                      <w14:textFill>
                        <w14:solidFill>
                          <w14:schemeClr w14:val="tx1"/>
                        </w14:solidFill>
                      </w14:textFill>
                    </w:rPr>
                    <w:t>150~300cm</w:t>
                  </w:r>
                </w:p>
              </w:tc>
              <w:tc>
                <w:tcPr>
                  <w:tcW w:w="3827" w:type="dxa"/>
                  <w:vMerge w:val="continue"/>
                  <w:vAlign w:val="center"/>
                </w:tcPr>
                <w:p w14:paraId="1C89A293">
                  <w:pPr>
                    <w:autoSpaceDE w:val="0"/>
                    <w:autoSpaceDN w:val="0"/>
                    <w:adjustRightInd w:val="0"/>
                    <w:jc w:val="center"/>
                    <w:rPr>
                      <w:rFonts w:ascii="Times New Roman" w:hAnsi="Times New Roman" w:eastAsia="宋体" w:cs="Times New Roman"/>
                      <w:color w:val="000000" w:themeColor="text1"/>
                      <w:kern w:val="0"/>
                      <w:szCs w:val="21"/>
                      <w14:textFill>
                        <w14:solidFill>
                          <w14:schemeClr w14:val="tx1"/>
                        </w14:solidFill>
                      </w14:textFill>
                    </w:rPr>
                  </w:pPr>
                </w:p>
              </w:tc>
              <w:tc>
                <w:tcPr>
                  <w:tcW w:w="746" w:type="dxa"/>
                  <w:vMerge w:val="continue"/>
                  <w:vAlign w:val="center"/>
                </w:tcPr>
                <w:p w14:paraId="43BB783A">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r>
            <w:tr w14:paraId="619886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418" w:type="dxa"/>
                  <w:vMerge w:val="continue"/>
                  <w:vAlign w:val="center"/>
                </w:tcPr>
                <w:p w14:paraId="4179C654">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c>
                <w:tcPr>
                  <w:tcW w:w="651" w:type="dxa"/>
                  <w:vMerge w:val="restart"/>
                  <w:vAlign w:val="center"/>
                </w:tcPr>
                <w:p w14:paraId="24BD0D02">
                  <w:pPr>
                    <w:adjustRightInd w:val="0"/>
                    <w:spacing w:line="36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SE3</w:t>
                  </w:r>
                </w:p>
              </w:tc>
              <w:tc>
                <w:tcPr>
                  <w:tcW w:w="1475" w:type="dxa"/>
                  <w:vMerge w:val="restart"/>
                  <w:vAlign w:val="center"/>
                </w:tcPr>
                <w:p w14:paraId="6AA7A33A">
                  <w:pPr>
                    <w:adjustRightInd w:val="0"/>
                    <w:ind w:left="-63" w:leftChars="-30" w:right="-63" w:rightChars="-3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场内柱状点3（105.46427°，30.50061°）</w:t>
                  </w:r>
                </w:p>
              </w:tc>
              <w:tc>
                <w:tcPr>
                  <w:tcW w:w="1134" w:type="dxa"/>
                  <w:vAlign w:val="center"/>
                </w:tcPr>
                <w:p w14:paraId="24C9D378">
                  <w:pPr>
                    <w:autoSpaceDE w:val="0"/>
                    <w:autoSpaceDN w:val="0"/>
                    <w:adjustRightInd w:val="0"/>
                    <w:ind w:left="-63" w:leftChars="-30" w:right="-63" w:rightChars="-3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cs="Times New Roman"/>
                      <w:color w:val="000000" w:themeColor="text1"/>
                      <w14:textFill>
                        <w14:solidFill>
                          <w14:schemeClr w14:val="tx1"/>
                        </w14:solidFill>
                      </w14:textFill>
                    </w:rPr>
                    <w:t>0~50cm</w:t>
                  </w:r>
                </w:p>
              </w:tc>
              <w:tc>
                <w:tcPr>
                  <w:tcW w:w="3827" w:type="dxa"/>
                  <w:vMerge w:val="restart"/>
                  <w:vAlign w:val="center"/>
                </w:tcPr>
                <w:p w14:paraId="53076467">
                  <w:pPr>
                    <w:autoSpaceDE w:val="0"/>
                    <w:autoSpaceDN w:val="0"/>
                    <w:adjustRightIn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pH值、氟化物、铅、汞、镉、砷、锰、六价铬</w:t>
                  </w:r>
                </w:p>
              </w:tc>
              <w:tc>
                <w:tcPr>
                  <w:tcW w:w="746" w:type="dxa"/>
                  <w:vMerge w:val="continue"/>
                  <w:vAlign w:val="center"/>
                </w:tcPr>
                <w:p w14:paraId="763C52AE">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r>
            <w:tr w14:paraId="09EE57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418" w:type="dxa"/>
                  <w:vMerge w:val="continue"/>
                  <w:vAlign w:val="center"/>
                </w:tcPr>
                <w:p w14:paraId="208AD094">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c>
                <w:tcPr>
                  <w:tcW w:w="651" w:type="dxa"/>
                  <w:vMerge w:val="continue"/>
                  <w:vAlign w:val="center"/>
                </w:tcPr>
                <w:p w14:paraId="6B62BC9B">
                  <w:pPr>
                    <w:adjustRightInd w:val="0"/>
                    <w:spacing w:line="36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1475" w:type="dxa"/>
                  <w:vMerge w:val="continue"/>
                  <w:vAlign w:val="center"/>
                </w:tcPr>
                <w:p w14:paraId="25A0B8A6">
                  <w:pPr>
                    <w:adjustRightInd w:val="0"/>
                    <w:ind w:left="-63" w:leftChars="-30" w:right="-63" w:rightChars="-3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1134" w:type="dxa"/>
                  <w:vAlign w:val="center"/>
                </w:tcPr>
                <w:p w14:paraId="5D5B9F3E">
                  <w:pPr>
                    <w:autoSpaceDE w:val="0"/>
                    <w:autoSpaceDN w:val="0"/>
                    <w:adjustRightInd w:val="0"/>
                    <w:ind w:left="-63" w:leftChars="-30" w:right="-63" w:rightChars="-3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cs="Times New Roman"/>
                      <w:color w:val="000000" w:themeColor="text1"/>
                      <w14:textFill>
                        <w14:solidFill>
                          <w14:schemeClr w14:val="tx1"/>
                        </w14:solidFill>
                      </w14:textFill>
                    </w:rPr>
                    <w:t>50~150cm</w:t>
                  </w:r>
                </w:p>
              </w:tc>
              <w:tc>
                <w:tcPr>
                  <w:tcW w:w="3827" w:type="dxa"/>
                  <w:vMerge w:val="continue"/>
                  <w:vAlign w:val="center"/>
                </w:tcPr>
                <w:p w14:paraId="16582675">
                  <w:pPr>
                    <w:autoSpaceDE w:val="0"/>
                    <w:autoSpaceDN w:val="0"/>
                    <w:adjustRightInd w:val="0"/>
                    <w:jc w:val="center"/>
                    <w:rPr>
                      <w:rFonts w:ascii="Times New Roman" w:hAnsi="Times New Roman" w:eastAsia="宋体" w:cs="Times New Roman"/>
                      <w:color w:val="000000" w:themeColor="text1"/>
                      <w:kern w:val="0"/>
                      <w:szCs w:val="21"/>
                      <w14:textFill>
                        <w14:solidFill>
                          <w14:schemeClr w14:val="tx1"/>
                        </w14:solidFill>
                      </w14:textFill>
                    </w:rPr>
                  </w:pPr>
                </w:p>
              </w:tc>
              <w:tc>
                <w:tcPr>
                  <w:tcW w:w="746" w:type="dxa"/>
                  <w:vMerge w:val="continue"/>
                  <w:vAlign w:val="center"/>
                </w:tcPr>
                <w:p w14:paraId="25A16D51">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r>
            <w:tr w14:paraId="4A6740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418" w:type="dxa"/>
                  <w:vMerge w:val="continue"/>
                  <w:vAlign w:val="center"/>
                </w:tcPr>
                <w:p w14:paraId="3E8A2915">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c>
                <w:tcPr>
                  <w:tcW w:w="651" w:type="dxa"/>
                  <w:vMerge w:val="continue"/>
                  <w:vAlign w:val="center"/>
                </w:tcPr>
                <w:p w14:paraId="243525E9">
                  <w:pPr>
                    <w:adjustRightInd w:val="0"/>
                    <w:spacing w:line="36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1475" w:type="dxa"/>
                  <w:vMerge w:val="continue"/>
                  <w:vAlign w:val="center"/>
                </w:tcPr>
                <w:p w14:paraId="6AC6D0DF">
                  <w:pPr>
                    <w:adjustRightInd w:val="0"/>
                    <w:ind w:left="-63" w:leftChars="-30" w:right="-63" w:rightChars="-3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1134" w:type="dxa"/>
                  <w:vAlign w:val="center"/>
                </w:tcPr>
                <w:p w14:paraId="4C27345B">
                  <w:pPr>
                    <w:autoSpaceDE w:val="0"/>
                    <w:autoSpaceDN w:val="0"/>
                    <w:adjustRightInd w:val="0"/>
                    <w:ind w:left="-63" w:leftChars="-30" w:right="-63" w:rightChars="-3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cs="Times New Roman"/>
                      <w:color w:val="000000" w:themeColor="text1"/>
                      <w14:textFill>
                        <w14:solidFill>
                          <w14:schemeClr w14:val="tx1"/>
                        </w14:solidFill>
                      </w14:textFill>
                    </w:rPr>
                    <w:t>150~300cm</w:t>
                  </w:r>
                </w:p>
              </w:tc>
              <w:tc>
                <w:tcPr>
                  <w:tcW w:w="3827" w:type="dxa"/>
                  <w:vMerge w:val="continue"/>
                  <w:vAlign w:val="center"/>
                </w:tcPr>
                <w:p w14:paraId="49E4FAD0">
                  <w:pPr>
                    <w:autoSpaceDE w:val="0"/>
                    <w:autoSpaceDN w:val="0"/>
                    <w:adjustRightInd w:val="0"/>
                    <w:jc w:val="center"/>
                    <w:rPr>
                      <w:rFonts w:ascii="Times New Roman" w:hAnsi="Times New Roman" w:eastAsia="宋体" w:cs="Times New Roman"/>
                      <w:color w:val="000000" w:themeColor="text1"/>
                      <w:kern w:val="0"/>
                      <w:szCs w:val="21"/>
                      <w14:textFill>
                        <w14:solidFill>
                          <w14:schemeClr w14:val="tx1"/>
                        </w14:solidFill>
                      </w14:textFill>
                    </w:rPr>
                  </w:pPr>
                </w:p>
              </w:tc>
              <w:tc>
                <w:tcPr>
                  <w:tcW w:w="746" w:type="dxa"/>
                  <w:vMerge w:val="continue"/>
                  <w:vAlign w:val="center"/>
                </w:tcPr>
                <w:p w14:paraId="71926FFF">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r>
            <w:tr w14:paraId="56B84D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2" w:hRule="atLeast"/>
                <w:jc w:val="center"/>
              </w:trPr>
              <w:tc>
                <w:tcPr>
                  <w:tcW w:w="418" w:type="dxa"/>
                  <w:vMerge w:val="continue"/>
                  <w:vAlign w:val="center"/>
                </w:tcPr>
                <w:p w14:paraId="25501284">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c>
                <w:tcPr>
                  <w:tcW w:w="651" w:type="dxa"/>
                  <w:vAlign w:val="center"/>
                </w:tcPr>
                <w:p w14:paraId="4197FA3D">
                  <w:pPr>
                    <w:adjustRightInd w:val="0"/>
                    <w:spacing w:line="36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SE4</w:t>
                  </w:r>
                </w:p>
              </w:tc>
              <w:tc>
                <w:tcPr>
                  <w:tcW w:w="1475" w:type="dxa"/>
                  <w:vAlign w:val="center"/>
                </w:tcPr>
                <w:p w14:paraId="5E334900">
                  <w:pPr>
                    <w:adjustRightInd w:val="0"/>
                    <w:ind w:left="-63" w:leftChars="-30" w:right="-63" w:rightChars="-3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场内表层点</w:t>
                  </w:r>
                </w:p>
                <w:p w14:paraId="4B554AB1">
                  <w:pPr>
                    <w:adjustRightInd w:val="0"/>
                    <w:ind w:left="-63" w:leftChars="-30" w:right="-63" w:rightChars="-3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（105.46366°，30.50113°）</w:t>
                  </w:r>
                </w:p>
              </w:tc>
              <w:tc>
                <w:tcPr>
                  <w:tcW w:w="1134" w:type="dxa"/>
                  <w:vAlign w:val="center"/>
                </w:tcPr>
                <w:p w14:paraId="2B35FF9D">
                  <w:pPr>
                    <w:autoSpaceDE w:val="0"/>
                    <w:autoSpaceDN w:val="0"/>
                    <w:adjustRightInd w:val="0"/>
                    <w:ind w:left="-63" w:leftChars="-30" w:right="-63" w:rightChars="-30"/>
                    <w:jc w:val="center"/>
                    <w:rPr>
                      <w:rFonts w:ascii="Times New Roman" w:hAnsi="Times New Roman" w:eastAsia="宋体" w:cs="Times New Roman"/>
                      <w:bCs/>
                      <w:color w:val="000000" w:themeColor="text1"/>
                      <w:kern w:val="0"/>
                      <w:sz w:val="20"/>
                      <w:szCs w:val="21"/>
                      <w14:textFill>
                        <w14:solidFill>
                          <w14:schemeClr w14:val="tx1"/>
                        </w14:solidFill>
                      </w14:textFill>
                    </w:rPr>
                  </w:pPr>
                  <w:r>
                    <w:rPr>
                      <w:rFonts w:ascii="Times New Roman" w:hAnsi="Times New Roman" w:eastAsia="宋体" w:cs="Times New Roman"/>
                      <w:bCs/>
                      <w:color w:val="000000" w:themeColor="text1"/>
                      <w:kern w:val="0"/>
                      <w:sz w:val="20"/>
                      <w:szCs w:val="21"/>
                      <w14:textFill>
                        <w14:solidFill>
                          <w14:schemeClr w14:val="tx1"/>
                        </w14:solidFill>
                      </w14:textFill>
                    </w:rPr>
                    <w:t>0~20cm</w:t>
                  </w:r>
                </w:p>
              </w:tc>
              <w:tc>
                <w:tcPr>
                  <w:tcW w:w="3827" w:type="dxa"/>
                  <w:vAlign w:val="center"/>
                </w:tcPr>
                <w:p w14:paraId="00909C19">
                  <w:pPr>
                    <w:autoSpaceDE w:val="0"/>
                    <w:autoSpaceDN w:val="0"/>
                    <w:adjustRightInd w:val="0"/>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pH值、氟化物、锰、砷、镉、六价铬、铜、铅、汞、镍、四氯化碳、氯仿、氯甲烷、1,1-二氯乙烷、1,2-二氯乙烷、1,1-二氯乙烯、顺式-1,2-二氯乙烯、反式-1,2-二氯乙烯、二氯甲烷、1,2-二氯丙烷、1,1,1,2-四氯乙烷、1,1,2,2-四氯乙烷、四氯乙烯、1,1,1-三氯乙烷、1,1,2-三氯乙烷、三氯乙烯、1,2,3-三氯丙烷、氯乙烯、苯、氯苯、1,2-二氯苯、1,4-二氯苯、乙苯、苯乙烯、甲苯、间二甲苯+对二甲苯、邻二甲苯、硝基苯、苯胺、2-氯酚、苯并[a]蒽、苯并[a]芘、苯并[b]荧蒽、苯并[k]荧蒽、䓛、二苯并[a,h]蒽、茚并[1,2,3-c,d]芘、萘、二噁英</w:t>
                  </w:r>
                </w:p>
              </w:tc>
              <w:tc>
                <w:tcPr>
                  <w:tcW w:w="746" w:type="dxa"/>
                  <w:vMerge w:val="continue"/>
                  <w:vAlign w:val="center"/>
                </w:tcPr>
                <w:p w14:paraId="6436DD9E">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r>
            <w:tr w14:paraId="5B0A79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418" w:type="dxa"/>
                  <w:vMerge w:val="continue"/>
                  <w:vAlign w:val="center"/>
                </w:tcPr>
                <w:p w14:paraId="118047DD">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c>
                <w:tcPr>
                  <w:tcW w:w="651" w:type="dxa"/>
                  <w:vAlign w:val="center"/>
                </w:tcPr>
                <w:p w14:paraId="70FC5C4C">
                  <w:pPr>
                    <w:adjustRightInd w:val="0"/>
                    <w:spacing w:line="360" w:lineRule="exact"/>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SE5</w:t>
                  </w:r>
                </w:p>
              </w:tc>
              <w:tc>
                <w:tcPr>
                  <w:tcW w:w="1475" w:type="dxa"/>
                  <w:vAlign w:val="center"/>
                </w:tcPr>
                <w:p w14:paraId="7A5C9142">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场外表层点1</w:t>
                  </w:r>
                </w:p>
                <w:p w14:paraId="3042EF88">
                  <w:pPr>
                    <w:adjustRightInd w:val="0"/>
                    <w:ind w:left="-63" w:leftChars="-30" w:right="-63" w:rightChars="-3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（105.46415°，30.50078°）</w:t>
                  </w:r>
                </w:p>
              </w:tc>
              <w:tc>
                <w:tcPr>
                  <w:tcW w:w="1134" w:type="dxa"/>
                  <w:vAlign w:val="center"/>
                </w:tcPr>
                <w:p w14:paraId="6F542152">
                  <w:pPr>
                    <w:autoSpaceDE w:val="0"/>
                    <w:autoSpaceDN w:val="0"/>
                    <w:adjustRightInd w:val="0"/>
                    <w:ind w:left="-63" w:leftChars="-30" w:right="-63" w:rightChars="-30"/>
                    <w:jc w:val="center"/>
                    <w:rPr>
                      <w:rFonts w:ascii="Times New Roman" w:hAnsi="Times New Roman" w:eastAsia="宋体" w:cs="Times New Roman"/>
                      <w:bCs/>
                      <w:color w:val="000000" w:themeColor="text1"/>
                      <w:kern w:val="0"/>
                      <w:sz w:val="20"/>
                      <w:szCs w:val="21"/>
                      <w14:textFill>
                        <w14:solidFill>
                          <w14:schemeClr w14:val="tx1"/>
                        </w14:solidFill>
                      </w14:textFill>
                    </w:rPr>
                  </w:pPr>
                  <w:r>
                    <w:rPr>
                      <w:rFonts w:ascii="Times New Roman" w:hAnsi="Times New Roman" w:eastAsia="宋体" w:cs="Times New Roman"/>
                      <w:bCs/>
                      <w:color w:val="000000" w:themeColor="text1"/>
                      <w:kern w:val="0"/>
                      <w:sz w:val="20"/>
                      <w:szCs w:val="21"/>
                      <w14:textFill>
                        <w14:solidFill>
                          <w14:schemeClr w14:val="tx1"/>
                        </w14:solidFill>
                      </w14:textFill>
                    </w:rPr>
                    <w:t>0~20cm</w:t>
                  </w:r>
                </w:p>
              </w:tc>
              <w:tc>
                <w:tcPr>
                  <w:tcW w:w="3827" w:type="dxa"/>
                  <w:vAlign w:val="center"/>
                </w:tcPr>
                <w:p w14:paraId="373CE83E">
                  <w:pPr>
                    <w:autoSpaceDE w:val="0"/>
                    <w:autoSpaceDN w:val="0"/>
                    <w:adjustRightIn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pH值、镉、汞、砷、铬、铜、镍、锌、氟化物、铅、锰、二噁英</w:t>
                  </w:r>
                </w:p>
              </w:tc>
              <w:tc>
                <w:tcPr>
                  <w:tcW w:w="746" w:type="dxa"/>
                  <w:vMerge w:val="continue"/>
                  <w:vAlign w:val="center"/>
                </w:tcPr>
                <w:p w14:paraId="63CF2005">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r>
            <w:tr w14:paraId="717952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418" w:type="dxa"/>
                  <w:vMerge w:val="continue"/>
                  <w:vAlign w:val="center"/>
                </w:tcPr>
                <w:p w14:paraId="0E2D44DD">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c>
                <w:tcPr>
                  <w:tcW w:w="651" w:type="dxa"/>
                  <w:vAlign w:val="center"/>
                </w:tcPr>
                <w:p w14:paraId="109A9114">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SE6</w:t>
                  </w:r>
                </w:p>
              </w:tc>
              <w:tc>
                <w:tcPr>
                  <w:tcW w:w="1475" w:type="dxa"/>
                  <w:vAlign w:val="center"/>
                </w:tcPr>
                <w:p w14:paraId="453AA56B">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场外表层点2</w:t>
                  </w:r>
                </w:p>
                <w:p w14:paraId="7156E8B7">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（105.46261°，30.50115°）</w:t>
                  </w:r>
                </w:p>
              </w:tc>
              <w:tc>
                <w:tcPr>
                  <w:tcW w:w="1134" w:type="dxa"/>
                  <w:vAlign w:val="center"/>
                </w:tcPr>
                <w:p w14:paraId="074CACCF">
                  <w:pPr>
                    <w:autoSpaceDE w:val="0"/>
                    <w:autoSpaceDN w:val="0"/>
                    <w:adjustRightInd w:val="0"/>
                    <w:ind w:left="-63" w:leftChars="-30" w:right="-63" w:rightChars="-3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 w:val="20"/>
                      <w:szCs w:val="21"/>
                      <w14:textFill>
                        <w14:solidFill>
                          <w14:schemeClr w14:val="tx1"/>
                        </w14:solidFill>
                      </w14:textFill>
                    </w:rPr>
                    <w:t>0~20cm</w:t>
                  </w:r>
                </w:p>
              </w:tc>
              <w:tc>
                <w:tcPr>
                  <w:tcW w:w="3827" w:type="dxa"/>
                  <w:vAlign w:val="center"/>
                </w:tcPr>
                <w:p w14:paraId="7BED095B">
                  <w:pPr>
                    <w:autoSpaceDE w:val="0"/>
                    <w:autoSpaceDN w:val="0"/>
                    <w:adjustRightIn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pH值、镉、汞、砷、铬、铜、镍、锌、氟化物、铅、锰、二噁英</w:t>
                  </w:r>
                </w:p>
              </w:tc>
              <w:tc>
                <w:tcPr>
                  <w:tcW w:w="746" w:type="dxa"/>
                  <w:vMerge w:val="continue"/>
                  <w:vAlign w:val="center"/>
                </w:tcPr>
                <w:p w14:paraId="3AB26D1C">
                  <w:pPr>
                    <w:adjustRightInd w:val="0"/>
                    <w:spacing w:line="360" w:lineRule="exact"/>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r>
          </w:tbl>
          <w:p w14:paraId="06F9E7FD">
            <w:pPr>
              <w:keepNext/>
              <w:keepLines/>
              <w:adjustRightInd w:val="0"/>
              <w:spacing w:before="156" w:beforeLines="50" w:line="360" w:lineRule="auto"/>
              <w:textAlignment w:val="baseline"/>
              <w:rPr>
                <w:rFonts w:ascii="Times New Roman" w:hAnsi="Times New Roman" w:eastAsia="宋体" w:cs="Times New Roman"/>
                <w:b/>
                <w:color w:val="000000" w:themeColor="text1"/>
                <w:kern w:val="0"/>
                <w:sz w:val="24"/>
                <w:szCs w:val="24"/>
                <w14:textFill>
                  <w14:solidFill>
                    <w14:schemeClr w14:val="tx1"/>
                  </w14:solidFill>
                </w14:textFill>
              </w:rPr>
            </w:pPr>
            <w:r>
              <w:rPr>
                <w:rFonts w:ascii="Times New Roman" w:hAnsi="Times New Roman" w:eastAsia="宋体" w:cs="Times New Roman"/>
                <w:b/>
                <w:color w:val="000000" w:themeColor="text1"/>
                <w:kern w:val="0"/>
                <w:sz w:val="24"/>
                <w:szCs w:val="20"/>
                <w14:textFill>
                  <w14:solidFill>
                    <w14:schemeClr w14:val="tx1"/>
                  </w14:solidFill>
                </w14:textFill>
              </w:rPr>
              <w:t>2、土壤环境质量现状评价</w:t>
            </w:r>
          </w:p>
          <w:p w14:paraId="4C8BD37D">
            <w:pPr>
              <w:adjustRightInd w:val="0"/>
              <w:spacing w:line="360" w:lineRule="auto"/>
              <w:ind w:firstLine="482" w:firstLineChars="200"/>
              <w:textAlignment w:val="baseline"/>
              <w:rPr>
                <w:rFonts w:ascii="Times New Roman" w:hAnsi="Times New Roman" w:eastAsia="宋体" w:cs="Times New Roman"/>
                <w:b/>
                <w:bCs/>
                <w:color w:val="000000" w:themeColor="text1"/>
                <w:kern w:val="0"/>
                <w:sz w:val="24"/>
                <w:szCs w:val="24"/>
                <w14:textFill>
                  <w14:solidFill>
                    <w14:schemeClr w14:val="tx1"/>
                  </w14:solidFill>
                </w14:textFill>
              </w:rPr>
            </w:pPr>
            <w:r>
              <w:rPr>
                <w:rFonts w:ascii="Times New Roman" w:hAnsi="Times New Roman" w:eastAsia="宋体" w:cs="Times New Roman"/>
                <w:b/>
                <w:bCs/>
                <w:color w:val="000000" w:themeColor="text1"/>
                <w:kern w:val="0"/>
                <w:sz w:val="24"/>
                <w:szCs w:val="24"/>
                <w14:textFill>
                  <w14:solidFill>
                    <w14:schemeClr w14:val="tx1"/>
                  </w14:solidFill>
                </w14:textFill>
              </w:rPr>
              <w:t>（1）评价标准</w:t>
            </w:r>
          </w:p>
          <w:p w14:paraId="52931F85">
            <w:pPr>
              <w:adjustRightInd w:val="0"/>
              <w:spacing w:line="360" w:lineRule="auto"/>
              <w:ind w:firstLine="480" w:firstLineChars="200"/>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土壤环境执行《土壤环境质量标准-建设用地土壤污染风险管控标准》（GB36600-2018）筛选值第二类用地标准、《土壤环境质量农用地土壤污染风险管控标准（试行）》（GB15618-2018）中其他用地类型风险筛选值。</w:t>
            </w:r>
          </w:p>
          <w:p w14:paraId="69F0A016">
            <w:pPr>
              <w:adjustRightInd w:val="0"/>
              <w:spacing w:line="360" w:lineRule="auto"/>
              <w:ind w:firstLine="482" w:firstLineChars="200"/>
              <w:textAlignment w:val="baseline"/>
              <w:rPr>
                <w:rFonts w:ascii="Times New Roman" w:hAnsi="Times New Roman" w:eastAsia="宋体" w:cs="Times New Roman"/>
                <w:b/>
                <w:bCs/>
                <w:color w:val="000000" w:themeColor="text1"/>
                <w:kern w:val="0"/>
                <w:sz w:val="24"/>
                <w:szCs w:val="20"/>
                <w14:textFill>
                  <w14:solidFill>
                    <w14:schemeClr w14:val="tx1"/>
                  </w14:solidFill>
                </w14:textFill>
              </w:rPr>
            </w:pPr>
            <w:r>
              <w:rPr>
                <w:rFonts w:ascii="Times New Roman" w:hAnsi="Times New Roman" w:eastAsia="宋体" w:cs="Times New Roman"/>
                <w:b/>
                <w:bCs/>
                <w:color w:val="000000" w:themeColor="text1"/>
                <w:kern w:val="0"/>
                <w:sz w:val="24"/>
                <w:szCs w:val="20"/>
                <w14:textFill>
                  <w14:solidFill>
                    <w14:schemeClr w14:val="tx1"/>
                  </w14:solidFill>
                </w14:textFill>
              </w:rPr>
              <w:t>（2）评价方法</w:t>
            </w:r>
          </w:p>
          <w:p w14:paraId="08FC9FAA">
            <w:pPr>
              <w:adjustRightInd w:val="0"/>
              <w:spacing w:line="360" w:lineRule="auto"/>
              <w:ind w:firstLine="480" w:firstLineChars="200"/>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评价方法为实测值与标准值直接比较进行。</w:t>
            </w:r>
          </w:p>
          <w:p w14:paraId="7E5DECF6">
            <w:pPr>
              <w:adjustRightInd w:val="0"/>
              <w:spacing w:line="360" w:lineRule="auto"/>
              <w:ind w:firstLine="482" w:firstLineChars="200"/>
              <w:textAlignment w:val="baseline"/>
              <w:rPr>
                <w:rFonts w:ascii="Times New Roman" w:hAnsi="Times New Roman" w:eastAsia="宋体" w:cs="Times New Roman"/>
                <w:b/>
                <w:bCs/>
                <w:color w:val="000000" w:themeColor="text1"/>
                <w:kern w:val="0"/>
                <w:sz w:val="24"/>
                <w:szCs w:val="20"/>
                <w14:textFill>
                  <w14:solidFill>
                    <w14:schemeClr w14:val="tx1"/>
                  </w14:solidFill>
                </w14:textFill>
              </w:rPr>
            </w:pPr>
            <w:r>
              <w:rPr>
                <w:rFonts w:ascii="Times New Roman" w:hAnsi="Times New Roman" w:eastAsia="宋体" w:cs="Times New Roman"/>
                <w:b/>
                <w:bCs/>
                <w:color w:val="000000" w:themeColor="text1"/>
                <w:kern w:val="0"/>
                <w:sz w:val="24"/>
                <w:szCs w:val="20"/>
                <w14:textFill>
                  <w14:solidFill>
                    <w14:schemeClr w14:val="tx1"/>
                  </w14:solidFill>
                </w14:textFill>
              </w:rPr>
              <w:t>（3）监测及评价结果</w:t>
            </w:r>
          </w:p>
          <w:p w14:paraId="3B3BDCDA">
            <w:pPr>
              <w:adjustRightInd w:val="0"/>
              <w:spacing w:line="360" w:lineRule="auto"/>
              <w:ind w:firstLine="480" w:firstLineChars="200"/>
              <w:textAlignment w:val="baseline"/>
              <w:rPr>
                <w:rFonts w:ascii="Times New Roman" w:hAnsi="Times New Roman" w:eastAsia="宋体" w:cs="Times New Roman"/>
                <w:color w:val="000000" w:themeColor="text1"/>
                <w:kern w:val="0"/>
                <w:sz w:val="24"/>
                <w:szCs w:val="20"/>
                <w14:textFill>
                  <w14:solidFill>
                    <w14:schemeClr w14:val="tx1"/>
                  </w14:solidFill>
                </w14:textFill>
              </w:rPr>
            </w:pPr>
            <w:r>
              <w:rPr>
                <w:rFonts w:ascii="Times New Roman" w:hAnsi="Times New Roman" w:eastAsia="宋体" w:cs="Times New Roman"/>
                <w:color w:val="000000" w:themeColor="text1"/>
                <w:kern w:val="0"/>
                <w:sz w:val="24"/>
                <w:szCs w:val="20"/>
                <w14:textFill>
                  <w14:solidFill>
                    <w14:schemeClr w14:val="tx1"/>
                  </w14:solidFill>
                </w14:textFill>
              </w:rPr>
              <w:t>土壤监测及评价结果见下表。</w:t>
            </w:r>
          </w:p>
          <w:p w14:paraId="542C4AC9">
            <w:pPr>
              <w:adjustRightInd w:val="0"/>
              <w:spacing w:line="312" w:lineRule="atLeast"/>
              <w:jc w:val="center"/>
              <w:textAlignment w:val="baseline"/>
              <w:rPr>
                <w:rFonts w:ascii="Times New Roman" w:hAnsi="Times New Roman" w:eastAsia="宋体" w:cs="Times New Roman"/>
                <w:b/>
                <w:bCs/>
                <w:color w:val="000000" w:themeColor="text1"/>
                <w:kern w:val="0"/>
                <w:sz w:val="18"/>
                <w:szCs w:val="18"/>
                <w14:textFill>
                  <w14:solidFill>
                    <w14:schemeClr w14:val="tx1"/>
                  </w14:solidFill>
                </w14:textFill>
              </w:rPr>
            </w:pPr>
            <w:r>
              <w:rPr>
                <w:rFonts w:ascii="Times New Roman" w:hAnsi="Times New Roman" w:eastAsia="宋体" w:cs="Times New Roman"/>
                <w:b/>
                <w:bCs/>
                <w:color w:val="000000" w:themeColor="text1"/>
                <w:szCs w:val="24"/>
                <w:lang w:val="pt-BR"/>
                <w14:textFill>
                  <w14:solidFill>
                    <w14:schemeClr w14:val="tx1"/>
                  </w14:solidFill>
                </w14:textFill>
              </w:rPr>
              <w:t xml:space="preserve">表3- </w:t>
            </w:r>
            <w:r>
              <w:rPr>
                <w:rFonts w:ascii="Times New Roman" w:hAnsi="Times New Roman" w:eastAsia="宋体" w:cs="Times New Roman"/>
                <w:b/>
                <w:bCs/>
                <w:color w:val="000000" w:themeColor="text1"/>
                <w:szCs w:val="24"/>
                <w:lang w:val="pt-BR"/>
                <w14:textFill>
                  <w14:solidFill>
                    <w14:schemeClr w14:val="tx1"/>
                  </w14:solidFill>
                </w14:textFill>
              </w:rPr>
              <w:fldChar w:fldCharType="begin"/>
            </w:r>
            <w:r>
              <w:rPr>
                <w:rFonts w:ascii="Times New Roman" w:hAnsi="Times New Roman" w:eastAsia="宋体" w:cs="Times New Roman"/>
                <w:b/>
                <w:bCs/>
                <w:color w:val="000000" w:themeColor="text1"/>
                <w:szCs w:val="24"/>
                <w:lang w:val="pt-BR"/>
                <w14:textFill>
                  <w14:solidFill>
                    <w14:schemeClr w14:val="tx1"/>
                  </w14:solidFill>
                </w14:textFill>
              </w:rPr>
              <w:instrText xml:space="preserve"> SEQ 表3- \* ARABIC </w:instrText>
            </w:r>
            <w:r>
              <w:rPr>
                <w:rFonts w:ascii="Times New Roman" w:hAnsi="Times New Roman" w:eastAsia="宋体" w:cs="Times New Roman"/>
                <w:b/>
                <w:bCs/>
                <w:color w:val="000000" w:themeColor="text1"/>
                <w:szCs w:val="24"/>
                <w:lang w:val="pt-BR"/>
                <w14:textFill>
                  <w14:solidFill>
                    <w14:schemeClr w14:val="tx1"/>
                  </w14:solidFill>
                </w14:textFill>
              </w:rPr>
              <w:fldChar w:fldCharType="separate"/>
            </w:r>
            <w:r>
              <w:rPr>
                <w:rFonts w:ascii="Times New Roman" w:hAnsi="Times New Roman" w:eastAsia="宋体" w:cs="Times New Roman"/>
                <w:b/>
                <w:bCs/>
                <w:color w:val="000000" w:themeColor="text1"/>
                <w:szCs w:val="24"/>
                <w:lang w:val="pt-BR"/>
                <w14:textFill>
                  <w14:solidFill>
                    <w14:schemeClr w14:val="tx1"/>
                  </w14:solidFill>
                </w14:textFill>
              </w:rPr>
              <w:t>10</w:t>
            </w:r>
            <w:r>
              <w:rPr>
                <w:rFonts w:ascii="Times New Roman" w:hAnsi="Times New Roman" w:eastAsia="宋体" w:cs="Times New Roman"/>
                <w:b/>
                <w:bCs/>
                <w:color w:val="000000" w:themeColor="text1"/>
                <w:szCs w:val="24"/>
                <w:lang w:val="pt-BR"/>
                <w14:textFill>
                  <w14:solidFill>
                    <w14:schemeClr w14:val="tx1"/>
                  </w14:solidFill>
                </w14:textFill>
              </w:rPr>
              <w:fldChar w:fldCharType="end"/>
            </w:r>
            <w:r>
              <w:rPr>
                <w:rFonts w:ascii="Times New Roman" w:hAnsi="Times New Roman" w:eastAsia="宋体" w:cs="Times New Roman"/>
                <w:b/>
                <w:bCs/>
                <w:color w:val="000000" w:themeColor="text1"/>
                <w:szCs w:val="24"/>
                <w14:textFill>
                  <w14:solidFill>
                    <w14:schemeClr w14:val="tx1"/>
                  </w14:solidFill>
                </w14:textFill>
              </w:rPr>
              <w:t xml:space="preserve">  </w:t>
            </w:r>
            <w:r>
              <w:rPr>
                <w:rFonts w:ascii="Times New Roman" w:hAnsi="Times New Roman" w:eastAsia="宋体" w:cs="Times New Roman"/>
                <w:b/>
                <w:bCs/>
                <w:color w:val="000000" w:themeColor="text1"/>
                <w:kern w:val="0"/>
                <w:szCs w:val="21"/>
                <w14:textFill>
                  <w14:solidFill>
                    <w14:schemeClr w14:val="tx1"/>
                  </w14:solidFill>
                </w14:textFill>
              </w:rPr>
              <w:t xml:space="preserve"> SE1、SE2土壤监测数据</w:t>
            </w:r>
          </w:p>
          <w:tbl>
            <w:tblPr>
              <w:tblStyle w:val="24"/>
              <w:tblW w:w="83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73"/>
              <w:gridCol w:w="850"/>
              <w:gridCol w:w="993"/>
              <w:gridCol w:w="1134"/>
              <w:gridCol w:w="850"/>
              <w:gridCol w:w="1134"/>
              <w:gridCol w:w="1134"/>
              <w:gridCol w:w="709"/>
              <w:gridCol w:w="631"/>
            </w:tblGrid>
            <w:tr w14:paraId="7F4AA9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73" w:type="dxa"/>
                  <w:vMerge w:val="restart"/>
                  <w:vAlign w:val="center"/>
                </w:tcPr>
                <w:p w14:paraId="720121E5">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监测项目</w:t>
                  </w:r>
                </w:p>
              </w:tc>
              <w:tc>
                <w:tcPr>
                  <w:tcW w:w="6095" w:type="dxa"/>
                  <w:gridSpan w:val="6"/>
                  <w:vAlign w:val="center"/>
                </w:tcPr>
                <w:p w14:paraId="68A76DE1">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监测结果</w:t>
                  </w:r>
                </w:p>
              </w:tc>
              <w:tc>
                <w:tcPr>
                  <w:tcW w:w="1340" w:type="dxa"/>
                  <w:gridSpan w:val="2"/>
                  <w:vAlign w:val="center"/>
                </w:tcPr>
                <w:p w14:paraId="44AF5703">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风险筛选值</w:t>
                  </w:r>
                </w:p>
              </w:tc>
            </w:tr>
            <w:tr w14:paraId="1B34DA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73" w:type="dxa"/>
                  <w:vMerge w:val="continue"/>
                  <w:vAlign w:val="center"/>
                </w:tcPr>
                <w:p w14:paraId="5DF2325A">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p>
              </w:tc>
              <w:tc>
                <w:tcPr>
                  <w:tcW w:w="2977" w:type="dxa"/>
                  <w:gridSpan w:val="3"/>
                  <w:vAlign w:val="center"/>
                </w:tcPr>
                <w:p w14:paraId="374720A9">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SE1场内柱状点1（105.46441°，30.50052°）</w:t>
                  </w:r>
                </w:p>
              </w:tc>
              <w:tc>
                <w:tcPr>
                  <w:tcW w:w="3118" w:type="dxa"/>
                  <w:gridSpan w:val="3"/>
                  <w:vAlign w:val="center"/>
                </w:tcPr>
                <w:p w14:paraId="476C71F5">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SE2场内柱状点2（105.46373°，30.50142°）</w:t>
                  </w:r>
                </w:p>
              </w:tc>
              <w:tc>
                <w:tcPr>
                  <w:tcW w:w="709" w:type="dxa"/>
                  <w:vMerge w:val="restart"/>
                  <w:vAlign w:val="center"/>
                </w:tcPr>
                <w:p w14:paraId="653C2699">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执行</w:t>
                  </w:r>
                </w:p>
                <w:p w14:paraId="701A342D">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标准</w:t>
                  </w:r>
                </w:p>
              </w:tc>
              <w:tc>
                <w:tcPr>
                  <w:tcW w:w="631" w:type="dxa"/>
                  <w:vMerge w:val="restart"/>
                  <w:vAlign w:val="center"/>
                </w:tcPr>
                <w:p w14:paraId="4FB0E121">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达标</w:t>
                  </w:r>
                </w:p>
                <w:p w14:paraId="585301AD">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情况</w:t>
                  </w:r>
                </w:p>
              </w:tc>
            </w:tr>
            <w:tr w14:paraId="1603B4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73" w:type="dxa"/>
                  <w:vMerge w:val="continue"/>
                  <w:vAlign w:val="center"/>
                </w:tcPr>
                <w:p w14:paraId="01C5E0FB">
                  <w:pPr>
                    <w:adjustRightInd w:val="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p>
              </w:tc>
              <w:tc>
                <w:tcPr>
                  <w:tcW w:w="850" w:type="dxa"/>
                  <w:vAlign w:val="center"/>
                </w:tcPr>
                <w:p w14:paraId="678E89FF">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0~50cm</w:t>
                  </w:r>
                </w:p>
              </w:tc>
              <w:tc>
                <w:tcPr>
                  <w:tcW w:w="993" w:type="dxa"/>
                  <w:vAlign w:val="center"/>
                </w:tcPr>
                <w:p w14:paraId="73EFDB21">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50~150cm</w:t>
                  </w:r>
                </w:p>
              </w:tc>
              <w:tc>
                <w:tcPr>
                  <w:tcW w:w="1134" w:type="dxa"/>
                  <w:vAlign w:val="center"/>
                </w:tcPr>
                <w:p w14:paraId="52C1DAD1">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150~300cm</w:t>
                  </w:r>
                </w:p>
              </w:tc>
              <w:tc>
                <w:tcPr>
                  <w:tcW w:w="850" w:type="dxa"/>
                  <w:vAlign w:val="center"/>
                </w:tcPr>
                <w:p w14:paraId="32B07960">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0~50cm</w:t>
                  </w:r>
                </w:p>
              </w:tc>
              <w:tc>
                <w:tcPr>
                  <w:tcW w:w="1134" w:type="dxa"/>
                  <w:vAlign w:val="center"/>
                </w:tcPr>
                <w:p w14:paraId="2CDF7941">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50~150cm</w:t>
                  </w:r>
                </w:p>
              </w:tc>
              <w:tc>
                <w:tcPr>
                  <w:tcW w:w="1134" w:type="dxa"/>
                  <w:vAlign w:val="center"/>
                </w:tcPr>
                <w:p w14:paraId="196C7BCA">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150~300cm</w:t>
                  </w:r>
                </w:p>
              </w:tc>
              <w:tc>
                <w:tcPr>
                  <w:tcW w:w="709" w:type="dxa"/>
                  <w:vMerge w:val="continue"/>
                  <w:vAlign w:val="center"/>
                </w:tcPr>
                <w:p w14:paraId="037C79B5">
                  <w:pPr>
                    <w:adjustRightInd w:val="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p>
              </w:tc>
              <w:tc>
                <w:tcPr>
                  <w:tcW w:w="631" w:type="dxa"/>
                  <w:vMerge w:val="continue"/>
                  <w:vAlign w:val="center"/>
                </w:tcPr>
                <w:p w14:paraId="04F87957">
                  <w:pPr>
                    <w:adjustRightInd w:val="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p>
              </w:tc>
            </w:tr>
            <w:tr w14:paraId="52331E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73" w:type="dxa"/>
                  <w:vAlign w:val="center"/>
                </w:tcPr>
                <w:p w14:paraId="753ACD1C">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pH值</w:t>
                  </w:r>
                </w:p>
              </w:tc>
              <w:tc>
                <w:tcPr>
                  <w:tcW w:w="850" w:type="dxa"/>
                  <w:vAlign w:val="center"/>
                </w:tcPr>
                <w:p w14:paraId="01B7FCAD">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7.87</w:t>
                  </w:r>
                </w:p>
              </w:tc>
              <w:tc>
                <w:tcPr>
                  <w:tcW w:w="993" w:type="dxa"/>
                  <w:vAlign w:val="center"/>
                </w:tcPr>
                <w:p w14:paraId="3DF46EAD">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8.13</w:t>
                  </w:r>
                </w:p>
              </w:tc>
              <w:tc>
                <w:tcPr>
                  <w:tcW w:w="1134" w:type="dxa"/>
                  <w:vAlign w:val="center"/>
                </w:tcPr>
                <w:p w14:paraId="2E3C1E99">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8.17</w:t>
                  </w:r>
                </w:p>
              </w:tc>
              <w:tc>
                <w:tcPr>
                  <w:tcW w:w="850" w:type="dxa"/>
                  <w:vAlign w:val="center"/>
                </w:tcPr>
                <w:p w14:paraId="0D9FCCB3">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7.95</w:t>
                  </w:r>
                </w:p>
              </w:tc>
              <w:tc>
                <w:tcPr>
                  <w:tcW w:w="1134" w:type="dxa"/>
                  <w:vAlign w:val="center"/>
                </w:tcPr>
                <w:p w14:paraId="0973364D">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7.85</w:t>
                  </w:r>
                </w:p>
              </w:tc>
              <w:tc>
                <w:tcPr>
                  <w:tcW w:w="1134" w:type="dxa"/>
                  <w:vAlign w:val="center"/>
                </w:tcPr>
                <w:p w14:paraId="1FBB427E">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8.07</w:t>
                  </w:r>
                </w:p>
              </w:tc>
              <w:tc>
                <w:tcPr>
                  <w:tcW w:w="709" w:type="dxa"/>
                  <w:vAlign w:val="bottom"/>
                </w:tcPr>
                <w:p w14:paraId="726A3A4F">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c>
                <w:tcPr>
                  <w:tcW w:w="631" w:type="dxa"/>
                  <w:vAlign w:val="bottom"/>
                </w:tcPr>
                <w:p w14:paraId="310F1B8E">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r>
            <w:tr w14:paraId="738CD8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73" w:type="dxa"/>
                  <w:vAlign w:val="center"/>
                </w:tcPr>
                <w:p w14:paraId="784D4B1B">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阳离子交换量</w:t>
                  </w:r>
                </w:p>
              </w:tc>
              <w:tc>
                <w:tcPr>
                  <w:tcW w:w="850" w:type="dxa"/>
                  <w:vAlign w:val="center"/>
                </w:tcPr>
                <w:p w14:paraId="4A991CCB">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21.7</w:t>
                  </w:r>
                </w:p>
              </w:tc>
              <w:tc>
                <w:tcPr>
                  <w:tcW w:w="993" w:type="dxa"/>
                  <w:vAlign w:val="center"/>
                </w:tcPr>
                <w:p w14:paraId="79760FDE">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23.0</w:t>
                  </w:r>
                </w:p>
              </w:tc>
              <w:tc>
                <w:tcPr>
                  <w:tcW w:w="1134" w:type="dxa"/>
                  <w:vAlign w:val="center"/>
                </w:tcPr>
                <w:p w14:paraId="4BC85E91">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22.0</w:t>
                  </w:r>
                </w:p>
              </w:tc>
              <w:tc>
                <w:tcPr>
                  <w:tcW w:w="850" w:type="dxa"/>
                  <w:vAlign w:val="center"/>
                </w:tcPr>
                <w:p w14:paraId="63432A20">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c>
                <w:tcPr>
                  <w:tcW w:w="1134" w:type="dxa"/>
                  <w:vAlign w:val="center"/>
                </w:tcPr>
                <w:p w14:paraId="684459A2">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c>
                <w:tcPr>
                  <w:tcW w:w="1134" w:type="dxa"/>
                  <w:vAlign w:val="center"/>
                </w:tcPr>
                <w:p w14:paraId="07464E9C">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c>
                <w:tcPr>
                  <w:tcW w:w="709" w:type="dxa"/>
                  <w:vAlign w:val="bottom"/>
                </w:tcPr>
                <w:p w14:paraId="722727E2">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c>
                <w:tcPr>
                  <w:tcW w:w="631" w:type="dxa"/>
                  <w:vAlign w:val="bottom"/>
                </w:tcPr>
                <w:p w14:paraId="1D4F3EBB">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r>
            <w:tr w14:paraId="7B44FE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73" w:type="dxa"/>
                  <w:vAlign w:val="center"/>
                </w:tcPr>
                <w:p w14:paraId="283F039A">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氧化还原电位</w:t>
                  </w:r>
                </w:p>
              </w:tc>
              <w:tc>
                <w:tcPr>
                  <w:tcW w:w="850" w:type="dxa"/>
                  <w:vAlign w:val="center"/>
                </w:tcPr>
                <w:p w14:paraId="4E5F8E3B">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439</w:t>
                  </w:r>
                </w:p>
              </w:tc>
              <w:tc>
                <w:tcPr>
                  <w:tcW w:w="993" w:type="dxa"/>
                  <w:vAlign w:val="center"/>
                </w:tcPr>
                <w:p w14:paraId="7BFD062F">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417</w:t>
                  </w:r>
                </w:p>
              </w:tc>
              <w:tc>
                <w:tcPr>
                  <w:tcW w:w="1134" w:type="dxa"/>
                  <w:vAlign w:val="center"/>
                </w:tcPr>
                <w:p w14:paraId="68E26FCC">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390</w:t>
                  </w:r>
                </w:p>
              </w:tc>
              <w:tc>
                <w:tcPr>
                  <w:tcW w:w="850" w:type="dxa"/>
                  <w:vAlign w:val="center"/>
                </w:tcPr>
                <w:p w14:paraId="1FC3CF53">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c>
                <w:tcPr>
                  <w:tcW w:w="1134" w:type="dxa"/>
                  <w:vAlign w:val="center"/>
                </w:tcPr>
                <w:p w14:paraId="0D8B5242">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c>
                <w:tcPr>
                  <w:tcW w:w="1134" w:type="dxa"/>
                  <w:vAlign w:val="center"/>
                </w:tcPr>
                <w:p w14:paraId="6C137ED3">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c>
                <w:tcPr>
                  <w:tcW w:w="709" w:type="dxa"/>
                  <w:vAlign w:val="bottom"/>
                </w:tcPr>
                <w:p w14:paraId="72E128F6">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c>
                <w:tcPr>
                  <w:tcW w:w="631" w:type="dxa"/>
                  <w:vAlign w:val="bottom"/>
                </w:tcPr>
                <w:p w14:paraId="6A8ACCFA">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r>
            <w:tr w14:paraId="11208F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73" w:type="dxa"/>
                  <w:vAlign w:val="center"/>
                </w:tcPr>
                <w:p w14:paraId="782E681B">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容重</w:t>
                  </w:r>
                </w:p>
              </w:tc>
              <w:tc>
                <w:tcPr>
                  <w:tcW w:w="850" w:type="dxa"/>
                  <w:vAlign w:val="center"/>
                </w:tcPr>
                <w:p w14:paraId="7490E292">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1.75</w:t>
                  </w:r>
                </w:p>
              </w:tc>
              <w:tc>
                <w:tcPr>
                  <w:tcW w:w="993" w:type="dxa"/>
                  <w:vAlign w:val="center"/>
                </w:tcPr>
                <w:p w14:paraId="65930E4E">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1.66</w:t>
                  </w:r>
                </w:p>
              </w:tc>
              <w:tc>
                <w:tcPr>
                  <w:tcW w:w="1134" w:type="dxa"/>
                  <w:vAlign w:val="center"/>
                </w:tcPr>
                <w:p w14:paraId="1DBEDD7A">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1.76</w:t>
                  </w:r>
                </w:p>
              </w:tc>
              <w:tc>
                <w:tcPr>
                  <w:tcW w:w="850" w:type="dxa"/>
                  <w:vAlign w:val="center"/>
                </w:tcPr>
                <w:p w14:paraId="000742A6">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c>
                <w:tcPr>
                  <w:tcW w:w="1134" w:type="dxa"/>
                  <w:vAlign w:val="center"/>
                </w:tcPr>
                <w:p w14:paraId="4A8EB123">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c>
                <w:tcPr>
                  <w:tcW w:w="1134" w:type="dxa"/>
                  <w:vAlign w:val="center"/>
                </w:tcPr>
                <w:p w14:paraId="1F61FFC1">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c>
                <w:tcPr>
                  <w:tcW w:w="709" w:type="dxa"/>
                  <w:vAlign w:val="bottom"/>
                </w:tcPr>
                <w:p w14:paraId="31A1F7EA">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c>
                <w:tcPr>
                  <w:tcW w:w="631" w:type="dxa"/>
                  <w:vAlign w:val="bottom"/>
                </w:tcPr>
                <w:p w14:paraId="01D2B947">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r>
            <w:tr w14:paraId="28F8F7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73" w:type="dxa"/>
                  <w:vAlign w:val="center"/>
                </w:tcPr>
                <w:p w14:paraId="169EFFF9">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汞</w:t>
                  </w:r>
                </w:p>
              </w:tc>
              <w:tc>
                <w:tcPr>
                  <w:tcW w:w="850" w:type="dxa"/>
                  <w:vAlign w:val="center"/>
                </w:tcPr>
                <w:p w14:paraId="4582C4BE">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0.028</w:t>
                  </w:r>
                </w:p>
              </w:tc>
              <w:tc>
                <w:tcPr>
                  <w:tcW w:w="993" w:type="dxa"/>
                  <w:vAlign w:val="center"/>
                </w:tcPr>
                <w:p w14:paraId="78F1BFB8">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0.040</w:t>
                  </w:r>
                </w:p>
              </w:tc>
              <w:tc>
                <w:tcPr>
                  <w:tcW w:w="1134" w:type="dxa"/>
                  <w:vAlign w:val="center"/>
                </w:tcPr>
                <w:p w14:paraId="7AE8F9B9">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0.019</w:t>
                  </w:r>
                </w:p>
              </w:tc>
              <w:tc>
                <w:tcPr>
                  <w:tcW w:w="850" w:type="dxa"/>
                  <w:vAlign w:val="center"/>
                </w:tcPr>
                <w:p w14:paraId="3912C445">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0.021</w:t>
                  </w:r>
                </w:p>
              </w:tc>
              <w:tc>
                <w:tcPr>
                  <w:tcW w:w="1134" w:type="dxa"/>
                  <w:vAlign w:val="center"/>
                </w:tcPr>
                <w:p w14:paraId="524130D0">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0.066</w:t>
                  </w:r>
                </w:p>
              </w:tc>
              <w:tc>
                <w:tcPr>
                  <w:tcW w:w="1134" w:type="dxa"/>
                  <w:vAlign w:val="center"/>
                </w:tcPr>
                <w:p w14:paraId="5DE48002">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0.025</w:t>
                  </w:r>
                </w:p>
              </w:tc>
              <w:tc>
                <w:tcPr>
                  <w:tcW w:w="709" w:type="dxa"/>
                  <w:vAlign w:val="center"/>
                </w:tcPr>
                <w:p w14:paraId="18F1C0E2">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38</w:t>
                  </w:r>
                </w:p>
              </w:tc>
              <w:tc>
                <w:tcPr>
                  <w:tcW w:w="631" w:type="dxa"/>
                  <w:vAlign w:val="center"/>
                </w:tcPr>
                <w:p w14:paraId="05E26A24">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5AD82C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73" w:type="dxa"/>
                  <w:vAlign w:val="center"/>
                </w:tcPr>
                <w:p w14:paraId="00862F19">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砷</w:t>
                  </w:r>
                </w:p>
              </w:tc>
              <w:tc>
                <w:tcPr>
                  <w:tcW w:w="850" w:type="dxa"/>
                  <w:vAlign w:val="center"/>
                </w:tcPr>
                <w:p w14:paraId="009A475E">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13.3</w:t>
                  </w:r>
                </w:p>
              </w:tc>
              <w:tc>
                <w:tcPr>
                  <w:tcW w:w="993" w:type="dxa"/>
                  <w:vAlign w:val="center"/>
                </w:tcPr>
                <w:p w14:paraId="480B9543">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14.1</w:t>
                  </w:r>
                </w:p>
              </w:tc>
              <w:tc>
                <w:tcPr>
                  <w:tcW w:w="1134" w:type="dxa"/>
                  <w:vAlign w:val="center"/>
                </w:tcPr>
                <w:p w14:paraId="6A94D090">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13.3</w:t>
                  </w:r>
                </w:p>
              </w:tc>
              <w:tc>
                <w:tcPr>
                  <w:tcW w:w="850" w:type="dxa"/>
                  <w:vAlign w:val="center"/>
                </w:tcPr>
                <w:p w14:paraId="64EF41E3">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9.95</w:t>
                  </w:r>
                </w:p>
              </w:tc>
              <w:tc>
                <w:tcPr>
                  <w:tcW w:w="1134" w:type="dxa"/>
                  <w:vAlign w:val="center"/>
                </w:tcPr>
                <w:p w14:paraId="5B01AE62">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12.4</w:t>
                  </w:r>
                </w:p>
              </w:tc>
              <w:tc>
                <w:tcPr>
                  <w:tcW w:w="1134" w:type="dxa"/>
                  <w:vAlign w:val="center"/>
                </w:tcPr>
                <w:p w14:paraId="19B7C1F3">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12.1</w:t>
                  </w:r>
                </w:p>
              </w:tc>
              <w:tc>
                <w:tcPr>
                  <w:tcW w:w="709" w:type="dxa"/>
                  <w:vAlign w:val="center"/>
                </w:tcPr>
                <w:p w14:paraId="5A6AF46A">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60</w:t>
                  </w:r>
                </w:p>
              </w:tc>
              <w:tc>
                <w:tcPr>
                  <w:tcW w:w="631" w:type="dxa"/>
                  <w:vAlign w:val="center"/>
                </w:tcPr>
                <w:p w14:paraId="7AA64280">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6B4D08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73" w:type="dxa"/>
                  <w:vAlign w:val="center"/>
                </w:tcPr>
                <w:p w14:paraId="689CFF7B">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铅</w:t>
                  </w:r>
                </w:p>
              </w:tc>
              <w:tc>
                <w:tcPr>
                  <w:tcW w:w="850" w:type="dxa"/>
                  <w:vAlign w:val="center"/>
                </w:tcPr>
                <w:p w14:paraId="741B4911">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28.7</w:t>
                  </w:r>
                </w:p>
              </w:tc>
              <w:tc>
                <w:tcPr>
                  <w:tcW w:w="993" w:type="dxa"/>
                  <w:vAlign w:val="center"/>
                </w:tcPr>
                <w:p w14:paraId="4517E137">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20.2</w:t>
                  </w:r>
                </w:p>
              </w:tc>
              <w:tc>
                <w:tcPr>
                  <w:tcW w:w="1134" w:type="dxa"/>
                  <w:vAlign w:val="center"/>
                </w:tcPr>
                <w:p w14:paraId="3A4CE045">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27.7</w:t>
                  </w:r>
                </w:p>
              </w:tc>
              <w:tc>
                <w:tcPr>
                  <w:tcW w:w="850" w:type="dxa"/>
                  <w:vAlign w:val="center"/>
                </w:tcPr>
                <w:p w14:paraId="4923E1D0">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12.2</w:t>
                  </w:r>
                </w:p>
              </w:tc>
              <w:tc>
                <w:tcPr>
                  <w:tcW w:w="1134" w:type="dxa"/>
                  <w:vAlign w:val="center"/>
                </w:tcPr>
                <w:p w14:paraId="060EAA4B">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15.9</w:t>
                  </w:r>
                </w:p>
              </w:tc>
              <w:tc>
                <w:tcPr>
                  <w:tcW w:w="1134" w:type="dxa"/>
                  <w:vAlign w:val="center"/>
                </w:tcPr>
                <w:p w14:paraId="00B95D11">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20.8</w:t>
                  </w:r>
                </w:p>
              </w:tc>
              <w:tc>
                <w:tcPr>
                  <w:tcW w:w="709" w:type="dxa"/>
                  <w:vAlign w:val="center"/>
                </w:tcPr>
                <w:p w14:paraId="2C918178">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800</w:t>
                  </w:r>
                </w:p>
              </w:tc>
              <w:tc>
                <w:tcPr>
                  <w:tcW w:w="631" w:type="dxa"/>
                  <w:vAlign w:val="center"/>
                </w:tcPr>
                <w:p w14:paraId="35237D88">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530040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73" w:type="dxa"/>
                  <w:vAlign w:val="center"/>
                </w:tcPr>
                <w:p w14:paraId="69A32CD6">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镉</w:t>
                  </w:r>
                </w:p>
              </w:tc>
              <w:tc>
                <w:tcPr>
                  <w:tcW w:w="850" w:type="dxa"/>
                  <w:vAlign w:val="center"/>
                </w:tcPr>
                <w:p w14:paraId="4F9C203C">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0.27</w:t>
                  </w:r>
                </w:p>
              </w:tc>
              <w:tc>
                <w:tcPr>
                  <w:tcW w:w="993" w:type="dxa"/>
                  <w:vAlign w:val="center"/>
                </w:tcPr>
                <w:p w14:paraId="482588E0">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0.26</w:t>
                  </w:r>
                </w:p>
              </w:tc>
              <w:tc>
                <w:tcPr>
                  <w:tcW w:w="1134" w:type="dxa"/>
                  <w:vAlign w:val="center"/>
                </w:tcPr>
                <w:p w14:paraId="20318F66">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0.27</w:t>
                  </w:r>
                </w:p>
              </w:tc>
              <w:tc>
                <w:tcPr>
                  <w:tcW w:w="850" w:type="dxa"/>
                  <w:vAlign w:val="center"/>
                </w:tcPr>
                <w:p w14:paraId="7BAEAF8E">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0.20</w:t>
                  </w:r>
                </w:p>
              </w:tc>
              <w:tc>
                <w:tcPr>
                  <w:tcW w:w="1134" w:type="dxa"/>
                  <w:vAlign w:val="center"/>
                </w:tcPr>
                <w:p w14:paraId="1CBF33EA">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0.25</w:t>
                  </w:r>
                </w:p>
              </w:tc>
              <w:tc>
                <w:tcPr>
                  <w:tcW w:w="1134" w:type="dxa"/>
                  <w:vAlign w:val="center"/>
                </w:tcPr>
                <w:p w14:paraId="72DBE344">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0.25</w:t>
                  </w:r>
                </w:p>
              </w:tc>
              <w:tc>
                <w:tcPr>
                  <w:tcW w:w="709" w:type="dxa"/>
                  <w:vAlign w:val="center"/>
                </w:tcPr>
                <w:p w14:paraId="72EABF0B">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65</w:t>
                  </w:r>
                </w:p>
              </w:tc>
              <w:tc>
                <w:tcPr>
                  <w:tcW w:w="631" w:type="dxa"/>
                  <w:vAlign w:val="center"/>
                </w:tcPr>
                <w:p w14:paraId="3DCF7EE5">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085A96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73" w:type="dxa"/>
                  <w:vAlign w:val="center"/>
                </w:tcPr>
                <w:p w14:paraId="1B359C89">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锰</w:t>
                  </w:r>
                </w:p>
              </w:tc>
              <w:tc>
                <w:tcPr>
                  <w:tcW w:w="850" w:type="dxa"/>
                  <w:vAlign w:val="center"/>
                </w:tcPr>
                <w:p w14:paraId="54A1A57D">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699</w:t>
                  </w:r>
                </w:p>
              </w:tc>
              <w:tc>
                <w:tcPr>
                  <w:tcW w:w="993" w:type="dxa"/>
                  <w:vAlign w:val="center"/>
                </w:tcPr>
                <w:p w14:paraId="722F367B">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721</w:t>
                  </w:r>
                </w:p>
              </w:tc>
              <w:tc>
                <w:tcPr>
                  <w:tcW w:w="1134" w:type="dxa"/>
                  <w:vAlign w:val="center"/>
                </w:tcPr>
                <w:p w14:paraId="09E168CE">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780</w:t>
                  </w:r>
                </w:p>
              </w:tc>
              <w:tc>
                <w:tcPr>
                  <w:tcW w:w="850" w:type="dxa"/>
                  <w:vAlign w:val="center"/>
                </w:tcPr>
                <w:p w14:paraId="6CD66FC1">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540</w:t>
                  </w:r>
                </w:p>
              </w:tc>
              <w:tc>
                <w:tcPr>
                  <w:tcW w:w="1134" w:type="dxa"/>
                  <w:vAlign w:val="center"/>
                </w:tcPr>
                <w:p w14:paraId="17DB4DB0">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599</w:t>
                  </w:r>
                </w:p>
              </w:tc>
              <w:tc>
                <w:tcPr>
                  <w:tcW w:w="1134" w:type="dxa"/>
                  <w:vAlign w:val="center"/>
                </w:tcPr>
                <w:p w14:paraId="68E3CD45">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719</w:t>
                  </w:r>
                </w:p>
              </w:tc>
              <w:tc>
                <w:tcPr>
                  <w:tcW w:w="709" w:type="dxa"/>
                  <w:vAlign w:val="bottom"/>
                </w:tcPr>
                <w:p w14:paraId="5A9C7449">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c>
                <w:tcPr>
                  <w:tcW w:w="631" w:type="dxa"/>
                  <w:vAlign w:val="center"/>
                </w:tcPr>
                <w:p w14:paraId="745A2FB9">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1A641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73" w:type="dxa"/>
                  <w:vAlign w:val="center"/>
                </w:tcPr>
                <w:p w14:paraId="0F27A413">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850" w:type="dxa"/>
                  <w:vAlign w:val="center"/>
                </w:tcPr>
                <w:p w14:paraId="6084FBCA">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495</w:t>
                  </w:r>
                </w:p>
              </w:tc>
              <w:tc>
                <w:tcPr>
                  <w:tcW w:w="993" w:type="dxa"/>
                  <w:vAlign w:val="center"/>
                </w:tcPr>
                <w:p w14:paraId="0B5647D1">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516</w:t>
                  </w:r>
                </w:p>
              </w:tc>
              <w:tc>
                <w:tcPr>
                  <w:tcW w:w="1134" w:type="dxa"/>
                  <w:vAlign w:val="center"/>
                </w:tcPr>
                <w:p w14:paraId="01130C67">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552</w:t>
                  </w:r>
                </w:p>
              </w:tc>
              <w:tc>
                <w:tcPr>
                  <w:tcW w:w="850" w:type="dxa"/>
                  <w:vAlign w:val="center"/>
                </w:tcPr>
                <w:p w14:paraId="1AB98598">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479</w:t>
                  </w:r>
                </w:p>
              </w:tc>
              <w:tc>
                <w:tcPr>
                  <w:tcW w:w="1134" w:type="dxa"/>
                  <w:vAlign w:val="center"/>
                </w:tcPr>
                <w:p w14:paraId="44E84E5C">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452</w:t>
                  </w:r>
                </w:p>
              </w:tc>
              <w:tc>
                <w:tcPr>
                  <w:tcW w:w="1134" w:type="dxa"/>
                  <w:vAlign w:val="center"/>
                </w:tcPr>
                <w:p w14:paraId="1300A066">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535</w:t>
                  </w:r>
                </w:p>
              </w:tc>
              <w:tc>
                <w:tcPr>
                  <w:tcW w:w="709" w:type="dxa"/>
                  <w:vAlign w:val="bottom"/>
                </w:tcPr>
                <w:p w14:paraId="52B6954B">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p>
              </w:tc>
              <w:tc>
                <w:tcPr>
                  <w:tcW w:w="631" w:type="dxa"/>
                  <w:vAlign w:val="center"/>
                </w:tcPr>
                <w:p w14:paraId="1095ECA0">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57C9F9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873" w:type="dxa"/>
                  <w:vAlign w:val="center"/>
                </w:tcPr>
                <w:p w14:paraId="5505BA7D">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六价铬</w:t>
                  </w:r>
                </w:p>
              </w:tc>
              <w:tc>
                <w:tcPr>
                  <w:tcW w:w="850" w:type="dxa"/>
                  <w:vAlign w:val="center"/>
                </w:tcPr>
                <w:p w14:paraId="4E644954">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1.6</w:t>
                  </w:r>
                </w:p>
              </w:tc>
              <w:tc>
                <w:tcPr>
                  <w:tcW w:w="993" w:type="dxa"/>
                  <w:vAlign w:val="center"/>
                </w:tcPr>
                <w:p w14:paraId="33BD7870">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1.4</w:t>
                  </w:r>
                </w:p>
              </w:tc>
              <w:tc>
                <w:tcPr>
                  <w:tcW w:w="1134" w:type="dxa"/>
                  <w:vAlign w:val="center"/>
                </w:tcPr>
                <w:p w14:paraId="69799449">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1.4</w:t>
                  </w:r>
                </w:p>
              </w:tc>
              <w:tc>
                <w:tcPr>
                  <w:tcW w:w="850" w:type="dxa"/>
                  <w:vAlign w:val="center"/>
                </w:tcPr>
                <w:p w14:paraId="5E4AC109">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1.3</w:t>
                  </w:r>
                </w:p>
              </w:tc>
              <w:tc>
                <w:tcPr>
                  <w:tcW w:w="1134" w:type="dxa"/>
                  <w:vAlign w:val="center"/>
                </w:tcPr>
                <w:p w14:paraId="0D070EE4">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1.3</w:t>
                  </w:r>
                </w:p>
              </w:tc>
              <w:tc>
                <w:tcPr>
                  <w:tcW w:w="1134" w:type="dxa"/>
                  <w:vAlign w:val="center"/>
                </w:tcPr>
                <w:p w14:paraId="5DE58D89">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1.6</w:t>
                  </w:r>
                </w:p>
              </w:tc>
              <w:tc>
                <w:tcPr>
                  <w:tcW w:w="709" w:type="dxa"/>
                  <w:vAlign w:val="center"/>
                </w:tcPr>
                <w:p w14:paraId="255DD243">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5.7</w:t>
                  </w:r>
                </w:p>
              </w:tc>
              <w:tc>
                <w:tcPr>
                  <w:tcW w:w="631" w:type="dxa"/>
                  <w:vAlign w:val="center"/>
                </w:tcPr>
                <w:p w14:paraId="4305A591">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bl>
          <w:p w14:paraId="3CFB932F">
            <w:pPr>
              <w:adjustRightInd w:val="0"/>
              <w:spacing w:line="240" w:lineRule="exact"/>
              <w:textAlignment w:val="baseline"/>
              <w:rPr>
                <w:rFonts w:ascii="Times New Roman" w:hAnsi="Times New Roman" w:eastAsia="宋体" w:cs="Times New Roman"/>
                <w:color w:val="000000" w:themeColor="text1"/>
                <w:kern w:val="0"/>
                <w:sz w:val="24"/>
                <w:szCs w:val="20"/>
                <w14:textFill>
                  <w14:solidFill>
                    <w14:schemeClr w14:val="tx1"/>
                  </w14:solidFill>
                </w14:textFill>
              </w:rPr>
            </w:pPr>
          </w:p>
          <w:p w14:paraId="6DAE2873">
            <w:pPr>
              <w:adjustRightInd w:val="0"/>
              <w:spacing w:line="312" w:lineRule="atLeast"/>
              <w:jc w:val="center"/>
              <w:textAlignment w:val="baseline"/>
              <w:rPr>
                <w:rFonts w:ascii="Times New Roman" w:hAnsi="Times New Roman" w:eastAsia="宋体" w:cs="Times New Roman"/>
                <w:b/>
                <w:bCs/>
                <w:color w:val="000000" w:themeColor="text1"/>
                <w:kern w:val="0"/>
                <w:sz w:val="18"/>
                <w:szCs w:val="18"/>
                <w14:textFill>
                  <w14:solidFill>
                    <w14:schemeClr w14:val="tx1"/>
                  </w14:solidFill>
                </w14:textFill>
              </w:rPr>
            </w:pPr>
            <w:r>
              <w:rPr>
                <w:rFonts w:ascii="Times New Roman" w:hAnsi="Times New Roman" w:eastAsia="宋体" w:cs="Times New Roman"/>
                <w:b/>
                <w:bCs/>
                <w:color w:val="000000" w:themeColor="text1"/>
                <w:szCs w:val="24"/>
                <w:lang w:val="pt-BR"/>
                <w14:textFill>
                  <w14:solidFill>
                    <w14:schemeClr w14:val="tx1"/>
                  </w14:solidFill>
                </w14:textFill>
              </w:rPr>
              <w:t xml:space="preserve">表3- </w:t>
            </w:r>
            <w:r>
              <w:rPr>
                <w:rFonts w:ascii="Times New Roman" w:hAnsi="Times New Roman" w:eastAsia="宋体" w:cs="Times New Roman"/>
                <w:b/>
                <w:bCs/>
                <w:color w:val="000000" w:themeColor="text1"/>
                <w:szCs w:val="24"/>
                <w:lang w:val="pt-BR"/>
                <w14:textFill>
                  <w14:solidFill>
                    <w14:schemeClr w14:val="tx1"/>
                  </w14:solidFill>
                </w14:textFill>
              </w:rPr>
              <w:fldChar w:fldCharType="begin"/>
            </w:r>
            <w:r>
              <w:rPr>
                <w:rFonts w:ascii="Times New Roman" w:hAnsi="Times New Roman" w:eastAsia="宋体" w:cs="Times New Roman"/>
                <w:b/>
                <w:bCs/>
                <w:color w:val="000000" w:themeColor="text1"/>
                <w:szCs w:val="24"/>
                <w:lang w:val="pt-BR"/>
                <w14:textFill>
                  <w14:solidFill>
                    <w14:schemeClr w14:val="tx1"/>
                  </w14:solidFill>
                </w14:textFill>
              </w:rPr>
              <w:instrText xml:space="preserve"> SEQ 表3- \* ARABIC </w:instrText>
            </w:r>
            <w:r>
              <w:rPr>
                <w:rFonts w:ascii="Times New Roman" w:hAnsi="Times New Roman" w:eastAsia="宋体" w:cs="Times New Roman"/>
                <w:b/>
                <w:bCs/>
                <w:color w:val="000000" w:themeColor="text1"/>
                <w:szCs w:val="24"/>
                <w:lang w:val="pt-BR"/>
                <w14:textFill>
                  <w14:solidFill>
                    <w14:schemeClr w14:val="tx1"/>
                  </w14:solidFill>
                </w14:textFill>
              </w:rPr>
              <w:fldChar w:fldCharType="separate"/>
            </w:r>
            <w:r>
              <w:rPr>
                <w:rFonts w:ascii="Times New Roman" w:hAnsi="Times New Roman" w:eastAsia="宋体" w:cs="Times New Roman"/>
                <w:b/>
                <w:bCs/>
                <w:color w:val="000000" w:themeColor="text1"/>
                <w:szCs w:val="24"/>
                <w:lang w:val="pt-BR"/>
                <w14:textFill>
                  <w14:solidFill>
                    <w14:schemeClr w14:val="tx1"/>
                  </w14:solidFill>
                </w14:textFill>
              </w:rPr>
              <w:t>11</w:t>
            </w:r>
            <w:r>
              <w:rPr>
                <w:rFonts w:ascii="Times New Roman" w:hAnsi="Times New Roman" w:eastAsia="宋体" w:cs="Times New Roman"/>
                <w:b/>
                <w:bCs/>
                <w:color w:val="000000" w:themeColor="text1"/>
                <w:szCs w:val="24"/>
                <w:lang w:val="pt-BR"/>
                <w14:textFill>
                  <w14:solidFill>
                    <w14:schemeClr w14:val="tx1"/>
                  </w14:solidFill>
                </w14:textFill>
              </w:rPr>
              <w:fldChar w:fldCharType="end"/>
            </w:r>
            <w:r>
              <w:rPr>
                <w:rFonts w:ascii="Times New Roman" w:hAnsi="Times New Roman" w:eastAsia="宋体" w:cs="Times New Roman"/>
                <w:b/>
                <w:bCs/>
                <w:color w:val="000000" w:themeColor="text1"/>
                <w:szCs w:val="24"/>
                <w14:textFill>
                  <w14:solidFill>
                    <w14:schemeClr w14:val="tx1"/>
                  </w14:solidFill>
                </w14:textFill>
              </w:rPr>
              <w:t xml:space="preserve">  </w:t>
            </w:r>
            <w:r>
              <w:rPr>
                <w:rFonts w:ascii="Times New Roman" w:hAnsi="Times New Roman" w:eastAsia="宋体" w:cs="Times New Roman"/>
                <w:b/>
                <w:bCs/>
                <w:color w:val="000000" w:themeColor="text1"/>
                <w:kern w:val="0"/>
                <w:szCs w:val="21"/>
                <w14:textFill>
                  <w14:solidFill>
                    <w14:schemeClr w14:val="tx1"/>
                  </w14:solidFill>
                </w14:textFill>
              </w:rPr>
              <w:t>SE3、SE4土壤监测数据</w:t>
            </w:r>
          </w:p>
          <w:tbl>
            <w:tblPr>
              <w:tblStyle w:val="24"/>
              <w:tblW w:w="83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07"/>
              <w:gridCol w:w="1134"/>
              <w:gridCol w:w="992"/>
              <w:gridCol w:w="1134"/>
              <w:gridCol w:w="1559"/>
              <w:gridCol w:w="851"/>
              <w:gridCol w:w="631"/>
            </w:tblGrid>
            <w:tr w14:paraId="1E40A4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Merge w:val="restart"/>
                  <w:vAlign w:val="center"/>
                </w:tcPr>
                <w:p w14:paraId="01420516">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监测项目</w:t>
                  </w:r>
                </w:p>
              </w:tc>
              <w:tc>
                <w:tcPr>
                  <w:tcW w:w="4819" w:type="dxa"/>
                  <w:gridSpan w:val="4"/>
                  <w:vAlign w:val="center"/>
                </w:tcPr>
                <w:p w14:paraId="3C625F59">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监测结果</w:t>
                  </w:r>
                </w:p>
              </w:tc>
              <w:tc>
                <w:tcPr>
                  <w:tcW w:w="1482" w:type="dxa"/>
                  <w:gridSpan w:val="2"/>
                  <w:vAlign w:val="center"/>
                </w:tcPr>
                <w:p w14:paraId="5E2F4850">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风险筛选值</w:t>
                  </w:r>
                </w:p>
              </w:tc>
            </w:tr>
            <w:tr w14:paraId="5957D9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Merge w:val="continue"/>
                  <w:vAlign w:val="center"/>
                </w:tcPr>
                <w:p w14:paraId="0EA9DA6A">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p>
              </w:tc>
              <w:tc>
                <w:tcPr>
                  <w:tcW w:w="3260" w:type="dxa"/>
                  <w:gridSpan w:val="3"/>
                  <w:vAlign w:val="center"/>
                </w:tcPr>
                <w:p w14:paraId="1510D7C9">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SE3场内柱状点3（105.46427°，30.50061°）</w:t>
                  </w:r>
                </w:p>
              </w:tc>
              <w:tc>
                <w:tcPr>
                  <w:tcW w:w="1559" w:type="dxa"/>
                  <w:vAlign w:val="center"/>
                </w:tcPr>
                <w:p w14:paraId="38AF7FA2">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SE4场内表层点（105.46366°，30.50113°）</w:t>
                  </w:r>
                </w:p>
              </w:tc>
              <w:tc>
                <w:tcPr>
                  <w:tcW w:w="851" w:type="dxa"/>
                  <w:vMerge w:val="restart"/>
                  <w:vAlign w:val="center"/>
                </w:tcPr>
                <w:p w14:paraId="1DBE9B70">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执行</w:t>
                  </w:r>
                </w:p>
                <w:p w14:paraId="38052ACE">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标准</w:t>
                  </w:r>
                </w:p>
              </w:tc>
              <w:tc>
                <w:tcPr>
                  <w:tcW w:w="631" w:type="dxa"/>
                  <w:vMerge w:val="restart"/>
                  <w:vAlign w:val="center"/>
                </w:tcPr>
                <w:p w14:paraId="3CEE8050">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达标</w:t>
                  </w:r>
                </w:p>
                <w:p w14:paraId="61D92E20">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情况</w:t>
                  </w:r>
                </w:p>
              </w:tc>
            </w:tr>
            <w:tr w14:paraId="258533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Merge w:val="continue"/>
                  <w:vAlign w:val="center"/>
                </w:tcPr>
                <w:p w14:paraId="31240A19">
                  <w:pPr>
                    <w:adjustRightInd w:val="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p>
              </w:tc>
              <w:tc>
                <w:tcPr>
                  <w:tcW w:w="1134" w:type="dxa"/>
                  <w:vAlign w:val="center"/>
                </w:tcPr>
                <w:p w14:paraId="03F77E0F">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0~50cm</w:t>
                  </w:r>
                </w:p>
              </w:tc>
              <w:tc>
                <w:tcPr>
                  <w:tcW w:w="992" w:type="dxa"/>
                  <w:vAlign w:val="center"/>
                </w:tcPr>
                <w:p w14:paraId="5DFDEE39">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50~150cm</w:t>
                  </w:r>
                </w:p>
              </w:tc>
              <w:tc>
                <w:tcPr>
                  <w:tcW w:w="1134" w:type="dxa"/>
                  <w:vAlign w:val="center"/>
                </w:tcPr>
                <w:p w14:paraId="3081C7ED">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150~300cm</w:t>
                  </w:r>
                </w:p>
              </w:tc>
              <w:tc>
                <w:tcPr>
                  <w:tcW w:w="1559" w:type="dxa"/>
                  <w:vAlign w:val="center"/>
                </w:tcPr>
                <w:p w14:paraId="5BF812EE">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0~20cm</w:t>
                  </w:r>
                </w:p>
              </w:tc>
              <w:tc>
                <w:tcPr>
                  <w:tcW w:w="851" w:type="dxa"/>
                  <w:vMerge w:val="continue"/>
                  <w:vAlign w:val="center"/>
                </w:tcPr>
                <w:p w14:paraId="5F4772D3">
                  <w:pPr>
                    <w:adjustRightInd w:val="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p>
              </w:tc>
              <w:tc>
                <w:tcPr>
                  <w:tcW w:w="631" w:type="dxa"/>
                  <w:vMerge w:val="continue"/>
                  <w:vAlign w:val="center"/>
                </w:tcPr>
                <w:p w14:paraId="61DFFB1A">
                  <w:pPr>
                    <w:adjustRightInd w:val="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p>
              </w:tc>
            </w:tr>
            <w:tr w14:paraId="4AAE00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0EDBABEA">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pH值</w:t>
                  </w:r>
                </w:p>
              </w:tc>
              <w:tc>
                <w:tcPr>
                  <w:tcW w:w="1134" w:type="dxa"/>
                  <w:vAlign w:val="center"/>
                </w:tcPr>
                <w:p w14:paraId="4F070F41">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8.15</w:t>
                  </w:r>
                </w:p>
              </w:tc>
              <w:tc>
                <w:tcPr>
                  <w:tcW w:w="992" w:type="dxa"/>
                  <w:vAlign w:val="center"/>
                </w:tcPr>
                <w:p w14:paraId="7657D657">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8.07</w:t>
                  </w:r>
                </w:p>
              </w:tc>
              <w:tc>
                <w:tcPr>
                  <w:tcW w:w="1134" w:type="dxa"/>
                  <w:vAlign w:val="center"/>
                </w:tcPr>
                <w:p w14:paraId="32C212AB">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8.09</w:t>
                  </w:r>
                </w:p>
              </w:tc>
              <w:tc>
                <w:tcPr>
                  <w:tcW w:w="1559" w:type="dxa"/>
                  <w:vAlign w:val="center"/>
                </w:tcPr>
                <w:p w14:paraId="742C6DCF">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8.02</w:t>
                  </w:r>
                </w:p>
              </w:tc>
              <w:tc>
                <w:tcPr>
                  <w:tcW w:w="851" w:type="dxa"/>
                  <w:vAlign w:val="bottom"/>
                </w:tcPr>
                <w:p w14:paraId="4DF95D68">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c>
                <w:tcPr>
                  <w:tcW w:w="631" w:type="dxa"/>
                  <w:vAlign w:val="center"/>
                </w:tcPr>
                <w:p w14:paraId="6312CCD1">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r>
            <w:tr w14:paraId="396CA6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61964C68">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汞</w:t>
                  </w:r>
                </w:p>
              </w:tc>
              <w:tc>
                <w:tcPr>
                  <w:tcW w:w="1134" w:type="dxa"/>
                  <w:vAlign w:val="center"/>
                </w:tcPr>
                <w:p w14:paraId="2D3651B4">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0.016</w:t>
                  </w:r>
                </w:p>
              </w:tc>
              <w:tc>
                <w:tcPr>
                  <w:tcW w:w="992" w:type="dxa"/>
                  <w:vAlign w:val="center"/>
                </w:tcPr>
                <w:p w14:paraId="3F5D208F">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0.036</w:t>
                  </w:r>
                </w:p>
              </w:tc>
              <w:tc>
                <w:tcPr>
                  <w:tcW w:w="1134" w:type="dxa"/>
                  <w:vAlign w:val="center"/>
                </w:tcPr>
                <w:p w14:paraId="5EB42ADC">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0.047</w:t>
                  </w:r>
                </w:p>
              </w:tc>
              <w:tc>
                <w:tcPr>
                  <w:tcW w:w="1559" w:type="dxa"/>
                  <w:vAlign w:val="center"/>
                </w:tcPr>
                <w:p w14:paraId="1BADE45C">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0.063</w:t>
                  </w:r>
                </w:p>
              </w:tc>
              <w:tc>
                <w:tcPr>
                  <w:tcW w:w="851" w:type="dxa"/>
                  <w:vAlign w:val="center"/>
                </w:tcPr>
                <w:p w14:paraId="5D1DF60B">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38</w:t>
                  </w:r>
                </w:p>
              </w:tc>
              <w:tc>
                <w:tcPr>
                  <w:tcW w:w="631" w:type="dxa"/>
                  <w:vAlign w:val="center"/>
                </w:tcPr>
                <w:p w14:paraId="450A4576">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3EA28B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6C9717E1">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砷</w:t>
                  </w:r>
                </w:p>
              </w:tc>
              <w:tc>
                <w:tcPr>
                  <w:tcW w:w="1134" w:type="dxa"/>
                  <w:vAlign w:val="center"/>
                </w:tcPr>
                <w:p w14:paraId="7B8B22F9">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13.2</w:t>
                  </w:r>
                </w:p>
              </w:tc>
              <w:tc>
                <w:tcPr>
                  <w:tcW w:w="992" w:type="dxa"/>
                  <w:vAlign w:val="center"/>
                </w:tcPr>
                <w:p w14:paraId="3DB2D394">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12.9</w:t>
                  </w:r>
                </w:p>
              </w:tc>
              <w:tc>
                <w:tcPr>
                  <w:tcW w:w="1134" w:type="dxa"/>
                  <w:vAlign w:val="center"/>
                </w:tcPr>
                <w:p w14:paraId="011B0ABD">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12.3</w:t>
                  </w:r>
                </w:p>
              </w:tc>
              <w:tc>
                <w:tcPr>
                  <w:tcW w:w="1559" w:type="dxa"/>
                  <w:vAlign w:val="center"/>
                </w:tcPr>
                <w:p w14:paraId="67FF2CC7">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13.7</w:t>
                  </w:r>
                </w:p>
              </w:tc>
              <w:tc>
                <w:tcPr>
                  <w:tcW w:w="851" w:type="dxa"/>
                  <w:vAlign w:val="center"/>
                </w:tcPr>
                <w:p w14:paraId="440177E1">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60</w:t>
                  </w:r>
                </w:p>
              </w:tc>
              <w:tc>
                <w:tcPr>
                  <w:tcW w:w="631" w:type="dxa"/>
                  <w:vAlign w:val="center"/>
                </w:tcPr>
                <w:p w14:paraId="792E439F">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075692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1BC4DB0E">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铅</w:t>
                  </w:r>
                </w:p>
              </w:tc>
              <w:tc>
                <w:tcPr>
                  <w:tcW w:w="1134" w:type="dxa"/>
                  <w:vAlign w:val="center"/>
                </w:tcPr>
                <w:p w14:paraId="32EE39F1">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21.3</w:t>
                  </w:r>
                </w:p>
              </w:tc>
              <w:tc>
                <w:tcPr>
                  <w:tcW w:w="992" w:type="dxa"/>
                  <w:vAlign w:val="center"/>
                </w:tcPr>
                <w:p w14:paraId="78859DF7">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16.9</w:t>
                  </w:r>
                </w:p>
              </w:tc>
              <w:tc>
                <w:tcPr>
                  <w:tcW w:w="1134" w:type="dxa"/>
                  <w:vAlign w:val="center"/>
                </w:tcPr>
                <w:p w14:paraId="3934FAB0">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17.9</w:t>
                  </w:r>
                </w:p>
              </w:tc>
              <w:tc>
                <w:tcPr>
                  <w:tcW w:w="1559" w:type="dxa"/>
                  <w:vAlign w:val="center"/>
                </w:tcPr>
                <w:p w14:paraId="4A3D011E">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17.7</w:t>
                  </w:r>
                </w:p>
              </w:tc>
              <w:tc>
                <w:tcPr>
                  <w:tcW w:w="851" w:type="dxa"/>
                  <w:vAlign w:val="center"/>
                </w:tcPr>
                <w:p w14:paraId="42F59479">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800</w:t>
                  </w:r>
                </w:p>
              </w:tc>
              <w:tc>
                <w:tcPr>
                  <w:tcW w:w="631" w:type="dxa"/>
                  <w:vAlign w:val="center"/>
                </w:tcPr>
                <w:p w14:paraId="6B3A52C0">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3439A1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4B8490E0">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镉</w:t>
                  </w:r>
                </w:p>
              </w:tc>
              <w:tc>
                <w:tcPr>
                  <w:tcW w:w="1134" w:type="dxa"/>
                  <w:vAlign w:val="center"/>
                </w:tcPr>
                <w:p w14:paraId="3D8C8CD8">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0.25</w:t>
                  </w:r>
                </w:p>
              </w:tc>
              <w:tc>
                <w:tcPr>
                  <w:tcW w:w="992" w:type="dxa"/>
                  <w:vAlign w:val="center"/>
                </w:tcPr>
                <w:p w14:paraId="63B333A2">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0.25</w:t>
                  </w:r>
                </w:p>
              </w:tc>
              <w:tc>
                <w:tcPr>
                  <w:tcW w:w="1134" w:type="dxa"/>
                  <w:vAlign w:val="center"/>
                </w:tcPr>
                <w:p w14:paraId="0DE62E4D">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0.25</w:t>
                  </w:r>
                </w:p>
              </w:tc>
              <w:tc>
                <w:tcPr>
                  <w:tcW w:w="1559" w:type="dxa"/>
                  <w:vAlign w:val="center"/>
                </w:tcPr>
                <w:p w14:paraId="415E54DC">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0.26</w:t>
                  </w:r>
                </w:p>
              </w:tc>
              <w:tc>
                <w:tcPr>
                  <w:tcW w:w="851" w:type="dxa"/>
                  <w:vAlign w:val="center"/>
                </w:tcPr>
                <w:p w14:paraId="62E7AAF4">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65</w:t>
                  </w:r>
                </w:p>
              </w:tc>
              <w:tc>
                <w:tcPr>
                  <w:tcW w:w="631" w:type="dxa"/>
                  <w:vAlign w:val="center"/>
                </w:tcPr>
                <w:p w14:paraId="17DBAB64">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31A83B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1982208E">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铜</w:t>
                  </w:r>
                </w:p>
              </w:tc>
              <w:tc>
                <w:tcPr>
                  <w:tcW w:w="1134" w:type="dxa"/>
                  <w:vAlign w:val="center"/>
                </w:tcPr>
                <w:p w14:paraId="44C11561">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6F264AA4">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2971C6CD">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612AA024">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31</w:t>
                  </w:r>
                </w:p>
              </w:tc>
              <w:tc>
                <w:tcPr>
                  <w:tcW w:w="851" w:type="dxa"/>
                  <w:vAlign w:val="bottom"/>
                </w:tcPr>
                <w:p w14:paraId="7A8F09F7">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18000</w:t>
                  </w:r>
                </w:p>
              </w:tc>
              <w:tc>
                <w:tcPr>
                  <w:tcW w:w="631" w:type="dxa"/>
                  <w:vAlign w:val="center"/>
                </w:tcPr>
                <w:p w14:paraId="60D272DF">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4E2955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40EDE40E">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镍</w:t>
                  </w:r>
                </w:p>
              </w:tc>
              <w:tc>
                <w:tcPr>
                  <w:tcW w:w="1134" w:type="dxa"/>
                  <w:vAlign w:val="center"/>
                </w:tcPr>
                <w:p w14:paraId="05C49285">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36345069">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0470C37A">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3D972B28">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46</w:t>
                  </w:r>
                </w:p>
              </w:tc>
              <w:tc>
                <w:tcPr>
                  <w:tcW w:w="851" w:type="dxa"/>
                  <w:vAlign w:val="bottom"/>
                </w:tcPr>
                <w:p w14:paraId="6B2EF80A">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900</w:t>
                  </w:r>
                </w:p>
              </w:tc>
              <w:tc>
                <w:tcPr>
                  <w:tcW w:w="631" w:type="dxa"/>
                  <w:vAlign w:val="center"/>
                </w:tcPr>
                <w:p w14:paraId="0459F0D6">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2301F2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77BA527E">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锰</w:t>
                  </w:r>
                </w:p>
              </w:tc>
              <w:tc>
                <w:tcPr>
                  <w:tcW w:w="1134" w:type="dxa"/>
                  <w:vAlign w:val="center"/>
                </w:tcPr>
                <w:p w14:paraId="1809BA39">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732</w:t>
                  </w:r>
                </w:p>
              </w:tc>
              <w:tc>
                <w:tcPr>
                  <w:tcW w:w="992" w:type="dxa"/>
                  <w:vAlign w:val="center"/>
                </w:tcPr>
                <w:p w14:paraId="1D1A60EE">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683</w:t>
                  </w:r>
                </w:p>
              </w:tc>
              <w:tc>
                <w:tcPr>
                  <w:tcW w:w="1134" w:type="dxa"/>
                  <w:vAlign w:val="center"/>
                </w:tcPr>
                <w:p w14:paraId="5ECD72FE">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626</w:t>
                  </w:r>
                </w:p>
              </w:tc>
              <w:tc>
                <w:tcPr>
                  <w:tcW w:w="1559" w:type="dxa"/>
                  <w:vAlign w:val="center"/>
                </w:tcPr>
                <w:p w14:paraId="0BD61516">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739</w:t>
                  </w:r>
                </w:p>
              </w:tc>
              <w:tc>
                <w:tcPr>
                  <w:tcW w:w="851" w:type="dxa"/>
                  <w:vAlign w:val="center"/>
                </w:tcPr>
                <w:p w14:paraId="6C431345">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c>
                <w:tcPr>
                  <w:tcW w:w="631" w:type="dxa"/>
                  <w:vAlign w:val="center"/>
                </w:tcPr>
                <w:p w14:paraId="342BBB59">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r>
            <w:tr w14:paraId="07CEC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2D15FD50">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1134" w:type="dxa"/>
                  <w:vAlign w:val="center"/>
                </w:tcPr>
                <w:p w14:paraId="30591EC6">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608</w:t>
                  </w:r>
                </w:p>
              </w:tc>
              <w:tc>
                <w:tcPr>
                  <w:tcW w:w="992" w:type="dxa"/>
                  <w:vAlign w:val="center"/>
                </w:tcPr>
                <w:p w14:paraId="5EDFE641">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693</w:t>
                  </w:r>
                </w:p>
              </w:tc>
              <w:tc>
                <w:tcPr>
                  <w:tcW w:w="1134" w:type="dxa"/>
                  <w:vAlign w:val="center"/>
                </w:tcPr>
                <w:p w14:paraId="3888AB6F">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673</w:t>
                  </w:r>
                </w:p>
              </w:tc>
              <w:tc>
                <w:tcPr>
                  <w:tcW w:w="1559" w:type="dxa"/>
                  <w:vAlign w:val="center"/>
                </w:tcPr>
                <w:p w14:paraId="6A28AF4C">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634</w:t>
                  </w:r>
                </w:p>
              </w:tc>
              <w:tc>
                <w:tcPr>
                  <w:tcW w:w="851" w:type="dxa"/>
                  <w:vAlign w:val="bottom"/>
                </w:tcPr>
                <w:p w14:paraId="08DDD550">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c>
                <w:tcPr>
                  <w:tcW w:w="631" w:type="dxa"/>
                  <w:vAlign w:val="center"/>
                </w:tcPr>
                <w:p w14:paraId="1F040A5C">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r>
            <w:tr w14:paraId="64F21F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6577C2F4">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六价铬</w:t>
                  </w:r>
                </w:p>
              </w:tc>
              <w:tc>
                <w:tcPr>
                  <w:tcW w:w="1134" w:type="dxa"/>
                  <w:vAlign w:val="center"/>
                </w:tcPr>
                <w:p w14:paraId="05F3FF14">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1.5</w:t>
                  </w:r>
                </w:p>
              </w:tc>
              <w:tc>
                <w:tcPr>
                  <w:tcW w:w="992" w:type="dxa"/>
                  <w:vAlign w:val="center"/>
                </w:tcPr>
                <w:p w14:paraId="648E1741">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w:t>
                  </w:r>
                </w:p>
              </w:tc>
              <w:tc>
                <w:tcPr>
                  <w:tcW w:w="1134" w:type="dxa"/>
                  <w:vAlign w:val="center"/>
                </w:tcPr>
                <w:p w14:paraId="30EB5139">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1.4</w:t>
                  </w:r>
                </w:p>
              </w:tc>
              <w:tc>
                <w:tcPr>
                  <w:tcW w:w="1559" w:type="dxa"/>
                  <w:vAlign w:val="center"/>
                </w:tcPr>
                <w:p w14:paraId="1A374EA7">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1.4</w:t>
                  </w:r>
                </w:p>
              </w:tc>
              <w:tc>
                <w:tcPr>
                  <w:tcW w:w="851" w:type="dxa"/>
                  <w:vAlign w:val="center"/>
                </w:tcPr>
                <w:p w14:paraId="6596B2E3">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5.7</w:t>
                  </w:r>
                </w:p>
              </w:tc>
              <w:tc>
                <w:tcPr>
                  <w:tcW w:w="631" w:type="dxa"/>
                  <w:vAlign w:val="center"/>
                </w:tcPr>
                <w:p w14:paraId="2AF28F46">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4A0E38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1138E25E">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四氯化碳</w:t>
                  </w:r>
                </w:p>
              </w:tc>
              <w:tc>
                <w:tcPr>
                  <w:tcW w:w="1134" w:type="dxa"/>
                  <w:vAlign w:val="center"/>
                </w:tcPr>
                <w:p w14:paraId="0A99C548">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75434282">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1136D0C8">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2D055231">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16D269FE">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2.8</w:t>
                  </w:r>
                </w:p>
              </w:tc>
              <w:tc>
                <w:tcPr>
                  <w:tcW w:w="631" w:type="dxa"/>
                  <w:vAlign w:val="center"/>
                </w:tcPr>
                <w:p w14:paraId="1FB84DBC">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54E01C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659D0745">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氯仿</w:t>
                  </w:r>
                </w:p>
              </w:tc>
              <w:tc>
                <w:tcPr>
                  <w:tcW w:w="1134" w:type="dxa"/>
                  <w:vAlign w:val="center"/>
                </w:tcPr>
                <w:p w14:paraId="685DB45A">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0E1DF3DE">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48DA8E64">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7C7695AD">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0E041C7F">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0.9</w:t>
                  </w:r>
                </w:p>
              </w:tc>
              <w:tc>
                <w:tcPr>
                  <w:tcW w:w="631" w:type="dxa"/>
                  <w:vAlign w:val="center"/>
                </w:tcPr>
                <w:p w14:paraId="7FED670C">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0F20D5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799026E8">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氯甲烷</w:t>
                  </w:r>
                </w:p>
              </w:tc>
              <w:tc>
                <w:tcPr>
                  <w:tcW w:w="1134" w:type="dxa"/>
                  <w:vAlign w:val="center"/>
                </w:tcPr>
                <w:p w14:paraId="5805529E">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6DA21C5F">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55B1D03D">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07281BBB">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07E33573">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37</w:t>
                  </w:r>
                </w:p>
              </w:tc>
              <w:tc>
                <w:tcPr>
                  <w:tcW w:w="631" w:type="dxa"/>
                  <w:vAlign w:val="center"/>
                </w:tcPr>
                <w:p w14:paraId="4A800E77">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491518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3EA5B9CB">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1,1-二氯乙烷</w:t>
                  </w:r>
                </w:p>
              </w:tc>
              <w:tc>
                <w:tcPr>
                  <w:tcW w:w="1134" w:type="dxa"/>
                  <w:vAlign w:val="center"/>
                </w:tcPr>
                <w:p w14:paraId="3A3E51BD">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7DEE915F">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314EDA48">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2341593D">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14D13485">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9</w:t>
                  </w:r>
                </w:p>
              </w:tc>
              <w:tc>
                <w:tcPr>
                  <w:tcW w:w="631" w:type="dxa"/>
                  <w:vAlign w:val="center"/>
                </w:tcPr>
                <w:p w14:paraId="5E841364">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10AFF2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07E623A4">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1,2-二氯乙烷</w:t>
                  </w:r>
                </w:p>
              </w:tc>
              <w:tc>
                <w:tcPr>
                  <w:tcW w:w="1134" w:type="dxa"/>
                  <w:vAlign w:val="center"/>
                </w:tcPr>
                <w:p w14:paraId="5BA1CBCB">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7C05FA44">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3F3B1139">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5A901324">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5D3117C3">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5</w:t>
                  </w:r>
                </w:p>
              </w:tc>
              <w:tc>
                <w:tcPr>
                  <w:tcW w:w="631" w:type="dxa"/>
                  <w:vAlign w:val="center"/>
                </w:tcPr>
                <w:p w14:paraId="5D06ED11">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3C227C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1F79C967">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1,1-二氯乙烯</w:t>
                  </w:r>
                </w:p>
              </w:tc>
              <w:tc>
                <w:tcPr>
                  <w:tcW w:w="1134" w:type="dxa"/>
                  <w:vAlign w:val="center"/>
                </w:tcPr>
                <w:p w14:paraId="0FBEE9C1">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44D815DF">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67978EBF">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5914B9DC">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7EA31291">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66</w:t>
                  </w:r>
                </w:p>
              </w:tc>
              <w:tc>
                <w:tcPr>
                  <w:tcW w:w="631" w:type="dxa"/>
                  <w:vAlign w:val="center"/>
                </w:tcPr>
                <w:p w14:paraId="0D887C50">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291D82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03642282">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顺式-1,2-二氯乙烯</w:t>
                  </w:r>
                </w:p>
              </w:tc>
              <w:tc>
                <w:tcPr>
                  <w:tcW w:w="1134" w:type="dxa"/>
                  <w:vAlign w:val="center"/>
                </w:tcPr>
                <w:p w14:paraId="1F1FA5C5">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30A3005A">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1BBCBA2C">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3849EA23">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019B8A25">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596</w:t>
                  </w:r>
                </w:p>
              </w:tc>
              <w:tc>
                <w:tcPr>
                  <w:tcW w:w="631" w:type="dxa"/>
                  <w:vAlign w:val="center"/>
                </w:tcPr>
                <w:p w14:paraId="6BB31787">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3A2963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41AEA1DC">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反式-1,2-二氯乙烯</w:t>
                  </w:r>
                </w:p>
              </w:tc>
              <w:tc>
                <w:tcPr>
                  <w:tcW w:w="1134" w:type="dxa"/>
                  <w:vAlign w:val="center"/>
                </w:tcPr>
                <w:p w14:paraId="3DF8B4D2">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60463BBD">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113F7488">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24F08951">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1BF02FDD">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54</w:t>
                  </w:r>
                </w:p>
              </w:tc>
              <w:tc>
                <w:tcPr>
                  <w:tcW w:w="631" w:type="dxa"/>
                  <w:vAlign w:val="center"/>
                </w:tcPr>
                <w:p w14:paraId="1A512E25">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31439F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462D8313">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二氯甲烷</w:t>
                  </w:r>
                </w:p>
              </w:tc>
              <w:tc>
                <w:tcPr>
                  <w:tcW w:w="1134" w:type="dxa"/>
                  <w:vAlign w:val="center"/>
                </w:tcPr>
                <w:p w14:paraId="7391F4CA">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6E4211DE">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5033BD49">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5318B29E">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23288329">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616</w:t>
                  </w:r>
                </w:p>
              </w:tc>
              <w:tc>
                <w:tcPr>
                  <w:tcW w:w="631" w:type="dxa"/>
                  <w:vAlign w:val="center"/>
                </w:tcPr>
                <w:p w14:paraId="402E6496">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19A90C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7E4AB8E5">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1,2-二氯丙烷</w:t>
                  </w:r>
                </w:p>
              </w:tc>
              <w:tc>
                <w:tcPr>
                  <w:tcW w:w="1134" w:type="dxa"/>
                  <w:vAlign w:val="center"/>
                </w:tcPr>
                <w:p w14:paraId="4CA81948">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087FD97D">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4331FDFC">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0C5E18E6">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40A1CA24">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5</w:t>
                  </w:r>
                </w:p>
              </w:tc>
              <w:tc>
                <w:tcPr>
                  <w:tcW w:w="631" w:type="dxa"/>
                  <w:vAlign w:val="center"/>
                </w:tcPr>
                <w:p w14:paraId="7F4F1043">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13BA22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67CC6208">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1,1,1,2-四氯乙烷</w:t>
                  </w:r>
                </w:p>
              </w:tc>
              <w:tc>
                <w:tcPr>
                  <w:tcW w:w="1134" w:type="dxa"/>
                  <w:vAlign w:val="center"/>
                </w:tcPr>
                <w:p w14:paraId="6198D112">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2280D163">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18256A33">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2322354C">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0DEDD259">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10</w:t>
                  </w:r>
                </w:p>
              </w:tc>
              <w:tc>
                <w:tcPr>
                  <w:tcW w:w="631" w:type="dxa"/>
                  <w:vAlign w:val="center"/>
                </w:tcPr>
                <w:p w14:paraId="3A35CB09">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24E174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3257F95E">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1,1,2,2-四氯乙烷</w:t>
                  </w:r>
                </w:p>
              </w:tc>
              <w:tc>
                <w:tcPr>
                  <w:tcW w:w="1134" w:type="dxa"/>
                  <w:vAlign w:val="center"/>
                </w:tcPr>
                <w:p w14:paraId="0A35CE6C">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43A0B812">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3FE99644">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76DF5468">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30286749">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6.8</w:t>
                  </w:r>
                </w:p>
              </w:tc>
              <w:tc>
                <w:tcPr>
                  <w:tcW w:w="631" w:type="dxa"/>
                  <w:vAlign w:val="center"/>
                </w:tcPr>
                <w:p w14:paraId="625A8C83">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1D130D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532A82C7">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四氯乙烯</w:t>
                  </w:r>
                </w:p>
              </w:tc>
              <w:tc>
                <w:tcPr>
                  <w:tcW w:w="1134" w:type="dxa"/>
                  <w:vAlign w:val="center"/>
                </w:tcPr>
                <w:p w14:paraId="4E3CB2FD">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141B924E">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76C21C54">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4052F413">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60D97978">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53</w:t>
                  </w:r>
                </w:p>
              </w:tc>
              <w:tc>
                <w:tcPr>
                  <w:tcW w:w="631" w:type="dxa"/>
                  <w:vAlign w:val="center"/>
                </w:tcPr>
                <w:p w14:paraId="75C091B8">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2233A1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5FCAA56C">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1,1,1-三氯乙烷</w:t>
                  </w:r>
                </w:p>
              </w:tc>
              <w:tc>
                <w:tcPr>
                  <w:tcW w:w="1134" w:type="dxa"/>
                  <w:vAlign w:val="center"/>
                </w:tcPr>
                <w:p w14:paraId="3A683403">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3316E5F4">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16BC8641">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555473F0">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647A9CCA">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840</w:t>
                  </w:r>
                </w:p>
              </w:tc>
              <w:tc>
                <w:tcPr>
                  <w:tcW w:w="631" w:type="dxa"/>
                  <w:vAlign w:val="center"/>
                </w:tcPr>
                <w:p w14:paraId="0C38CE77">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36DB5A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173B5E65">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1,1,2-三氯乙烷</w:t>
                  </w:r>
                </w:p>
              </w:tc>
              <w:tc>
                <w:tcPr>
                  <w:tcW w:w="1134" w:type="dxa"/>
                  <w:vAlign w:val="center"/>
                </w:tcPr>
                <w:p w14:paraId="016B735C">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239B2CF1">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5875B045">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2E0ECBC8">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28DB3E20">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2.8</w:t>
                  </w:r>
                </w:p>
              </w:tc>
              <w:tc>
                <w:tcPr>
                  <w:tcW w:w="631" w:type="dxa"/>
                  <w:vAlign w:val="center"/>
                </w:tcPr>
                <w:p w14:paraId="76CC29F3">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53BAC8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77ECA1B8">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三氯乙烯</w:t>
                  </w:r>
                </w:p>
              </w:tc>
              <w:tc>
                <w:tcPr>
                  <w:tcW w:w="1134" w:type="dxa"/>
                  <w:vAlign w:val="center"/>
                </w:tcPr>
                <w:p w14:paraId="1472BC26">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0E2AF4AA">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20299C52">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6E422637">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2B91E787">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2.8</w:t>
                  </w:r>
                </w:p>
              </w:tc>
              <w:tc>
                <w:tcPr>
                  <w:tcW w:w="631" w:type="dxa"/>
                  <w:vAlign w:val="center"/>
                </w:tcPr>
                <w:p w14:paraId="43AF4167">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259520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0675B4FA">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氯乙烯</w:t>
                  </w:r>
                </w:p>
              </w:tc>
              <w:tc>
                <w:tcPr>
                  <w:tcW w:w="1134" w:type="dxa"/>
                  <w:vAlign w:val="center"/>
                </w:tcPr>
                <w:p w14:paraId="6D7A2F7D">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64EC8FEB">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58516455">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3B47A035">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316B7F48">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0.43</w:t>
                  </w:r>
                </w:p>
              </w:tc>
              <w:tc>
                <w:tcPr>
                  <w:tcW w:w="631" w:type="dxa"/>
                  <w:vAlign w:val="center"/>
                </w:tcPr>
                <w:p w14:paraId="39343698">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13D511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51CB647D">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苯</w:t>
                  </w:r>
                </w:p>
              </w:tc>
              <w:tc>
                <w:tcPr>
                  <w:tcW w:w="1134" w:type="dxa"/>
                  <w:vAlign w:val="center"/>
                </w:tcPr>
                <w:p w14:paraId="66377190">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0C61E866">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0495D91B">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4AEE0D97">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29AE11AC">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4</w:t>
                  </w:r>
                </w:p>
              </w:tc>
              <w:tc>
                <w:tcPr>
                  <w:tcW w:w="631" w:type="dxa"/>
                  <w:vAlign w:val="center"/>
                </w:tcPr>
                <w:p w14:paraId="0A71A759">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325A5E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0EFE9805">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氯苯</w:t>
                  </w:r>
                </w:p>
              </w:tc>
              <w:tc>
                <w:tcPr>
                  <w:tcW w:w="1134" w:type="dxa"/>
                  <w:vAlign w:val="center"/>
                </w:tcPr>
                <w:p w14:paraId="3708927D">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40D27568">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23765D27">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5D8A25F4">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6A9CE2B5">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270</w:t>
                  </w:r>
                </w:p>
              </w:tc>
              <w:tc>
                <w:tcPr>
                  <w:tcW w:w="631" w:type="dxa"/>
                  <w:vAlign w:val="center"/>
                </w:tcPr>
                <w:p w14:paraId="457915CE">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4A5675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5B560140">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1,2-二氯苯</w:t>
                  </w:r>
                </w:p>
              </w:tc>
              <w:tc>
                <w:tcPr>
                  <w:tcW w:w="1134" w:type="dxa"/>
                  <w:vAlign w:val="center"/>
                </w:tcPr>
                <w:p w14:paraId="6FF6C751">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5D4A6B93">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6752269C">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4DCF4CF1">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7647154B">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560</w:t>
                  </w:r>
                </w:p>
              </w:tc>
              <w:tc>
                <w:tcPr>
                  <w:tcW w:w="631" w:type="dxa"/>
                  <w:vAlign w:val="center"/>
                </w:tcPr>
                <w:p w14:paraId="3F2C86CD">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79DE7B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2988012D">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1,4-二氯苯</w:t>
                  </w:r>
                </w:p>
              </w:tc>
              <w:tc>
                <w:tcPr>
                  <w:tcW w:w="1134" w:type="dxa"/>
                  <w:vAlign w:val="center"/>
                </w:tcPr>
                <w:p w14:paraId="6EA10296">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4A23D262">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2F12D3C5">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2E6013AD">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79CB068F">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30</w:t>
                  </w:r>
                </w:p>
              </w:tc>
              <w:tc>
                <w:tcPr>
                  <w:tcW w:w="631" w:type="dxa"/>
                  <w:vAlign w:val="center"/>
                </w:tcPr>
                <w:p w14:paraId="60DC623F">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7C8899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74CAB565">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乙苯</w:t>
                  </w:r>
                </w:p>
              </w:tc>
              <w:tc>
                <w:tcPr>
                  <w:tcW w:w="1134" w:type="dxa"/>
                  <w:vAlign w:val="center"/>
                </w:tcPr>
                <w:p w14:paraId="1D1816F3">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228B758D">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18B6F066">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422CD361">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1A8C1C25">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28</w:t>
                  </w:r>
                </w:p>
              </w:tc>
              <w:tc>
                <w:tcPr>
                  <w:tcW w:w="631" w:type="dxa"/>
                  <w:vAlign w:val="center"/>
                </w:tcPr>
                <w:p w14:paraId="7E33B56C">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6F6DA9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3A15C0D4">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苯乙烯</w:t>
                  </w:r>
                </w:p>
              </w:tc>
              <w:tc>
                <w:tcPr>
                  <w:tcW w:w="1134" w:type="dxa"/>
                  <w:vAlign w:val="center"/>
                </w:tcPr>
                <w:p w14:paraId="60C2E0FF">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6F9B9FB8">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0E02B7C4">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6CBF9FB3">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18730B17">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1290</w:t>
                  </w:r>
                </w:p>
              </w:tc>
              <w:tc>
                <w:tcPr>
                  <w:tcW w:w="631" w:type="dxa"/>
                  <w:vAlign w:val="center"/>
                </w:tcPr>
                <w:p w14:paraId="5005D509">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4CFC5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77D2557B">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甲苯</w:t>
                  </w:r>
                </w:p>
              </w:tc>
              <w:tc>
                <w:tcPr>
                  <w:tcW w:w="1134" w:type="dxa"/>
                  <w:vAlign w:val="center"/>
                </w:tcPr>
                <w:p w14:paraId="15E109CD">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062A62D8">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5AF22335">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052580B6">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56BB047C">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1200</w:t>
                  </w:r>
                </w:p>
              </w:tc>
              <w:tc>
                <w:tcPr>
                  <w:tcW w:w="631" w:type="dxa"/>
                  <w:vAlign w:val="center"/>
                </w:tcPr>
                <w:p w14:paraId="553FBCB9">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76A59C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78854FC8">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间二甲苯+对二甲苯</w:t>
                  </w:r>
                </w:p>
              </w:tc>
              <w:tc>
                <w:tcPr>
                  <w:tcW w:w="1134" w:type="dxa"/>
                  <w:vAlign w:val="center"/>
                </w:tcPr>
                <w:p w14:paraId="2FF9347A">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301A56E3">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7756CF1E">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60DEE4EC">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5477AF4A">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570</w:t>
                  </w:r>
                </w:p>
              </w:tc>
              <w:tc>
                <w:tcPr>
                  <w:tcW w:w="631" w:type="dxa"/>
                  <w:vAlign w:val="center"/>
                </w:tcPr>
                <w:p w14:paraId="1FCED0A1">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504CD2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3D387C27">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邻-二甲苯</w:t>
                  </w:r>
                </w:p>
              </w:tc>
              <w:tc>
                <w:tcPr>
                  <w:tcW w:w="1134" w:type="dxa"/>
                  <w:vAlign w:val="center"/>
                </w:tcPr>
                <w:p w14:paraId="0557E5CF">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7AB6F05A">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28146F85">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6D48BD77">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03971060">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640</w:t>
                  </w:r>
                </w:p>
              </w:tc>
              <w:tc>
                <w:tcPr>
                  <w:tcW w:w="631" w:type="dxa"/>
                  <w:vAlign w:val="center"/>
                </w:tcPr>
                <w:p w14:paraId="4EB01CD2">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75CB35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249F4CF9">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1,2,3-三氯丙烷</w:t>
                  </w:r>
                </w:p>
              </w:tc>
              <w:tc>
                <w:tcPr>
                  <w:tcW w:w="1134" w:type="dxa"/>
                  <w:vAlign w:val="center"/>
                </w:tcPr>
                <w:p w14:paraId="10F3F0A4">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3CA942B8">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29D7DC34">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3D25C6BD">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509884CA">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0.5</w:t>
                  </w:r>
                </w:p>
              </w:tc>
              <w:tc>
                <w:tcPr>
                  <w:tcW w:w="631" w:type="dxa"/>
                  <w:vAlign w:val="center"/>
                </w:tcPr>
                <w:p w14:paraId="7E487C6D">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5552CF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186F228C">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硝基苯</w:t>
                  </w:r>
                </w:p>
              </w:tc>
              <w:tc>
                <w:tcPr>
                  <w:tcW w:w="1134" w:type="dxa"/>
                  <w:vAlign w:val="center"/>
                </w:tcPr>
                <w:p w14:paraId="6BD7AA26">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446690B5">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264D72A9">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67C354D3">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08B79619">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76</w:t>
                  </w:r>
                </w:p>
              </w:tc>
              <w:tc>
                <w:tcPr>
                  <w:tcW w:w="631" w:type="dxa"/>
                  <w:vAlign w:val="center"/>
                </w:tcPr>
                <w:p w14:paraId="53D8AD8D">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5929B8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3AA3286B">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苯胺</w:t>
                  </w:r>
                </w:p>
              </w:tc>
              <w:tc>
                <w:tcPr>
                  <w:tcW w:w="1134" w:type="dxa"/>
                  <w:vAlign w:val="center"/>
                </w:tcPr>
                <w:p w14:paraId="36FC63E0">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6FBCFDF1">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2C0FDC5F">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4581B2DD">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13FD3BE9">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260</w:t>
                  </w:r>
                </w:p>
              </w:tc>
              <w:tc>
                <w:tcPr>
                  <w:tcW w:w="631" w:type="dxa"/>
                  <w:vAlign w:val="center"/>
                </w:tcPr>
                <w:p w14:paraId="4501C4DF">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7557E5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2B7F0234">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2-氯酚</w:t>
                  </w:r>
                </w:p>
              </w:tc>
              <w:tc>
                <w:tcPr>
                  <w:tcW w:w="1134" w:type="dxa"/>
                  <w:vAlign w:val="center"/>
                </w:tcPr>
                <w:p w14:paraId="0FDE4F4F">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16D339CA">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279458B5">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35EFE5FA">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51D2FCB6">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2256</w:t>
                  </w:r>
                </w:p>
              </w:tc>
              <w:tc>
                <w:tcPr>
                  <w:tcW w:w="631" w:type="dxa"/>
                  <w:vAlign w:val="center"/>
                </w:tcPr>
                <w:p w14:paraId="2A395032">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45A8E7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3A560BC8">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苯并[a]蒽</w:t>
                  </w:r>
                </w:p>
              </w:tc>
              <w:tc>
                <w:tcPr>
                  <w:tcW w:w="1134" w:type="dxa"/>
                  <w:vAlign w:val="center"/>
                </w:tcPr>
                <w:p w14:paraId="4F64174C">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293EE080">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463F997E">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1843A693">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1EBF397E">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15</w:t>
                  </w:r>
                </w:p>
              </w:tc>
              <w:tc>
                <w:tcPr>
                  <w:tcW w:w="631" w:type="dxa"/>
                  <w:vAlign w:val="center"/>
                </w:tcPr>
                <w:p w14:paraId="25449BFB">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07771F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2FB4E852">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苯并[a]芘</w:t>
                  </w:r>
                </w:p>
              </w:tc>
              <w:tc>
                <w:tcPr>
                  <w:tcW w:w="1134" w:type="dxa"/>
                  <w:vAlign w:val="center"/>
                </w:tcPr>
                <w:p w14:paraId="0CA3B5C5">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60305719">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3181865F">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20C007BA">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5123F9BD">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1.5</w:t>
                  </w:r>
                </w:p>
              </w:tc>
              <w:tc>
                <w:tcPr>
                  <w:tcW w:w="631" w:type="dxa"/>
                  <w:vAlign w:val="center"/>
                </w:tcPr>
                <w:p w14:paraId="087085D5">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525905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544F8A3E">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苯并[b]荧蒽</w:t>
                  </w:r>
                </w:p>
              </w:tc>
              <w:tc>
                <w:tcPr>
                  <w:tcW w:w="1134" w:type="dxa"/>
                  <w:vAlign w:val="center"/>
                </w:tcPr>
                <w:p w14:paraId="35697AF5">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03089F7B">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2E19DA15">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4A9CCD61">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69F68C16">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15</w:t>
                  </w:r>
                </w:p>
              </w:tc>
              <w:tc>
                <w:tcPr>
                  <w:tcW w:w="631" w:type="dxa"/>
                  <w:vAlign w:val="center"/>
                </w:tcPr>
                <w:p w14:paraId="5D0CECEC">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6FAD38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6A8A4159">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苯并[k]荧蒽</w:t>
                  </w:r>
                </w:p>
              </w:tc>
              <w:tc>
                <w:tcPr>
                  <w:tcW w:w="1134" w:type="dxa"/>
                  <w:vAlign w:val="center"/>
                </w:tcPr>
                <w:p w14:paraId="5190D4B3">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041D9232">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097E282B">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2D7F956D">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2782A300">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151</w:t>
                  </w:r>
                </w:p>
              </w:tc>
              <w:tc>
                <w:tcPr>
                  <w:tcW w:w="631" w:type="dxa"/>
                  <w:vAlign w:val="center"/>
                </w:tcPr>
                <w:p w14:paraId="7521F832">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03444F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216CF05D">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䓛</w:t>
                  </w:r>
                </w:p>
              </w:tc>
              <w:tc>
                <w:tcPr>
                  <w:tcW w:w="1134" w:type="dxa"/>
                  <w:vAlign w:val="center"/>
                </w:tcPr>
                <w:p w14:paraId="3F117C1A">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31290041">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600E9E83">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7288C626">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6B390741">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1293</w:t>
                  </w:r>
                </w:p>
              </w:tc>
              <w:tc>
                <w:tcPr>
                  <w:tcW w:w="631" w:type="dxa"/>
                  <w:vAlign w:val="center"/>
                </w:tcPr>
                <w:p w14:paraId="59DF962D">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04106E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49C2C51F">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二苯并[a,h]蒽</w:t>
                  </w:r>
                </w:p>
              </w:tc>
              <w:tc>
                <w:tcPr>
                  <w:tcW w:w="1134" w:type="dxa"/>
                  <w:vAlign w:val="center"/>
                </w:tcPr>
                <w:p w14:paraId="24044704">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3F3CDE41">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12E282C3">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1FA4B5AF">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5756B99C">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1.5</w:t>
                  </w:r>
                </w:p>
              </w:tc>
              <w:tc>
                <w:tcPr>
                  <w:tcW w:w="631" w:type="dxa"/>
                  <w:vAlign w:val="center"/>
                </w:tcPr>
                <w:p w14:paraId="59339350">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30D893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29A5329D">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茚并[1,2,3-c,d]芘</w:t>
                  </w:r>
                </w:p>
              </w:tc>
              <w:tc>
                <w:tcPr>
                  <w:tcW w:w="1134" w:type="dxa"/>
                  <w:vAlign w:val="center"/>
                </w:tcPr>
                <w:p w14:paraId="062F9A6E">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2F772BD4">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43BA2A8B">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5980D9BB">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331C8B8D">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15</w:t>
                  </w:r>
                </w:p>
              </w:tc>
              <w:tc>
                <w:tcPr>
                  <w:tcW w:w="631" w:type="dxa"/>
                  <w:vAlign w:val="center"/>
                </w:tcPr>
                <w:p w14:paraId="4AAA3A50">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57971A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18779BE4">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萘</w:t>
                  </w:r>
                </w:p>
              </w:tc>
              <w:tc>
                <w:tcPr>
                  <w:tcW w:w="1134" w:type="dxa"/>
                  <w:vAlign w:val="center"/>
                </w:tcPr>
                <w:p w14:paraId="541D9694">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1E6816AB">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7D936308">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736DF831">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未检出</w:t>
                  </w:r>
                </w:p>
              </w:tc>
              <w:tc>
                <w:tcPr>
                  <w:tcW w:w="851" w:type="dxa"/>
                  <w:vAlign w:val="center"/>
                </w:tcPr>
                <w:p w14:paraId="4254F6B0">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70</w:t>
                  </w:r>
                </w:p>
              </w:tc>
              <w:tc>
                <w:tcPr>
                  <w:tcW w:w="631" w:type="dxa"/>
                  <w:vAlign w:val="center"/>
                </w:tcPr>
                <w:p w14:paraId="7D9E665E">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2A39C9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007" w:type="dxa"/>
                  <w:vAlign w:val="center"/>
                </w:tcPr>
                <w:p w14:paraId="78981076">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二噁英</w:t>
                  </w:r>
                </w:p>
              </w:tc>
              <w:tc>
                <w:tcPr>
                  <w:tcW w:w="1134" w:type="dxa"/>
                  <w:vAlign w:val="center"/>
                </w:tcPr>
                <w:p w14:paraId="7A7D917C">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92" w:type="dxa"/>
                  <w:vAlign w:val="center"/>
                </w:tcPr>
                <w:p w14:paraId="2E55B523">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134" w:type="dxa"/>
                  <w:vAlign w:val="center"/>
                </w:tcPr>
                <w:p w14:paraId="40C63234">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559" w:type="dxa"/>
                  <w:vAlign w:val="center"/>
                </w:tcPr>
                <w:p w14:paraId="583C409B">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w:t>
                  </w:r>
                  <w:r>
                    <w:rPr>
                      <w:rFonts w:ascii="Times New Roman" w:hAnsi="Times New Roman" w:cs="Times New Roman"/>
                      <w:color w:val="000000" w:themeColor="text1"/>
                      <w14:textFill>
                        <w14:solidFill>
                          <w14:schemeClr w14:val="tx1"/>
                        </w14:solidFill>
                      </w14:textFill>
                    </w:rPr>
                    <w:t xml:space="preserve"> </w:t>
                  </w:r>
                  <w:r>
                    <w:rPr>
                      <w:rFonts w:ascii="Times New Roman" w:hAnsi="Times New Roman" w:eastAsia="宋体" w:cs="Times New Roman"/>
                      <w:color w:val="000000" w:themeColor="text1"/>
                      <w:szCs w:val="21"/>
                      <w14:textFill>
                        <w14:solidFill>
                          <w14:schemeClr w14:val="tx1"/>
                        </w14:solidFill>
                      </w14:textFill>
                    </w:rPr>
                    <w:t>ngTEQ/kg</w:t>
                  </w:r>
                </w:p>
              </w:tc>
              <w:tc>
                <w:tcPr>
                  <w:tcW w:w="851" w:type="dxa"/>
                  <w:vAlign w:val="center"/>
                </w:tcPr>
                <w:p w14:paraId="5C3FD129">
                  <w:pPr>
                    <w:adjustRightInd w:val="0"/>
                    <w:jc w:val="center"/>
                    <w:textAlignment w:val="baseline"/>
                    <w:rPr>
                      <w:rFonts w:ascii="Times New Roman" w:hAnsi="Times New Roman" w:eastAsia="宋体" w:cs="Times New Roman"/>
                      <w:bCs/>
                      <w:color w:val="000000" w:themeColor="text1"/>
                      <w:kern w:val="0"/>
                      <w:szCs w:val="21"/>
                      <w:vertAlign w:val="superscript"/>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4×10</w:t>
                  </w:r>
                  <w:r>
                    <w:rPr>
                      <w:rFonts w:ascii="Times New Roman" w:hAnsi="Times New Roman" w:eastAsia="宋体" w:cs="Times New Roman"/>
                      <w:bCs/>
                      <w:color w:val="000000" w:themeColor="text1"/>
                      <w:kern w:val="0"/>
                      <w:szCs w:val="21"/>
                      <w:vertAlign w:val="superscript"/>
                      <w14:textFill>
                        <w14:solidFill>
                          <w14:schemeClr w14:val="tx1"/>
                        </w14:solidFill>
                      </w14:textFill>
                    </w:rPr>
                    <w:t>-5</w:t>
                  </w:r>
                </w:p>
                <w:p w14:paraId="2985DB87">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mg/kg</w:t>
                  </w:r>
                </w:p>
              </w:tc>
              <w:tc>
                <w:tcPr>
                  <w:tcW w:w="631" w:type="dxa"/>
                  <w:vAlign w:val="center"/>
                </w:tcPr>
                <w:p w14:paraId="68B7F006">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bl>
          <w:p w14:paraId="07F9571C">
            <w:pPr>
              <w:adjustRightInd w:val="0"/>
              <w:spacing w:before="156" w:beforeLines="50" w:line="312" w:lineRule="atLeast"/>
              <w:jc w:val="center"/>
              <w:textAlignment w:val="baseline"/>
              <w:rPr>
                <w:rFonts w:ascii="Times New Roman" w:hAnsi="Times New Roman" w:eastAsia="宋体" w:cs="Times New Roman"/>
                <w:b/>
                <w:bCs/>
                <w:color w:val="000000" w:themeColor="text1"/>
                <w:szCs w:val="24"/>
                <w:lang w:val="pt-BR"/>
                <w14:textFill>
                  <w14:solidFill>
                    <w14:schemeClr w14:val="tx1"/>
                  </w14:solidFill>
                </w14:textFill>
              </w:rPr>
            </w:pPr>
          </w:p>
          <w:p w14:paraId="79CB282D">
            <w:pPr>
              <w:adjustRightInd w:val="0"/>
              <w:spacing w:before="156" w:beforeLines="50" w:line="312" w:lineRule="atLeast"/>
              <w:jc w:val="center"/>
              <w:textAlignment w:val="baseline"/>
              <w:rPr>
                <w:rFonts w:ascii="Times New Roman" w:hAnsi="Times New Roman" w:eastAsia="宋体" w:cs="Times New Roman"/>
                <w:b/>
                <w:bCs/>
                <w:color w:val="000000" w:themeColor="text1"/>
                <w:szCs w:val="24"/>
                <w:lang w:val="pt-BR"/>
                <w14:textFill>
                  <w14:solidFill>
                    <w14:schemeClr w14:val="tx1"/>
                  </w14:solidFill>
                </w14:textFill>
              </w:rPr>
            </w:pPr>
          </w:p>
          <w:p w14:paraId="48C787FB">
            <w:pPr>
              <w:pStyle w:val="2"/>
              <w:ind w:firstLine="492"/>
              <w:rPr>
                <w:lang w:val="pt-BR"/>
              </w:rPr>
            </w:pPr>
          </w:p>
          <w:p w14:paraId="23330C1A">
            <w:pPr>
              <w:pStyle w:val="6"/>
              <w:rPr>
                <w:lang w:val="pt-BR"/>
              </w:rPr>
            </w:pPr>
          </w:p>
          <w:p w14:paraId="5B432B28">
            <w:pPr>
              <w:adjustRightInd w:val="0"/>
              <w:spacing w:before="156" w:beforeLines="50" w:line="312" w:lineRule="atLeast"/>
              <w:jc w:val="center"/>
              <w:textAlignment w:val="baseline"/>
              <w:rPr>
                <w:rFonts w:ascii="Times New Roman" w:hAnsi="Times New Roman" w:eastAsia="宋体" w:cs="Times New Roman"/>
                <w:b/>
                <w:bCs/>
                <w:color w:val="000000" w:themeColor="text1"/>
                <w:szCs w:val="24"/>
                <w:lang w:val="pt-BR"/>
                <w14:textFill>
                  <w14:solidFill>
                    <w14:schemeClr w14:val="tx1"/>
                  </w14:solidFill>
                </w14:textFill>
              </w:rPr>
            </w:pPr>
          </w:p>
          <w:p w14:paraId="6D4FEE60">
            <w:pPr>
              <w:adjustRightInd w:val="0"/>
              <w:spacing w:before="156" w:beforeLines="50" w:line="312" w:lineRule="atLeast"/>
              <w:jc w:val="center"/>
              <w:textAlignment w:val="baseline"/>
              <w:rPr>
                <w:rFonts w:ascii="Times New Roman" w:hAnsi="Times New Roman" w:eastAsia="宋体" w:cs="Times New Roman"/>
                <w:b/>
                <w:bCs/>
                <w:color w:val="000000" w:themeColor="text1"/>
                <w:kern w:val="0"/>
                <w:sz w:val="18"/>
                <w:szCs w:val="18"/>
                <w14:textFill>
                  <w14:solidFill>
                    <w14:schemeClr w14:val="tx1"/>
                  </w14:solidFill>
                </w14:textFill>
              </w:rPr>
            </w:pPr>
            <w:r>
              <w:rPr>
                <w:rFonts w:ascii="Times New Roman" w:hAnsi="Times New Roman" w:eastAsia="宋体" w:cs="Times New Roman"/>
                <w:b/>
                <w:bCs/>
                <w:color w:val="000000" w:themeColor="text1"/>
                <w:szCs w:val="24"/>
                <w:lang w:val="pt-BR"/>
                <w14:textFill>
                  <w14:solidFill>
                    <w14:schemeClr w14:val="tx1"/>
                  </w14:solidFill>
                </w14:textFill>
              </w:rPr>
              <w:t xml:space="preserve">表3- </w:t>
            </w:r>
            <w:r>
              <w:rPr>
                <w:rFonts w:ascii="Times New Roman" w:hAnsi="Times New Roman" w:eastAsia="宋体" w:cs="Times New Roman"/>
                <w:b/>
                <w:bCs/>
                <w:color w:val="000000" w:themeColor="text1"/>
                <w:szCs w:val="24"/>
                <w:lang w:val="pt-BR"/>
                <w14:textFill>
                  <w14:solidFill>
                    <w14:schemeClr w14:val="tx1"/>
                  </w14:solidFill>
                </w14:textFill>
              </w:rPr>
              <w:fldChar w:fldCharType="begin"/>
            </w:r>
            <w:r>
              <w:rPr>
                <w:rFonts w:ascii="Times New Roman" w:hAnsi="Times New Roman" w:eastAsia="宋体" w:cs="Times New Roman"/>
                <w:b/>
                <w:bCs/>
                <w:color w:val="000000" w:themeColor="text1"/>
                <w:szCs w:val="24"/>
                <w:lang w:val="pt-BR"/>
                <w14:textFill>
                  <w14:solidFill>
                    <w14:schemeClr w14:val="tx1"/>
                  </w14:solidFill>
                </w14:textFill>
              </w:rPr>
              <w:instrText xml:space="preserve"> SEQ 表3- \* ARABIC </w:instrText>
            </w:r>
            <w:r>
              <w:rPr>
                <w:rFonts w:ascii="Times New Roman" w:hAnsi="Times New Roman" w:eastAsia="宋体" w:cs="Times New Roman"/>
                <w:b/>
                <w:bCs/>
                <w:color w:val="000000" w:themeColor="text1"/>
                <w:szCs w:val="24"/>
                <w:lang w:val="pt-BR"/>
                <w14:textFill>
                  <w14:solidFill>
                    <w14:schemeClr w14:val="tx1"/>
                  </w14:solidFill>
                </w14:textFill>
              </w:rPr>
              <w:fldChar w:fldCharType="separate"/>
            </w:r>
            <w:r>
              <w:rPr>
                <w:rFonts w:ascii="Times New Roman" w:hAnsi="Times New Roman" w:eastAsia="宋体" w:cs="Times New Roman"/>
                <w:b/>
                <w:bCs/>
                <w:color w:val="000000" w:themeColor="text1"/>
                <w:szCs w:val="24"/>
                <w:lang w:val="pt-BR"/>
                <w14:textFill>
                  <w14:solidFill>
                    <w14:schemeClr w14:val="tx1"/>
                  </w14:solidFill>
                </w14:textFill>
              </w:rPr>
              <w:t>12</w:t>
            </w:r>
            <w:r>
              <w:rPr>
                <w:rFonts w:ascii="Times New Roman" w:hAnsi="Times New Roman" w:eastAsia="宋体" w:cs="Times New Roman"/>
                <w:b/>
                <w:bCs/>
                <w:color w:val="000000" w:themeColor="text1"/>
                <w:szCs w:val="24"/>
                <w:lang w:val="pt-BR"/>
                <w14:textFill>
                  <w14:solidFill>
                    <w14:schemeClr w14:val="tx1"/>
                  </w14:solidFill>
                </w14:textFill>
              </w:rPr>
              <w:fldChar w:fldCharType="end"/>
            </w:r>
            <w:r>
              <w:rPr>
                <w:rFonts w:ascii="Times New Roman" w:hAnsi="Times New Roman" w:eastAsia="宋体" w:cs="Times New Roman"/>
                <w:b/>
                <w:bCs/>
                <w:color w:val="000000" w:themeColor="text1"/>
                <w:szCs w:val="24"/>
                <w14:textFill>
                  <w14:solidFill>
                    <w14:schemeClr w14:val="tx1"/>
                  </w14:solidFill>
                </w14:textFill>
              </w:rPr>
              <w:t xml:space="preserve">  </w:t>
            </w:r>
            <w:r>
              <w:rPr>
                <w:rFonts w:ascii="Times New Roman" w:hAnsi="Times New Roman" w:eastAsia="宋体" w:cs="Times New Roman"/>
                <w:b/>
                <w:color w:val="000000" w:themeColor="text1"/>
                <w:kern w:val="0"/>
                <w:szCs w:val="21"/>
                <w14:textFill>
                  <w14:solidFill>
                    <w14:schemeClr w14:val="tx1"/>
                  </w14:solidFill>
                </w14:textFill>
              </w:rPr>
              <w:t>SE5、SE6</w:t>
            </w:r>
            <w:r>
              <w:rPr>
                <w:rFonts w:ascii="Times New Roman" w:hAnsi="Times New Roman" w:eastAsia="宋体" w:cs="Times New Roman"/>
                <w:b/>
                <w:bCs/>
                <w:color w:val="000000" w:themeColor="text1"/>
                <w:kern w:val="0"/>
                <w:szCs w:val="21"/>
                <w14:textFill>
                  <w14:solidFill>
                    <w14:schemeClr w14:val="tx1"/>
                  </w14:solidFill>
                </w14:textFill>
              </w:rPr>
              <w:t>土壤监测数据</w:t>
            </w:r>
          </w:p>
          <w:tbl>
            <w:tblPr>
              <w:tblStyle w:val="24"/>
              <w:tblW w:w="83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11"/>
              <w:gridCol w:w="2423"/>
              <w:gridCol w:w="2416"/>
              <w:gridCol w:w="1300"/>
              <w:gridCol w:w="858"/>
            </w:tblGrid>
            <w:tr w14:paraId="1F65F8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1440" w:type="dxa"/>
                  <w:vMerge w:val="restart"/>
                  <w:vAlign w:val="center"/>
                </w:tcPr>
                <w:p w14:paraId="6302A7A0">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监测项目</w:t>
                  </w:r>
                </w:p>
              </w:tc>
              <w:tc>
                <w:tcPr>
                  <w:tcW w:w="5103" w:type="dxa"/>
                  <w:gridSpan w:val="2"/>
                  <w:vAlign w:val="center"/>
                </w:tcPr>
                <w:p w14:paraId="4000489A">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监测结果</w:t>
                  </w:r>
                </w:p>
              </w:tc>
              <w:tc>
                <w:tcPr>
                  <w:tcW w:w="1765" w:type="dxa"/>
                  <w:gridSpan w:val="2"/>
                  <w:vAlign w:val="center"/>
                </w:tcPr>
                <w:p w14:paraId="7A75D64E">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风险筛选值</w:t>
                  </w:r>
                </w:p>
              </w:tc>
            </w:tr>
            <w:tr w14:paraId="22AC60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1440" w:type="dxa"/>
                  <w:vMerge w:val="continue"/>
                  <w:vAlign w:val="center"/>
                </w:tcPr>
                <w:p w14:paraId="13CAEDE8">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p>
              </w:tc>
              <w:tc>
                <w:tcPr>
                  <w:tcW w:w="2551" w:type="dxa"/>
                  <w:vAlign w:val="center"/>
                </w:tcPr>
                <w:p w14:paraId="584D4E9F">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SE5场外表层点1</w:t>
                  </w:r>
                </w:p>
                <w:p w14:paraId="646F38EF">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（105.46415°，30.50078°）</w:t>
                  </w:r>
                </w:p>
              </w:tc>
              <w:tc>
                <w:tcPr>
                  <w:tcW w:w="2552" w:type="dxa"/>
                  <w:vAlign w:val="center"/>
                </w:tcPr>
                <w:p w14:paraId="4E533F06">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SE6场外表层点2</w:t>
                  </w:r>
                </w:p>
                <w:p w14:paraId="21AAB0A7">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（105.46261°，30.50115°）</w:t>
                  </w:r>
                </w:p>
              </w:tc>
              <w:tc>
                <w:tcPr>
                  <w:tcW w:w="850" w:type="dxa"/>
                  <w:vMerge w:val="restart"/>
                  <w:vAlign w:val="center"/>
                </w:tcPr>
                <w:p w14:paraId="51014C7E">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执行</w:t>
                  </w:r>
                </w:p>
                <w:p w14:paraId="7771362B">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标准</w:t>
                  </w:r>
                </w:p>
              </w:tc>
              <w:tc>
                <w:tcPr>
                  <w:tcW w:w="915" w:type="dxa"/>
                  <w:vMerge w:val="restart"/>
                  <w:vAlign w:val="center"/>
                </w:tcPr>
                <w:p w14:paraId="06C2217E">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达标</w:t>
                  </w:r>
                </w:p>
                <w:p w14:paraId="5FD61B01">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情况</w:t>
                  </w:r>
                </w:p>
              </w:tc>
            </w:tr>
            <w:tr w14:paraId="45E93F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1440" w:type="dxa"/>
                  <w:vMerge w:val="continue"/>
                  <w:vAlign w:val="center"/>
                </w:tcPr>
                <w:p w14:paraId="5F32E931">
                  <w:pPr>
                    <w:adjustRightInd w:val="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p>
              </w:tc>
              <w:tc>
                <w:tcPr>
                  <w:tcW w:w="2551" w:type="dxa"/>
                  <w:vAlign w:val="center"/>
                </w:tcPr>
                <w:p w14:paraId="78DCDD91">
                  <w:pPr>
                    <w:adjustRightInd w:val="0"/>
                    <w:ind w:left="-105" w:leftChars="-50" w:right="-105" w:rightChars="-5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0~20cm</w:t>
                  </w:r>
                </w:p>
              </w:tc>
              <w:tc>
                <w:tcPr>
                  <w:tcW w:w="2552" w:type="dxa"/>
                  <w:vAlign w:val="center"/>
                </w:tcPr>
                <w:p w14:paraId="176A7B35">
                  <w:pPr>
                    <w:adjustRightInd w:val="0"/>
                    <w:ind w:left="-105" w:leftChars="-50" w:right="-105" w:rightChars="-5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0~20cm</w:t>
                  </w:r>
                </w:p>
              </w:tc>
              <w:tc>
                <w:tcPr>
                  <w:tcW w:w="850" w:type="dxa"/>
                  <w:vMerge w:val="continue"/>
                  <w:vAlign w:val="center"/>
                </w:tcPr>
                <w:p w14:paraId="23CBC6C4">
                  <w:pPr>
                    <w:adjustRightInd w:val="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p>
              </w:tc>
              <w:tc>
                <w:tcPr>
                  <w:tcW w:w="915" w:type="dxa"/>
                  <w:vMerge w:val="continue"/>
                  <w:vAlign w:val="center"/>
                </w:tcPr>
                <w:p w14:paraId="7E012C53">
                  <w:pPr>
                    <w:adjustRightInd w:val="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p>
              </w:tc>
            </w:tr>
            <w:tr w14:paraId="3044BE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1440" w:type="dxa"/>
                  <w:vAlign w:val="center"/>
                </w:tcPr>
                <w:p w14:paraId="670B054D">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pH值</w:t>
                  </w:r>
                </w:p>
              </w:tc>
              <w:tc>
                <w:tcPr>
                  <w:tcW w:w="2551" w:type="dxa"/>
                  <w:vAlign w:val="center"/>
                </w:tcPr>
                <w:p w14:paraId="598824BE">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14:textFill>
                        <w14:solidFill>
                          <w14:schemeClr w14:val="tx1"/>
                        </w14:solidFill>
                      </w14:textFill>
                    </w:rPr>
                    <w:t>7.75</w:t>
                  </w:r>
                </w:p>
              </w:tc>
              <w:tc>
                <w:tcPr>
                  <w:tcW w:w="2552" w:type="dxa"/>
                  <w:vAlign w:val="center"/>
                </w:tcPr>
                <w:p w14:paraId="2D6F5966">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7.88</w:t>
                  </w:r>
                </w:p>
              </w:tc>
              <w:tc>
                <w:tcPr>
                  <w:tcW w:w="850" w:type="dxa"/>
                  <w:vAlign w:val="center"/>
                </w:tcPr>
                <w:p w14:paraId="4C877808">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c>
                <w:tcPr>
                  <w:tcW w:w="915" w:type="dxa"/>
                  <w:vAlign w:val="center"/>
                </w:tcPr>
                <w:p w14:paraId="4ECC08C0">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r>
            <w:tr w14:paraId="4A40AD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1440" w:type="dxa"/>
                  <w:vAlign w:val="center"/>
                </w:tcPr>
                <w:p w14:paraId="5AAA2AFC">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2551" w:type="dxa"/>
                  <w:vAlign w:val="center"/>
                </w:tcPr>
                <w:p w14:paraId="253B4725">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14:textFill>
                        <w14:solidFill>
                          <w14:schemeClr w14:val="tx1"/>
                        </w14:solidFill>
                      </w14:textFill>
                    </w:rPr>
                    <w:t>598</w:t>
                  </w:r>
                </w:p>
              </w:tc>
              <w:tc>
                <w:tcPr>
                  <w:tcW w:w="2552" w:type="dxa"/>
                  <w:vAlign w:val="center"/>
                </w:tcPr>
                <w:p w14:paraId="05688E1B">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612</w:t>
                  </w:r>
                </w:p>
              </w:tc>
              <w:tc>
                <w:tcPr>
                  <w:tcW w:w="850" w:type="dxa"/>
                  <w:vAlign w:val="bottom"/>
                </w:tcPr>
                <w:p w14:paraId="498C9ABC">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c>
                <w:tcPr>
                  <w:tcW w:w="915" w:type="dxa"/>
                  <w:vAlign w:val="bottom"/>
                </w:tcPr>
                <w:p w14:paraId="49BB0477">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r>
            <w:tr w14:paraId="225B3F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1440" w:type="dxa"/>
                  <w:vAlign w:val="center"/>
                </w:tcPr>
                <w:p w14:paraId="33D99746">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汞</w:t>
                  </w:r>
                </w:p>
              </w:tc>
              <w:tc>
                <w:tcPr>
                  <w:tcW w:w="2551" w:type="dxa"/>
                  <w:vAlign w:val="center"/>
                </w:tcPr>
                <w:p w14:paraId="2C48D274">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0.025</w:t>
                  </w:r>
                </w:p>
              </w:tc>
              <w:tc>
                <w:tcPr>
                  <w:tcW w:w="2552" w:type="dxa"/>
                  <w:vAlign w:val="center"/>
                </w:tcPr>
                <w:p w14:paraId="7B30B489">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0.031</w:t>
                  </w:r>
                </w:p>
              </w:tc>
              <w:tc>
                <w:tcPr>
                  <w:tcW w:w="850" w:type="dxa"/>
                  <w:vAlign w:val="bottom"/>
                </w:tcPr>
                <w:p w14:paraId="2CB586C5">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 w:val="22"/>
                      <w14:textFill>
                        <w14:solidFill>
                          <w14:schemeClr w14:val="tx1"/>
                        </w14:solidFill>
                      </w14:textFill>
                    </w:rPr>
                    <w:t>3.4</w:t>
                  </w:r>
                </w:p>
              </w:tc>
              <w:tc>
                <w:tcPr>
                  <w:tcW w:w="915" w:type="dxa"/>
                  <w:vAlign w:val="center"/>
                </w:tcPr>
                <w:p w14:paraId="199998E4">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55114D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1440" w:type="dxa"/>
                  <w:vAlign w:val="center"/>
                </w:tcPr>
                <w:p w14:paraId="59C4528D">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砷</w:t>
                  </w:r>
                </w:p>
              </w:tc>
              <w:tc>
                <w:tcPr>
                  <w:tcW w:w="2551" w:type="dxa"/>
                  <w:vAlign w:val="center"/>
                </w:tcPr>
                <w:p w14:paraId="11CA1666">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12.1</w:t>
                  </w:r>
                </w:p>
              </w:tc>
              <w:tc>
                <w:tcPr>
                  <w:tcW w:w="2552" w:type="dxa"/>
                  <w:vAlign w:val="center"/>
                </w:tcPr>
                <w:p w14:paraId="1BB1B6AB">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12.4</w:t>
                  </w:r>
                </w:p>
              </w:tc>
              <w:tc>
                <w:tcPr>
                  <w:tcW w:w="850" w:type="dxa"/>
                  <w:vAlign w:val="bottom"/>
                </w:tcPr>
                <w:p w14:paraId="6C25DB0A">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 w:val="22"/>
                      <w14:textFill>
                        <w14:solidFill>
                          <w14:schemeClr w14:val="tx1"/>
                        </w14:solidFill>
                      </w14:textFill>
                    </w:rPr>
                    <w:t>25</w:t>
                  </w:r>
                </w:p>
              </w:tc>
              <w:tc>
                <w:tcPr>
                  <w:tcW w:w="915" w:type="dxa"/>
                  <w:vAlign w:val="center"/>
                </w:tcPr>
                <w:p w14:paraId="507EC237">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71DE2B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1440" w:type="dxa"/>
                  <w:vAlign w:val="center"/>
                </w:tcPr>
                <w:p w14:paraId="3B8E2306">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铅</w:t>
                  </w:r>
                </w:p>
              </w:tc>
              <w:tc>
                <w:tcPr>
                  <w:tcW w:w="2551" w:type="dxa"/>
                  <w:vAlign w:val="center"/>
                </w:tcPr>
                <w:p w14:paraId="5ECC5918">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14.7</w:t>
                  </w:r>
                </w:p>
              </w:tc>
              <w:tc>
                <w:tcPr>
                  <w:tcW w:w="2552" w:type="dxa"/>
                  <w:vAlign w:val="center"/>
                </w:tcPr>
                <w:p w14:paraId="285319AB">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15.1</w:t>
                  </w:r>
                </w:p>
              </w:tc>
              <w:tc>
                <w:tcPr>
                  <w:tcW w:w="850" w:type="dxa"/>
                  <w:vAlign w:val="bottom"/>
                </w:tcPr>
                <w:p w14:paraId="590382C1">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 w:val="22"/>
                      <w14:textFill>
                        <w14:solidFill>
                          <w14:schemeClr w14:val="tx1"/>
                        </w14:solidFill>
                      </w14:textFill>
                    </w:rPr>
                    <w:t>170</w:t>
                  </w:r>
                </w:p>
              </w:tc>
              <w:tc>
                <w:tcPr>
                  <w:tcW w:w="915" w:type="dxa"/>
                  <w:vAlign w:val="center"/>
                </w:tcPr>
                <w:p w14:paraId="4968404C">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3B8A9C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1440" w:type="dxa"/>
                  <w:vAlign w:val="center"/>
                </w:tcPr>
                <w:p w14:paraId="5D4F58B8">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镉</w:t>
                  </w:r>
                </w:p>
              </w:tc>
              <w:tc>
                <w:tcPr>
                  <w:tcW w:w="2551" w:type="dxa"/>
                  <w:vAlign w:val="center"/>
                </w:tcPr>
                <w:p w14:paraId="34532808">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0.35</w:t>
                  </w:r>
                </w:p>
              </w:tc>
              <w:tc>
                <w:tcPr>
                  <w:tcW w:w="2552" w:type="dxa"/>
                  <w:vAlign w:val="center"/>
                </w:tcPr>
                <w:p w14:paraId="2EF86198">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0.34</w:t>
                  </w:r>
                </w:p>
              </w:tc>
              <w:tc>
                <w:tcPr>
                  <w:tcW w:w="850" w:type="dxa"/>
                  <w:vAlign w:val="bottom"/>
                </w:tcPr>
                <w:p w14:paraId="6AE676B7">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 w:val="22"/>
                      <w14:textFill>
                        <w14:solidFill>
                          <w14:schemeClr w14:val="tx1"/>
                        </w14:solidFill>
                      </w14:textFill>
                    </w:rPr>
                    <w:t>0.6</w:t>
                  </w:r>
                </w:p>
              </w:tc>
              <w:tc>
                <w:tcPr>
                  <w:tcW w:w="915" w:type="dxa"/>
                  <w:vAlign w:val="center"/>
                </w:tcPr>
                <w:p w14:paraId="619EB3B5">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6D0AA7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1440" w:type="dxa"/>
                  <w:vAlign w:val="center"/>
                </w:tcPr>
                <w:p w14:paraId="25D7B072">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铜</w:t>
                  </w:r>
                </w:p>
              </w:tc>
              <w:tc>
                <w:tcPr>
                  <w:tcW w:w="2551" w:type="dxa"/>
                  <w:vAlign w:val="center"/>
                </w:tcPr>
                <w:p w14:paraId="2258A775">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24</w:t>
                  </w:r>
                </w:p>
              </w:tc>
              <w:tc>
                <w:tcPr>
                  <w:tcW w:w="2552" w:type="dxa"/>
                  <w:vAlign w:val="center"/>
                </w:tcPr>
                <w:p w14:paraId="45568D30">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30</w:t>
                  </w:r>
                </w:p>
              </w:tc>
              <w:tc>
                <w:tcPr>
                  <w:tcW w:w="850" w:type="dxa"/>
                  <w:vAlign w:val="bottom"/>
                </w:tcPr>
                <w:p w14:paraId="08B18F38">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 w:val="22"/>
                      <w14:textFill>
                        <w14:solidFill>
                          <w14:schemeClr w14:val="tx1"/>
                        </w14:solidFill>
                      </w14:textFill>
                    </w:rPr>
                    <w:t>100</w:t>
                  </w:r>
                </w:p>
              </w:tc>
              <w:tc>
                <w:tcPr>
                  <w:tcW w:w="915" w:type="dxa"/>
                  <w:vAlign w:val="center"/>
                </w:tcPr>
                <w:p w14:paraId="61A3F4A9">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7421EE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1440" w:type="dxa"/>
                  <w:vAlign w:val="center"/>
                </w:tcPr>
                <w:p w14:paraId="1678648B">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镍</w:t>
                  </w:r>
                </w:p>
              </w:tc>
              <w:tc>
                <w:tcPr>
                  <w:tcW w:w="2551" w:type="dxa"/>
                  <w:vAlign w:val="center"/>
                </w:tcPr>
                <w:p w14:paraId="486968B9">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43</w:t>
                  </w:r>
                </w:p>
              </w:tc>
              <w:tc>
                <w:tcPr>
                  <w:tcW w:w="2552" w:type="dxa"/>
                  <w:vAlign w:val="center"/>
                </w:tcPr>
                <w:p w14:paraId="256A3CCA">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45</w:t>
                  </w:r>
                </w:p>
              </w:tc>
              <w:tc>
                <w:tcPr>
                  <w:tcW w:w="850" w:type="dxa"/>
                  <w:vAlign w:val="bottom"/>
                </w:tcPr>
                <w:p w14:paraId="08797E66">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 w:val="22"/>
                      <w14:textFill>
                        <w14:solidFill>
                          <w14:schemeClr w14:val="tx1"/>
                        </w14:solidFill>
                      </w14:textFill>
                    </w:rPr>
                    <w:t>190</w:t>
                  </w:r>
                </w:p>
              </w:tc>
              <w:tc>
                <w:tcPr>
                  <w:tcW w:w="915" w:type="dxa"/>
                  <w:vAlign w:val="center"/>
                </w:tcPr>
                <w:p w14:paraId="4915EB6F">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2DFD76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1440" w:type="dxa"/>
                  <w:vAlign w:val="center"/>
                </w:tcPr>
                <w:p w14:paraId="5EFE4FB2">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锌</w:t>
                  </w:r>
                </w:p>
              </w:tc>
              <w:tc>
                <w:tcPr>
                  <w:tcW w:w="2551" w:type="dxa"/>
                  <w:vAlign w:val="center"/>
                </w:tcPr>
                <w:p w14:paraId="2F0885D2">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156</w:t>
                  </w:r>
                </w:p>
              </w:tc>
              <w:tc>
                <w:tcPr>
                  <w:tcW w:w="2552" w:type="dxa"/>
                  <w:vAlign w:val="center"/>
                </w:tcPr>
                <w:p w14:paraId="5F8FEF4F">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143</w:t>
                  </w:r>
                </w:p>
              </w:tc>
              <w:tc>
                <w:tcPr>
                  <w:tcW w:w="850" w:type="dxa"/>
                  <w:vAlign w:val="bottom"/>
                </w:tcPr>
                <w:p w14:paraId="08B63400">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 w:val="22"/>
                      <w14:textFill>
                        <w14:solidFill>
                          <w14:schemeClr w14:val="tx1"/>
                        </w14:solidFill>
                      </w14:textFill>
                    </w:rPr>
                    <w:t>300</w:t>
                  </w:r>
                </w:p>
              </w:tc>
              <w:tc>
                <w:tcPr>
                  <w:tcW w:w="915" w:type="dxa"/>
                  <w:vAlign w:val="center"/>
                </w:tcPr>
                <w:p w14:paraId="673A908E">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56367E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1440" w:type="dxa"/>
                  <w:vAlign w:val="center"/>
                </w:tcPr>
                <w:p w14:paraId="7114BB08">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铬</w:t>
                  </w:r>
                </w:p>
              </w:tc>
              <w:tc>
                <w:tcPr>
                  <w:tcW w:w="2551" w:type="dxa"/>
                  <w:vAlign w:val="center"/>
                </w:tcPr>
                <w:p w14:paraId="2377F3DC">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kern w:val="0"/>
                      <w:szCs w:val="21"/>
                      <w14:textFill>
                        <w14:solidFill>
                          <w14:schemeClr w14:val="tx1"/>
                        </w14:solidFill>
                      </w14:textFill>
                    </w:rPr>
                    <w:t>65</w:t>
                  </w:r>
                </w:p>
              </w:tc>
              <w:tc>
                <w:tcPr>
                  <w:tcW w:w="2552" w:type="dxa"/>
                  <w:vAlign w:val="center"/>
                </w:tcPr>
                <w:p w14:paraId="1DB264C0">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65</w:t>
                  </w:r>
                </w:p>
              </w:tc>
              <w:tc>
                <w:tcPr>
                  <w:tcW w:w="850" w:type="dxa"/>
                  <w:vAlign w:val="bottom"/>
                </w:tcPr>
                <w:p w14:paraId="78F361D6">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sz w:val="22"/>
                      <w14:textFill>
                        <w14:solidFill>
                          <w14:schemeClr w14:val="tx1"/>
                        </w14:solidFill>
                      </w14:textFill>
                    </w:rPr>
                    <w:t>250</w:t>
                  </w:r>
                </w:p>
              </w:tc>
              <w:tc>
                <w:tcPr>
                  <w:tcW w:w="915" w:type="dxa"/>
                  <w:vAlign w:val="center"/>
                </w:tcPr>
                <w:p w14:paraId="0330458A">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r w14:paraId="71D5B3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1440" w:type="dxa"/>
                  <w:vAlign w:val="center"/>
                </w:tcPr>
                <w:p w14:paraId="5C1A0012">
                  <w:pPr>
                    <w:adjustRightInd w:val="0"/>
                    <w:ind w:left="-63" w:leftChars="-30" w:right="-63" w:rightChars="-3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锰</w:t>
                  </w:r>
                </w:p>
              </w:tc>
              <w:tc>
                <w:tcPr>
                  <w:tcW w:w="2551" w:type="dxa"/>
                  <w:vAlign w:val="center"/>
                </w:tcPr>
                <w:p w14:paraId="37491BD9">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631</w:t>
                  </w:r>
                </w:p>
              </w:tc>
              <w:tc>
                <w:tcPr>
                  <w:tcW w:w="2552" w:type="dxa"/>
                  <w:vAlign w:val="center"/>
                </w:tcPr>
                <w:p w14:paraId="105AADE1">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690</w:t>
                  </w:r>
                </w:p>
              </w:tc>
              <w:tc>
                <w:tcPr>
                  <w:tcW w:w="850" w:type="dxa"/>
                  <w:vAlign w:val="bottom"/>
                </w:tcPr>
                <w:p w14:paraId="681C8811">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c>
                <w:tcPr>
                  <w:tcW w:w="915" w:type="dxa"/>
                  <w:vAlign w:val="center"/>
                </w:tcPr>
                <w:p w14:paraId="5E33EDA6">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w:t>
                  </w:r>
                </w:p>
              </w:tc>
            </w:tr>
            <w:tr w14:paraId="51DF6E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1440" w:type="dxa"/>
                  <w:vAlign w:val="center"/>
                </w:tcPr>
                <w:p w14:paraId="55FC7FFF">
                  <w:pPr>
                    <w:adjustRightInd w:val="0"/>
                    <w:ind w:left="-63" w:leftChars="-30" w:right="-63" w:rightChars="-3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二噁英</w:t>
                  </w:r>
                </w:p>
              </w:tc>
              <w:tc>
                <w:tcPr>
                  <w:tcW w:w="2551" w:type="dxa"/>
                  <w:vAlign w:val="center"/>
                </w:tcPr>
                <w:p w14:paraId="3296C058">
                  <w:pPr>
                    <w:adjustRightInd w:val="0"/>
                    <w:jc w:val="center"/>
                    <w:textAlignment w:val="baseline"/>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0.73ngTEQ/kg</w:t>
                  </w:r>
                </w:p>
              </w:tc>
              <w:tc>
                <w:tcPr>
                  <w:tcW w:w="2552" w:type="dxa"/>
                  <w:vAlign w:val="center"/>
                </w:tcPr>
                <w:p w14:paraId="60D2E726">
                  <w:pPr>
                    <w:adjustRightInd w:val="0"/>
                    <w:jc w:val="center"/>
                    <w:textAlignment w:val="baseline"/>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0.73</w:t>
                  </w:r>
                  <w:r>
                    <w:rPr>
                      <w:rFonts w:ascii="Times New Roman" w:hAnsi="Times New Roman" w:cs="Times New Roman"/>
                      <w:color w:val="000000" w:themeColor="text1"/>
                      <w14:textFill>
                        <w14:solidFill>
                          <w14:schemeClr w14:val="tx1"/>
                        </w14:solidFill>
                      </w14:textFill>
                    </w:rPr>
                    <w:t xml:space="preserve"> </w:t>
                  </w:r>
                  <w:r>
                    <w:rPr>
                      <w:rFonts w:ascii="Times New Roman" w:hAnsi="Times New Roman" w:cs="Times New Roman"/>
                      <w:color w:val="000000" w:themeColor="text1"/>
                      <w:szCs w:val="21"/>
                      <w14:textFill>
                        <w14:solidFill>
                          <w14:schemeClr w14:val="tx1"/>
                        </w14:solidFill>
                      </w14:textFill>
                    </w:rPr>
                    <w:t>ngTEQ/kg</w:t>
                  </w:r>
                </w:p>
              </w:tc>
              <w:tc>
                <w:tcPr>
                  <w:tcW w:w="850" w:type="dxa"/>
                  <w:vAlign w:val="bottom"/>
                </w:tcPr>
                <w:p w14:paraId="169570E9">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4×10</w:t>
                  </w:r>
                  <w:r>
                    <w:rPr>
                      <w:rFonts w:ascii="Times New Roman" w:hAnsi="Times New Roman" w:eastAsia="宋体" w:cs="Times New Roman"/>
                      <w:bCs/>
                      <w:color w:val="000000" w:themeColor="text1"/>
                      <w:kern w:val="0"/>
                      <w:szCs w:val="21"/>
                      <w:vertAlign w:val="superscript"/>
                      <w14:textFill>
                        <w14:solidFill>
                          <w14:schemeClr w14:val="tx1"/>
                        </w14:solidFill>
                      </w14:textFill>
                    </w:rPr>
                    <w:t>-5</w:t>
                  </w:r>
                  <w:r>
                    <w:rPr>
                      <w:rFonts w:ascii="Times New Roman" w:hAnsi="Times New Roman" w:eastAsia="宋体" w:cs="Times New Roman"/>
                      <w:bCs/>
                      <w:color w:val="000000" w:themeColor="text1"/>
                      <w:kern w:val="0"/>
                      <w:szCs w:val="21"/>
                      <w14:textFill>
                        <w14:solidFill>
                          <w14:schemeClr w14:val="tx1"/>
                        </w14:solidFill>
                      </w14:textFill>
                    </w:rPr>
                    <w:t>mg/kg</w:t>
                  </w:r>
                </w:p>
              </w:tc>
              <w:tc>
                <w:tcPr>
                  <w:tcW w:w="915" w:type="dxa"/>
                  <w:vAlign w:val="center"/>
                </w:tcPr>
                <w:p w14:paraId="13D11062">
                  <w:pPr>
                    <w:adjustRightInd w:val="0"/>
                    <w:jc w:val="center"/>
                    <w:textAlignment w:val="baseline"/>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达标</w:t>
                  </w:r>
                </w:p>
              </w:tc>
            </w:tr>
          </w:tbl>
          <w:p w14:paraId="37ACA1B7">
            <w:pPr>
              <w:adjustRightInd w:val="0"/>
              <w:ind w:firstLine="403" w:firstLineChars="192"/>
              <w:textAlignment w:val="baseline"/>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Cs w:val="24"/>
                <w14:textFill>
                  <w14:solidFill>
                    <w14:schemeClr w14:val="tx1"/>
                  </w14:solidFill>
                </w14:textFill>
              </w:rPr>
              <w:t>注：二噁英标准参照《土壤环境质量建设用地土壤污染风险管控标准（试行）》（GB36600—2018）中表1 第二类用地筛选值执行。</w:t>
            </w:r>
          </w:p>
          <w:p w14:paraId="2D5FD36B">
            <w:pPr>
              <w:adjustRightInd w:val="0"/>
              <w:spacing w:before="156" w:beforeLines="50" w:line="360" w:lineRule="auto"/>
              <w:ind w:firstLine="460" w:firstLineChars="192"/>
              <w:textAlignment w:val="baseline"/>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监测结果表明，厂内4个监测点位土壤质量现状符合《土壤环境质量建设用地土壤污染风险管控标准（试行）》（GB36600—2018）中风险筛选值标准，场外2个土壤质量现状符合《土壤环境质量农用地土壤污染风险管控标准（试行）》（GB15618-2018）中其他用地类型风险筛选值。</w:t>
            </w:r>
          </w:p>
        </w:tc>
      </w:tr>
      <w:tr w14:paraId="71D7EA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56" w:type="dxa"/>
            <w:vAlign w:val="center"/>
          </w:tcPr>
          <w:p w14:paraId="5713427C">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环境保护目标</w:t>
            </w:r>
          </w:p>
        </w:tc>
        <w:tc>
          <w:tcPr>
            <w:tcW w:w="8470" w:type="dxa"/>
            <w:vAlign w:val="center"/>
          </w:tcPr>
          <w:p w14:paraId="293E5DC9">
            <w:pPr>
              <w:autoSpaceDE w:val="0"/>
              <w:autoSpaceDN w:val="0"/>
              <w:adjustRightInd w:val="0"/>
              <w:snapToGrid w:val="0"/>
              <w:spacing w:before="312" w:beforeLines="100" w:line="360" w:lineRule="auto"/>
              <w:ind w:firstLine="480" w:firstLineChars="200"/>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本项目所在地为遂宁市安居区横山镇滑泥桥三社，在现有厂区内进行技改，不新增占地。项目周边无自然保护区、水源保护区、风景名胜区等环境敏感点，主要分布滑泥桥村散户。主要环境保护目标如下：</w:t>
            </w:r>
          </w:p>
          <w:p w14:paraId="52068B68">
            <w:pPr>
              <w:pStyle w:val="2"/>
              <w:ind w:firstLine="492"/>
            </w:pPr>
          </w:p>
          <w:p w14:paraId="7AFA0B0D">
            <w:pPr>
              <w:pStyle w:val="6"/>
            </w:pPr>
          </w:p>
          <w:p w14:paraId="171403A8"/>
          <w:p w14:paraId="4676D895">
            <w:pPr>
              <w:pStyle w:val="2"/>
              <w:ind w:firstLine="492"/>
            </w:pPr>
          </w:p>
          <w:p w14:paraId="7C4D1F78">
            <w:pPr>
              <w:pStyle w:val="6"/>
            </w:pPr>
          </w:p>
          <w:p w14:paraId="2147536E"/>
          <w:p w14:paraId="5BDE9101">
            <w:pPr>
              <w:pStyle w:val="2"/>
              <w:ind w:firstLine="492"/>
            </w:pPr>
          </w:p>
          <w:p w14:paraId="1759F760">
            <w:pPr>
              <w:pStyle w:val="2"/>
              <w:ind w:firstLine="0" w:firstLineChars="0"/>
              <w:rPr>
                <w:rFonts w:ascii="Times New Roman" w:cs="Times New Roman"/>
              </w:rPr>
            </w:pPr>
            <w:r>
              <w:rPr>
                <w:rFonts w:ascii="Times New Roman" w:cs="Times New Roman"/>
              </w:rPr>
              <w:drawing>
                <wp:inline distT="0" distB="0" distL="0" distR="0">
                  <wp:extent cx="1655445" cy="2207260"/>
                  <wp:effectExtent l="0" t="0" r="1905" b="2540"/>
                  <wp:docPr id="5" name="图片 5" descr="E:\工作\砖厂\现场\MVIMG_20230525_1133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E:\工作\砖厂\现场\MVIMG_20230525_113326.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1656000" cy="2207448"/>
                          </a:xfrm>
                          <a:prstGeom prst="rect">
                            <a:avLst/>
                          </a:prstGeom>
                          <a:noFill/>
                          <a:ln>
                            <a:noFill/>
                          </a:ln>
                        </pic:spPr>
                      </pic:pic>
                    </a:graphicData>
                  </a:graphic>
                </wp:inline>
              </w:drawing>
            </w:r>
            <w:r>
              <w:rPr>
                <w:rFonts w:ascii="Times New Roman" w:cs="Times New Roman"/>
              </w:rPr>
              <w:t xml:space="preserve"> </w:t>
            </w:r>
            <w:r>
              <w:rPr>
                <w:rFonts w:ascii="Times New Roman" w:cs="Times New Roman"/>
              </w:rPr>
              <w:drawing>
                <wp:inline distT="0" distB="0" distL="0" distR="0">
                  <wp:extent cx="1655445" cy="2207260"/>
                  <wp:effectExtent l="0" t="0" r="1905" b="2540"/>
                  <wp:docPr id="9" name="图片 9" descr="E:\工作\砖厂\现场\MVIMG_20230525_113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E:\工作\砖厂\现场\MVIMG_20230525_113059.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1656000" cy="2207448"/>
                          </a:xfrm>
                          <a:prstGeom prst="rect">
                            <a:avLst/>
                          </a:prstGeom>
                          <a:noFill/>
                          <a:ln>
                            <a:noFill/>
                          </a:ln>
                        </pic:spPr>
                      </pic:pic>
                    </a:graphicData>
                  </a:graphic>
                </wp:inline>
              </w:drawing>
            </w:r>
            <w:r>
              <w:rPr>
                <w:rFonts w:ascii="Times New Roman" w:cs="Times New Roman"/>
              </w:rPr>
              <w:t xml:space="preserve"> </w:t>
            </w:r>
            <w:r>
              <w:rPr>
                <w:rFonts w:ascii="Times New Roman" w:cs="Times New Roman"/>
              </w:rPr>
              <w:drawing>
                <wp:inline distT="0" distB="0" distL="0" distR="0">
                  <wp:extent cx="1655445" cy="2207260"/>
                  <wp:effectExtent l="0" t="0" r="1905" b="2540"/>
                  <wp:docPr id="10" name="图片 10" descr="E:\工作\砖厂\现场\MVIMG_20230525_1128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E:\工作\砖厂\现场\MVIMG_20230525_112851.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1656000" cy="2207448"/>
                          </a:xfrm>
                          <a:prstGeom prst="rect">
                            <a:avLst/>
                          </a:prstGeom>
                          <a:noFill/>
                          <a:ln>
                            <a:noFill/>
                          </a:ln>
                        </pic:spPr>
                      </pic:pic>
                    </a:graphicData>
                  </a:graphic>
                </wp:inline>
              </w:drawing>
            </w:r>
          </w:p>
          <w:p w14:paraId="26EB5084">
            <w:pPr>
              <w:pStyle w:val="6"/>
              <w:rPr>
                <w:color w:val="FF0000"/>
              </w:rPr>
            </w:pPr>
            <w:r>
              <w:rPr>
                <w:color w:val="FF0000"/>
              </w:rPr>
              <w:t>西侧</w:t>
            </w:r>
            <w:r>
              <w:rPr>
                <w:color w:val="FF0000"/>
              </w:rPr>
              <w:tab/>
            </w:r>
            <w:r>
              <w:rPr>
                <w:color w:val="FF0000"/>
              </w:rPr>
              <w:t>26m-250m散户        南侧</w:t>
            </w:r>
            <w:r>
              <w:rPr>
                <w:color w:val="FF0000"/>
              </w:rPr>
              <w:tab/>
            </w:r>
            <w:r>
              <w:rPr>
                <w:color w:val="FF0000"/>
              </w:rPr>
              <w:t>160-250m散户         东南侧</w:t>
            </w:r>
            <w:r>
              <w:rPr>
                <w:color w:val="FF0000"/>
              </w:rPr>
              <w:tab/>
            </w:r>
            <w:r>
              <w:rPr>
                <w:color w:val="FF0000"/>
              </w:rPr>
              <w:t>21-100m散户</w:t>
            </w:r>
          </w:p>
          <w:p w14:paraId="77BC852C">
            <w:pPr>
              <w:spacing w:line="360" w:lineRule="auto"/>
              <w:jc w:val="center"/>
              <w:rPr>
                <w:rFonts w:ascii="Times New Roman" w:hAnsi="Times New Roman" w:eastAsia="宋体" w:cs="Times New Roman"/>
                <w:b/>
                <w:bCs/>
                <w:color w:val="000000" w:themeColor="text1"/>
                <w:szCs w:val="24"/>
                <w14:textFill>
                  <w14:solidFill>
                    <w14:schemeClr w14:val="tx1"/>
                  </w14:solidFill>
                </w14:textFill>
              </w:rPr>
            </w:pPr>
            <w:bookmarkStart w:id="28" w:name="敏感点照片"/>
            <w:r>
              <w:rPr>
                <w:rFonts w:ascii="Times New Roman" w:hAnsi="Times New Roman" w:eastAsia="宋体" w:cs="Times New Roman"/>
                <w:b/>
                <w:bCs/>
                <w:color w:val="000000" w:themeColor="text1"/>
                <w:szCs w:val="24"/>
                <w14:textFill>
                  <w14:solidFill>
                    <w14:schemeClr w14:val="tx1"/>
                  </w14:solidFill>
                </w14:textFill>
              </w:rPr>
              <w:t>图3-1 项目周边敏感点照</w:t>
            </w:r>
            <w:bookmarkEnd w:id="28"/>
            <w:r>
              <w:rPr>
                <w:rFonts w:ascii="Times New Roman" w:hAnsi="Times New Roman" w:eastAsia="宋体" w:cs="Times New Roman"/>
                <w:b/>
                <w:bCs/>
                <w:color w:val="000000" w:themeColor="text1"/>
                <w:szCs w:val="24"/>
                <w14:textFill>
                  <w14:solidFill>
                    <w14:schemeClr w14:val="tx1"/>
                  </w14:solidFill>
                </w14:textFill>
              </w:rPr>
              <w:t>片</w:t>
            </w:r>
          </w:p>
          <w:p w14:paraId="3253B0E0">
            <w:pPr>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bookmarkStart w:id="29" w:name="_Ref140479447"/>
            <w:r>
              <w:rPr>
                <w:rFonts w:ascii="Times New Roman" w:hAnsi="Times New Roman" w:eastAsia="宋体" w:cs="Times New Roman"/>
                <w:b/>
                <w:bCs/>
                <w:color w:val="000000" w:themeColor="text1"/>
                <w:szCs w:val="24"/>
                <w:lang w:val="pt-BR"/>
                <w14:textFill>
                  <w14:solidFill>
                    <w14:schemeClr w14:val="tx1"/>
                  </w14:solidFill>
                </w14:textFill>
              </w:rPr>
              <w:t xml:space="preserve">表3- </w:t>
            </w:r>
            <w:r>
              <w:rPr>
                <w:rFonts w:ascii="Times New Roman" w:hAnsi="Times New Roman" w:eastAsia="宋体" w:cs="Times New Roman"/>
                <w:b/>
                <w:bCs/>
                <w:color w:val="000000" w:themeColor="text1"/>
                <w:szCs w:val="24"/>
                <w:lang w:val="pt-BR"/>
                <w14:textFill>
                  <w14:solidFill>
                    <w14:schemeClr w14:val="tx1"/>
                  </w14:solidFill>
                </w14:textFill>
              </w:rPr>
              <w:fldChar w:fldCharType="begin"/>
            </w:r>
            <w:r>
              <w:rPr>
                <w:rFonts w:ascii="Times New Roman" w:hAnsi="Times New Roman" w:eastAsia="宋体" w:cs="Times New Roman"/>
                <w:b/>
                <w:bCs/>
                <w:color w:val="000000" w:themeColor="text1"/>
                <w:szCs w:val="24"/>
                <w:lang w:val="pt-BR"/>
                <w14:textFill>
                  <w14:solidFill>
                    <w14:schemeClr w14:val="tx1"/>
                  </w14:solidFill>
                </w14:textFill>
              </w:rPr>
              <w:instrText xml:space="preserve"> SEQ 表3- \* ARABIC </w:instrText>
            </w:r>
            <w:r>
              <w:rPr>
                <w:rFonts w:ascii="Times New Roman" w:hAnsi="Times New Roman" w:eastAsia="宋体" w:cs="Times New Roman"/>
                <w:b/>
                <w:bCs/>
                <w:color w:val="000000" w:themeColor="text1"/>
                <w:szCs w:val="24"/>
                <w:lang w:val="pt-BR"/>
                <w14:textFill>
                  <w14:solidFill>
                    <w14:schemeClr w14:val="tx1"/>
                  </w14:solidFill>
                </w14:textFill>
              </w:rPr>
              <w:fldChar w:fldCharType="separate"/>
            </w:r>
            <w:r>
              <w:rPr>
                <w:rFonts w:ascii="Times New Roman" w:hAnsi="Times New Roman" w:eastAsia="宋体" w:cs="Times New Roman"/>
                <w:b/>
                <w:bCs/>
                <w:color w:val="000000" w:themeColor="text1"/>
                <w:szCs w:val="24"/>
                <w:lang w:val="pt-BR"/>
                <w14:textFill>
                  <w14:solidFill>
                    <w14:schemeClr w14:val="tx1"/>
                  </w14:solidFill>
                </w14:textFill>
              </w:rPr>
              <w:t>13</w:t>
            </w:r>
            <w:r>
              <w:rPr>
                <w:rFonts w:ascii="Times New Roman" w:hAnsi="Times New Roman" w:eastAsia="宋体" w:cs="Times New Roman"/>
                <w:b/>
                <w:bCs/>
                <w:color w:val="000000" w:themeColor="text1"/>
                <w:szCs w:val="24"/>
                <w:lang w:val="pt-BR"/>
                <w14:textFill>
                  <w14:solidFill>
                    <w14:schemeClr w14:val="tx1"/>
                  </w14:solidFill>
                </w14:textFill>
              </w:rPr>
              <w:fldChar w:fldCharType="end"/>
            </w:r>
            <w:r>
              <w:rPr>
                <w:rFonts w:ascii="Times New Roman" w:hAnsi="Times New Roman" w:eastAsia="宋体" w:cs="Times New Roman"/>
                <w:b/>
                <w:bCs/>
                <w:color w:val="000000" w:themeColor="text1"/>
                <w:szCs w:val="24"/>
                <w14:textFill>
                  <w14:solidFill>
                    <w14:schemeClr w14:val="tx1"/>
                  </w14:solidFill>
                </w14:textFill>
              </w:rPr>
              <w:t xml:space="preserve">  </w:t>
            </w:r>
            <w:r>
              <w:rPr>
                <w:rFonts w:ascii="Times New Roman" w:hAnsi="Times New Roman" w:eastAsia="宋体" w:cs="Times New Roman"/>
                <w:b/>
                <w:color w:val="000000" w:themeColor="text1"/>
                <w:szCs w:val="21"/>
                <w14:textFill>
                  <w14:solidFill>
                    <w14:schemeClr w14:val="tx1"/>
                  </w14:solidFill>
                </w14:textFill>
              </w:rPr>
              <w:t>主要环境保护目标</w:t>
            </w:r>
            <w:bookmarkEnd w:id="29"/>
          </w:p>
          <w:tbl>
            <w:tblPr>
              <w:tblStyle w:val="24"/>
              <w:tblW w:w="0" w:type="auto"/>
              <w:tblInd w:w="0" w:type="dxa"/>
              <w:tblLayout w:type="autofit"/>
              <w:tblCellMar>
                <w:top w:w="0" w:type="dxa"/>
                <w:left w:w="108" w:type="dxa"/>
                <w:bottom w:w="0" w:type="dxa"/>
                <w:right w:w="108" w:type="dxa"/>
              </w:tblCellMar>
            </w:tblPr>
            <w:tblGrid>
              <w:gridCol w:w="426"/>
              <w:gridCol w:w="709"/>
              <w:gridCol w:w="1490"/>
              <w:gridCol w:w="846"/>
              <w:gridCol w:w="916"/>
              <w:gridCol w:w="2159"/>
              <w:gridCol w:w="2130"/>
            </w:tblGrid>
            <w:tr w14:paraId="4C579D3A">
              <w:tblPrEx>
                <w:tblCellMar>
                  <w:top w:w="0" w:type="dxa"/>
                  <w:left w:w="108" w:type="dxa"/>
                  <w:bottom w:w="0" w:type="dxa"/>
                  <w:right w:w="108" w:type="dxa"/>
                </w:tblCellMar>
              </w:tblPrEx>
              <w:trPr>
                <w:trHeight w:val="285" w:hRule="atLeast"/>
              </w:trPr>
              <w:tc>
                <w:tcPr>
                  <w:tcW w:w="702" w:type="dxa"/>
                  <w:tcBorders>
                    <w:top w:val="single" w:color="auto" w:sz="4" w:space="0"/>
                    <w:left w:val="single" w:color="auto" w:sz="4" w:space="0"/>
                    <w:bottom w:val="single" w:color="auto" w:sz="4" w:space="0"/>
                    <w:right w:val="single" w:color="auto" w:sz="4" w:space="0"/>
                  </w:tcBorders>
                </w:tcPr>
                <w:p w14:paraId="41536182">
                  <w:pPr>
                    <w:widowControl/>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环境</w:t>
                  </w:r>
                </w:p>
                <w:p w14:paraId="7AA143E4">
                  <w:pPr>
                    <w:widowControl/>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保护</w:t>
                  </w:r>
                </w:p>
                <w:p w14:paraId="4708D174">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szCs w:val="21"/>
                    </w:rPr>
                    <w:t>要素</w:t>
                  </w:r>
                </w:p>
              </w:tc>
              <w:tc>
                <w:tcPr>
                  <w:tcW w:w="70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49EAFA3">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敏感</w:t>
                  </w:r>
                </w:p>
                <w:p w14:paraId="654DC93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点编</w:t>
                  </w:r>
                </w:p>
                <w:p w14:paraId="77243A45">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号</w:t>
                  </w:r>
                </w:p>
              </w:tc>
              <w:tc>
                <w:tcPr>
                  <w:tcW w:w="1490" w:type="dxa"/>
                  <w:tcBorders>
                    <w:top w:val="single" w:color="auto" w:sz="4" w:space="0"/>
                    <w:left w:val="nil"/>
                    <w:bottom w:val="single" w:color="auto" w:sz="4" w:space="0"/>
                    <w:right w:val="single" w:color="auto" w:sz="4" w:space="0"/>
                  </w:tcBorders>
                  <w:shd w:val="clear" w:color="auto" w:fill="auto"/>
                  <w:noWrap/>
                  <w:vAlign w:val="center"/>
                </w:tcPr>
                <w:p w14:paraId="694415E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保护目标</w:t>
                  </w:r>
                </w:p>
              </w:tc>
              <w:tc>
                <w:tcPr>
                  <w:tcW w:w="0" w:type="auto"/>
                  <w:tcBorders>
                    <w:top w:val="single" w:color="auto" w:sz="4" w:space="0"/>
                    <w:left w:val="nil"/>
                    <w:bottom w:val="single" w:color="auto" w:sz="4" w:space="0"/>
                    <w:right w:val="single" w:color="auto" w:sz="4" w:space="0"/>
                  </w:tcBorders>
                  <w:shd w:val="clear" w:color="auto" w:fill="auto"/>
                  <w:noWrap/>
                  <w:vAlign w:val="center"/>
                </w:tcPr>
                <w:p w14:paraId="4D9B32B4">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方位</w:t>
                  </w:r>
                </w:p>
              </w:tc>
              <w:tc>
                <w:tcPr>
                  <w:tcW w:w="0" w:type="auto"/>
                  <w:tcBorders>
                    <w:top w:val="single" w:color="auto" w:sz="4" w:space="0"/>
                    <w:left w:val="nil"/>
                    <w:bottom w:val="single" w:color="auto" w:sz="4" w:space="0"/>
                    <w:right w:val="single" w:color="auto" w:sz="4" w:space="0"/>
                  </w:tcBorders>
                  <w:shd w:val="clear" w:color="auto" w:fill="auto"/>
                  <w:noWrap/>
                  <w:vAlign w:val="center"/>
                </w:tcPr>
                <w:p w14:paraId="647B963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距离m</w:t>
                  </w:r>
                </w:p>
              </w:tc>
              <w:tc>
                <w:tcPr>
                  <w:tcW w:w="0" w:type="auto"/>
                  <w:tcBorders>
                    <w:top w:val="single" w:color="auto" w:sz="4" w:space="0"/>
                    <w:left w:val="nil"/>
                    <w:bottom w:val="single" w:color="auto" w:sz="4" w:space="0"/>
                    <w:right w:val="single" w:color="auto" w:sz="4" w:space="0"/>
                  </w:tcBorders>
                  <w:shd w:val="clear" w:color="auto" w:fill="auto"/>
                  <w:noWrap/>
                  <w:vAlign w:val="center"/>
                </w:tcPr>
                <w:p w14:paraId="377B6D87">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规模</w:t>
                  </w:r>
                </w:p>
              </w:tc>
              <w:tc>
                <w:tcPr>
                  <w:tcW w:w="0" w:type="auto"/>
                  <w:tcBorders>
                    <w:top w:val="single" w:color="auto" w:sz="4" w:space="0"/>
                    <w:left w:val="nil"/>
                    <w:bottom w:val="single" w:color="auto" w:sz="4" w:space="0"/>
                    <w:right w:val="single" w:color="auto" w:sz="4" w:space="0"/>
                  </w:tcBorders>
                </w:tcPr>
                <w:p w14:paraId="7C9A29BD">
                  <w:pPr>
                    <w:widowControl/>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保护</w:t>
                  </w:r>
                </w:p>
                <w:p w14:paraId="302737B9">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szCs w:val="21"/>
                    </w:rPr>
                    <w:t>等级</w:t>
                  </w:r>
                </w:p>
              </w:tc>
            </w:tr>
            <w:tr w14:paraId="73DF7031">
              <w:tblPrEx>
                <w:tblCellMar>
                  <w:top w:w="0" w:type="dxa"/>
                  <w:left w:w="108" w:type="dxa"/>
                  <w:bottom w:w="0" w:type="dxa"/>
                  <w:right w:w="108" w:type="dxa"/>
                </w:tblCellMar>
              </w:tblPrEx>
              <w:trPr>
                <w:trHeight w:val="300" w:hRule="atLeast"/>
              </w:trPr>
              <w:tc>
                <w:tcPr>
                  <w:tcW w:w="702" w:type="dxa"/>
                  <w:vMerge w:val="restart"/>
                  <w:tcBorders>
                    <w:top w:val="nil"/>
                    <w:left w:val="single" w:color="auto" w:sz="4" w:space="0"/>
                    <w:right w:val="single" w:color="auto" w:sz="4" w:space="0"/>
                  </w:tcBorders>
                </w:tcPr>
                <w:p w14:paraId="4D9F9170">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大气</w:t>
                  </w: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668C67D5">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w:t>
                  </w:r>
                </w:p>
              </w:tc>
              <w:tc>
                <w:tcPr>
                  <w:tcW w:w="1490" w:type="dxa"/>
                  <w:vMerge w:val="restart"/>
                  <w:tcBorders>
                    <w:top w:val="nil"/>
                    <w:left w:val="single" w:color="auto" w:sz="4" w:space="0"/>
                    <w:bottom w:val="single" w:color="auto" w:sz="4" w:space="0"/>
                    <w:right w:val="single" w:color="auto" w:sz="4" w:space="0"/>
                  </w:tcBorders>
                  <w:shd w:val="clear" w:color="auto" w:fill="auto"/>
                  <w:noWrap/>
                  <w:vAlign w:val="center"/>
                </w:tcPr>
                <w:p w14:paraId="2C9D4577">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滑泥桥村散户</w:t>
                  </w:r>
                </w:p>
              </w:tc>
              <w:tc>
                <w:tcPr>
                  <w:tcW w:w="0" w:type="auto"/>
                  <w:tcBorders>
                    <w:top w:val="nil"/>
                    <w:left w:val="nil"/>
                    <w:bottom w:val="single" w:color="auto" w:sz="4" w:space="0"/>
                    <w:right w:val="single" w:color="auto" w:sz="4" w:space="0"/>
                  </w:tcBorders>
                  <w:shd w:val="clear" w:color="auto" w:fill="auto"/>
                  <w:vAlign w:val="center"/>
                </w:tcPr>
                <w:p w14:paraId="41863378">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西侧</w:t>
                  </w:r>
                </w:p>
              </w:tc>
              <w:tc>
                <w:tcPr>
                  <w:tcW w:w="0" w:type="auto"/>
                  <w:tcBorders>
                    <w:top w:val="nil"/>
                    <w:left w:val="nil"/>
                    <w:bottom w:val="single" w:color="auto" w:sz="4" w:space="0"/>
                    <w:right w:val="single" w:color="auto" w:sz="4" w:space="0"/>
                  </w:tcBorders>
                  <w:shd w:val="clear" w:color="auto" w:fill="auto"/>
                  <w:vAlign w:val="center"/>
                </w:tcPr>
                <w:p w14:paraId="41546AA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26-250</w:t>
                  </w:r>
                </w:p>
              </w:tc>
              <w:tc>
                <w:tcPr>
                  <w:tcW w:w="0" w:type="auto"/>
                  <w:tcBorders>
                    <w:top w:val="nil"/>
                    <w:left w:val="nil"/>
                    <w:bottom w:val="single" w:color="auto" w:sz="4" w:space="0"/>
                    <w:right w:val="single" w:color="auto" w:sz="4" w:space="0"/>
                  </w:tcBorders>
                  <w:shd w:val="clear" w:color="auto" w:fill="auto"/>
                  <w:vAlign w:val="center"/>
                </w:tcPr>
                <w:p w14:paraId="2542A334">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8户农户，约32人</w:t>
                  </w:r>
                </w:p>
              </w:tc>
              <w:tc>
                <w:tcPr>
                  <w:tcW w:w="0" w:type="auto"/>
                  <w:vMerge w:val="restart"/>
                  <w:tcBorders>
                    <w:top w:val="nil"/>
                    <w:left w:val="nil"/>
                    <w:right w:val="single" w:color="auto" w:sz="4" w:space="0"/>
                  </w:tcBorders>
                </w:tcPr>
                <w:p w14:paraId="29619664">
                  <w:pPr>
                    <w:widowControl/>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《环境空气</w:t>
                  </w:r>
                </w:p>
                <w:p w14:paraId="4E140FF2">
                  <w:pPr>
                    <w:widowControl/>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质量标准</w:t>
                  </w:r>
                </w:p>
                <w:p w14:paraId="5345864F">
                  <w:pPr>
                    <w:widowControl/>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》（GB</w:t>
                  </w:r>
                </w:p>
                <w:p w14:paraId="32BD4B1C">
                  <w:pPr>
                    <w:widowControl/>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3095-2012）</w:t>
                  </w:r>
                </w:p>
                <w:p w14:paraId="2B758D3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szCs w:val="21"/>
                    </w:rPr>
                    <w:t>二级</w:t>
                  </w:r>
                </w:p>
              </w:tc>
            </w:tr>
            <w:tr w14:paraId="0377CD0C">
              <w:tblPrEx>
                <w:tblCellMar>
                  <w:top w:w="0" w:type="dxa"/>
                  <w:left w:w="108" w:type="dxa"/>
                  <w:bottom w:w="0" w:type="dxa"/>
                  <w:right w:w="108" w:type="dxa"/>
                </w:tblCellMar>
              </w:tblPrEx>
              <w:trPr>
                <w:trHeight w:val="300" w:hRule="atLeast"/>
              </w:trPr>
              <w:tc>
                <w:tcPr>
                  <w:tcW w:w="702" w:type="dxa"/>
                  <w:vMerge w:val="continue"/>
                  <w:tcBorders>
                    <w:left w:val="single" w:color="auto" w:sz="4" w:space="0"/>
                    <w:right w:val="single" w:color="auto" w:sz="4" w:space="0"/>
                  </w:tcBorders>
                </w:tcPr>
                <w:p w14:paraId="1AD9103D">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0EEDF54D">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w:t>
                  </w:r>
                </w:p>
              </w:tc>
              <w:tc>
                <w:tcPr>
                  <w:tcW w:w="1490" w:type="dxa"/>
                  <w:vMerge w:val="continue"/>
                  <w:tcBorders>
                    <w:top w:val="nil"/>
                    <w:left w:val="single" w:color="auto" w:sz="4" w:space="0"/>
                    <w:bottom w:val="single" w:color="auto" w:sz="4" w:space="0"/>
                    <w:right w:val="single" w:color="auto" w:sz="4" w:space="0"/>
                  </w:tcBorders>
                  <w:vAlign w:val="center"/>
                </w:tcPr>
                <w:p w14:paraId="639D8592">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vAlign w:val="center"/>
                </w:tcPr>
                <w:p w14:paraId="512EB34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西北侧</w:t>
                  </w:r>
                </w:p>
              </w:tc>
              <w:tc>
                <w:tcPr>
                  <w:tcW w:w="0" w:type="auto"/>
                  <w:tcBorders>
                    <w:top w:val="nil"/>
                    <w:left w:val="nil"/>
                    <w:bottom w:val="single" w:color="auto" w:sz="4" w:space="0"/>
                    <w:right w:val="single" w:color="auto" w:sz="4" w:space="0"/>
                  </w:tcBorders>
                  <w:shd w:val="clear" w:color="auto" w:fill="auto"/>
                  <w:vAlign w:val="center"/>
                </w:tcPr>
                <w:p w14:paraId="66516EE3">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300-500</w:t>
                  </w:r>
                </w:p>
              </w:tc>
              <w:tc>
                <w:tcPr>
                  <w:tcW w:w="0" w:type="auto"/>
                  <w:tcBorders>
                    <w:top w:val="nil"/>
                    <w:left w:val="nil"/>
                    <w:bottom w:val="single" w:color="auto" w:sz="4" w:space="0"/>
                    <w:right w:val="single" w:color="auto" w:sz="4" w:space="0"/>
                  </w:tcBorders>
                  <w:shd w:val="clear" w:color="auto" w:fill="auto"/>
                  <w:vAlign w:val="center"/>
                </w:tcPr>
                <w:p w14:paraId="59AD4AAE">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6户农户，约24人</w:t>
                  </w:r>
                </w:p>
              </w:tc>
              <w:tc>
                <w:tcPr>
                  <w:tcW w:w="0" w:type="auto"/>
                  <w:vMerge w:val="continue"/>
                  <w:tcBorders>
                    <w:left w:val="nil"/>
                    <w:right w:val="single" w:color="auto" w:sz="4" w:space="0"/>
                  </w:tcBorders>
                </w:tcPr>
                <w:p w14:paraId="1AD78586">
                  <w:pPr>
                    <w:widowControl/>
                    <w:jc w:val="center"/>
                    <w:rPr>
                      <w:rFonts w:ascii="Times New Roman" w:hAnsi="Times New Roman" w:eastAsia="宋体" w:cs="Times New Roman"/>
                      <w:color w:val="FF0000"/>
                      <w:kern w:val="0"/>
                      <w:szCs w:val="21"/>
                    </w:rPr>
                  </w:pPr>
                </w:p>
              </w:tc>
            </w:tr>
            <w:tr w14:paraId="31A8806E">
              <w:tblPrEx>
                <w:tblCellMar>
                  <w:top w:w="0" w:type="dxa"/>
                  <w:left w:w="108" w:type="dxa"/>
                  <w:bottom w:w="0" w:type="dxa"/>
                  <w:right w:w="108" w:type="dxa"/>
                </w:tblCellMar>
              </w:tblPrEx>
              <w:trPr>
                <w:trHeight w:val="300" w:hRule="atLeast"/>
              </w:trPr>
              <w:tc>
                <w:tcPr>
                  <w:tcW w:w="702" w:type="dxa"/>
                  <w:vMerge w:val="continue"/>
                  <w:tcBorders>
                    <w:left w:val="single" w:color="auto" w:sz="4" w:space="0"/>
                    <w:right w:val="single" w:color="auto" w:sz="4" w:space="0"/>
                  </w:tcBorders>
                </w:tcPr>
                <w:p w14:paraId="38C578AE">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4782F487">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3</w:t>
                  </w:r>
                </w:p>
              </w:tc>
              <w:tc>
                <w:tcPr>
                  <w:tcW w:w="1490" w:type="dxa"/>
                  <w:vMerge w:val="continue"/>
                  <w:tcBorders>
                    <w:top w:val="nil"/>
                    <w:left w:val="single" w:color="auto" w:sz="4" w:space="0"/>
                    <w:bottom w:val="single" w:color="auto" w:sz="4" w:space="0"/>
                    <w:right w:val="single" w:color="auto" w:sz="4" w:space="0"/>
                  </w:tcBorders>
                  <w:vAlign w:val="center"/>
                </w:tcPr>
                <w:p w14:paraId="07C67031">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vAlign w:val="center"/>
                </w:tcPr>
                <w:p w14:paraId="0252A9E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东北侧</w:t>
                  </w:r>
                </w:p>
              </w:tc>
              <w:tc>
                <w:tcPr>
                  <w:tcW w:w="0" w:type="auto"/>
                  <w:tcBorders>
                    <w:top w:val="nil"/>
                    <w:left w:val="nil"/>
                    <w:bottom w:val="single" w:color="auto" w:sz="4" w:space="0"/>
                    <w:right w:val="single" w:color="auto" w:sz="4" w:space="0"/>
                  </w:tcBorders>
                  <w:shd w:val="clear" w:color="auto" w:fill="auto"/>
                  <w:vAlign w:val="center"/>
                </w:tcPr>
                <w:p w14:paraId="33BD7235">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84-180</w:t>
                  </w:r>
                </w:p>
              </w:tc>
              <w:tc>
                <w:tcPr>
                  <w:tcW w:w="0" w:type="auto"/>
                  <w:tcBorders>
                    <w:top w:val="nil"/>
                    <w:left w:val="nil"/>
                    <w:bottom w:val="single" w:color="auto" w:sz="4" w:space="0"/>
                    <w:right w:val="single" w:color="auto" w:sz="4" w:space="0"/>
                  </w:tcBorders>
                  <w:shd w:val="clear" w:color="auto" w:fill="auto"/>
                  <w:vAlign w:val="center"/>
                </w:tcPr>
                <w:p w14:paraId="148418D1">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10户农户，约40人</w:t>
                  </w:r>
                </w:p>
              </w:tc>
              <w:tc>
                <w:tcPr>
                  <w:tcW w:w="0" w:type="auto"/>
                  <w:vMerge w:val="continue"/>
                  <w:tcBorders>
                    <w:left w:val="nil"/>
                    <w:right w:val="single" w:color="auto" w:sz="4" w:space="0"/>
                  </w:tcBorders>
                </w:tcPr>
                <w:p w14:paraId="0083ADC5">
                  <w:pPr>
                    <w:widowControl/>
                    <w:jc w:val="center"/>
                    <w:rPr>
                      <w:rFonts w:ascii="Times New Roman" w:hAnsi="Times New Roman" w:eastAsia="宋体" w:cs="Times New Roman"/>
                      <w:color w:val="FF0000"/>
                      <w:kern w:val="0"/>
                      <w:szCs w:val="21"/>
                    </w:rPr>
                  </w:pPr>
                </w:p>
              </w:tc>
            </w:tr>
            <w:tr w14:paraId="382EC5BE">
              <w:tblPrEx>
                <w:tblCellMar>
                  <w:top w:w="0" w:type="dxa"/>
                  <w:left w:w="108" w:type="dxa"/>
                  <w:bottom w:w="0" w:type="dxa"/>
                  <w:right w:w="108" w:type="dxa"/>
                </w:tblCellMar>
              </w:tblPrEx>
              <w:trPr>
                <w:trHeight w:val="300" w:hRule="atLeast"/>
              </w:trPr>
              <w:tc>
                <w:tcPr>
                  <w:tcW w:w="702" w:type="dxa"/>
                  <w:vMerge w:val="continue"/>
                  <w:tcBorders>
                    <w:left w:val="single" w:color="auto" w:sz="4" w:space="0"/>
                    <w:right w:val="single" w:color="auto" w:sz="4" w:space="0"/>
                  </w:tcBorders>
                </w:tcPr>
                <w:p w14:paraId="0A1FB5BA">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62D8B15E">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4</w:t>
                  </w:r>
                </w:p>
              </w:tc>
              <w:tc>
                <w:tcPr>
                  <w:tcW w:w="1490" w:type="dxa"/>
                  <w:vMerge w:val="continue"/>
                  <w:tcBorders>
                    <w:top w:val="nil"/>
                    <w:left w:val="single" w:color="auto" w:sz="4" w:space="0"/>
                    <w:bottom w:val="single" w:color="auto" w:sz="4" w:space="0"/>
                    <w:right w:val="single" w:color="auto" w:sz="4" w:space="0"/>
                  </w:tcBorders>
                  <w:vAlign w:val="center"/>
                </w:tcPr>
                <w:p w14:paraId="2EA2DF61">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vAlign w:val="center"/>
                </w:tcPr>
                <w:p w14:paraId="15E998B9">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东北侧</w:t>
                  </w:r>
                </w:p>
              </w:tc>
              <w:tc>
                <w:tcPr>
                  <w:tcW w:w="0" w:type="auto"/>
                  <w:tcBorders>
                    <w:top w:val="nil"/>
                    <w:left w:val="nil"/>
                    <w:bottom w:val="single" w:color="auto" w:sz="4" w:space="0"/>
                    <w:right w:val="single" w:color="auto" w:sz="4" w:space="0"/>
                  </w:tcBorders>
                  <w:shd w:val="clear" w:color="auto" w:fill="auto"/>
                  <w:vAlign w:val="center"/>
                </w:tcPr>
                <w:p w14:paraId="7A42AE6D">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320-480</w:t>
                  </w:r>
                </w:p>
              </w:tc>
              <w:tc>
                <w:tcPr>
                  <w:tcW w:w="0" w:type="auto"/>
                  <w:tcBorders>
                    <w:top w:val="nil"/>
                    <w:left w:val="nil"/>
                    <w:bottom w:val="single" w:color="auto" w:sz="4" w:space="0"/>
                    <w:right w:val="single" w:color="auto" w:sz="4" w:space="0"/>
                  </w:tcBorders>
                  <w:shd w:val="clear" w:color="auto" w:fill="auto"/>
                  <w:vAlign w:val="center"/>
                </w:tcPr>
                <w:p w14:paraId="10A58CD5">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10户农户，约40人</w:t>
                  </w:r>
                </w:p>
              </w:tc>
              <w:tc>
                <w:tcPr>
                  <w:tcW w:w="0" w:type="auto"/>
                  <w:vMerge w:val="continue"/>
                  <w:tcBorders>
                    <w:left w:val="nil"/>
                    <w:right w:val="single" w:color="auto" w:sz="4" w:space="0"/>
                  </w:tcBorders>
                </w:tcPr>
                <w:p w14:paraId="32BAC805">
                  <w:pPr>
                    <w:widowControl/>
                    <w:jc w:val="center"/>
                    <w:rPr>
                      <w:rFonts w:ascii="Times New Roman" w:hAnsi="Times New Roman" w:eastAsia="宋体" w:cs="Times New Roman"/>
                      <w:color w:val="FF0000"/>
                      <w:kern w:val="0"/>
                      <w:szCs w:val="21"/>
                    </w:rPr>
                  </w:pPr>
                </w:p>
              </w:tc>
            </w:tr>
            <w:tr w14:paraId="34F25665">
              <w:tblPrEx>
                <w:tblCellMar>
                  <w:top w:w="0" w:type="dxa"/>
                  <w:left w:w="108" w:type="dxa"/>
                  <w:bottom w:w="0" w:type="dxa"/>
                  <w:right w:w="108" w:type="dxa"/>
                </w:tblCellMar>
              </w:tblPrEx>
              <w:trPr>
                <w:trHeight w:val="300" w:hRule="atLeast"/>
              </w:trPr>
              <w:tc>
                <w:tcPr>
                  <w:tcW w:w="702" w:type="dxa"/>
                  <w:vMerge w:val="continue"/>
                  <w:tcBorders>
                    <w:left w:val="single" w:color="auto" w:sz="4" w:space="0"/>
                    <w:right w:val="single" w:color="auto" w:sz="4" w:space="0"/>
                  </w:tcBorders>
                </w:tcPr>
                <w:p w14:paraId="0B8BC9A3">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153E61E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5</w:t>
                  </w:r>
                </w:p>
              </w:tc>
              <w:tc>
                <w:tcPr>
                  <w:tcW w:w="1490" w:type="dxa"/>
                  <w:vMerge w:val="continue"/>
                  <w:tcBorders>
                    <w:top w:val="nil"/>
                    <w:left w:val="single" w:color="auto" w:sz="4" w:space="0"/>
                    <w:bottom w:val="single" w:color="auto" w:sz="4" w:space="0"/>
                    <w:right w:val="single" w:color="auto" w:sz="4" w:space="0"/>
                  </w:tcBorders>
                  <w:vAlign w:val="center"/>
                </w:tcPr>
                <w:p w14:paraId="60A1C595">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vAlign w:val="center"/>
                </w:tcPr>
                <w:p w14:paraId="7696F863">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东侧</w:t>
                  </w:r>
                </w:p>
              </w:tc>
              <w:tc>
                <w:tcPr>
                  <w:tcW w:w="0" w:type="auto"/>
                  <w:tcBorders>
                    <w:top w:val="nil"/>
                    <w:left w:val="nil"/>
                    <w:bottom w:val="single" w:color="auto" w:sz="4" w:space="0"/>
                    <w:right w:val="single" w:color="auto" w:sz="4" w:space="0"/>
                  </w:tcBorders>
                  <w:shd w:val="clear" w:color="auto" w:fill="auto"/>
                  <w:vAlign w:val="center"/>
                </w:tcPr>
                <w:p w14:paraId="7FD74AE9">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90</w:t>
                  </w:r>
                </w:p>
              </w:tc>
              <w:tc>
                <w:tcPr>
                  <w:tcW w:w="0" w:type="auto"/>
                  <w:tcBorders>
                    <w:top w:val="nil"/>
                    <w:left w:val="nil"/>
                    <w:bottom w:val="single" w:color="auto" w:sz="4" w:space="0"/>
                    <w:right w:val="single" w:color="auto" w:sz="4" w:space="0"/>
                  </w:tcBorders>
                  <w:shd w:val="clear" w:color="auto" w:fill="auto"/>
                  <w:vAlign w:val="center"/>
                </w:tcPr>
                <w:p w14:paraId="68D53F7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1户农户，约4人</w:t>
                  </w:r>
                </w:p>
              </w:tc>
              <w:tc>
                <w:tcPr>
                  <w:tcW w:w="0" w:type="auto"/>
                  <w:vMerge w:val="continue"/>
                  <w:tcBorders>
                    <w:left w:val="nil"/>
                    <w:right w:val="single" w:color="auto" w:sz="4" w:space="0"/>
                  </w:tcBorders>
                </w:tcPr>
                <w:p w14:paraId="39B888B6">
                  <w:pPr>
                    <w:widowControl/>
                    <w:jc w:val="center"/>
                    <w:rPr>
                      <w:rFonts w:ascii="Times New Roman" w:hAnsi="Times New Roman" w:eastAsia="宋体" w:cs="Times New Roman"/>
                      <w:color w:val="FF0000"/>
                      <w:kern w:val="0"/>
                      <w:szCs w:val="21"/>
                    </w:rPr>
                  </w:pPr>
                </w:p>
              </w:tc>
            </w:tr>
            <w:tr w14:paraId="7D5019DF">
              <w:tblPrEx>
                <w:tblCellMar>
                  <w:top w:w="0" w:type="dxa"/>
                  <w:left w:w="108" w:type="dxa"/>
                  <w:bottom w:w="0" w:type="dxa"/>
                  <w:right w:w="108" w:type="dxa"/>
                </w:tblCellMar>
              </w:tblPrEx>
              <w:trPr>
                <w:trHeight w:val="300" w:hRule="atLeast"/>
              </w:trPr>
              <w:tc>
                <w:tcPr>
                  <w:tcW w:w="702" w:type="dxa"/>
                  <w:vMerge w:val="continue"/>
                  <w:tcBorders>
                    <w:left w:val="single" w:color="auto" w:sz="4" w:space="0"/>
                    <w:right w:val="single" w:color="auto" w:sz="4" w:space="0"/>
                  </w:tcBorders>
                </w:tcPr>
                <w:p w14:paraId="7D66768F">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2C6C7BF1">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6</w:t>
                  </w:r>
                </w:p>
              </w:tc>
              <w:tc>
                <w:tcPr>
                  <w:tcW w:w="1490" w:type="dxa"/>
                  <w:vMerge w:val="continue"/>
                  <w:tcBorders>
                    <w:top w:val="nil"/>
                    <w:left w:val="single" w:color="auto" w:sz="4" w:space="0"/>
                    <w:bottom w:val="single" w:color="auto" w:sz="4" w:space="0"/>
                    <w:right w:val="single" w:color="auto" w:sz="4" w:space="0"/>
                  </w:tcBorders>
                  <w:vAlign w:val="center"/>
                </w:tcPr>
                <w:p w14:paraId="0E0FEF0B">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vAlign w:val="center"/>
                </w:tcPr>
                <w:p w14:paraId="4898389C">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东南侧</w:t>
                  </w:r>
                </w:p>
              </w:tc>
              <w:tc>
                <w:tcPr>
                  <w:tcW w:w="0" w:type="auto"/>
                  <w:tcBorders>
                    <w:top w:val="nil"/>
                    <w:left w:val="nil"/>
                    <w:bottom w:val="single" w:color="auto" w:sz="4" w:space="0"/>
                    <w:right w:val="single" w:color="auto" w:sz="4" w:space="0"/>
                  </w:tcBorders>
                  <w:shd w:val="clear" w:color="auto" w:fill="auto"/>
                  <w:vAlign w:val="center"/>
                </w:tcPr>
                <w:p w14:paraId="310409B3">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21-100</w:t>
                  </w:r>
                </w:p>
              </w:tc>
              <w:tc>
                <w:tcPr>
                  <w:tcW w:w="0" w:type="auto"/>
                  <w:tcBorders>
                    <w:top w:val="nil"/>
                    <w:left w:val="nil"/>
                    <w:bottom w:val="single" w:color="auto" w:sz="4" w:space="0"/>
                    <w:right w:val="single" w:color="auto" w:sz="4" w:space="0"/>
                  </w:tcBorders>
                  <w:shd w:val="clear" w:color="auto" w:fill="auto"/>
                  <w:vAlign w:val="center"/>
                </w:tcPr>
                <w:p w14:paraId="185DD092">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5户农户，约20人</w:t>
                  </w:r>
                </w:p>
              </w:tc>
              <w:tc>
                <w:tcPr>
                  <w:tcW w:w="0" w:type="auto"/>
                  <w:vMerge w:val="continue"/>
                  <w:tcBorders>
                    <w:left w:val="nil"/>
                    <w:right w:val="single" w:color="auto" w:sz="4" w:space="0"/>
                  </w:tcBorders>
                </w:tcPr>
                <w:p w14:paraId="03E714BD">
                  <w:pPr>
                    <w:widowControl/>
                    <w:jc w:val="center"/>
                    <w:rPr>
                      <w:rFonts w:ascii="Times New Roman" w:hAnsi="Times New Roman" w:eastAsia="宋体" w:cs="Times New Roman"/>
                      <w:color w:val="FF0000"/>
                      <w:kern w:val="0"/>
                      <w:szCs w:val="21"/>
                    </w:rPr>
                  </w:pPr>
                </w:p>
              </w:tc>
            </w:tr>
            <w:tr w14:paraId="0F48BD9F">
              <w:tblPrEx>
                <w:tblCellMar>
                  <w:top w:w="0" w:type="dxa"/>
                  <w:left w:w="108" w:type="dxa"/>
                  <w:bottom w:w="0" w:type="dxa"/>
                  <w:right w:w="108" w:type="dxa"/>
                </w:tblCellMar>
              </w:tblPrEx>
              <w:trPr>
                <w:trHeight w:val="300" w:hRule="atLeast"/>
              </w:trPr>
              <w:tc>
                <w:tcPr>
                  <w:tcW w:w="702" w:type="dxa"/>
                  <w:vMerge w:val="continue"/>
                  <w:tcBorders>
                    <w:left w:val="single" w:color="auto" w:sz="4" w:space="0"/>
                    <w:right w:val="single" w:color="auto" w:sz="4" w:space="0"/>
                  </w:tcBorders>
                </w:tcPr>
                <w:p w14:paraId="3BA29810">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307B8C89">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7</w:t>
                  </w:r>
                </w:p>
              </w:tc>
              <w:tc>
                <w:tcPr>
                  <w:tcW w:w="1490" w:type="dxa"/>
                  <w:vMerge w:val="continue"/>
                  <w:tcBorders>
                    <w:top w:val="nil"/>
                    <w:left w:val="single" w:color="auto" w:sz="4" w:space="0"/>
                    <w:bottom w:val="single" w:color="auto" w:sz="4" w:space="0"/>
                    <w:right w:val="single" w:color="auto" w:sz="4" w:space="0"/>
                  </w:tcBorders>
                  <w:vAlign w:val="center"/>
                </w:tcPr>
                <w:p w14:paraId="4CEED95A">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vAlign w:val="center"/>
                </w:tcPr>
                <w:p w14:paraId="5F35F6D4">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东南侧</w:t>
                  </w:r>
                </w:p>
              </w:tc>
              <w:tc>
                <w:tcPr>
                  <w:tcW w:w="0" w:type="auto"/>
                  <w:tcBorders>
                    <w:top w:val="nil"/>
                    <w:left w:val="nil"/>
                    <w:bottom w:val="single" w:color="auto" w:sz="4" w:space="0"/>
                    <w:right w:val="single" w:color="auto" w:sz="4" w:space="0"/>
                  </w:tcBorders>
                  <w:shd w:val="clear" w:color="auto" w:fill="auto"/>
                  <w:vAlign w:val="center"/>
                </w:tcPr>
                <w:p w14:paraId="6EC68AB6">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240</w:t>
                  </w:r>
                </w:p>
              </w:tc>
              <w:tc>
                <w:tcPr>
                  <w:tcW w:w="0" w:type="auto"/>
                  <w:tcBorders>
                    <w:top w:val="nil"/>
                    <w:left w:val="nil"/>
                    <w:bottom w:val="single" w:color="auto" w:sz="4" w:space="0"/>
                    <w:right w:val="single" w:color="auto" w:sz="4" w:space="0"/>
                  </w:tcBorders>
                  <w:shd w:val="clear" w:color="auto" w:fill="auto"/>
                  <w:vAlign w:val="center"/>
                </w:tcPr>
                <w:p w14:paraId="441BFA5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1户农户，约4人</w:t>
                  </w:r>
                </w:p>
              </w:tc>
              <w:tc>
                <w:tcPr>
                  <w:tcW w:w="0" w:type="auto"/>
                  <w:vMerge w:val="continue"/>
                  <w:tcBorders>
                    <w:left w:val="nil"/>
                    <w:right w:val="single" w:color="auto" w:sz="4" w:space="0"/>
                  </w:tcBorders>
                </w:tcPr>
                <w:p w14:paraId="69401C4B">
                  <w:pPr>
                    <w:widowControl/>
                    <w:jc w:val="center"/>
                    <w:rPr>
                      <w:rFonts w:ascii="Times New Roman" w:hAnsi="Times New Roman" w:eastAsia="宋体" w:cs="Times New Roman"/>
                      <w:color w:val="FF0000"/>
                      <w:kern w:val="0"/>
                      <w:szCs w:val="21"/>
                    </w:rPr>
                  </w:pPr>
                </w:p>
              </w:tc>
            </w:tr>
            <w:tr w14:paraId="6B18F710">
              <w:tblPrEx>
                <w:tblCellMar>
                  <w:top w:w="0" w:type="dxa"/>
                  <w:left w:w="108" w:type="dxa"/>
                  <w:bottom w:w="0" w:type="dxa"/>
                  <w:right w:w="108" w:type="dxa"/>
                </w:tblCellMar>
              </w:tblPrEx>
              <w:trPr>
                <w:trHeight w:val="300" w:hRule="atLeast"/>
              </w:trPr>
              <w:tc>
                <w:tcPr>
                  <w:tcW w:w="702" w:type="dxa"/>
                  <w:vMerge w:val="continue"/>
                  <w:tcBorders>
                    <w:left w:val="single" w:color="auto" w:sz="4" w:space="0"/>
                    <w:right w:val="single" w:color="auto" w:sz="4" w:space="0"/>
                  </w:tcBorders>
                </w:tcPr>
                <w:p w14:paraId="6A2CD32B">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6DB76ED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8</w:t>
                  </w:r>
                </w:p>
              </w:tc>
              <w:tc>
                <w:tcPr>
                  <w:tcW w:w="1490" w:type="dxa"/>
                  <w:vMerge w:val="continue"/>
                  <w:tcBorders>
                    <w:top w:val="nil"/>
                    <w:left w:val="single" w:color="auto" w:sz="4" w:space="0"/>
                    <w:bottom w:val="single" w:color="auto" w:sz="4" w:space="0"/>
                    <w:right w:val="single" w:color="auto" w:sz="4" w:space="0"/>
                  </w:tcBorders>
                  <w:vAlign w:val="center"/>
                </w:tcPr>
                <w:p w14:paraId="110FEAA7">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vAlign w:val="center"/>
                </w:tcPr>
                <w:p w14:paraId="3034A25D">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东侧</w:t>
                  </w:r>
                </w:p>
              </w:tc>
              <w:tc>
                <w:tcPr>
                  <w:tcW w:w="0" w:type="auto"/>
                  <w:tcBorders>
                    <w:top w:val="nil"/>
                    <w:left w:val="nil"/>
                    <w:bottom w:val="single" w:color="auto" w:sz="4" w:space="0"/>
                    <w:right w:val="single" w:color="auto" w:sz="4" w:space="0"/>
                  </w:tcBorders>
                  <w:shd w:val="clear" w:color="auto" w:fill="auto"/>
                  <w:vAlign w:val="center"/>
                </w:tcPr>
                <w:p w14:paraId="3AC0F21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400-500</w:t>
                  </w:r>
                </w:p>
              </w:tc>
              <w:tc>
                <w:tcPr>
                  <w:tcW w:w="0" w:type="auto"/>
                  <w:tcBorders>
                    <w:top w:val="nil"/>
                    <w:left w:val="nil"/>
                    <w:bottom w:val="single" w:color="auto" w:sz="4" w:space="0"/>
                    <w:right w:val="single" w:color="auto" w:sz="4" w:space="0"/>
                  </w:tcBorders>
                  <w:shd w:val="clear" w:color="auto" w:fill="auto"/>
                  <w:vAlign w:val="center"/>
                </w:tcPr>
                <w:p w14:paraId="1F41D0A0">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25户农户，约100人</w:t>
                  </w:r>
                </w:p>
              </w:tc>
              <w:tc>
                <w:tcPr>
                  <w:tcW w:w="0" w:type="auto"/>
                  <w:vMerge w:val="continue"/>
                  <w:tcBorders>
                    <w:left w:val="nil"/>
                    <w:right w:val="single" w:color="auto" w:sz="4" w:space="0"/>
                  </w:tcBorders>
                </w:tcPr>
                <w:p w14:paraId="5E4C3150">
                  <w:pPr>
                    <w:widowControl/>
                    <w:jc w:val="center"/>
                    <w:rPr>
                      <w:rFonts w:ascii="Times New Roman" w:hAnsi="Times New Roman" w:eastAsia="宋体" w:cs="Times New Roman"/>
                      <w:color w:val="FF0000"/>
                      <w:kern w:val="0"/>
                      <w:szCs w:val="21"/>
                    </w:rPr>
                  </w:pPr>
                </w:p>
              </w:tc>
            </w:tr>
            <w:tr w14:paraId="78E4CD13">
              <w:tblPrEx>
                <w:tblCellMar>
                  <w:top w:w="0" w:type="dxa"/>
                  <w:left w:w="108" w:type="dxa"/>
                  <w:bottom w:w="0" w:type="dxa"/>
                  <w:right w:w="108" w:type="dxa"/>
                </w:tblCellMar>
              </w:tblPrEx>
              <w:trPr>
                <w:trHeight w:val="300" w:hRule="atLeast"/>
              </w:trPr>
              <w:tc>
                <w:tcPr>
                  <w:tcW w:w="702" w:type="dxa"/>
                  <w:vMerge w:val="continue"/>
                  <w:tcBorders>
                    <w:left w:val="single" w:color="auto" w:sz="4" w:space="0"/>
                    <w:right w:val="single" w:color="auto" w:sz="4" w:space="0"/>
                  </w:tcBorders>
                </w:tcPr>
                <w:p w14:paraId="60F98903">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05DB6A31">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9</w:t>
                  </w:r>
                </w:p>
              </w:tc>
              <w:tc>
                <w:tcPr>
                  <w:tcW w:w="1490" w:type="dxa"/>
                  <w:vMerge w:val="continue"/>
                  <w:tcBorders>
                    <w:top w:val="nil"/>
                    <w:left w:val="single" w:color="auto" w:sz="4" w:space="0"/>
                    <w:bottom w:val="single" w:color="auto" w:sz="4" w:space="0"/>
                    <w:right w:val="single" w:color="auto" w:sz="4" w:space="0"/>
                  </w:tcBorders>
                  <w:vAlign w:val="center"/>
                </w:tcPr>
                <w:p w14:paraId="4877A2C2">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vAlign w:val="center"/>
                </w:tcPr>
                <w:p w14:paraId="473C41D3">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南侧</w:t>
                  </w:r>
                </w:p>
              </w:tc>
              <w:tc>
                <w:tcPr>
                  <w:tcW w:w="0" w:type="auto"/>
                  <w:tcBorders>
                    <w:top w:val="nil"/>
                    <w:left w:val="nil"/>
                    <w:bottom w:val="single" w:color="auto" w:sz="4" w:space="0"/>
                    <w:right w:val="single" w:color="auto" w:sz="4" w:space="0"/>
                  </w:tcBorders>
                  <w:shd w:val="clear" w:color="auto" w:fill="auto"/>
                  <w:vAlign w:val="center"/>
                </w:tcPr>
                <w:p w14:paraId="05F1546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160-250</w:t>
                  </w:r>
                </w:p>
              </w:tc>
              <w:tc>
                <w:tcPr>
                  <w:tcW w:w="0" w:type="auto"/>
                  <w:tcBorders>
                    <w:top w:val="nil"/>
                    <w:left w:val="nil"/>
                    <w:bottom w:val="single" w:color="auto" w:sz="4" w:space="0"/>
                    <w:right w:val="single" w:color="auto" w:sz="4" w:space="0"/>
                  </w:tcBorders>
                  <w:shd w:val="clear" w:color="auto" w:fill="auto"/>
                  <w:vAlign w:val="center"/>
                </w:tcPr>
                <w:p w14:paraId="639F5449">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5户农户，约20人</w:t>
                  </w:r>
                </w:p>
              </w:tc>
              <w:tc>
                <w:tcPr>
                  <w:tcW w:w="0" w:type="auto"/>
                  <w:vMerge w:val="continue"/>
                  <w:tcBorders>
                    <w:left w:val="nil"/>
                    <w:right w:val="single" w:color="auto" w:sz="4" w:space="0"/>
                  </w:tcBorders>
                </w:tcPr>
                <w:p w14:paraId="552E3766">
                  <w:pPr>
                    <w:widowControl/>
                    <w:jc w:val="center"/>
                    <w:rPr>
                      <w:rFonts w:ascii="Times New Roman" w:hAnsi="Times New Roman" w:eastAsia="宋体" w:cs="Times New Roman"/>
                      <w:color w:val="FF0000"/>
                      <w:kern w:val="0"/>
                      <w:szCs w:val="21"/>
                    </w:rPr>
                  </w:pPr>
                </w:p>
              </w:tc>
            </w:tr>
            <w:tr w14:paraId="37A9C7FE">
              <w:tblPrEx>
                <w:tblCellMar>
                  <w:top w:w="0" w:type="dxa"/>
                  <w:left w:w="108" w:type="dxa"/>
                  <w:bottom w:w="0" w:type="dxa"/>
                  <w:right w:w="108" w:type="dxa"/>
                </w:tblCellMar>
              </w:tblPrEx>
              <w:trPr>
                <w:trHeight w:val="300" w:hRule="atLeast"/>
              </w:trPr>
              <w:tc>
                <w:tcPr>
                  <w:tcW w:w="702" w:type="dxa"/>
                  <w:vMerge w:val="continue"/>
                  <w:tcBorders>
                    <w:left w:val="single" w:color="auto" w:sz="4" w:space="0"/>
                    <w:right w:val="single" w:color="auto" w:sz="4" w:space="0"/>
                  </w:tcBorders>
                </w:tcPr>
                <w:p w14:paraId="63550555">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469241C0">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10</w:t>
                  </w:r>
                </w:p>
              </w:tc>
              <w:tc>
                <w:tcPr>
                  <w:tcW w:w="1490" w:type="dxa"/>
                  <w:vMerge w:val="continue"/>
                  <w:tcBorders>
                    <w:top w:val="nil"/>
                    <w:left w:val="single" w:color="auto" w:sz="4" w:space="0"/>
                    <w:bottom w:val="single" w:color="auto" w:sz="4" w:space="0"/>
                    <w:right w:val="single" w:color="auto" w:sz="4" w:space="0"/>
                  </w:tcBorders>
                  <w:vAlign w:val="center"/>
                </w:tcPr>
                <w:p w14:paraId="74EEA014">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vAlign w:val="center"/>
                </w:tcPr>
                <w:p w14:paraId="01B89A3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西南侧</w:t>
                  </w:r>
                </w:p>
              </w:tc>
              <w:tc>
                <w:tcPr>
                  <w:tcW w:w="0" w:type="auto"/>
                  <w:tcBorders>
                    <w:top w:val="nil"/>
                    <w:left w:val="nil"/>
                    <w:bottom w:val="single" w:color="auto" w:sz="4" w:space="0"/>
                    <w:right w:val="single" w:color="auto" w:sz="4" w:space="0"/>
                  </w:tcBorders>
                  <w:shd w:val="clear" w:color="auto" w:fill="auto"/>
                  <w:vAlign w:val="center"/>
                </w:tcPr>
                <w:p w14:paraId="5EEC63D7">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300-360</w:t>
                  </w:r>
                </w:p>
              </w:tc>
              <w:tc>
                <w:tcPr>
                  <w:tcW w:w="0" w:type="auto"/>
                  <w:tcBorders>
                    <w:top w:val="nil"/>
                    <w:left w:val="nil"/>
                    <w:bottom w:val="single" w:color="auto" w:sz="4" w:space="0"/>
                    <w:right w:val="single" w:color="auto" w:sz="4" w:space="0"/>
                  </w:tcBorders>
                  <w:shd w:val="clear" w:color="auto" w:fill="auto"/>
                  <w:vAlign w:val="center"/>
                </w:tcPr>
                <w:p w14:paraId="19383689">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4户农户，约16人</w:t>
                  </w:r>
                </w:p>
              </w:tc>
              <w:tc>
                <w:tcPr>
                  <w:tcW w:w="0" w:type="auto"/>
                  <w:vMerge w:val="continue"/>
                  <w:tcBorders>
                    <w:left w:val="nil"/>
                    <w:right w:val="single" w:color="auto" w:sz="4" w:space="0"/>
                  </w:tcBorders>
                </w:tcPr>
                <w:p w14:paraId="3FB4DC32">
                  <w:pPr>
                    <w:widowControl/>
                    <w:jc w:val="center"/>
                    <w:rPr>
                      <w:rFonts w:ascii="Times New Roman" w:hAnsi="Times New Roman" w:eastAsia="宋体" w:cs="Times New Roman"/>
                      <w:color w:val="FF0000"/>
                      <w:kern w:val="0"/>
                      <w:szCs w:val="21"/>
                    </w:rPr>
                  </w:pPr>
                </w:p>
              </w:tc>
            </w:tr>
            <w:tr w14:paraId="64128934">
              <w:tblPrEx>
                <w:tblCellMar>
                  <w:top w:w="0" w:type="dxa"/>
                  <w:left w:w="108" w:type="dxa"/>
                  <w:bottom w:w="0" w:type="dxa"/>
                  <w:right w:w="108" w:type="dxa"/>
                </w:tblCellMar>
              </w:tblPrEx>
              <w:trPr>
                <w:trHeight w:val="300" w:hRule="atLeast"/>
              </w:trPr>
              <w:tc>
                <w:tcPr>
                  <w:tcW w:w="702" w:type="dxa"/>
                  <w:vMerge w:val="continue"/>
                  <w:tcBorders>
                    <w:left w:val="single" w:color="auto" w:sz="4" w:space="0"/>
                    <w:right w:val="single" w:color="auto" w:sz="4" w:space="0"/>
                  </w:tcBorders>
                </w:tcPr>
                <w:p w14:paraId="0CA98B35">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233AE07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11</w:t>
                  </w:r>
                </w:p>
              </w:tc>
              <w:tc>
                <w:tcPr>
                  <w:tcW w:w="1490" w:type="dxa"/>
                  <w:vMerge w:val="continue"/>
                  <w:tcBorders>
                    <w:top w:val="nil"/>
                    <w:left w:val="single" w:color="auto" w:sz="4" w:space="0"/>
                    <w:bottom w:val="single" w:color="auto" w:sz="4" w:space="0"/>
                    <w:right w:val="single" w:color="auto" w:sz="4" w:space="0"/>
                  </w:tcBorders>
                  <w:vAlign w:val="center"/>
                </w:tcPr>
                <w:p w14:paraId="6BE93709">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vAlign w:val="center"/>
                </w:tcPr>
                <w:p w14:paraId="70E67658">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西侧</w:t>
                  </w:r>
                </w:p>
              </w:tc>
              <w:tc>
                <w:tcPr>
                  <w:tcW w:w="0" w:type="auto"/>
                  <w:tcBorders>
                    <w:top w:val="nil"/>
                    <w:left w:val="nil"/>
                    <w:bottom w:val="single" w:color="auto" w:sz="4" w:space="0"/>
                    <w:right w:val="single" w:color="auto" w:sz="4" w:space="0"/>
                  </w:tcBorders>
                  <w:shd w:val="clear" w:color="auto" w:fill="auto"/>
                  <w:noWrap/>
                  <w:vAlign w:val="center"/>
                </w:tcPr>
                <w:p w14:paraId="0A6925D8">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421</w:t>
                  </w:r>
                </w:p>
              </w:tc>
              <w:tc>
                <w:tcPr>
                  <w:tcW w:w="0" w:type="auto"/>
                  <w:tcBorders>
                    <w:top w:val="nil"/>
                    <w:left w:val="nil"/>
                    <w:bottom w:val="single" w:color="auto" w:sz="4" w:space="0"/>
                    <w:right w:val="single" w:color="auto" w:sz="4" w:space="0"/>
                  </w:tcBorders>
                  <w:shd w:val="clear" w:color="auto" w:fill="auto"/>
                  <w:vAlign w:val="center"/>
                </w:tcPr>
                <w:p w14:paraId="7BCA7FD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40户农户，约160人</w:t>
                  </w:r>
                </w:p>
              </w:tc>
              <w:tc>
                <w:tcPr>
                  <w:tcW w:w="0" w:type="auto"/>
                  <w:vMerge w:val="continue"/>
                  <w:tcBorders>
                    <w:left w:val="nil"/>
                    <w:right w:val="single" w:color="auto" w:sz="4" w:space="0"/>
                  </w:tcBorders>
                </w:tcPr>
                <w:p w14:paraId="48E3DA01">
                  <w:pPr>
                    <w:widowControl/>
                    <w:jc w:val="center"/>
                    <w:rPr>
                      <w:rFonts w:ascii="Times New Roman" w:hAnsi="Times New Roman" w:eastAsia="宋体" w:cs="Times New Roman"/>
                      <w:color w:val="FF0000"/>
                      <w:kern w:val="0"/>
                      <w:szCs w:val="21"/>
                    </w:rPr>
                  </w:pPr>
                </w:p>
              </w:tc>
            </w:tr>
            <w:tr w14:paraId="470EE9F4">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3C904510">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7EB7818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12</w:t>
                  </w:r>
                </w:p>
              </w:tc>
              <w:tc>
                <w:tcPr>
                  <w:tcW w:w="1490" w:type="dxa"/>
                  <w:tcBorders>
                    <w:top w:val="nil"/>
                    <w:left w:val="nil"/>
                    <w:bottom w:val="single" w:color="auto" w:sz="4" w:space="0"/>
                    <w:right w:val="single" w:color="auto" w:sz="4" w:space="0"/>
                  </w:tcBorders>
                  <w:shd w:val="clear" w:color="auto" w:fill="auto"/>
                  <w:noWrap/>
                  <w:vAlign w:val="center"/>
                </w:tcPr>
                <w:p w14:paraId="0A0F9334">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横山镇</w:t>
                  </w:r>
                </w:p>
              </w:tc>
              <w:tc>
                <w:tcPr>
                  <w:tcW w:w="0" w:type="auto"/>
                  <w:tcBorders>
                    <w:top w:val="nil"/>
                    <w:left w:val="nil"/>
                    <w:bottom w:val="single" w:color="auto" w:sz="4" w:space="0"/>
                    <w:right w:val="single" w:color="auto" w:sz="4" w:space="0"/>
                  </w:tcBorders>
                  <w:shd w:val="clear" w:color="auto" w:fill="auto"/>
                  <w:vAlign w:val="center"/>
                </w:tcPr>
                <w:p w14:paraId="44ACFD02">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西侧</w:t>
                  </w:r>
                </w:p>
              </w:tc>
              <w:tc>
                <w:tcPr>
                  <w:tcW w:w="0" w:type="auto"/>
                  <w:tcBorders>
                    <w:top w:val="nil"/>
                    <w:left w:val="nil"/>
                    <w:bottom w:val="single" w:color="auto" w:sz="4" w:space="0"/>
                    <w:right w:val="single" w:color="auto" w:sz="4" w:space="0"/>
                  </w:tcBorders>
                  <w:shd w:val="clear" w:color="auto" w:fill="auto"/>
                  <w:noWrap/>
                  <w:vAlign w:val="center"/>
                </w:tcPr>
                <w:p w14:paraId="30E132D9">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936</w:t>
                  </w:r>
                </w:p>
              </w:tc>
              <w:tc>
                <w:tcPr>
                  <w:tcW w:w="0" w:type="auto"/>
                  <w:tcBorders>
                    <w:top w:val="nil"/>
                    <w:left w:val="nil"/>
                    <w:bottom w:val="single" w:color="auto" w:sz="4" w:space="0"/>
                    <w:right w:val="single" w:color="auto" w:sz="4" w:space="0"/>
                  </w:tcBorders>
                  <w:shd w:val="clear" w:color="auto" w:fill="auto"/>
                  <w:noWrap/>
                  <w:vAlign w:val="center"/>
                </w:tcPr>
                <w:p w14:paraId="00CE0501">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约15000人</w:t>
                  </w:r>
                </w:p>
              </w:tc>
              <w:tc>
                <w:tcPr>
                  <w:tcW w:w="0" w:type="auto"/>
                  <w:vMerge w:val="continue"/>
                  <w:tcBorders>
                    <w:left w:val="nil"/>
                    <w:right w:val="single" w:color="auto" w:sz="4" w:space="0"/>
                  </w:tcBorders>
                </w:tcPr>
                <w:p w14:paraId="7152E1B2">
                  <w:pPr>
                    <w:widowControl/>
                    <w:jc w:val="center"/>
                    <w:rPr>
                      <w:rFonts w:ascii="Times New Roman" w:hAnsi="Times New Roman" w:eastAsia="宋体" w:cs="Times New Roman"/>
                      <w:color w:val="FF0000"/>
                      <w:kern w:val="0"/>
                      <w:szCs w:val="21"/>
                    </w:rPr>
                  </w:pPr>
                </w:p>
              </w:tc>
            </w:tr>
            <w:tr w14:paraId="4D60A970">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0E74615A">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2A0215EC">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13</w:t>
                  </w:r>
                </w:p>
              </w:tc>
              <w:tc>
                <w:tcPr>
                  <w:tcW w:w="1490" w:type="dxa"/>
                  <w:tcBorders>
                    <w:top w:val="nil"/>
                    <w:left w:val="nil"/>
                    <w:bottom w:val="single" w:color="auto" w:sz="4" w:space="0"/>
                    <w:right w:val="single" w:color="auto" w:sz="4" w:space="0"/>
                  </w:tcBorders>
                  <w:shd w:val="clear" w:color="auto" w:fill="auto"/>
                  <w:noWrap/>
                  <w:vAlign w:val="center"/>
                </w:tcPr>
                <w:p w14:paraId="0D3BDBEC">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滑泥桥村散户</w:t>
                  </w:r>
                </w:p>
              </w:tc>
              <w:tc>
                <w:tcPr>
                  <w:tcW w:w="0" w:type="auto"/>
                  <w:tcBorders>
                    <w:top w:val="nil"/>
                    <w:left w:val="nil"/>
                    <w:bottom w:val="single" w:color="auto" w:sz="4" w:space="0"/>
                    <w:right w:val="single" w:color="auto" w:sz="4" w:space="0"/>
                  </w:tcBorders>
                  <w:shd w:val="clear" w:color="auto" w:fill="auto"/>
                  <w:vAlign w:val="center"/>
                </w:tcPr>
                <w:p w14:paraId="2B7B2A29">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西北侧</w:t>
                  </w:r>
                </w:p>
              </w:tc>
              <w:tc>
                <w:tcPr>
                  <w:tcW w:w="0" w:type="auto"/>
                  <w:tcBorders>
                    <w:top w:val="nil"/>
                    <w:left w:val="nil"/>
                    <w:bottom w:val="single" w:color="auto" w:sz="4" w:space="0"/>
                    <w:right w:val="single" w:color="auto" w:sz="4" w:space="0"/>
                  </w:tcBorders>
                  <w:shd w:val="clear" w:color="auto" w:fill="auto"/>
                  <w:noWrap/>
                  <w:vAlign w:val="center"/>
                </w:tcPr>
                <w:p w14:paraId="664D73E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623</w:t>
                  </w:r>
                </w:p>
              </w:tc>
              <w:tc>
                <w:tcPr>
                  <w:tcW w:w="0" w:type="auto"/>
                  <w:tcBorders>
                    <w:top w:val="nil"/>
                    <w:left w:val="nil"/>
                    <w:bottom w:val="single" w:color="auto" w:sz="4" w:space="0"/>
                    <w:right w:val="single" w:color="auto" w:sz="4" w:space="0"/>
                  </w:tcBorders>
                  <w:shd w:val="clear" w:color="auto" w:fill="auto"/>
                  <w:noWrap/>
                  <w:vAlign w:val="center"/>
                </w:tcPr>
                <w:p w14:paraId="7E24417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约30户农户，120人</w:t>
                  </w:r>
                </w:p>
              </w:tc>
              <w:tc>
                <w:tcPr>
                  <w:tcW w:w="0" w:type="auto"/>
                  <w:vMerge w:val="continue"/>
                  <w:tcBorders>
                    <w:left w:val="nil"/>
                    <w:right w:val="single" w:color="auto" w:sz="4" w:space="0"/>
                  </w:tcBorders>
                </w:tcPr>
                <w:p w14:paraId="767A73E8">
                  <w:pPr>
                    <w:widowControl/>
                    <w:jc w:val="center"/>
                    <w:rPr>
                      <w:rFonts w:ascii="Times New Roman" w:hAnsi="Times New Roman" w:eastAsia="宋体" w:cs="Times New Roman"/>
                      <w:color w:val="FF0000"/>
                      <w:kern w:val="0"/>
                      <w:szCs w:val="21"/>
                    </w:rPr>
                  </w:pPr>
                </w:p>
              </w:tc>
            </w:tr>
            <w:tr w14:paraId="09F086CD">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1C4678C0">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558CCE74">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14</w:t>
                  </w:r>
                </w:p>
              </w:tc>
              <w:tc>
                <w:tcPr>
                  <w:tcW w:w="1490" w:type="dxa"/>
                  <w:vMerge w:val="restart"/>
                  <w:tcBorders>
                    <w:top w:val="nil"/>
                    <w:left w:val="single" w:color="auto" w:sz="4" w:space="0"/>
                    <w:bottom w:val="single" w:color="auto" w:sz="4" w:space="0"/>
                    <w:right w:val="single" w:color="auto" w:sz="4" w:space="0"/>
                  </w:tcBorders>
                  <w:shd w:val="clear" w:color="auto" w:fill="auto"/>
                  <w:noWrap/>
                  <w:vAlign w:val="center"/>
                </w:tcPr>
                <w:p w14:paraId="302EC16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红花村散户</w:t>
                  </w:r>
                </w:p>
              </w:tc>
              <w:tc>
                <w:tcPr>
                  <w:tcW w:w="0" w:type="auto"/>
                  <w:tcBorders>
                    <w:top w:val="nil"/>
                    <w:left w:val="nil"/>
                    <w:bottom w:val="single" w:color="auto" w:sz="4" w:space="0"/>
                    <w:right w:val="single" w:color="auto" w:sz="4" w:space="0"/>
                  </w:tcBorders>
                  <w:shd w:val="clear" w:color="auto" w:fill="auto"/>
                  <w:vAlign w:val="center"/>
                </w:tcPr>
                <w:p w14:paraId="79E8E2E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西北侧</w:t>
                  </w:r>
                </w:p>
              </w:tc>
              <w:tc>
                <w:tcPr>
                  <w:tcW w:w="0" w:type="auto"/>
                  <w:tcBorders>
                    <w:top w:val="nil"/>
                    <w:left w:val="nil"/>
                    <w:bottom w:val="single" w:color="auto" w:sz="4" w:space="0"/>
                    <w:right w:val="single" w:color="auto" w:sz="4" w:space="0"/>
                  </w:tcBorders>
                  <w:shd w:val="clear" w:color="auto" w:fill="auto"/>
                  <w:noWrap/>
                  <w:vAlign w:val="center"/>
                </w:tcPr>
                <w:p w14:paraId="00EF2E95">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1575</w:t>
                  </w:r>
                </w:p>
              </w:tc>
              <w:tc>
                <w:tcPr>
                  <w:tcW w:w="0" w:type="auto"/>
                  <w:tcBorders>
                    <w:top w:val="nil"/>
                    <w:left w:val="nil"/>
                    <w:bottom w:val="single" w:color="auto" w:sz="4" w:space="0"/>
                    <w:right w:val="single" w:color="auto" w:sz="4" w:space="0"/>
                  </w:tcBorders>
                  <w:shd w:val="clear" w:color="auto" w:fill="auto"/>
                  <w:noWrap/>
                  <w:vAlign w:val="center"/>
                </w:tcPr>
                <w:p w14:paraId="5EAAA39E">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约20户农户，80人</w:t>
                  </w:r>
                </w:p>
              </w:tc>
              <w:tc>
                <w:tcPr>
                  <w:tcW w:w="0" w:type="auto"/>
                  <w:vMerge w:val="continue"/>
                  <w:tcBorders>
                    <w:left w:val="nil"/>
                    <w:right w:val="single" w:color="auto" w:sz="4" w:space="0"/>
                  </w:tcBorders>
                </w:tcPr>
                <w:p w14:paraId="0D51AC34">
                  <w:pPr>
                    <w:widowControl/>
                    <w:jc w:val="center"/>
                    <w:rPr>
                      <w:rFonts w:ascii="Times New Roman" w:hAnsi="Times New Roman" w:eastAsia="宋体" w:cs="Times New Roman"/>
                      <w:color w:val="FF0000"/>
                      <w:kern w:val="0"/>
                      <w:szCs w:val="21"/>
                    </w:rPr>
                  </w:pPr>
                </w:p>
              </w:tc>
            </w:tr>
            <w:tr w14:paraId="4FAB5625">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001F833B">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1C64E3C8">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15</w:t>
                  </w:r>
                </w:p>
              </w:tc>
              <w:tc>
                <w:tcPr>
                  <w:tcW w:w="1490" w:type="dxa"/>
                  <w:vMerge w:val="continue"/>
                  <w:tcBorders>
                    <w:top w:val="nil"/>
                    <w:left w:val="single" w:color="auto" w:sz="4" w:space="0"/>
                    <w:bottom w:val="single" w:color="auto" w:sz="4" w:space="0"/>
                    <w:right w:val="single" w:color="auto" w:sz="4" w:space="0"/>
                  </w:tcBorders>
                  <w:vAlign w:val="center"/>
                </w:tcPr>
                <w:p w14:paraId="0CE6E84C">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vAlign w:val="center"/>
                </w:tcPr>
                <w:p w14:paraId="7B8FCC07">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西北侧</w:t>
                  </w:r>
                </w:p>
              </w:tc>
              <w:tc>
                <w:tcPr>
                  <w:tcW w:w="0" w:type="auto"/>
                  <w:tcBorders>
                    <w:top w:val="nil"/>
                    <w:left w:val="nil"/>
                    <w:bottom w:val="single" w:color="auto" w:sz="4" w:space="0"/>
                    <w:right w:val="single" w:color="auto" w:sz="4" w:space="0"/>
                  </w:tcBorders>
                  <w:shd w:val="clear" w:color="auto" w:fill="auto"/>
                  <w:noWrap/>
                  <w:vAlign w:val="center"/>
                </w:tcPr>
                <w:p w14:paraId="1E83BF72">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1633</w:t>
                  </w:r>
                </w:p>
              </w:tc>
              <w:tc>
                <w:tcPr>
                  <w:tcW w:w="0" w:type="auto"/>
                  <w:tcBorders>
                    <w:top w:val="nil"/>
                    <w:left w:val="nil"/>
                    <w:bottom w:val="single" w:color="auto" w:sz="4" w:space="0"/>
                    <w:right w:val="single" w:color="auto" w:sz="4" w:space="0"/>
                  </w:tcBorders>
                  <w:shd w:val="clear" w:color="auto" w:fill="auto"/>
                  <w:noWrap/>
                  <w:vAlign w:val="center"/>
                </w:tcPr>
                <w:p w14:paraId="35782C77">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约35户农户，140人</w:t>
                  </w:r>
                </w:p>
              </w:tc>
              <w:tc>
                <w:tcPr>
                  <w:tcW w:w="0" w:type="auto"/>
                  <w:vMerge w:val="continue"/>
                  <w:tcBorders>
                    <w:left w:val="nil"/>
                    <w:right w:val="single" w:color="auto" w:sz="4" w:space="0"/>
                  </w:tcBorders>
                </w:tcPr>
                <w:p w14:paraId="15719E19">
                  <w:pPr>
                    <w:widowControl/>
                    <w:jc w:val="center"/>
                    <w:rPr>
                      <w:rFonts w:ascii="Times New Roman" w:hAnsi="Times New Roman" w:eastAsia="宋体" w:cs="Times New Roman"/>
                      <w:color w:val="FF0000"/>
                      <w:kern w:val="0"/>
                      <w:szCs w:val="21"/>
                    </w:rPr>
                  </w:pPr>
                </w:p>
              </w:tc>
            </w:tr>
            <w:tr w14:paraId="1003D670">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2103BC9E">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49C2D80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16</w:t>
                  </w:r>
                </w:p>
              </w:tc>
              <w:tc>
                <w:tcPr>
                  <w:tcW w:w="1490" w:type="dxa"/>
                  <w:vMerge w:val="restart"/>
                  <w:tcBorders>
                    <w:top w:val="nil"/>
                    <w:left w:val="single" w:color="auto" w:sz="4" w:space="0"/>
                    <w:bottom w:val="single" w:color="auto" w:sz="4" w:space="0"/>
                    <w:right w:val="single" w:color="auto" w:sz="4" w:space="0"/>
                  </w:tcBorders>
                  <w:shd w:val="clear" w:color="auto" w:fill="auto"/>
                  <w:noWrap/>
                  <w:vAlign w:val="center"/>
                </w:tcPr>
                <w:p w14:paraId="30F3EC30">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龙潭村散户</w:t>
                  </w:r>
                </w:p>
              </w:tc>
              <w:tc>
                <w:tcPr>
                  <w:tcW w:w="0" w:type="auto"/>
                  <w:tcBorders>
                    <w:top w:val="nil"/>
                    <w:left w:val="nil"/>
                    <w:bottom w:val="single" w:color="auto" w:sz="4" w:space="0"/>
                    <w:right w:val="single" w:color="auto" w:sz="4" w:space="0"/>
                  </w:tcBorders>
                  <w:shd w:val="clear" w:color="auto" w:fill="auto"/>
                  <w:vAlign w:val="center"/>
                </w:tcPr>
                <w:p w14:paraId="61F383FD">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西北侧</w:t>
                  </w:r>
                </w:p>
              </w:tc>
              <w:tc>
                <w:tcPr>
                  <w:tcW w:w="0" w:type="auto"/>
                  <w:tcBorders>
                    <w:top w:val="nil"/>
                    <w:left w:val="nil"/>
                    <w:bottom w:val="single" w:color="auto" w:sz="4" w:space="0"/>
                    <w:right w:val="single" w:color="auto" w:sz="4" w:space="0"/>
                  </w:tcBorders>
                  <w:shd w:val="clear" w:color="auto" w:fill="auto"/>
                  <w:noWrap/>
                  <w:vAlign w:val="center"/>
                </w:tcPr>
                <w:p w14:paraId="5F246E69">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1205</w:t>
                  </w:r>
                </w:p>
              </w:tc>
              <w:tc>
                <w:tcPr>
                  <w:tcW w:w="0" w:type="auto"/>
                  <w:tcBorders>
                    <w:top w:val="nil"/>
                    <w:left w:val="nil"/>
                    <w:bottom w:val="single" w:color="auto" w:sz="4" w:space="0"/>
                    <w:right w:val="single" w:color="auto" w:sz="4" w:space="0"/>
                  </w:tcBorders>
                  <w:shd w:val="clear" w:color="auto" w:fill="auto"/>
                  <w:noWrap/>
                  <w:vAlign w:val="center"/>
                </w:tcPr>
                <w:p w14:paraId="2294DA2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约50户农户，200人</w:t>
                  </w:r>
                </w:p>
              </w:tc>
              <w:tc>
                <w:tcPr>
                  <w:tcW w:w="0" w:type="auto"/>
                  <w:vMerge w:val="continue"/>
                  <w:tcBorders>
                    <w:left w:val="nil"/>
                    <w:right w:val="single" w:color="auto" w:sz="4" w:space="0"/>
                  </w:tcBorders>
                </w:tcPr>
                <w:p w14:paraId="24031978">
                  <w:pPr>
                    <w:widowControl/>
                    <w:jc w:val="center"/>
                    <w:rPr>
                      <w:rFonts w:ascii="Times New Roman" w:hAnsi="Times New Roman" w:eastAsia="宋体" w:cs="Times New Roman"/>
                      <w:color w:val="FF0000"/>
                      <w:kern w:val="0"/>
                      <w:szCs w:val="21"/>
                    </w:rPr>
                  </w:pPr>
                </w:p>
              </w:tc>
            </w:tr>
            <w:tr w14:paraId="64AF9F96">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6E17B6B3">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5216754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17</w:t>
                  </w:r>
                </w:p>
              </w:tc>
              <w:tc>
                <w:tcPr>
                  <w:tcW w:w="1490" w:type="dxa"/>
                  <w:vMerge w:val="continue"/>
                  <w:tcBorders>
                    <w:top w:val="nil"/>
                    <w:left w:val="single" w:color="auto" w:sz="4" w:space="0"/>
                    <w:bottom w:val="single" w:color="auto" w:sz="4" w:space="0"/>
                    <w:right w:val="single" w:color="auto" w:sz="4" w:space="0"/>
                  </w:tcBorders>
                  <w:vAlign w:val="center"/>
                </w:tcPr>
                <w:p w14:paraId="4F949237">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vAlign w:val="center"/>
                </w:tcPr>
                <w:p w14:paraId="69356E78">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北侧</w:t>
                  </w:r>
                </w:p>
              </w:tc>
              <w:tc>
                <w:tcPr>
                  <w:tcW w:w="0" w:type="auto"/>
                  <w:tcBorders>
                    <w:top w:val="nil"/>
                    <w:left w:val="nil"/>
                    <w:bottom w:val="single" w:color="auto" w:sz="4" w:space="0"/>
                    <w:right w:val="single" w:color="auto" w:sz="4" w:space="0"/>
                  </w:tcBorders>
                  <w:shd w:val="clear" w:color="auto" w:fill="auto"/>
                  <w:noWrap/>
                  <w:vAlign w:val="center"/>
                </w:tcPr>
                <w:p w14:paraId="7D67EFCC">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2137</w:t>
                  </w:r>
                </w:p>
              </w:tc>
              <w:tc>
                <w:tcPr>
                  <w:tcW w:w="0" w:type="auto"/>
                  <w:tcBorders>
                    <w:top w:val="nil"/>
                    <w:left w:val="nil"/>
                    <w:bottom w:val="single" w:color="auto" w:sz="4" w:space="0"/>
                    <w:right w:val="single" w:color="auto" w:sz="4" w:space="0"/>
                  </w:tcBorders>
                  <w:shd w:val="clear" w:color="auto" w:fill="auto"/>
                  <w:noWrap/>
                  <w:vAlign w:val="center"/>
                </w:tcPr>
                <w:p w14:paraId="68C6662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约8户农户，32人</w:t>
                  </w:r>
                </w:p>
              </w:tc>
              <w:tc>
                <w:tcPr>
                  <w:tcW w:w="0" w:type="auto"/>
                  <w:vMerge w:val="continue"/>
                  <w:tcBorders>
                    <w:left w:val="nil"/>
                    <w:right w:val="single" w:color="auto" w:sz="4" w:space="0"/>
                  </w:tcBorders>
                </w:tcPr>
                <w:p w14:paraId="5D3F285F">
                  <w:pPr>
                    <w:widowControl/>
                    <w:jc w:val="center"/>
                    <w:rPr>
                      <w:rFonts w:ascii="Times New Roman" w:hAnsi="Times New Roman" w:eastAsia="宋体" w:cs="Times New Roman"/>
                      <w:color w:val="FF0000"/>
                      <w:kern w:val="0"/>
                      <w:szCs w:val="21"/>
                    </w:rPr>
                  </w:pPr>
                </w:p>
              </w:tc>
            </w:tr>
            <w:tr w14:paraId="4F4B2BED">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00742D85">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73EBA179">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18</w:t>
                  </w:r>
                </w:p>
              </w:tc>
              <w:tc>
                <w:tcPr>
                  <w:tcW w:w="1490" w:type="dxa"/>
                  <w:vMerge w:val="restart"/>
                  <w:tcBorders>
                    <w:top w:val="nil"/>
                    <w:left w:val="single" w:color="auto" w:sz="4" w:space="0"/>
                    <w:bottom w:val="single" w:color="auto" w:sz="4" w:space="0"/>
                    <w:right w:val="single" w:color="auto" w:sz="4" w:space="0"/>
                  </w:tcBorders>
                  <w:shd w:val="clear" w:color="auto" w:fill="auto"/>
                  <w:noWrap/>
                  <w:vAlign w:val="center"/>
                </w:tcPr>
                <w:p w14:paraId="356FC75E">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梨园村散户</w:t>
                  </w:r>
                </w:p>
              </w:tc>
              <w:tc>
                <w:tcPr>
                  <w:tcW w:w="0" w:type="auto"/>
                  <w:tcBorders>
                    <w:top w:val="nil"/>
                    <w:left w:val="nil"/>
                    <w:bottom w:val="single" w:color="auto" w:sz="4" w:space="0"/>
                    <w:right w:val="single" w:color="auto" w:sz="4" w:space="0"/>
                  </w:tcBorders>
                  <w:shd w:val="clear" w:color="auto" w:fill="auto"/>
                  <w:vAlign w:val="center"/>
                </w:tcPr>
                <w:p w14:paraId="79DD654E">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北侧</w:t>
                  </w:r>
                </w:p>
              </w:tc>
              <w:tc>
                <w:tcPr>
                  <w:tcW w:w="0" w:type="auto"/>
                  <w:tcBorders>
                    <w:top w:val="nil"/>
                    <w:left w:val="nil"/>
                    <w:bottom w:val="single" w:color="auto" w:sz="4" w:space="0"/>
                    <w:right w:val="single" w:color="auto" w:sz="4" w:space="0"/>
                  </w:tcBorders>
                  <w:shd w:val="clear" w:color="auto" w:fill="auto"/>
                  <w:noWrap/>
                  <w:vAlign w:val="center"/>
                </w:tcPr>
                <w:p w14:paraId="11DFD158">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978</w:t>
                  </w:r>
                </w:p>
              </w:tc>
              <w:tc>
                <w:tcPr>
                  <w:tcW w:w="0" w:type="auto"/>
                  <w:tcBorders>
                    <w:top w:val="nil"/>
                    <w:left w:val="nil"/>
                    <w:bottom w:val="single" w:color="auto" w:sz="4" w:space="0"/>
                    <w:right w:val="single" w:color="auto" w:sz="4" w:space="0"/>
                  </w:tcBorders>
                  <w:shd w:val="clear" w:color="auto" w:fill="auto"/>
                  <w:noWrap/>
                  <w:vAlign w:val="center"/>
                </w:tcPr>
                <w:p w14:paraId="63158DFE">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约9户农户，36人</w:t>
                  </w:r>
                </w:p>
              </w:tc>
              <w:tc>
                <w:tcPr>
                  <w:tcW w:w="0" w:type="auto"/>
                  <w:vMerge w:val="continue"/>
                  <w:tcBorders>
                    <w:left w:val="nil"/>
                    <w:right w:val="single" w:color="auto" w:sz="4" w:space="0"/>
                  </w:tcBorders>
                </w:tcPr>
                <w:p w14:paraId="6BD0DC1B">
                  <w:pPr>
                    <w:widowControl/>
                    <w:jc w:val="center"/>
                    <w:rPr>
                      <w:rFonts w:ascii="Times New Roman" w:hAnsi="Times New Roman" w:eastAsia="宋体" w:cs="Times New Roman"/>
                      <w:color w:val="FF0000"/>
                      <w:kern w:val="0"/>
                      <w:szCs w:val="21"/>
                    </w:rPr>
                  </w:pPr>
                </w:p>
              </w:tc>
            </w:tr>
            <w:tr w14:paraId="2516CE5A">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15A8E727">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5448D10C">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19</w:t>
                  </w:r>
                </w:p>
              </w:tc>
              <w:tc>
                <w:tcPr>
                  <w:tcW w:w="1490" w:type="dxa"/>
                  <w:vMerge w:val="continue"/>
                  <w:tcBorders>
                    <w:top w:val="nil"/>
                    <w:left w:val="single" w:color="auto" w:sz="4" w:space="0"/>
                    <w:bottom w:val="single" w:color="auto" w:sz="4" w:space="0"/>
                    <w:right w:val="single" w:color="auto" w:sz="4" w:space="0"/>
                  </w:tcBorders>
                  <w:vAlign w:val="center"/>
                </w:tcPr>
                <w:p w14:paraId="3173E5B3">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vAlign w:val="center"/>
                </w:tcPr>
                <w:p w14:paraId="1ABA8BD3">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北侧</w:t>
                  </w:r>
                </w:p>
              </w:tc>
              <w:tc>
                <w:tcPr>
                  <w:tcW w:w="0" w:type="auto"/>
                  <w:tcBorders>
                    <w:top w:val="nil"/>
                    <w:left w:val="nil"/>
                    <w:bottom w:val="single" w:color="auto" w:sz="4" w:space="0"/>
                    <w:right w:val="single" w:color="auto" w:sz="4" w:space="0"/>
                  </w:tcBorders>
                  <w:shd w:val="clear" w:color="auto" w:fill="auto"/>
                  <w:noWrap/>
                  <w:vAlign w:val="center"/>
                </w:tcPr>
                <w:p w14:paraId="6E01C38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545</w:t>
                  </w:r>
                </w:p>
              </w:tc>
              <w:tc>
                <w:tcPr>
                  <w:tcW w:w="0" w:type="auto"/>
                  <w:tcBorders>
                    <w:top w:val="nil"/>
                    <w:left w:val="nil"/>
                    <w:bottom w:val="single" w:color="auto" w:sz="4" w:space="0"/>
                    <w:right w:val="single" w:color="auto" w:sz="4" w:space="0"/>
                  </w:tcBorders>
                  <w:shd w:val="clear" w:color="auto" w:fill="auto"/>
                  <w:noWrap/>
                  <w:vAlign w:val="center"/>
                </w:tcPr>
                <w:p w14:paraId="74766628">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约10户农户，40人</w:t>
                  </w:r>
                </w:p>
              </w:tc>
              <w:tc>
                <w:tcPr>
                  <w:tcW w:w="0" w:type="auto"/>
                  <w:vMerge w:val="continue"/>
                  <w:tcBorders>
                    <w:left w:val="nil"/>
                    <w:right w:val="single" w:color="auto" w:sz="4" w:space="0"/>
                  </w:tcBorders>
                </w:tcPr>
                <w:p w14:paraId="14D816FE">
                  <w:pPr>
                    <w:widowControl/>
                    <w:jc w:val="center"/>
                    <w:rPr>
                      <w:rFonts w:ascii="Times New Roman" w:hAnsi="Times New Roman" w:eastAsia="宋体" w:cs="Times New Roman"/>
                      <w:color w:val="FF0000"/>
                      <w:kern w:val="0"/>
                      <w:szCs w:val="21"/>
                    </w:rPr>
                  </w:pPr>
                </w:p>
              </w:tc>
            </w:tr>
            <w:tr w14:paraId="5474D06C">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7BD61404">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02E12DE3">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20</w:t>
                  </w:r>
                </w:p>
              </w:tc>
              <w:tc>
                <w:tcPr>
                  <w:tcW w:w="1490" w:type="dxa"/>
                  <w:vMerge w:val="continue"/>
                  <w:tcBorders>
                    <w:top w:val="nil"/>
                    <w:left w:val="single" w:color="auto" w:sz="4" w:space="0"/>
                    <w:bottom w:val="single" w:color="auto" w:sz="4" w:space="0"/>
                    <w:right w:val="single" w:color="auto" w:sz="4" w:space="0"/>
                  </w:tcBorders>
                  <w:vAlign w:val="center"/>
                </w:tcPr>
                <w:p w14:paraId="25262B38">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vAlign w:val="center"/>
                </w:tcPr>
                <w:p w14:paraId="27DA5BC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北侧</w:t>
                  </w:r>
                </w:p>
              </w:tc>
              <w:tc>
                <w:tcPr>
                  <w:tcW w:w="0" w:type="auto"/>
                  <w:tcBorders>
                    <w:top w:val="nil"/>
                    <w:left w:val="nil"/>
                    <w:bottom w:val="single" w:color="auto" w:sz="4" w:space="0"/>
                    <w:right w:val="single" w:color="auto" w:sz="4" w:space="0"/>
                  </w:tcBorders>
                  <w:shd w:val="clear" w:color="auto" w:fill="auto"/>
                  <w:noWrap/>
                  <w:vAlign w:val="center"/>
                </w:tcPr>
                <w:p w14:paraId="55AD9AB0">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1352</w:t>
                  </w:r>
                </w:p>
              </w:tc>
              <w:tc>
                <w:tcPr>
                  <w:tcW w:w="0" w:type="auto"/>
                  <w:tcBorders>
                    <w:top w:val="nil"/>
                    <w:left w:val="nil"/>
                    <w:bottom w:val="single" w:color="auto" w:sz="4" w:space="0"/>
                    <w:right w:val="single" w:color="auto" w:sz="4" w:space="0"/>
                  </w:tcBorders>
                  <w:shd w:val="clear" w:color="auto" w:fill="auto"/>
                  <w:noWrap/>
                  <w:vAlign w:val="center"/>
                </w:tcPr>
                <w:p w14:paraId="2AFFC8F0">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约8户农户，32人</w:t>
                  </w:r>
                </w:p>
              </w:tc>
              <w:tc>
                <w:tcPr>
                  <w:tcW w:w="0" w:type="auto"/>
                  <w:vMerge w:val="continue"/>
                  <w:tcBorders>
                    <w:left w:val="nil"/>
                    <w:right w:val="single" w:color="auto" w:sz="4" w:space="0"/>
                  </w:tcBorders>
                </w:tcPr>
                <w:p w14:paraId="41DDBD53">
                  <w:pPr>
                    <w:widowControl/>
                    <w:jc w:val="center"/>
                    <w:rPr>
                      <w:rFonts w:ascii="Times New Roman" w:hAnsi="Times New Roman" w:eastAsia="宋体" w:cs="Times New Roman"/>
                      <w:color w:val="FF0000"/>
                      <w:kern w:val="0"/>
                      <w:szCs w:val="21"/>
                    </w:rPr>
                  </w:pPr>
                </w:p>
              </w:tc>
            </w:tr>
            <w:tr w14:paraId="43FA25A1">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4FBA8505">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5BB6F6BD">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21</w:t>
                  </w:r>
                </w:p>
              </w:tc>
              <w:tc>
                <w:tcPr>
                  <w:tcW w:w="1490" w:type="dxa"/>
                  <w:tcBorders>
                    <w:top w:val="nil"/>
                    <w:left w:val="nil"/>
                    <w:bottom w:val="single" w:color="auto" w:sz="4" w:space="0"/>
                    <w:right w:val="single" w:color="auto" w:sz="4" w:space="0"/>
                  </w:tcBorders>
                  <w:shd w:val="clear" w:color="auto" w:fill="auto"/>
                  <w:noWrap/>
                  <w:vAlign w:val="center"/>
                </w:tcPr>
                <w:p w14:paraId="45B72C74">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滑泥桥村散户</w:t>
                  </w:r>
                </w:p>
              </w:tc>
              <w:tc>
                <w:tcPr>
                  <w:tcW w:w="0" w:type="auto"/>
                  <w:tcBorders>
                    <w:top w:val="nil"/>
                    <w:left w:val="nil"/>
                    <w:bottom w:val="single" w:color="auto" w:sz="4" w:space="0"/>
                    <w:right w:val="single" w:color="auto" w:sz="4" w:space="0"/>
                  </w:tcBorders>
                  <w:shd w:val="clear" w:color="auto" w:fill="auto"/>
                  <w:vAlign w:val="center"/>
                </w:tcPr>
                <w:p w14:paraId="79D58F4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东北侧</w:t>
                  </w:r>
                </w:p>
              </w:tc>
              <w:tc>
                <w:tcPr>
                  <w:tcW w:w="0" w:type="auto"/>
                  <w:tcBorders>
                    <w:top w:val="nil"/>
                    <w:left w:val="nil"/>
                    <w:bottom w:val="single" w:color="auto" w:sz="4" w:space="0"/>
                    <w:right w:val="single" w:color="auto" w:sz="4" w:space="0"/>
                  </w:tcBorders>
                  <w:shd w:val="clear" w:color="auto" w:fill="auto"/>
                  <w:noWrap/>
                  <w:vAlign w:val="center"/>
                </w:tcPr>
                <w:p w14:paraId="37A098B0">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670</w:t>
                  </w:r>
                </w:p>
              </w:tc>
              <w:tc>
                <w:tcPr>
                  <w:tcW w:w="0" w:type="auto"/>
                  <w:tcBorders>
                    <w:top w:val="nil"/>
                    <w:left w:val="nil"/>
                    <w:bottom w:val="single" w:color="auto" w:sz="4" w:space="0"/>
                    <w:right w:val="single" w:color="auto" w:sz="4" w:space="0"/>
                  </w:tcBorders>
                  <w:shd w:val="clear" w:color="auto" w:fill="auto"/>
                  <w:noWrap/>
                  <w:vAlign w:val="center"/>
                </w:tcPr>
                <w:p w14:paraId="116EDBB5">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约7户农户，28人</w:t>
                  </w:r>
                </w:p>
              </w:tc>
              <w:tc>
                <w:tcPr>
                  <w:tcW w:w="0" w:type="auto"/>
                  <w:vMerge w:val="continue"/>
                  <w:tcBorders>
                    <w:left w:val="nil"/>
                    <w:right w:val="single" w:color="auto" w:sz="4" w:space="0"/>
                  </w:tcBorders>
                </w:tcPr>
                <w:p w14:paraId="36D0AEDF">
                  <w:pPr>
                    <w:widowControl/>
                    <w:jc w:val="center"/>
                    <w:rPr>
                      <w:rFonts w:ascii="Times New Roman" w:hAnsi="Times New Roman" w:eastAsia="宋体" w:cs="Times New Roman"/>
                      <w:color w:val="FF0000"/>
                      <w:kern w:val="0"/>
                      <w:szCs w:val="21"/>
                    </w:rPr>
                  </w:pPr>
                </w:p>
              </w:tc>
            </w:tr>
            <w:tr w14:paraId="1EBA45A0">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29F9A7D2">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7687146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22</w:t>
                  </w:r>
                </w:p>
              </w:tc>
              <w:tc>
                <w:tcPr>
                  <w:tcW w:w="1490" w:type="dxa"/>
                  <w:vMerge w:val="restart"/>
                  <w:tcBorders>
                    <w:top w:val="nil"/>
                    <w:left w:val="single" w:color="auto" w:sz="4" w:space="0"/>
                    <w:bottom w:val="single" w:color="auto" w:sz="4" w:space="0"/>
                    <w:right w:val="single" w:color="auto" w:sz="4" w:space="0"/>
                  </w:tcBorders>
                  <w:shd w:val="clear" w:color="auto" w:fill="auto"/>
                  <w:noWrap/>
                  <w:vAlign w:val="center"/>
                </w:tcPr>
                <w:p w14:paraId="420889D9">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梨园村散户</w:t>
                  </w:r>
                </w:p>
              </w:tc>
              <w:tc>
                <w:tcPr>
                  <w:tcW w:w="0" w:type="auto"/>
                  <w:tcBorders>
                    <w:top w:val="nil"/>
                    <w:left w:val="nil"/>
                    <w:bottom w:val="single" w:color="auto" w:sz="4" w:space="0"/>
                    <w:right w:val="single" w:color="auto" w:sz="4" w:space="0"/>
                  </w:tcBorders>
                  <w:shd w:val="clear" w:color="auto" w:fill="auto"/>
                  <w:vAlign w:val="center"/>
                </w:tcPr>
                <w:p w14:paraId="7B464385">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东北侧</w:t>
                  </w:r>
                </w:p>
              </w:tc>
              <w:tc>
                <w:tcPr>
                  <w:tcW w:w="0" w:type="auto"/>
                  <w:tcBorders>
                    <w:top w:val="nil"/>
                    <w:left w:val="nil"/>
                    <w:bottom w:val="single" w:color="auto" w:sz="4" w:space="0"/>
                    <w:right w:val="single" w:color="auto" w:sz="4" w:space="0"/>
                  </w:tcBorders>
                  <w:shd w:val="clear" w:color="auto" w:fill="auto"/>
                  <w:noWrap/>
                  <w:vAlign w:val="center"/>
                </w:tcPr>
                <w:p w14:paraId="4C259862">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1761</w:t>
                  </w:r>
                </w:p>
              </w:tc>
              <w:tc>
                <w:tcPr>
                  <w:tcW w:w="0" w:type="auto"/>
                  <w:tcBorders>
                    <w:top w:val="nil"/>
                    <w:left w:val="nil"/>
                    <w:bottom w:val="single" w:color="auto" w:sz="4" w:space="0"/>
                    <w:right w:val="single" w:color="auto" w:sz="4" w:space="0"/>
                  </w:tcBorders>
                  <w:shd w:val="clear" w:color="auto" w:fill="auto"/>
                  <w:noWrap/>
                  <w:vAlign w:val="center"/>
                </w:tcPr>
                <w:p w14:paraId="7811C7F4">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约28户农户，112人</w:t>
                  </w:r>
                </w:p>
              </w:tc>
              <w:tc>
                <w:tcPr>
                  <w:tcW w:w="0" w:type="auto"/>
                  <w:vMerge w:val="continue"/>
                  <w:tcBorders>
                    <w:left w:val="nil"/>
                    <w:right w:val="single" w:color="auto" w:sz="4" w:space="0"/>
                  </w:tcBorders>
                </w:tcPr>
                <w:p w14:paraId="1A1E0694">
                  <w:pPr>
                    <w:widowControl/>
                    <w:jc w:val="center"/>
                    <w:rPr>
                      <w:rFonts w:ascii="Times New Roman" w:hAnsi="Times New Roman" w:eastAsia="宋体" w:cs="Times New Roman"/>
                      <w:color w:val="FF0000"/>
                      <w:kern w:val="0"/>
                      <w:szCs w:val="21"/>
                    </w:rPr>
                  </w:pPr>
                </w:p>
              </w:tc>
            </w:tr>
            <w:tr w14:paraId="4E2AFB04">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21AE7DEB">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3D11061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23</w:t>
                  </w:r>
                </w:p>
              </w:tc>
              <w:tc>
                <w:tcPr>
                  <w:tcW w:w="1490" w:type="dxa"/>
                  <w:vMerge w:val="continue"/>
                  <w:tcBorders>
                    <w:top w:val="nil"/>
                    <w:left w:val="single" w:color="auto" w:sz="4" w:space="0"/>
                    <w:bottom w:val="single" w:color="auto" w:sz="4" w:space="0"/>
                    <w:right w:val="single" w:color="auto" w:sz="4" w:space="0"/>
                  </w:tcBorders>
                  <w:vAlign w:val="center"/>
                </w:tcPr>
                <w:p w14:paraId="2533FA82">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vAlign w:val="center"/>
                </w:tcPr>
                <w:p w14:paraId="2DB18AA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东北侧</w:t>
                  </w:r>
                </w:p>
              </w:tc>
              <w:tc>
                <w:tcPr>
                  <w:tcW w:w="0" w:type="auto"/>
                  <w:tcBorders>
                    <w:top w:val="nil"/>
                    <w:left w:val="nil"/>
                    <w:bottom w:val="single" w:color="auto" w:sz="4" w:space="0"/>
                    <w:right w:val="single" w:color="auto" w:sz="4" w:space="0"/>
                  </w:tcBorders>
                  <w:shd w:val="clear" w:color="auto" w:fill="auto"/>
                  <w:noWrap/>
                  <w:vAlign w:val="center"/>
                </w:tcPr>
                <w:p w14:paraId="76C3119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1151</w:t>
                  </w:r>
                </w:p>
              </w:tc>
              <w:tc>
                <w:tcPr>
                  <w:tcW w:w="0" w:type="auto"/>
                  <w:tcBorders>
                    <w:top w:val="nil"/>
                    <w:left w:val="nil"/>
                    <w:bottom w:val="single" w:color="auto" w:sz="4" w:space="0"/>
                    <w:right w:val="single" w:color="auto" w:sz="4" w:space="0"/>
                  </w:tcBorders>
                  <w:shd w:val="clear" w:color="auto" w:fill="auto"/>
                  <w:noWrap/>
                  <w:vAlign w:val="center"/>
                </w:tcPr>
                <w:p w14:paraId="33A4D98E">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约31户农户，124人</w:t>
                  </w:r>
                </w:p>
              </w:tc>
              <w:tc>
                <w:tcPr>
                  <w:tcW w:w="0" w:type="auto"/>
                  <w:vMerge w:val="continue"/>
                  <w:tcBorders>
                    <w:left w:val="nil"/>
                    <w:right w:val="single" w:color="auto" w:sz="4" w:space="0"/>
                  </w:tcBorders>
                </w:tcPr>
                <w:p w14:paraId="5F80C4B4">
                  <w:pPr>
                    <w:widowControl/>
                    <w:jc w:val="center"/>
                    <w:rPr>
                      <w:rFonts w:ascii="Times New Roman" w:hAnsi="Times New Roman" w:eastAsia="宋体" w:cs="Times New Roman"/>
                      <w:color w:val="FF0000"/>
                      <w:kern w:val="0"/>
                      <w:szCs w:val="21"/>
                    </w:rPr>
                  </w:pPr>
                </w:p>
              </w:tc>
            </w:tr>
            <w:tr w14:paraId="324E7271">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4376E384">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3471E45E">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24</w:t>
                  </w:r>
                </w:p>
              </w:tc>
              <w:tc>
                <w:tcPr>
                  <w:tcW w:w="1490" w:type="dxa"/>
                  <w:tcBorders>
                    <w:top w:val="nil"/>
                    <w:left w:val="nil"/>
                    <w:bottom w:val="single" w:color="auto" w:sz="4" w:space="0"/>
                    <w:right w:val="single" w:color="auto" w:sz="4" w:space="0"/>
                  </w:tcBorders>
                  <w:shd w:val="clear" w:color="auto" w:fill="auto"/>
                  <w:noWrap/>
                  <w:vAlign w:val="center"/>
                </w:tcPr>
                <w:p w14:paraId="51D78805">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佛严村散户</w:t>
                  </w:r>
                </w:p>
              </w:tc>
              <w:tc>
                <w:tcPr>
                  <w:tcW w:w="0" w:type="auto"/>
                  <w:tcBorders>
                    <w:top w:val="nil"/>
                    <w:left w:val="nil"/>
                    <w:bottom w:val="single" w:color="auto" w:sz="4" w:space="0"/>
                    <w:right w:val="single" w:color="auto" w:sz="4" w:space="0"/>
                  </w:tcBorders>
                  <w:shd w:val="clear" w:color="auto" w:fill="auto"/>
                  <w:vAlign w:val="center"/>
                </w:tcPr>
                <w:p w14:paraId="62C8C7A9">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东北侧</w:t>
                  </w:r>
                </w:p>
              </w:tc>
              <w:tc>
                <w:tcPr>
                  <w:tcW w:w="0" w:type="auto"/>
                  <w:tcBorders>
                    <w:top w:val="nil"/>
                    <w:left w:val="nil"/>
                    <w:bottom w:val="single" w:color="auto" w:sz="4" w:space="0"/>
                    <w:right w:val="single" w:color="auto" w:sz="4" w:space="0"/>
                  </w:tcBorders>
                  <w:shd w:val="clear" w:color="auto" w:fill="auto"/>
                  <w:noWrap/>
                  <w:vAlign w:val="center"/>
                </w:tcPr>
                <w:p w14:paraId="50A87E79">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2896</w:t>
                  </w:r>
                </w:p>
              </w:tc>
              <w:tc>
                <w:tcPr>
                  <w:tcW w:w="0" w:type="auto"/>
                  <w:tcBorders>
                    <w:top w:val="nil"/>
                    <w:left w:val="nil"/>
                    <w:bottom w:val="single" w:color="auto" w:sz="4" w:space="0"/>
                    <w:right w:val="single" w:color="auto" w:sz="4" w:space="0"/>
                  </w:tcBorders>
                  <w:shd w:val="clear" w:color="auto" w:fill="auto"/>
                  <w:noWrap/>
                  <w:vAlign w:val="center"/>
                </w:tcPr>
                <w:p w14:paraId="3D1A71D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约48户农户，192人</w:t>
                  </w:r>
                </w:p>
              </w:tc>
              <w:tc>
                <w:tcPr>
                  <w:tcW w:w="0" w:type="auto"/>
                  <w:vMerge w:val="continue"/>
                  <w:tcBorders>
                    <w:left w:val="nil"/>
                    <w:right w:val="single" w:color="auto" w:sz="4" w:space="0"/>
                  </w:tcBorders>
                </w:tcPr>
                <w:p w14:paraId="16D1E515">
                  <w:pPr>
                    <w:widowControl/>
                    <w:jc w:val="center"/>
                    <w:rPr>
                      <w:rFonts w:ascii="Times New Roman" w:hAnsi="Times New Roman" w:eastAsia="宋体" w:cs="Times New Roman"/>
                      <w:color w:val="FF0000"/>
                      <w:kern w:val="0"/>
                      <w:szCs w:val="21"/>
                    </w:rPr>
                  </w:pPr>
                </w:p>
              </w:tc>
            </w:tr>
            <w:tr w14:paraId="62A90F7F">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0E3FAC31">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7D7A6247">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25</w:t>
                  </w:r>
                </w:p>
              </w:tc>
              <w:tc>
                <w:tcPr>
                  <w:tcW w:w="1490" w:type="dxa"/>
                  <w:tcBorders>
                    <w:top w:val="nil"/>
                    <w:left w:val="nil"/>
                    <w:bottom w:val="single" w:color="auto" w:sz="4" w:space="0"/>
                    <w:right w:val="single" w:color="auto" w:sz="4" w:space="0"/>
                  </w:tcBorders>
                  <w:shd w:val="clear" w:color="auto" w:fill="auto"/>
                  <w:noWrap/>
                  <w:vAlign w:val="center"/>
                </w:tcPr>
                <w:p w14:paraId="48E59EA5">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梨园村散户</w:t>
                  </w:r>
                </w:p>
              </w:tc>
              <w:tc>
                <w:tcPr>
                  <w:tcW w:w="0" w:type="auto"/>
                  <w:tcBorders>
                    <w:top w:val="nil"/>
                    <w:left w:val="nil"/>
                    <w:bottom w:val="single" w:color="auto" w:sz="4" w:space="0"/>
                    <w:right w:val="single" w:color="auto" w:sz="4" w:space="0"/>
                  </w:tcBorders>
                  <w:shd w:val="clear" w:color="auto" w:fill="auto"/>
                  <w:vAlign w:val="center"/>
                </w:tcPr>
                <w:p w14:paraId="1251FF7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东北侧</w:t>
                  </w:r>
                </w:p>
              </w:tc>
              <w:tc>
                <w:tcPr>
                  <w:tcW w:w="0" w:type="auto"/>
                  <w:tcBorders>
                    <w:top w:val="nil"/>
                    <w:left w:val="nil"/>
                    <w:bottom w:val="single" w:color="auto" w:sz="4" w:space="0"/>
                    <w:right w:val="single" w:color="auto" w:sz="4" w:space="0"/>
                  </w:tcBorders>
                  <w:shd w:val="clear" w:color="auto" w:fill="auto"/>
                  <w:noWrap/>
                  <w:vAlign w:val="center"/>
                </w:tcPr>
                <w:p w14:paraId="74EECBE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2269</w:t>
                  </w:r>
                </w:p>
              </w:tc>
              <w:tc>
                <w:tcPr>
                  <w:tcW w:w="0" w:type="auto"/>
                  <w:tcBorders>
                    <w:top w:val="nil"/>
                    <w:left w:val="nil"/>
                    <w:bottom w:val="single" w:color="auto" w:sz="4" w:space="0"/>
                    <w:right w:val="single" w:color="auto" w:sz="4" w:space="0"/>
                  </w:tcBorders>
                  <w:shd w:val="clear" w:color="auto" w:fill="auto"/>
                  <w:noWrap/>
                  <w:vAlign w:val="center"/>
                </w:tcPr>
                <w:p w14:paraId="7409FC6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约20户农户，80人</w:t>
                  </w:r>
                </w:p>
              </w:tc>
              <w:tc>
                <w:tcPr>
                  <w:tcW w:w="0" w:type="auto"/>
                  <w:vMerge w:val="continue"/>
                  <w:tcBorders>
                    <w:left w:val="nil"/>
                    <w:right w:val="single" w:color="auto" w:sz="4" w:space="0"/>
                  </w:tcBorders>
                </w:tcPr>
                <w:p w14:paraId="1FEE77E2">
                  <w:pPr>
                    <w:widowControl/>
                    <w:jc w:val="center"/>
                    <w:rPr>
                      <w:rFonts w:ascii="Times New Roman" w:hAnsi="Times New Roman" w:eastAsia="宋体" w:cs="Times New Roman"/>
                      <w:color w:val="FF0000"/>
                      <w:kern w:val="0"/>
                      <w:szCs w:val="21"/>
                    </w:rPr>
                  </w:pPr>
                </w:p>
              </w:tc>
            </w:tr>
            <w:tr w14:paraId="42A54AC9">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1148AE03">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1555029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26</w:t>
                  </w:r>
                </w:p>
              </w:tc>
              <w:tc>
                <w:tcPr>
                  <w:tcW w:w="1490" w:type="dxa"/>
                  <w:vMerge w:val="restart"/>
                  <w:tcBorders>
                    <w:top w:val="nil"/>
                    <w:left w:val="single" w:color="auto" w:sz="4" w:space="0"/>
                    <w:bottom w:val="single" w:color="auto" w:sz="4" w:space="0"/>
                    <w:right w:val="single" w:color="auto" w:sz="4" w:space="0"/>
                  </w:tcBorders>
                  <w:shd w:val="clear" w:color="auto" w:fill="auto"/>
                  <w:noWrap/>
                  <w:vAlign w:val="center"/>
                </w:tcPr>
                <w:p w14:paraId="4F765F70">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大堰村散户</w:t>
                  </w:r>
                </w:p>
              </w:tc>
              <w:tc>
                <w:tcPr>
                  <w:tcW w:w="0" w:type="auto"/>
                  <w:tcBorders>
                    <w:top w:val="nil"/>
                    <w:left w:val="nil"/>
                    <w:bottom w:val="single" w:color="auto" w:sz="4" w:space="0"/>
                    <w:right w:val="single" w:color="auto" w:sz="4" w:space="0"/>
                  </w:tcBorders>
                  <w:shd w:val="clear" w:color="auto" w:fill="auto"/>
                  <w:vAlign w:val="center"/>
                </w:tcPr>
                <w:p w14:paraId="16E3EDC8">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东北侧</w:t>
                  </w:r>
                </w:p>
              </w:tc>
              <w:tc>
                <w:tcPr>
                  <w:tcW w:w="0" w:type="auto"/>
                  <w:tcBorders>
                    <w:top w:val="nil"/>
                    <w:left w:val="nil"/>
                    <w:bottom w:val="single" w:color="auto" w:sz="4" w:space="0"/>
                    <w:right w:val="single" w:color="auto" w:sz="4" w:space="0"/>
                  </w:tcBorders>
                  <w:shd w:val="clear" w:color="auto" w:fill="auto"/>
                  <w:noWrap/>
                  <w:vAlign w:val="center"/>
                </w:tcPr>
                <w:p w14:paraId="7CFCC013">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1476</w:t>
                  </w:r>
                </w:p>
              </w:tc>
              <w:tc>
                <w:tcPr>
                  <w:tcW w:w="0" w:type="auto"/>
                  <w:tcBorders>
                    <w:top w:val="nil"/>
                    <w:left w:val="nil"/>
                    <w:bottom w:val="single" w:color="auto" w:sz="4" w:space="0"/>
                    <w:right w:val="single" w:color="auto" w:sz="4" w:space="0"/>
                  </w:tcBorders>
                  <w:shd w:val="clear" w:color="auto" w:fill="auto"/>
                  <w:noWrap/>
                  <w:vAlign w:val="center"/>
                </w:tcPr>
                <w:p w14:paraId="31620A11">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约45户农户，180人</w:t>
                  </w:r>
                </w:p>
              </w:tc>
              <w:tc>
                <w:tcPr>
                  <w:tcW w:w="0" w:type="auto"/>
                  <w:vMerge w:val="continue"/>
                  <w:tcBorders>
                    <w:left w:val="nil"/>
                    <w:right w:val="single" w:color="auto" w:sz="4" w:space="0"/>
                  </w:tcBorders>
                </w:tcPr>
                <w:p w14:paraId="37632748">
                  <w:pPr>
                    <w:widowControl/>
                    <w:jc w:val="center"/>
                    <w:rPr>
                      <w:rFonts w:ascii="Times New Roman" w:hAnsi="Times New Roman" w:eastAsia="宋体" w:cs="Times New Roman"/>
                      <w:color w:val="FF0000"/>
                      <w:kern w:val="0"/>
                      <w:szCs w:val="21"/>
                    </w:rPr>
                  </w:pPr>
                </w:p>
              </w:tc>
            </w:tr>
            <w:tr w14:paraId="54DD63A2">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560F46CD">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048286C3">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27</w:t>
                  </w:r>
                </w:p>
              </w:tc>
              <w:tc>
                <w:tcPr>
                  <w:tcW w:w="1490" w:type="dxa"/>
                  <w:vMerge w:val="continue"/>
                  <w:tcBorders>
                    <w:top w:val="nil"/>
                    <w:left w:val="single" w:color="auto" w:sz="4" w:space="0"/>
                    <w:bottom w:val="single" w:color="auto" w:sz="4" w:space="0"/>
                    <w:right w:val="single" w:color="auto" w:sz="4" w:space="0"/>
                  </w:tcBorders>
                  <w:vAlign w:val="center"/>
                </w:tcPr>
                <w:p w14:paraId="5F163BB4">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vAlign w:val="center"/>
                </w:tcPr>
                <w:p w14:paraId="4B1931F1">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东北侧</w:t>
                  </w:r>
                </w:p>
              </w:tc>
              <w:tc>
                <w:tcPr>
                  <w:tcW w:w="0" w:type="auto"/>
                  <w:tcBorders>
                    <w:top w:val="nil"/>
                    <w:left w:val="nil"/>
                    <w:bottom w:val="single" w:color="auto" w:sz="4" w:space="0"/>
                    <w:right w:val="single" w:color="auto" w:sz="4" w:space="0"/>
                  </w:tcBorders>
                  <w:shd w:val="clear" w:color="auto" w:fill="auto"/>
                  <w:noWrap/>
                  <w:vAlign w:val="center"/>
                </w:tcPr>
                <w:p w14:paraId="54E01E93">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1726</w:t>
                  </w:r>
                </w:p>
              </w:tc>
              <w:tc>
                <w:tcPr>
                  <w:tcW w:w="0" w:type="auto"/>
                  <w:tcBorders>
                    <w:top w:val="nil"/>
                    <w:left w:val="nil"/>
                    <w:bottom w:val="single" w:color="auto" w:sz="4" w:space="0"/>
                    <w:right w:val="single" w:color="auto" w:sz="4" w:space="0"/>
                  </w:tcBorders>
                  <w:shd w:val="clear" w:color="auto" w:fill="auto"/>
                  <w:noWrap/>
                  <w:vAlign w:val="center"/>
                </w:tcPr>
                <w:p w14:paraId="725481D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约15户农户，60人</w:t>
                  </w:r>
                </w:p>
              </w:tc>
              <w:tc>
                <w:tcPr>
                  <w:tcW w:w="0" w:type="auto"/>
                  <w:vMerge w:val="continue"/>
                  <w:tcBorders>
                    <w:left w:val="nil"/>
                    <w:right w:val="single" w:color="auto" w:sz="4" w:space="0"/>
                  </w:tcBorders>
                </w:tcPr>
                <w:p w14:paraId="071AF1BA">
                  <w:pPr>
                    <w:widowControl/>
                    <w:jc w:val="center"/>
                    <w:rPr>
                      <w:rFonts w:ascii="Times New Roman" w:hAnsi="Times New Roman" w:eastAsia="宋体" w:cs="Times New Roman"/>
                      <w:color w:val="FF0000"/>
                      <w:kern w:val="0"/>
                      <w:szCs w:val="21"/>
                    </w:rPr>
                  </w:pPr>
                </w:p>
              </w:tc>
            </w:tr>
            <w:tr w14:paraId="3AFFB00E">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0FA37A8D">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4288B865">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28</w:t>
                  </w:r>
                </w:p>
              </w:tc>
              <w:tc>
                <w:tcPr>
                  <w:tcW w:w="1490" w:type="dxa"/>
                  <w:tcBorders>
                    <w:top w:val="nil"/>
                    <w:left w:val="nil"/>
                    <w:bottom w:val="single" w:color="auto" w:sz="4" w:space="0"/>
                    <w:right w:val="single" w:color="auto" w:sz="4" w:space="0"/>
                  </w:tcBorders>
                  <w:shd w:val="clear" w:color="auto" w:fill="auto"/>
                  <w:noWrap/>
                  <w:vAlign w:val="center"/>
                </w:tcPr>
                <w:p w14:paraId="0CD3E418">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滑泥桥村散户</w:t>
                  </w:r>
                </w:p>
              </w:tc>
              <w:tc>
                <w:tcPr>
                  <w:tcW w:w="0" w:type="auto"/>
                  <w:tcBorders>
                    <w:top w:val="nil"/>
                    <w:left w:val="nil"/>
                    <w:bottom w:val="single" w:color="auto" w:sz="4" w:space="0"/>
                    <w:right w:val="single" w:color="auto" w:sz="4" w:space="0"/>
                  </w:tcBorders>
                  <w:shd w:val="clear" w:color="auto" w:fill="auto"/>
                  <w:vAlign w:val="center"/>
                </w:tcPr>
                <w:p w14:paraId="5D532AD0">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东北侧</w:t>
                  </w:r>
                </w:p>
              </w:tc>
              <w:tc>
                <w:tcPr>
                  <w:tcW w:w="0" w:type="auto"/>
                  <w:tcBorders>
                    <w:top w:val="nil"/>
                    <w:left w:val="nil"/>
                    <w:bottom w:val="single" w:color="auto" w:sz="4" w:space="0"/>
                    <w:right w:val="single" w:color="auto" w:sz="4" w:space="0"/>
                  </w:tcBorders>
                  <w:shd w:val="clear" w:color="auto" w:fill="auto"/>
                  <w:noWrap/>
                  <w:vAlign w:val="center"/>
                </w:tcPr>
                <w:p w14:paraId="053768C8">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896</w:t>
                  </w:r>
                </w:p>
              </w:tc>
              <w:tc>
                <w:tcPr>
                  <w:tcW w:w="0" w:type="auto"/>
                  <w:tcBorders>
                    <w:top w:val="nil"/>
                    <w:left w:val="nil"/>
                    <w:bottom w:val="single" w:color="auto" w:sz="4" w:space="0"/>
                    <w:right w:val="single" w:color="auto" w:sz="4" w:space="0"/>
                  </w:tcBorders>
                  <w:shd w:val="clear" w:color="auto" w:fill="auto"/>
                  <w:noWrap/>
                  <w:vAlign w:val="center"/>
                </w:tcPr>
                <w:p w14:paraId="74BFAA76">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约21户农户，84人</w:t>
                  </w:r>
                </w:p>
              </w:tc>
              <w:tc>
                <w:tcPr>
                  <w:tcW w:w="0" w:type="auto"/>
                  <w:vMerge w:val="continue"/>
                  <w:tcBorders>
                    <w:left w:val="nil"/>
                    <w:right w:val="single" w:color="auto" w:sz="4" w:space="0"/>
                  </w:tcBorders>
                </w:tcPr>
                <w:p w14:paraId="4B35118F">
                  <w:pPr>
                    <w:widowControl/>
                    <w:jc w:val="center"/>
                    <w:rPr>
                      <w:rFonts w:ascii="Times New Roman" w:hAnsi="Times New Roman" w:eastAsia="宋体" w:cs="Times New Roman"/>
                      <w:color w:val="FF0000"/>
                      <w:kern w:val="0"/>
                      <w:szCs w:val="21"/>
                    </w:rPr>
                  </w:pPr>
                </w:p>
              </w:tc>
            </w:tr>
            <w:tr w14:paraId="45ECE63F">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15A8C97C">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7B79D20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29</w:t>
                  </w:r>
                </w:p>
              </w:tc>
              <w:tc>
                <w:tcPr>
                  <w:tcW w:w="1490" w:type="dxa"/>
                  <w:vMerge w:val="restart"/>
                  <w:tcBorders>
                    <w:top w:val="nil"/>
                    <w:left w:val="single" w:color="auto" w:sz="4" w:space="0"/>
                    <w:bottom w:val="single" w:color="auto" w:sz="4" w:space="0"/>
                    <w:right w:val="single" w:color="auto" w:sz="4" w:space="0"/>
                  </w:tcBorders>
                  <w:shd w:val="clear" w:color="auto" w:fill="auto"/>
                  <w:noWrap/>
                  <w:vAlign w:val="center"/>
                </w:tcPr>
                <w:p w14:paraId="4E17EAC7">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双龙桥村散户</w:t>
                  </w:r>
                </w:p>
              </w:tc>
              <w:tc>
                <w:tcPr>
                  <w:tcW w:w="0" w:type="auto"/>
                  <w:tcBorders>
                    <w:top w:val="nil"/>
                    <w:left w:val="nil"/>
                    <w:bottom w:val="single" w:color="auto" w:sz="4" w:space="0"/>
                    <w:right w:val="single" w:color="auto" w:sz="4" w:space="0"/>
                  </w:tcBorders>
                  <w:shd w:val="clear" w:color="auto" w:fill="auto"/>
                  <w:noWrap/>
                  <w:vAlign w:val="center"/>
                </w:tcPr>
                <w:p w14:paraId="3D2282C2">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东侧</w:t>
                  </w:r>
                </w:p>
              </w:tc>
              <w:tc>
                <w:tcPr>
                  <w:tcW w:w="0" w:type="auto"/>
                  <w:tcBorders>
                    <w:top w:val="nil"/>
                    <w:left w:val="nil"/>
                    <w:bottom w:val="single" w:color="auto" w:sz="4" w:space="0"/>
                    <w:right w:val="single" w:color="auto" w:sz="4" w:space="0"/>
                  </w:tcBorders>
                  <w:shd w:val="clear" w:color="auto" w:fill="auto"/>
                  <w:noWrap/>
                  <w:vAlign w:val="center"/>
                </w:tcPr>
                <w:p w14:paraId="33A8076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1188</w:t>
                  </w:r>
                </w:p>
              </w:tc>
              <w:tc>
                <w:tcPr>
                  <w:tcW w:w="0" w:type="auto"/>
                  <w:tcBorders>
                    <w:top w:val="nil"/>
                    <w:left w:val="nil"/>
                    <w:bottom w:val="single" w:color="auto" w:sz="4" w:space="0"/>
                    <w:right w:val="single" w:color="auto" w:sz="4" w:space="0"/>
                  </w:tcBorders>
                  <w:shd w:val="clear" w:color="auto" w:fill="auto"/>
                  <w:noWrap/>
                  <w:vAlign w:val="center"/>
                </w:tcPr>
                <w:p w14:paraId="045F7ABE">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约18户农户，72人</w:t>
                  </w:r>
                </w:p>
              </w:tc>
              <w:tc>
                <w:tcPr>
                  <w:tcW w:w="0" w:type="auto"/>
                  <w:vMerge w:val="continue"/>
                  <w:tcBorders>
                    <w:left w:val="nil"/>
                    <w:right w:val="single" w:color="auto" w:sz="4" w:space="0"/>
                  </w:tcBorders>
                </w:tcPr>
                <w:p w14:paraId="037AE00B">
                  <w:pPr>
                    <w:widowControl/>
                    <w:jc w:val="center"/>
                    <w:rPr>
                      <w:rFonts w:ascii="Times New Roman" w:hAnsi="Times New Roman" w:eastAsia="宋体" w:cs="Times New Roman"/>
                      <w:color w:val="FF0000"/>
                      <w:kern w:val="0"/>
                      <w:szCs w:val="21"/>
                    </w:rPr>
                  </w:pPr>
                </w:p>
              </w:tc>
            </w:tr>
            <w:tr w14:paraId="6CDEA1CD">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2185475A">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148A1E28">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30</w:t>
                  </w:r>
                </w:p>
              </w:tc>
              <w:tc>
                <w:tcPr>
                  <w:tcW w:w="1490" w:type="dxa"/>
                  <w:vMerge w:val="continue"/>
                  <w:tcBorders>
                    <w:top w:val="nil"/>
                    <w:left w:val="single" w:color="auto" w:sz="4" w:space="0"/>
                    <w:bottom w:val="single" w:color="auto" w:sz="4" w:space="0"/>
                    <w:right w:val="single" w:color="auto" w:sz="4" w:space="0"/>
                  </w:tcBorders>
                  <w:vAlign w:val="center"/>
                </w:tcPr>
                <w:p w14:paraId="09F5FAB2">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noWrap/>
                  <w:vAlign w:val="center"/>
                </w:tcPr>
                <w:p w14:paraId="2822014C">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东侧</w:t>
                  </w:r>
                </w:p>
              </w:tc>
              <w:tc>
                <w:tcPr>
                  <w:tcW w:w="0" w:type="auto"/>
                  <w:tcBorders>
                    <w:top w:val="nil"/>
                    <w:left w:val="nil"/>
                    <w:bottom w:val="single" w:color="auto" w:sz="4" w:space="0"/>
                    <w:right w:val="single" w:color="auto" w:sz="4" w:space="0"/>
                  </w:tcBorders>
                  <w:shd w:val="clear" w:color="auto" w:fill="auto"/>
                  <w:noWrap/>
                  <w:vAlign w:val="center"/>
                </w:tcPr>
                <w:p w14:paraId="0D19A0A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2009</w:t>
                  </w:r>
                </w:p>
              </w:tc>
              <w:tc>
                <w:tcPr>
                  <w:tcW w:w="0" w:type="auto"/>
                  <w:tcBorders>
                    <w:top w:val="nil"/>
                    <w:left w:val="nil"/>
                    <w:bottom w:val="single" w:color="auto" w:sz="4" w:space="0"/>
                    <w:right w:val="single" w:color="auto" w:sz="4" w:space="0"/>
                  </w:tcBorders>
                  <w:shd w:val="clear" w:color="auto" w:fill="auto"/>
                  <w:noWrap/>
                  <w:vAlign w:val="center"/>
                </w:tcPr>
                <w:p w14:paraId="17AA0D0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约20户农户，80人</w:t>
                  </w:r>
                </w:p>
              </w:tc>
              <w:tc>
                <w:tcPr>
                  <w:tcW w:w="0" w:type="auto"/>
                  <w:vMerge w:val="continue"/>
                  <w:tcBorders>
                    <w:left w:val="nil"/>
                    <w:right w:val="single" w:color="auto" w:sz="4" w:space="0"/>
                  </w:tcBorders>
                </w:tcPr>
                <w:p w14:paraId="16ABEA41">
                  <w:pPr>
                    <w:widowControl/>
                    <w:jc w:val="center"/>
                    <w:rPr>
                      <w:rFonts w:ascii="Times New Roman" w:hAnsi="Times New Roman" w:eastAsia="宋体" w:cs="Times New Roman"/>
                      <w:color w:val="FF0000"/>
                      <w:kern w:val="0"/>
                      <w:szCs w:val="21"/>
                    </w:rPr>
                  </w:pPr>
                </w:p>
              </w:tc>
            </w:tr>
            <w:tr w14:paraId="6C07E625">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05887A6D">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49A6FE06">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31</w:t>
                  </w:r>
                </w:p>
              </w:tc>
              <w:tc>
                <w:tcPr>
                  <w:tcW w:w="1490" w:type="dxa"/>
                  <w:vMerge w:val="continue"/>
                  <w:tcBorders>
                    <w:top w:val="nil"/>
                    <w:left w:val="single" w:color="auto" w:sz="4" w:space="0"/>
                    <w:bottom w:val="single" w:color="auto" w:sz="4" w:space="0"/>
                    <w:right w:val="single" w:color="auto" w:sz="4" w:space="0"/>
                  </w:tcBorders>
                  <w:vAlign w:val="center"/>
                </w:tcPr>
                <w:p w14:paraId="4300C349">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noWrap/>
                  <w:vAlign w:val="center"/>
                </w:tcPr>
                <w:p w14:paraId="70D6922E">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东侧</w:t>
                  </w:r>
                </w:p>
              </w:tc>
              <w:tc>
                <w:tcPr>
                  <w:tcW w:w="0" w:type="auto"/>
                  <w:tcBorders>
                    <w:top w:val="nil"/>
                    <w:left w:val="nil"/>
                    <w:bottom w:val="single" w:color="auto" w:sz="4" w:space="0"/>
                    <w:right w:val="single" w:color="auto" w:sz="4" w:space="0"/>
                  </w:tcBorders>
                  <w:shd w:val="clear" w:color="auto" w:fill="auto"/>
                  <w:noWrap/>
                  <w:vAlign w:val="center"/>
                </w:tcPr>
                <w:p w14:paraId="3B200FF8">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1490</w:t>
                  </w:r>
                </w:p>
              </w:tc>
              <w:tc>
                <w:tcPr>
                  <w:tcW w:w="0" w:type="auto"/>
                  <w:tcBorders>
                    <w:top w:val="nil"/>
                    <w:left w:val="nil"/>
                    <w:bottom w:val="single" w:color="auto" w:sz="4" w:space="0"/>
                    <w:right w:val="single" w:color="auto" w:sz="4" w:space="0"/>
                  </w:tcBorders>
                  <w:shd w:val="clear" w:color="auto" w:fill="auto"/>
                  <w:noWrap/>
                  <w:vAlign w:val="center"/>
                </w:tcPr>
                <w:p w14:paraId="1EF70B5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约18户农户，72人</w:t>
                  </w:r>
                </w:p>
              </w:tc>
              <w:tc>
                <w:tcPr>
                  <w:tcW w:w="0" w:type="auto"/>
                  <w:vMerge w:val="continue"/>
                  <w:tcBorders>
                    <w:left w:val="nil"/>
                    <w:right w:val="single" w:color="auto" w:sz="4" w:space="0"/>
                  </w:tcBorders>
                </w:tcPr>
                <w:p w14:paraId="5AFC2B8D">
                  <w:pPr>
                    <w:widowControl/>
                    <w:jc w:val="center"/>
                    <w:rPr>
                      <w:rFonts w:ascii="Times New Roman" w:hAnsi="Times New Roman" w:eastAsia="宋体" w:cs="Times New Roman"/>
                      <w:color w:val="FF0000"/>
                      <w:kern w:val="0"/>
                      <w:szCs w:val="21"/>
                    </w:rPr>
                  </w:pPr>
                </w:p>
              </w:tc>
            </w:tr>
            <w:tr w14:paraId="64753AE6">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5D806112">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35E05B4E">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32</w:t>
                  </w:r>
                </w:p>
              </w:tc>
              <w:tc>
                <w:tcPr>
                  <w:tcW w:w="1490" w:type="dxa"/>
                  <w:vMerge w:val="continue"/>
                  <w:tcBorders>
                    <w:top w:val="nil"/>
                    <w:left w:val="single" w:color="auto" w:sz="4" w:space="0"/>
                    <w:bottom w:val="single" w:color="auto" w:sz="4" w:space="0"/>
                    <w:right w:val="single" w:color="auto" w:sz="4" w:space="0"/>
                  </w:tcBorders>
                  <w:vAlign w:val="center"/>
                </w:tcPr>
                <w:p w14:paraId="104461A9">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noWrap/>
                  <w:vAlign w:val="center"/>
                </w:tcPr>
                <w:p w14:paraId="1FA6F2C1">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东南侧</w:t>
                  </w:r>
                </w:p>
              </w:tc>
              <w:tc>
                <w:tcPr>
                  <w:tcW w:w="0" w:type="auto"/>
                  <w:tcBorders>
                    <w:top w:val="nil"/>
                    <w:left w:val="nil"/>
                    <w:bottom w:val="single" w:color="auto" w:sz="4" w:space="0"/>
                    <w:right w:val="single" w:color="auto" w:sz="4" w:space="0"/>
                  </w:tcBorders>
                  <w:shd w:val="clear" w:color="auto" w:fill="auto"/>
                  <w:noWrap/>
                  <w:vAlign w:val="center"/>
                </w:tcPr>
                <w:p w14:paraId="625EBD45">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2028</w:t>
                  </w:r>
                </w:p>
              </w:tc>
              <w:tc>
                <w:tcPr>
                  <w:tcW w:w="0" w:type="auto"/>
                  <w:tcBorders>
                    <w:top w:val="nil"/>
                    <w:left w:val="nil"/>
                    <w:bottom w:val="single" w:color="auto" w:sz="4" w:space="0"/>
                    <w:right w:val="single" w:color="auto" w:sz="4" w:space="0"/>
                  </w:tcBorders>
                  <w:shd w:val="clear" w:color="auto" w:fill="auto"/>
                  <w:noWrap/>
                  <w:vAlign w:val="center"/>
                </w:tcPr>
                <w:p w14:paraId="4B586DD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约12户农户，48人</w:t>
                  </w:r>
                </w:p>
              </w:tc>
              <w:tc>
                <w:tcPr>
                  <w:tcW w:w="0" w:type="auto"/>
                  <w:vMerge w:val="continue"/>
                  <w:tcBorders>
                    <w:left w:val="nil"/>
                    <w:right w:val="single" w:color="auto" w:sz="4" w:space="0"/>
                  </w:tcBorders>
                </w:tcPr>
                <w:p w14:paraId="2040D4B1">
                  <w:pPr>
                    <w:widowControl/>
                    <w:jc w:val="center"/>
                    <w:rPr>
                      <w:rFonts w:ascii="Times New Roman" w:hAnsi="Times New Roman" w:eastAsia="宋体" w:cs="Times New Roman"/>
                      <w:color w:val="FF0000"/>
                      <w:kern w:val="0"/>
                      <w:szCs w:val="21"/>
                    </w:rPr>
                  </w:pPr>
                </w:p>
              </w:tc>
            </w:tr>
            <w:tr w14:paraId="02D6C4CC">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1B1D6909">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419C47F3">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33</w:t>
                  </w:r>
                </w:p>
              </w:tc>
              <w:tc>
                <w:tcPr>
                  <w:tcW w:w="1490" w:type="dxa"/>
                  <w:tcBorders>
                    <w:top w:val="nil"/>
                    <w:left w:val="nil"/>
                    <w:bottom w:val="single" w:color="auto" w:sz="4" w:space="0"/>
                    <w:right w:val="single" w:color="auto" w:sz="4" w:space="0"/>
                  </w:tcBorders>
                  <w:shd w:val="clear" w:color="auto" w:fill="auto"/>
                  <w:noWrap/>
                  <w:vAlign w:val="center"/>
                </w:tcPr>
                <w:p w14:paraId="06ABA278">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滑泥桥村散户</w:t>
                  </w:r>
                </w:p>
              </w:tc>
              <w:tc>
                <w:tcPr>
                  <w:tcW w:w="0" w:type="auto"/>
                  <w:tcBorders>
                    <w:top w:val="nil"/>
                    <w:left w:val="nil"/>
                    <w:bottom w:val="single" w:color="auto" w:sz="4" w:space="0"/>
                    <w:right w:val="single" w:color="auto" w:sz="4" w:space="0"/>
                  </w:tcBorders>
                  <w:shd w:val="clear" w:color="auto" w:fill="auto"/>
                  <w:noWrap/>
                  <w:vAlign w:val="center"/>
                </w:tcPr>
                <w:p w14:paraId="3788EF52">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东南侧</w:t>
                  </w:r>
                </w:p>
              </w:tc>
              <w:tc>
                <w:tcPr>
                  <w:tcW w:w="0" w:type="auto"/>
                  <w:tcBorders>
                    <w:top w:val="nil"/>
                    <w:left w:val="nil"/>
                    <w:bottom w:val="single" w:color="auto" w:sz="4" w:space="0"/>
                    <w:right w:val="single" w:color="auto" w:sz="4" w:space="0"/>
                  </w:tcBorders>
                  <w:shd w:val="clear" w:color="auto" w:fill="auto"/>
                  <w:noWrap/>
                  <w:vAlign w:val="center"/>
                </w:tcPr>
                <w:p w14:paraId="5159C7C7">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1428</w:t>
                  </w:r>
                </w:p>
              </w:tc>
              <w:tc>
                <w:tcPr>
                  <w:tcW w:w="0" w:type="auto"/>
                  <w:tcBorders>
                    <w:top w:val="nil"/>
                    <w:left w:val="nil"/>
                    <w:bottom w:val="single" w:color="auto" w:sz="4" w:space="0"/>
                    <w:right w:val="single" w:color="auto" w:sz="4" w:space="0"/>
                  </w:tcBorders>
                  <w:shd w:val="clear" w:color="auto" w:fill="auto"/>
                  <w:noWrap/>
                  <w:vAlign w:val="center"/>
                </w:tcPr>
                <w:p w14:paraId="75F653BD">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约16户农户，64人</w:t>
                  </w:r>
                </w:p>
              </w:tc>
              <w:tc>
                <w:tcPr>
                  <w:tcW w:w="0" w:type="auto"/>
                  <w:vMerge w:val="continue"/>
                  <w:tcBorders>
                    <w:left w:val="nil"/>
                    <w:right w:val="single" w:color="auto" w:sz="4" w:space="0"/>
                  </w:tcBorders>
                </w:tcPr>
                <w:p w14:paraId="295A0981">
                  <w:pPr>
                    <w:widowControl/>
                    <w:jc w:val="center"/>
                    <w:rPr>
                      <w:rFonts w:ascii="Times New Roman" w:hAnsi="Times New Roman" w:eastAsia="宋体" w:cs="Times New Roman"/>
                      <w:color w:val="FF0000"/>
                      <w:kern w:val="0"/>
                      <w:szCs w:val="21"/>
                    </w:rPr>
                  </w:pPr>
                </w:p>
              </w:tc>
            </w:tr>
            <w:tr w14:paraId="053345B9">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34F7D9D1">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1BFEC3F1">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34</w:t>
                  </w:r>
                </w:p>
              </w:tc>
              <w:tc>
                <w:tcPr>
                  <w:tcW w:w="1490" w:type="dxa"/>
                  <w:tcBorders>
                    <w:top w:val="nil"/>
                    <w:left w:val="nil"/>
                    <w:bottom w:val="single" w:color="auto" w:sz="4" w:space="0"/>
                    <w:right w:val="single" w:color="auto" w:sz="4" w:space="0"/>
                  </w:tcBorders>
                  <w:shd w:val="clear" w:color="auto" w:fill="auto"/>
                  <w:noWrap/>
                  <w:vAlign w:val="center"/>
                </w:tcPr>
                <w:p w14:paraId="307AE5B3">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万德村散户</w:t>
                  </w:r>
                </w:p>
              </w:tc>
              <w:tc>
                <w:tcPr>
                  <w:tcW w:w="0" w:type="auto"/>
                  <w:tcBorders>
                    <w:top w:val="nil"/>
                    <w:left w:val="nil"/>
                    <w:bottom w:val="single" w:color="auto" w:sz="4" w:space="0"/>
                    <w:right w:val="single" w:color="auto" w:sz="4" w:space="0"/>
                  </w:tcBorders>
                  <w:shd w:val="clear" w:color="auto" w:fill="auto"/>
                  <w:noWrap/>
                  <w:vAlign w:val="center"/>
                </w:tcPr>
                <w:p w14:paraId="2DBD9CB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东南侧</w:t>
                  </w:r>
                </w:p>
              </w:tc>
              <w:tc>
                <w:tcPr>
                  <w:tcW w:w="0" w:type="auto"/>
                  <w:tcBorders>
                    <w:top w:val="nil"/>
                    <w:left w:val="nil"/>
                    <w:bottom w:val="single" w:color="auto" w:sz="4" w:space="0"/>
                    <w:right w:val="single" w:color="auto" w:sz="4" w:space="0"/>
                  </w:tcBorders>
                  <w:shd w:val="clear" w:color="auto" w:fill="auto"/>
                  <w:noWrap/>
                  <w:vAlign w:val="center"/>
                </w:tcPr>
                <w:p w14:paraId="72729067">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2699</w:t>
                  </w:r>
                </w:p>
              </w:tc>
              <w:tc>
                <w:tcPr>
                  <w:tcW w:w="0" w:type="auto"/>
                  <w:tcBorders>
                    <w:top w:val="nil"/>
                    <w:left w:val="nil"/>
                    <w:bottom w:val="single" w:color="auto" w:sz="4" w:space="0"/>
                    <w:right w:val="single" w:color="auto" w:sz="4" w:space="0"/>
                  </w:tcBorders>
                  <w:shd w:val="clear" w:color="auto" w:fill="auto"/>
                  <w:noWrap/>
                  <w:vAlign w:val="center"/>
                </w:tcPr>
                <w:p w14:paraId="166F6CBC">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约10户农户，40人</w:t>
                  </w:r>
                </w:p>
              </w:tc>
              <w:tc>
                <w:tcPr>
                  <w:tcW w:w="0" w:type="auto"/>
                  <w:vMerge w:val="continue"/>
                  <w:tcBorders>
                    <w:left w:val="nil"/>
                    <w:right w:val="single" w:color="auto" w:sz="4" w:space="0"/>
                  </w:tcBorders>
                </w:tcPr>
                <w:p w14:paraId="7E246C26">
                  <w:pPr>
                    <w:widowControl/>
                    <w:jc w:val="center"/>
                    <w:rPr>
                      <w:rFonts w:ascii="Times New Roman" w:hAnsi="Times New Roman" w:eastAsia="宋体" w:cs="Times New Roman"/>
                      <w:color w:val="FF0000"/>
                      <w:kern w:val="0"/>
                      <w:szCs w:val="21"/>
                    </w:rPr>
                  </w:pPr>
                </w:p>
              </w:tc>
            </w:tr>
            <w:tr w14:paraId="75E89074">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7C19ABB9">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260CD33C">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35</w:t>
                  </w:r>
                </w:p>
              </w:tc>
              <w:tc>
                <w:tcPr>
                  <w:tcW w:w="1490" w:type="dxa"/>
                  <w:vMerge w:val="restart"/>
                  <w:tcBorders>
                    <w:top w:val="nil"/>
                    <w:left w:val="single" w:color="auto" w:sz="4" w:space="0"/>
                    <w:bottom w:val="single" w:color="auto" w:sz="4" w:space="0"/>
                    <w:right w:val="single" w:color="auto" w:sz="4" w:space="0"/>
                  </w:tcBorders>
                  <w:shd w:val="clear" w:color="auto" w:fill="auto"/>
                  <w:noWrap/>
                  <w:vAlign w:val="center"/>
                </w:tcPr>
                <w:p w14:paraId="704FB279">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月牙村散户</w:t>
                  </w:r>
                </w:p>
              </w:tc>
              <w:tc>
                <w:tcPr>
                  <w:tcW w:w="0" w:type="auto"/>
                  <w:tcBorders>
                    <w:top w:val="nil"/>
                    <w:left w:val="nil"/>
                    <w:bottom w:val="single" w:color="auto" w:sz="4" w:space="0"/>
                    <w:right w:val="single" w:color="auto" w:sz="4" w:space="0"/>
                  </w:tcBorders>
                  <w:shd w:val="clear" w:color="auto" w:fill="auto"/>
                  <w:noWrap/>
                  <w:vAlign w:val="center"/>
                </w:tcPr>
                <w:p w14:paraId="2C06A502">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东南侧</w:t>
                  </w:r>
                </w:p>
              </w:tc>
              <w:tc>
                <w:tcPr>
                  <w:tcW w:w="0" w:type="auto"/>
                  <w:tcBorders>
                    <w:top w:val="nil"/>
                    <w:left w:val="nil"/>
                    <w:bottom w:val="single" w:color="auto" w:sz="4" w:space="0"/>
                    <w:right w:val="single" w:color="auto" w:sz="4" w:space="0"/>
                  </w:tcBorders>
                  <w:shd w:val="clear" w:color="auto" w:fill="auto"/>
                  <w:noWrap/>
                  <w:vAlign w:val="center"/>
                </w:tcPr>
                <w:p w14:paraId="6E7DC5A9">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972</w:t>
                  </w:r>
                </w:p>
              </w:tc>
              <w:tc>
                <w:tcPr>
                  <w:tcW w:w="0" w:type="auto"/>
                  <w:tcBorders>
                    <w:top w:val="nil"/>
                    <w:left w:val="nil"/>
                    <w:bottom w:val="single" w:color="auto" w:sz="4" w:space="0"/>
                    <w:right w:val="single" w:color="auto" w:sz="4" w:space="0"/>
                  </w:tcBorders>
                  <w:shd w:val="clear" w:color="auto" w:fill="auto"/>
                  <w:noWrap/>
                  <w:vAlign w:val="center"/>
                </w:tcPr>
                <w:p w14:paraId="08B038B8">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约10户农户，40人</w:t>
                  </w:r>
                </w:p>
              </w:tc>
              <w:tc>
                <w:tcPr>
                  <w:tcW w:w="0" w:type="auto"/>
                  <w:vMerge w:val="continue"/>
                  <w:tcBorders>
                    <w:left w:val="nil"/>
                    <w:right w:val="single" w:color="auto" w:sz="4" w:space="0"/>
                  </w:tcBorders>
                </w:tcPr>
                <w:p w14:paraId="478862A7">
                  <w:pPr>
                    <w:widowControl/>
                    <w:jc w:val="center"/>
                    <w:rPr>
                      <w:rFonts w:ascii="Times New Roman" w:hAnsi="Times New Roman" w:eastAsia="宋体" w:cs="Times New Roman"/>
                      <w:color w:val="FF0000"/>
                      <w:kern w:val="0"/>
                      <w:szCs w:val="21"/>
                    </w:rPr>
                  </w:pPr>
                </w:p>
              </w:tc>
            </w:tr>
            <w:tr w14:paraId="673B1231">
              <w:tblPrEx>
                <w:tblCellMar>
                  <w:top w:w="0" w:type="dxa"/>
                  <w:left w:w="108" w:type="dxa"/>
                  <w:bottom w:w="0" w:type="dxa"/>
                  <w:right w:w="108" w:type="dxa"/>
                </w:tblCellMar>
              </w:tblPrEx>
              <w:trPr>
                <w:trHeight w:val="300" w:hRule="atLeast"/>
              </w:trPr>
              <w:tc>
                <w:tcPr>
                  <w:tcW w:w="702" w:type="dxa"/>
                  <w:vMerge w:val="continue"/>
                  <w:tcBorders>
                    <w:left w:val="single" w:color="auto" w:sz="4" w:space="0"/>
                    <w:right w:val="single" w:color="auto" w:sz="4" w:space="0"/>
                  </w:tcBorders>
                </w:tcPr>
                <w:p w14:paraId="55D14627">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689D0A6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36</w:t>
                  </w:r>
                </w:p>
              </w:tc>
              <w:tc>
                <w:tcPr>
                  <w:tcW w:w="1490" w:type="dxa"/>
                  <w:vMerge w:val="continue"/>
                  <w:tcBorders>
                    <w:top w:val="nil"/>
                    <w:left w:val="single" w:color="auto" w:sz="4" w:space="0"/>
                    <w:bottom w:val="single" w:color="auto" w:sz="4" w:space="0"/>
                    <w:right w:val="single" w:color="auto" w:sz="4" w:space="0"/>
                  </w:tcBorders>
                  <w:vAlign w:val="center"/>
                </w:tcPr>
                <w:p w14:paraId="384F6CA9">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vAlign w:val="center"/>
                </w:tcPr>
                <w:p w14:paraId="54D1882E">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东南侧</w:t>
                  </w:r>
                </w:p>
              </w:tc>
              <w:tc>
                <w:tcPr>
                  <w:tcW w:w="0" w:type="auto"/>
                  <w:tcBorders>
                    <w:top w:val="nil"/>
                    <w:left w:val="nil"/>
                    <w:bottom w:val="single" w:color="auto" w:sz="4" w:space="0"/>
                    <w:right w:val="single" w:color="auto" w:sz="4" w:space="0"/>
                  </w:tcBorders>
                  <w:shd w:val="clear" w:color="auto" w:fill="auto"/>
                  <w:vAlign w:val="center"/>
                </w:tcPr>
                <w:p w14:paraId="4AB5EB63">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350-500</w:t>
                  </w:r>
                </w:p>
              </w:tc>
              <w:tc>
                <w:tcPr>
                  <w:tcW w:w="0" w:type="auto"/>
                  <w:tcBorders>
                    <w:top w:val="nil"/>
                    <w:left w:val="nil"/>
                    <w:bottom w:val="single" w:color="auto" w:sz="4" w:space="0"/>
                    <w:right w:val="single" w:color="auto" w:sz="4" w:space="0"/>
                  </w:tcBorders>
                  <w:shd w:val="clear" w:color="auto" w:fill="auto"/>
                  <w:vAlign w:val="center"/>
                </w:tcPr>
                <w:p w14:paraId="578A2D9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约6户农户，24人</w:t>
                  </w:r>
                </w:p>
              </w:tc>
              <w:tc>
                <w:tcPr>
                  <w:tcW w:w="0" w:type="auto"/>
                  <w:vMerge w:val="continue"/>
                  <w:tcBorders>
                    <w:left w:val="nil"/>
                    <w:right w:val="single" w:color="auto" w:sz="4" w:space="0"/>
                  </w:tcBorders>
                </w:tcPr>
                <w:p w14:paraId="2CBDA7C2">
                  <w:pPr>
                    <w:widowControl/>
                    <w:jc w:val="center"/>
                    <w:rPr>
                      <w:rFonts w:ascii="Times New Roman" w:hAnsi="Times New Roman" w:eastAsia="宋体" w:cs="Times New Roman"/>
                      <w:color w:val="FF0000"/>
                      <w:kern w:val="0"/>
                      <w:szCs w:val="21"/>
                    </w:rPr>
                  </w:pPr>
                </w:p>
              </w:tc>
            </w:tr>
            <w:tr w14:paraId="4E6EECD0">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38FB9184">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798485D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37</w:t>
                  </w:r>
                </w:p>
              </w:tc>
              <w:tc>
                <w:tcPr>
                  <w:tcW w:w="1490" w:type="dxa"/>
                  <w:tcBorders>
                    <w:top w:val="nil"/>
                    <w:left w:val="nil"/>
                    <w:bottom w:val="single" w:color="auto" w:sz="4" w:space="0"/>
                    <w:right w:val="single" w:color="auto" w:sz="4" w:space="0"/>
                  </w:tcBorders>
                  <w:shd w:val="clear" w:color="auto" w:fill="auto"/>
                  <w:noWrap/>
                  <w:vAlign w:val="center"/>
                </w:tcPr>
                <w:p w14:paraId="659700F2">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万德村散户</w:t>
                  </w:r>
                </w:p>
              </w:tc>
              <w:tc>
                <w:tcPr>
                  <w:tcW w:w="0" w:type="auto"/>
                  <w:tcBorders>
                    <w:top w:val="nil"/>
                    <w:left w:val="nil"/>
                    <w:bottom w:val="single" w:color="auto" w:sz="4" w:space="0"/>
                    <w:right w:val="single" w:color="auto" w:sz="4" w:space="0"/>
                  </w:tcBorders>
                  <w:shd w:val="clear" w:color="auto" w:fill="auto"/>
                  <w:vAlign w:val="center"/>
                </w:tcPr>
                <w:p w14:paraId="58FC714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东南侧</w:t>
                  </w:r>
                </w:p>
              </w:tc>
              <w:tc>
                <w:tcPr>
                  <w:tcW w:w="0" w:type="auto"/>
                  <w:tcBorders>
                    <w:top w:val="nil"/>
                    <w:left w:val="nil"/>
                    <w:bottom w:val="single" w:color="auto" w:sz="4" w:space="0"/>
                    <w:right w:val="single" w:color="auto" w:sz="4" w:space="0"/>
                  </w:tcBorders>
                  <w:shd w:val="clear" w:color="auto" w:fill="auto"/>
                  <w:noWrap/>
                  <w:vAlign w:val="center"/>
                </w:tcPr>
                <w:p w14:paraId="76B19FC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2463</w:t>
                  </w:r>
                </w:p>
              </w:tc>
              <w:tc>
                <w:tcPr>
                  <w:tcW w:w="0" w:type="auto"/>
                  <w:tcBorders>
                    <w:top w:val="nil"/>
                    <w:left w:val="nil"/>
                    <w:bottom w:val="single" w:color="auto" w:sz="4" w:space="0"/>
                    <w:right w:val="single" w:color="auto" w:sz="4" w:space="0"/>
                  </w:tcBorders>
                  <w:shd w:val="clear" w:color="auto" w:fill="auto"/>
                  <w:noWrap/>
                  <w:vAlign w:val="center"/>
                </w:tcPr>
                <w:p w14:paraId="221BA1FE">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约40户农户，160人</w:t>
                  </w:r>
                </w:p>
              </w:tc>
              <w:tc>
                <w:tcPr>
                  <w:tcW w:w="0" w:type="auto"/>
                  <w:vMerge w:val="continue"/>
                  <w:tcBorders>
                    <w:left w:val="nil"/>
                    <w:right w:val="single" w:color="auto" w:sz="4" w:space="0"/>
                  </w:tcBorders>
                </w:tcPr>
                <w:p w14:paraId="75DF4556">
                  <w:pPr>
                    <w:widowControl/>
                    <w:jc w:val="center"/>
                    <w:rPr>
                      <w:rFonts w:ascii="Times New Roman" w:hAnsi="Times New Roman" w:eastAsia="宋体" w:cs="Times New Roman"/>
                      <w:color w:val="FF0000"/>
                      <w:kern w:val="0"/>
                      <w:szCs w:val="21"/>
                    </w:rPr>
                  </w:pPr>
                </w:p>
              </w:tc>
            </w:tr>
            <w:tr w14:paraId="107CB623">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71D85303">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7EBF7303">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38</w:t>
                  </w:r>
                </w:p>
              </w:tc>
              <w:tc>
                <w:tcPr>
                  <w:tcW w:w="1490" w:type="dxa"/>
                  <w:tcBorders>
                    <w:top w:val="nil"/>
                    <w:left w:val="nil"/>
                    <w:bottom w:val="single" w:color="auto" w:sz="4" w:space="0"/>
                    <w:right w:val="single" w:color="auto" w:sz="4" w:space="0"/>
                  </w:tcBorders>
                  <w:shd w:val="clear" w:color="auto" w:fill="auto"/>
                  <w:noWrap/>
                  <w:vAlign w:val="center"/>
                </w:tcPr>
                <w:p w14:paraId="653175B5">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月牙村散户</w:t>
                  </w:r>
                </w:p>
              </w:tc>
              <w:tc>
                <w:tcPr>
                  <w:tcW w:w="0" w:type="auto"/>
                  <w:tcBorders>
                    <w:top w:val="nil"/>
                    <w:left w:val="nil"/>
                    <w:bottom w:val="single" w:color="auto" w:sz="4" w:space="0"/>
                    <w:right w:val="single" w:color="auto" w:sz="4" w:space="0"/>
                  </w:tcBorders>
                  <w:shd w:val="clear" w:color="auto" w:fill="auto"/>
                  <w:vAlign w:val="center"/>
                </w:tcPr>
                <w:p w14:paraId="04BE3AD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东南侧</w:t>
                  </w:r>
                </w:p>
              </w:tc>
              <w:tc>
                <w:tcPr>
                  <w:tcW w:w="0" w:type="auto"/>
                  <w:tcBorders>
                    <w:top w:val="nil"/>
                    <w:left w:val="nil"/>
                    <w:bottom w:val="single" w:color="auto" w:sz="4" w:space="0"/>
                    <w:right w:val="single" w:color="auto" w:sz="4" w:space="0"/>
                  </w:tcBorders>
                  <w:shd w:val="clear" w:color="auto" w:fill="auto"/>
                  <w:noWrap/>
                  <w:vAlign w:val="center"/>
                </w:tcPr>
                <w:p w14:paraId="74DBBE10">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1765</w:t>
                  </w:r>
                </w:p>
              </w:tc>
              <w:tc>
                <w:tcPr>
                  <w:tcW w:w="0" w:type="auto"/>
                  <w:tcBorders>
                    <w:top w:val="nil"/>
                    <w:left w:val="nil"/>
                    <w:bottom w:val="single" w:color="auto" w:sz="4" w:space="0"/>
                    <w:right w:val="single" w:color="auto" w:sz="4" w:space="0"/>
                  </w:tcBorders>
                  <w:shd w:val="clear" w:color="auto" w:fill="auto"/>
                  <w:noWrap/>
                  <w:vAlign w:val="center"/>
                </w:tcPr>
                <w:p w14:paraId="39B2EECD">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约6户农户，24人</w:t>
                  </w:r>
                </w:p>
              </w:tc>
              <w:tc>
                <w:tcPr>
                  <w:tcW w:w="0" w:type="auto"/>
                  <w:vMerge w:val="continue"/>
                  <w:tcBorders>
                    <w:left w:val="nil"/>
                    <w:right w:val="single" w:color="auto" w:sz="4" w:space="0"/>
                  </w:tcBorders>
                </w:tcPr>
                <w:p w14:paraId="011E09DB">
                  <w:pPr>
                    <w:widowControl/>
                    <w:jc w:val="center"/>
                    <w:rPr>
                      <w:rFonts w:ascii="Times New Roman" w:hAnsi="Times New Roman" w:eastAsia="宋体" w:cs="Times New Roman"/>
                      <w:color w:val="FF0000"/>
                      <w:kern w:val="0"/>
                      <w:szCs w:val="21"/>
                    </w:rPr>
                  </w:pPr>
                </w:p>
              </w:tc>
            </w:tr>
            <w:tr w14:paraId="12700013">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1532E9FE">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2676489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39</w:t>
                  </w:r>
                </w:p>
              </w:tc>
              <w:tc>
                <w:tcPr>
                  <w:tcW w:w="1490" w:type="dxa"/>
                  <w:tcBorders>
                    <w:top w:val="nil"/>
                    <w:left w:val="nil"/>
                    <w:bottom w:val="single" w:color="auto" w:sz="4" w:space="0"/>
                    <w:right w:val="single" w:color="auto" w:sz="4" w:space="0"/>
                  </w:tcBorders>
                  <w:shd w:val="clear" w:color="auto" w:fill="auto"/>
                  <w:noWrap/>
                  <w:vAlign w:val="center"/>
                </w:tcPr>
                <w:p w14:paraId="47C2689C">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滑泥桥村散户</w:t>
                  </w:r>
                </w:p>
              </w:tc>
              <w:tc>
                <w:tcPr>
                  <w:tcW w:w="0" w:type="auto"/>
                  <w:tcBorders>
                    <w:top w:val="nil"/>
                    <w:left w:val="nil"/>
                    <w:bottom w:val="single" w:color="auto" w:sz="4" w:space="0"/>
                    <w:right w:val="single" w:color="auto" w:sz="4" w:space="0"/>
                  </w:tcBorders>
                  <w:shd w:val="clear" w:color="auto" w:fill="auto"/>
                  <w:noWrap/>
                  <w:vAlign w:val="center"/>
                </w:tcPr>
                <w:p w14:paraId="3130AADC">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南侧</w:t>
                  </w:r>
                </w:p>
              </w:tc>
              <w:tc>
                <w:tcPr>
                  <w:tcW w:w="0" w:type="auto"/>
                  <w:tcBorders>
                    <w:top w:val="nil"/>
                    <w:left w:val="nil"/>
                    <w:bottom w:val="single" w:color="auto" w:sz="4" w:space="0"/>
                    <w:right w:val="single" w:color="auto" w:sz="4" w:space="0"/>
                  </w:tcBorders>
                  <w:shd w:val="clear" w:color="auto" w:fill="auto"/>
                  <w:noWrap/>
                  <w:vAlign w:val="center"/>
                </w:tcPr>
                <w:p w14:paraId="5EC9A339">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411</w:t>
                  </w:r>
                </w:p>
              </w:tc>
              <w:tc>
                <w:tcPr>
                  <w:tcW w:w="0" w:type="auto"/>
                  <w:tcBorders>
                    <w:top w:val="nil"/>
                    <w:left w:val="nil"/>
                    <w:bottom w:val="single" w:color="auto" w:sz="4" w:space="0"/>
                    <w:right w:val="single" w:color="auto" w:sz="4" w:space="0"/>
                  </w:tcBorders>
                  <w:shd w:val="clear" w:color="auto" w:fill="auto"/>
                  <w:noWrap/>
                  <w:vAlign w:val="center"/>
                </w:tcPr>
                <w:p w14:paraId="54092408">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约5户农户，20人</w:t>
                  </w:r>
                </w:p>
              </w:tc>
              <w:tc>
                <w:tcPr>
                  <w:tcW w:w="0" w:type="auto"/>
                  <w:vMerge w:val="continue"/>
                  <w:tcBorders>
                    <w:left w:val="nil"/>
                    <w:right w:val="single" w:color="auto" w:sz="4" w:space="0"/>
                  </w:tcBorders>
                </w:tcPr>
                <w:p w14:paraId="789B4005">
                  <w:pPr>
                    <w:widowControl/>
                    <w:jc w:val="center"/>
                    <w:rPr>
                      <w:rFonts w:ascii="Times New Roman" w:hAnsi="Times New Roman" w:eastAsia="宋体" w:cs="Times New Roman"/>
                      <w:color w:val="FF0000"/>
                      <w:kern w:val="0"/>
                      <w:szCs w:val="21"/>
                    </w:rPr>
                  </w:pPr>
                </w:p>
              </w:tc>
            </w:tr>
            <w:tr w14:paraId="4B46BD88">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47662298">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454816D5">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40</w:t>
                  </w:r>
                </w:p>
              </w:tc>
              <w:tc>
                <w:tcPr>
                  <w:tcW w:w="1490" w:type="dxa"/>
                  <w:tcBorders>
                    <w:top w:val="nil"/>
                    <w:left w:val="nil"/>
                    <w:bottom w:val="single" w:color="auto" w:sz="4" w:space="0"/>
                    <w:right w:val="single" w:color="auto" w:sz="4" w:space="0"/>
                  </w:tcBorders>
                  <w:shd w:val="clear" w:color="auto" w:fill="auto"/>
                  <w:noWrap/>
                  <w:vAlign w:val="center"/>
                </w:tcPr>
                <w:p w14:paraId="49E9F696">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石牌坊村散户</w:t>
                  </w:r>
                </w:p>
              </w:tc>
              <w:tc>
                <w:tcPr>
                  <w:tcW w:w="0" w:type="auto"/>
                  <w:tcBorders>
                    <w:top w:val="nil"/>
                    <w:left w:val="nil"/>
                    <w:bottom w:val="single" w:color="auto" w:sz="4" w:space="0"/>
                    <w:right w:val="single" w:color="auto" w:sz="4" w:space="0"/>
                  </w:tcBorders>
                  <w:shd w:val="clear" w:color="auto" w:fill="auto"/>
                  <w:noWrap/>
                  <w:vAlign w:val="center"/>
                </w:tcPr>
                <w:p w14:paraId="6066FED3">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南侧</w:t>
                  </w:r>
                </w:p>
              </w:tc>
              <w:tc>
                <w:tcPr>
                  <w:tcW w:w="0" w:type="auto"/>
                  <w:tcBorders>
                    <w:top w:val="nil"/>
                    <w:left w:val="nil"/>
                    <w:bottom w:val="single" w:color="auto" w:sz="4" w:space="0"/>
                    <w:right w:val="single" w:color="auto" w:sz="4" w:space="0"/>
                  </w:tcBorders>
                  <w:shd w:val="clear" w:color="auto" w:fill="auto"/>
                  <w:noWrap/>
                  <w:vAlign w:val="center"/>
                </w:tcPr>
                <w:p w14:paraId="6649A79E">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2019</w:t>
                  </w:r>
                </w:p>
              </w:tc>
              <w:tc>
                <w:tcPr>
                  <w:tcW w:w="0" w:type="auto"/>
                  <w:tcBorders>
                    <w:top w:val="nil"/>
                    <w:left w:val="nil"/>
                    <w:bottom w:val="single" w:color="auto" w:sz="4" w:space="0"/>
                    <w:right w:val="single" w:color="auto" w:sz="4" w:space="0"/>
                  </w:tcBorders>
                  <w:shd w:val="clear" w:color="auto" w:fill="auto"/>
                  <w:noWrap/>
                  <w:vAlign w:val="center"/>
                </w:tcPr>
                <w:p w14:paraId="4286C7B6">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约22户农户，88人</w:t>
                  </w:r>
                </w:p>
              </w:tc>
              <w:tc>
                <w:tcPr>
                  <w:tcW w:w="0" w:type="auto"/>
                  <w:vMerge w:val="continue"/>
                  <w:tcBorders>
                    <w:left w:val="nil"/>
                    <w:right w:val="single" w:color="auto" w:sz="4" w:space="0"/>
                  </w:tcBorders>
                </w:tcPr>
                <w:p w14:paraId="7A9EF9AB">
                  <w:pPr>
                    <w:widowControl/>
                    <w:jc w:val="center"/>
                    <w:rPr>
                      <w:rFonts w:ascii="Times New Roman" w:hAnsi="Times New Roman" w:eastAsia="宋体" w:cs="Times New Roman"/>
                      <w:color w:val="FF0000"/>
                      <w:kern w:val="0"/>
                      <w:szCs w:val="21"/>
                    </w:rPr>
                  </w:pPr>
                </w:p>
              </w:tc>
            </w:tr>
            <w:tr w14:paraId="1F6A7611">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7C701B95">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4BDA6655">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41</w:t>
                  </w:r>
                </w:p>
              </w:tc>
              <w:tc>
                <w:tcPr>
                  <w:tcW w:w="1490" w:type="dxa"/>
                  <w:vMerge w:val="restart"/>
                  <w:tcBorders>
                    <w:top w:val="nil"/>
                    <w:left w:val="single" w:color="auto" w:sz="4" w:space="0"/>
                    <w:bottom w:val="single" w:color="auto" w:sz="4" w:space="0"/>
                    <w:right w:val="single" w:color="auto" w:sz="4" w:space="0"/>
                  </w:tcBorders>
                  <w:shd w:val="clear" w:color="auto" w:fill="auto"/>
                  <w:noWrap/>
                  <w:vAlign w:val="center"/>
                </w:tcPr>
                <w:p w14:paraId="21D4AAD7">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月牙村散户</w:t>
                  </w:r>
                </w:p>
              </w:tc>
              <w:tc>
                <w:tcPr>
                  <w:tcW w:w="0" w:type="auto"/>
                  <w:tcBorders>
                    <w:top w:val="nil"/>
                    <w:left w:val="nil"/>
                    <w:bottom w:val="single" w:color="auto" w:sz="4" w:space="0"/>
                    <w:right w:val="single" w:color="auto" w:sz="4" w:space="0"/>
                  </w:tcBorders>
                  <w:shd w:val="clear" w:color="auto" w:fill="auto"/>
                  <w:noWrap/>
                  <w:vAlign w:val="center"/>
                </w:tcPr>
                <w:p w14:paraId="0C56AC8C">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南侧</w:t>
                  </w:r>
                </w:p>
              </w:tc>
              <w:tc>
                <w:tcPr>
                  <w:tcW w:w="0" w:type="auto"/>
                  <w:tcBorders>
                    <w:top w:val="nil"/>
                    <w:left w:val="nil"/>
                    <w:bottom w:val="single" w:color="auto" w:sz="4" w:space="0"/>
                    <w:right w:val="single" w:color="auto" w:sz="4" w:space="0"/>
                  </w:tcBorders>
                  <w:shd w:val="clear" w:color="auto" w:fill="auto"/>
                  <w:noWrap/>
                  <w:vAlign w:val="center"/>
                </w:tcPr>
                <w:p w14:paraId="451A4E30">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987</w:t>
                  </w:r>
                </w:p>
              </w:tc>
              <w:tc>
                <w:tcPr>
                  <w:tcW w:w="0" w:type="auto"/>
                  <w:tcBorders>
                    <w:top w:val="nil"/>
                    <w:left w:val="nil"/>
                    <w:bottom w:val="single" w:color="auto" w:sz="4" w:space="0"/>
                    <w:right w:val="single" w:color="auto" w:sz="4" w:space="0"/>
                  </w:tcBorders>
                  <w:shd w:val="clear" w:color="auto" w:fill="auto"/>
                  <w:noWrap/>
                  <w:vAlign w:val="center"/>
                </w:tcPr>
                <w:p w14:paraId="36B21A9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约21户农户，84人</w:t>
                  </w:r>
                </w:p>
              </w:tc>
              <w:tc>
                <w:tcPr>
                  <w:tcW w:w="0" w:type="auto"/>
                  <w:vMerge w:val="continue"/>
                  <w:tcBorders>
                    <w:left w:val="nil"/>
                    <w:right w:val="single" w:color="auto" w:sz="4" w:space="0"/>
                  </w:tcBorders>
                </w:tcPr>
                <w:p w14:paraId="73C58C81">
                  <w:pPr>
                    <w:widowControl/>
                    <w:jc w:val="center"/>
                    <w:rPr>
                      <w:rFonts w:ascii="Times New Roman" w:hAnsi="Times New Roman" w:eastAsia="宋体" w:cs="Times New Roman"/>
                      <w:color w:val="FF0000"/>
                      <w:kern w:val="0"/>
                      <w:szCs w:val="21"/>
                    </w:rPr>
                  </w:pPr>
                </w:p>
              </w:tc>
            </w:tr>
            <w:tr w14:paraId="521E796A">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60516415">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35CF6BF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42</w:t>
                  </w:r>
                </w:p>
              </w:tc>
              <w:tc>
                <w:tcPr>
                  <w:tcW w:w="1490" w:type="dxa"/>
                  <w:vMerge w:val="continue"/>
                  <w:tcBorders>
                    <w:top w:val="nil"/>
                    <w:left w:val="single" w:color="auto" w:sz="4" w:space="0"/>
                    <w:bottom w:val="single" w:color="auto" w:sz="4" w:space="0"/>
                    <w:right w:val="single" w:color="auto" w:sz="4" w:space="0"/>
                  </w:tcBorders>
                  <w:vAlign w:val="center"/>
                </w:tcPr>
                <w:p w14:paraId="0729B552">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noWrap/>
                  <w:vAlign w:val="center"/>
                </w:tcPr>
                <w:p w14:paraId="7ADE4A39">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南侧</w:t>
                  </w:r>
                </w:p>
              </w:tc>
              <w:tc>
                <w:tcPr>
                  <w:tcW w:w="0" w:type="auto"/>
                  <w:tcBorders>
                    <w:top w:val="nil"/>
                    <w:left w:val="nil"/>
                    <w:bottom w:val="single" w:color="auto" w:sz="4" w:space="0"/>
                    <w:right w:val="single" w:color="auto" w:sz="4" w:space="0"/>
                  </w:tcBorders>
                  <w:shd w:val="clear" w:color="auto" w:fill="auto"/>
                  <w:noWrap/>
                  <w:vAlign w:val="center"/>
                </w:tcPr>
                <w:p w14:paraId="495A5F05">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681</w:t>
                  </w:r>
                </w:p>
              </w:tc>
              <w:tc>
                <w:tcPr>
                  <w:tcW w:w="0" w:type="auto"/>
                  <w:tcBorders>
                    <w:top w:val="nil"/>
                    <w:left w:val="nil"/>
                    <w:bottom w:val="single" w:color="auto" w:sz="4" w:space="0"/>
                    <w:right w:val="single" w:color="auto" w:sz="4" w:space="0"/>
                  </w:tcBorders>
                  <w:shd w:val="clear" w:color="auto" w:fill="auto"/>
                  <w:noWrap/>
                  <w:vAlign w:val="center"/>
                </w:tcPr>
                <w:p w14:paraId="22F00B48">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约16户农户，64人</w:t>
                  </w:r>
                </w:p>
              </w:tc>
              <w:tc>
                <w:tcPr>
                  <w:tcW w:w="0" w:type="auto"/>
                  <w:vMerge w:val="continue"/>
                  <w:tcBorders>
                    <w:left w:val="nil"/>
                    <w:right w:val="single" w:color="auto" w:sz="4" w:space="0"/>
                  </w:tcBorders>
                </w:tcPr>
                <w:p w14:paraId="26EB6AD3">
                  <w:pPr>
                    <w:widowControl/>
                    <w:jc w:val="center"/>
                    <w:rPr>
                      <w:rFonts w:ascii="Times New Roman" w:hAnsi="Times New Roman" w:eastAsia="宋体" w:cs="Times New Roman"/>
                      <w:color w:val="FF0000"/>
                      <w:kern w:val="0"/>
                      <w:szCs w:val="21"/>
                    </w:rPr>
                  </w:pPr>
                </w:p>
              </w:tc>
            </w:tr>
            <w:tr w14:paraId="11E464A8">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4C2967F6">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1FB48BCE">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43</w:t>
                  </w:r>
                </w:p>
              </w:tc>
              <w:tc>
                <w:tcPr>
                  <w:tcW w:w="1490" w:type="dxa"/>
                  <w:vMerge w:val="restart"/>
                  <w:tcBorders>
                    <w:top w:val="nil"/>
                    <w:left w:val="single" w:color="auto" w:sz="4" w:space="0"/>
                    <w:bottom w:val="single" w:color="auto" w:sz="4" w:space="0"/>
                    <w:right w:val="single" w:color="auto" w:sz="4" w:space="0"/>
                  </w:tcBorders>
                  <w:shd w:val="clear" w:color="auto" w:fill="auto"/>
                  <w:noWrap/>
                  <w:vAlign w:val="center"/>
                </w:tcPr>
                <w:p w14:paraId="612B1C3D">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船形村散户</w:t>
                  </w:r>
                </w:p>
              </w:tc>
              <w:tc>
                <w:tcPr>
                  <w:tcW w:w="0" w:type="auto"/>
                  <w:tcBorders>
                    <w:top w:val="nil"/>
                    <w:left w:val="nil"/>
                    <w:bottom w:val="single" w:color="auto" w:sz="4" w:space="0"/>
                    <w:right w:val="single" w:color="auto" w:sz="4" w:space="0"/>
                  </w:tcBorders>
                  <w:shd w:val="clear" w:color="auto" w:fill="auto"/>
                  <w:noWrap/>
                  <w:vAlign w:val="center"/>
                </w:tcPr>
                <w:p w14:paraId="330E8A57">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西南侧</w:t>
                  </w:r>
                </w:p>
              </w:tc>
              <w:tc>
                <w:tcPr>
                  <w:tcW w:w="0" w:type="auto"/>
                  <w:tcBorders>
                    <w:top w:val="nil"/>
                    <w:left w:val="nil"/>
                    <w:bottom w:val="single" w:color="auto" w:sz="4" w:space="0"/>
                    <w:right w:val="single" w:color="auto" w:sz="4" w:space="0"/>
                  </w:tcBorders>
                  <w:shd w:val="clear" w:color="auto" w:fill="auto"/>
                  <w:noWrap/>
                  <w:vAlign w:val="center"/>
                </w:tcPr>
                <w:p w14:paraId="65E658B4">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1617</w:t>
                  </w:r>
                </w:p>
              </w:tc>
              <w:tc>
                <w:tcPr>
                  <w:tcW w:w="0" w:type="auto"/>
                  <w:tcBorders>
                    <w:top w:val="nil"/>
                    <w:left w:val="nil"/>
                    <w:bottom w:val="single" w:color="auto" w:sz="4" w:space="0"/>
                    <w:right w:val="single" w:color="auto" w:sz="4" w:space="0"/>
                  </w:tcBorders>
                  <w:shd w:val="clear" w:color="auto" w:fill="auto"/>
                  <w:noWrap/>
                  <w:vAlign w:val="center"/>
                </w:tcPr>
                <w:p w14:paraId="1D3EEF8C">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约22户农户，88人</w:t>
                  </w:r>
                </w:p>
              </w:tc>
              <w:tc>
                <w:tcPr>
                  <w:tcW w:w="0" w:type="auto"/>
                  <w:vMerge w:val="continue"/>
                  <w:tcBorders>
                    <w:left w:val="nil"/>
                    <w:right w:val="single" w:color="auto" w:sz="4" w:space="0"/>
                  </w:tcBorders>
                </w:tcPr>
                <w:p w14:paraId="5519B30F">
                  <w:pPr>
                    <w:widowControl/>
                    <w:jc w:val="center"/>
                    <w:rPr>
                      <w:rFonts w:ascii="Times New Roman" w:hAnsi="Times New Roman" w:eastAsia="宋体" w:cs="Times New Roman"/>
                      <w:color w:val="FF0000"/>
                      <w:kern w:val="0"/>
                      <w:szCs w:val="21"/>
                    </w:rPr>
                  </w:pPr>
                </w:p>
              </w:tc>
            </w:tr>
            <w:tr w14:paraId="390FB588">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33ADB9B4">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75BC1F7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44</w:t>
                  </w:r>
                </w:p>
              </w:tc>
              <w:tc>
                <w:tcPr>
                  <w:tcW w:w="1490" w:type="dxa"/>
                  <w:vMerge w:val="continue"/>
                  <w:tcBorders>
                    <w:top w:val="nil"/>
                    <w:left w:val="single" w:color="auto" w:sz="4" w:space="0"/>
                    <w:bottom w:val="single" w:color="auto" w:sz="4" w:space="0"/>
                    <w:right w:val="single" w:color="auto" w:sz="4" w:space="0"/>
                  </w:tcBorders>
                  <w:vAlign w:val="center"/>
                </w:tcPr>
                <w:p w14:paraId="7DB6047E">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noWrap/>
                  <w:vAlign w:val="center"/>
                </w:tcPr>
                <w:p w14:paraId="37261298">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西南侧</w:t>
                  </w:r>
                </w:p>
              </w:tc>
              <w:tc>
                <w:tcPr>
                  <w:tcW w:w="0" w:type="auto"/>
                  <w:tcBorders>
                    <w:top w:val="nil"/>
                    <w:left w:val="nil"/>
                    <w:bottom w:val="single" w:color="auto" w:sz="4" w:space="0"/>
                    <w:right w:val="single" w:color="auto" w:sz="4" w:space="0"/>
                  </w:tcBorders>
                  <w:shd w:val="clear" w:color="auto" w:fill="auto"/>
                  <w:noWrap/>
                  <w:vAlign w:val="center"/>
                </w:tcPr>
                <w:p w14:paraId="30D73099">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2599</w:t>
                  </w:r>
                </w:p>
              </w:tc>
              <w:tc>
                <w:tcPr>
                  <w:tcW w:w="0" w:type="auto"/>
                  <w:tcBorders>
                    <w:top w:val="nil"/>
                    <w:left w:val="nil"/>
                    <w:bottom w:val="single" w:color="auto" w:sz="4" w:space="0"/>
                    <w:right w:val="single" w:color="auto" w:sz="4" w:space="0"/>
                  </w:tcBorders>
                  <w:shd w:val="clear" w:color="auto" w:fill="auto"/>
                  <w:noWrap/>
                  <w:vAlign w:val="center"/>
                </w:tcPr>
                <w:p w14:paraId="6B666193">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约12户农户，48人</w:t>
                  </w:r>
                </w:p>
              </w:tc>
              <w:tc>
                <w:tcPr>
                  <w:tcW w:w="0" w:type="auto"/>
                  <w:vMerge w:val="continue"/>
                  <w:tcBorders>
                    <w:left w:val="nil"/>
                    <w:right w:val="single" w:color="auto" w:sz="4" w:space="0"/>
                  </w:tcBorders>
                </w:tcPr>
                <w:p w14:paraId="74BAC27A">
                  <w:pPr>
                    <w:widowControl/>
                    <w:jc w:val="center"/>
                    <w:rPr>
                      <w:rFonts w:ascii="Times New Roman" w:hAnsi="Times New Roman" w:eastAsia="宋体" w:cs="Times New Roman"/>
                      <w:color w:val="FF0000"/>
                      <w:kern w:val="0"/>
                      <w:szCs w:val="21"/>
                    </w:rPr>
                  </w:pPr>
                </w:p>
              </w:tc>
            </w:tr>
            <w:tr w14:paraId="3854A28A">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40AAFB88">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188DCC67">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45</w:t>
                  </w:r>
                </w:p>
              </w:tc>
              <w:tc>
                <w:tcPr>
                  <w:tcW w:w="1490" w:type="dxa"/>
                  <w:vMerge w:val="continue"/>
                  <w:tcBorders>
                    <w:top w:val="nil"/>
                    <w:left w:val="single" w:color="auto" w:sz="4" w:space="0"/>
                    <w:bottom w:val="single" w:color="auto" w:sz="4" w:space="0"/>
                    <w:right w:val="single" w:color="auto" w:sz="4" w:space="0"/>
                  </w:tcBorders>
                  <w:vAlign w:val="center"/>
                </w:tcPr>
                <w:p w14:paraId="265E345E">
                  <w:pPr>
                    <w:widowControl/>
                    <w:jc w:val="left"/>
                    <w:rPr>
                      <w:rFonts w:ascii="Times New Roman" w:hAnsi="Times New Roman" w:eastAsia="宋体" w:cs="Times New Roman"/>
                      <w:color w:val="FF0000"/>
                      <w:kern w:val="0"/>
                      <w:szCs w:val="21"/>
                    </w:rPr>
                  </w:pPr>
                </w:p>
              </w:tc>
              <w:tc>
                <w:tcPr>
                  <w:tcW w:w="0" w:type="auto"/>
                  <w:tcBorders>
                    <w:top w:val="nil"/>
                    <w:left w:val="nil"/>
                    <w:bottom w:val="single" w:color="auto" w:sz="4" w:space="0"/>
                    <w:right w:val="single" w:color="auto" w:sz="4" w:space="0"/>
                  </w:tcBorders>
                  <w:shd w:val="clear" w:color="auto" w:fill="auto"/>
                  <w:noWrap/>
                  <w:vAlign w:val="center"/>
                </w:tcPr>
                <w:p w14:paraId="21B532D1">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西南侧</w:t>
                  </w:r>
                </w:p>
              </w:tc>
              <w:tc>
                <w:tcPr>
                  <w:tcW w:w="0" w:type="auto"/>
                  <w:tcBorders>
                    <w:top w:val="nil"/>
                    <w:left w:val="nil"/>
                    <w:bottom w:val="single" w:color="auto" w:sz="4" w:space="0"/>
                    <w:right w:val="single" w:color="auto" w:sz="4" w:space="0"/>
                  </w:tcBorders>
                  <w:shd w:val="clear" w:color="auto" w:fill="auto"/>
                  <w:noWrap/>
                  <w:vAlign w:val="center"/>
                </w:tcPr>
                <w:p w14:paraId="74779E8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1255</w:t>
                  </w:r>
                </w:p>
              </w:tc>
              <w:tc>
                <w:tcPr>
                  <w:tcW w:w="0" w:type="auto"/>
                  <w:tcBorders>
                    <w:top w:val="nil"/>
                    <w:left w:val="nil"/>
                    <w:bottom w:val="single" w:color="auto" w:sz="4" w:space="0"/>
                    <w:right w:val="single" w:color="auto" w:sz="4" w:space="0"/>
                  </w:tcBorders>
                  <w:shd w:val="clear" w:color="auto" w:fill="auto"/>
                  <w:noWrap/>
                  <w:vAlign w:val="center"/>
                </w:tcPr>
                <w:p w14:paraId="263B735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约24户农户，96人</w:t>
                  </w:r>
                </w:p>
              </w:tc>
              <w:tc>
                <w:tcPr>
                  <w:tcW w:w="0" w:type="auto"/>
                  <w:vMerge w:val="continue"/>
                  <w:tcBorders>
                    <w:left w:val="nil"/>
                    <w:right w:val="single" w:color="auto" w:sz="4" w:space="0"/>
                  </w:tcBorders>
                </w:tcPr>
                <w:p w14:paraId="4ECF06BA">
                  <w:pPr>
                    <w:widowControl/>
                    <w:jc w:val="center"/>
                    <w:rPr>
                      <w:rFonts w:ascii="Times New Roman" w:hAnsi="Times New Roman" w:eastAsia="宋体" w:cs="Times New Roman"/>
                      <w:color w:val="FF0000"/>
                      <w:kern w:val="0"/>
                      <w:szCs w:val="21"/>
                    </w:rPr>
                  </w:pPr>
                </w:p>
              </w:tc>
            </w:tr>
            <w:tr w14:paraId="35E41073">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6A59B266">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0C5DCB34">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46</w:t>
                  </w:r>
                </w:p>
              </w:tc>
              <w:tc>
                <w:tcPr>
                  <w:tcW w:w="1490" w:type="dxa"/>
                  <w:tcBorders>
                    <w:top w:val="nil"/>
                    <w:left w:val="nil"/>
                    <w:bottom w:val="single" w:color="auto" w:sz="4" w:space="0"/>
                    <w:right w:val="single" w:color="auto" w:sz="4" w:space="0"/>
                  </w:tcBorders>
                  <w:shd w:val="clear" w:color="auto" w:fill="auto"/>
                  <w:noWrap/>
                  <w:vAlign w:val="center"/>
                </w:tcPr>
                <w:p w14:paraId="73FC6846">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鸡叫山村</w:t>
                  </w:r>
                </w:p>
              </w:tc>
              <w:tc>
                <w:tcPr>
                  <w:tcW w:w="0" w:type="auto"/>
                  <w:tcBorders>
                    <w:top w:val="nil"/>
                    <w:left w:val="nil"/>
                    <w:bottom w:val="single" w:color="auto" w:sz="4" w:space="0"/>
                    <w:right w:val="single" w:color="auto" w:sz="4" w:space="0"/>
                  </w:tcBorders>
                  <w:shd w:val="clear" w:color="auto" w:fill="auto"/>
                  <w:noWrap/>
                  <w:vAlign w:val="center"/>
                </w:tcPr>
                <w:p w14:paraId="5254BF69">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西南侧</w:t>
                  </w:r>
                </w:p>
              </w:tc>
              <w:tc>
                <w:tcPr>
                  <w:tcW w:w="0" w:type="auto"/>
                  <w:tcBorders>
                    <w:top w:val="nil"/>
                    <w:left w:val="nil"/>
                    <w:bottom w:val="single" w:color="auto" w:sz="4" w:space="0"/>
                    <w:right w:val="single" w:color="auto" w:sz="4" w:space="0"/>
                  </w:tcBorders>
                  <w:shd w:val="clear" w:color="auto" w:fill="auto"/>
                  <w:noWrap/>
                  <w:vAlign w:val="center"/>
                </w:tcPr>
                <w:p w14:paraId="58E1490D">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1929</w:t>
                  </w:r>
                </w:p>
              </w:tc>
              <w:tc>
                <w:tcPr>
                  <w:tcW w:w="0" w:type="auto"/>
                  <w:tcBorders>
                    <w:top w:val="nil"/>
                    <w:left w:val="nil"/>
                    <w:bottom w:val="single" w:color="auto" w:sz="4" w:space="0"/>
                    <w:right w:val="single" w:color="auto" w:sz="4" w:space="0"/>
                  </w:tcBorders>
                  <w:shd w:val="clear" w:color="auto" w:fill="auto"/>
                  <w:noWrap/>
                  <w:vAlign w:val="center"/>
                </w:tcPr>
                <w:p w14:paraId="6E0D9646">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约13户农户，52人</w:t>
                  </w:r>
                </w:p>
              </w:tc>
              <w:tc>
                <w:tcPr>
                  <w:tcW w:w="0" w:type="auto"/>
                  <w:vMerge w:val="continue"/>
                  <w:tcBorders>
                    <w:left w:val="nil"/>
                    <w:right w:val="single" w:color="auto" w:sz="4" w:space="0"/>
                  </w:tcBorders>
                </w:tcPr>
                <w:p w14:paraId="2B2EC255">
                  <w:pPr>
                    <w:widowControl/>
                    <w:jc w:val="center"/>
                    <w:rPr>
                      <w:rFonts w:ascii="Times New Roman" w:hAnsi="Times New Roman" w:eastAsia="宋体" w:cs="Times New Roman"/>
                      <w:color w:val="FF0000"/>
                      <w:kern w:val="0"/>
                      <w:szCs w:val="21"/>
                    </w:rPr>
                  </w:pPr>
                </w:p>
              </w:tc>
            </w:tr>
            <w:tr w14:paraId="1B27E565">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30B2EBA0">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4122F742">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47</w:t>
                  </w:r>
                </w:p>
              </w:tc>
              <w:tc>
                <w:tcPr>
                  <w:tcW w:w="1490" w:type="dxa"/>
                  <w:tcBorders>
                    <w:top w:val="nil"/>
                    <w:left w:val="nil"/>
                    <w:bottom w:val="single" w:color="auto" w:sz="4" w:space="0"/>
                    <w:right w:val="single" w:color="auto" w:sz="4" w:space="0"/>
                  </w:tcBorders>
                  <w:shd w:val="clear" w:color="auto" w:fill="auto"/>
                  <w:noWrap/>
                  <w:vAlign w:val="center"/>
                </w:tcPr>
                <w:p w14:paraId="727CE972">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横山镇小学</w:t>
                  </w:r>
                </w:p>
              </w:tc>
              <w:tc>
                <w:tcPr>
                  <w:tcW w:w="0" w:type="auto"/>
                  <w:tcBorders>
                    <w:top w:val="nil"/>
                    <w:left w:val="nil"/>
                    <w:bottom w:val="single" w:color="auto" w:sz="4" w:space="0"/>
                    <w:right w:val="single" w:color="auto" w:sz="4" w:space="0"/>
                  </w:tcBorders>
                  <w:shd w:val="clear" w:color="auto" w:fill="auto"/>
                  <w:noWrap/>
                  <w:vAlign w:val="center"/>
                </w:tcPr>
                <w:p w14:paraId="56FCBBFC">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西侧</w:t>
                  </w:r>
                </w:p>
              </w:tc>
              <w:tc>
                <w:tcPr>
                  <w:tcW w:w="0" w:type="auto"/>
                  <w:tcBorders>
                    <w:top w:val="nil"/>
                    <w:left w:val="nil"/>
                    <w:bottom w:val="single" w:color="auto" w:sz="4" w:space="0"/>
                    <w:right w:val="single" w:color="auto" w:sz="4" w:space="0"/>
                  </w:tcBorders>
                  <w:shd w:val="clear" w:color="auto" w:fill="auto"/>
                  <w:noWrap/>
                  <w:vAlign w:val="center"/>
                </w:tcPr>
                <w:p w14:paraId="654F7674">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1544</w:t>
                  </w:r>
                </w:p>
              </w:tc>
              <w:tc>
                <w:tcPr>
                  <w:tcW w:w="0" w:type="auto"/>
                  <w:tcBorders>
                    <w:top w:val="nil"/>
                    <w:left w:val="nil"/>
                    <w:bottom w:val="single" w:color="auto" w:sz="4" w:space="0"/>
                    <w:right w:val="single" w:color="auto" w:sz="4" w:space="0"/>
                  </w:tcBorders>
                  <w:shd w:val="clear" w:color="auto" w:fill="auto"/>
                  <w:noWrap/>
                  <w:vAlign w:val="center"/>
                </w:tcPr>
                <w:p w14:paraId="6B22B54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师生约1300人</w:t>
                  </w:r>
                </w:p>
              </w:tc>
              <w:tc>
                <w:tcPr>
                  <w:tcW w:w="0" w:type="auto"/>
                  <w:vMerge w:val="continue"/>
                  <w:tcBorders>
                    <w:left w:val="nil"/>
                    <w:right w:val="single" w:color="auto" w:sz="4" w:space="0"/>
                  </w:tcBorders>
                </w:tcPr>
                <w:p w14:paraId="0DD718A5">
                  <w:pPr>
                    <w:widowControl/>
                    <w:jc w:val="center"/>
                    <w:rPr>
                      <w:rFonts w:ascii="Times New Roman" w:hAnsi="Times New Roman" w:eastAsia="宋体" w:cs="Times New Roman"/>
                      <w:color w:val="FF0000"/>
                      <w:kern w:val="0"/>
                      <w:szCs w:val="21"/>
                    </w:rPr>
                  </w:pPr>
                </w:p>
              </w:tc>
            </w:tr>
            <w:tr w14:paraId="16EE8AE3">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62E8F633">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60C373BA">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48</w:t>
                  </w:r>
                </w:p>
              </w:tc>
              <w:tc>
                <w:tcPr>
                  <w:tcW w:w="1490" w:type="dxa"/>
                  <w:tcBorders>
                    <w:top w:val="nil"/>
                    <w:left w:val="nil"/>
                    <w:bottom w:val="single" w:color="auto" w:sz="4" w:space="0"/>
                    <w:right w:val="single" w:color="auto" w:sz="4" w:space="0"/>
                  </w:tcBorders>
                  <w:shd w:val="clear" w:color="auto" w:fill="auto"/>
                  <w:noWrap/>
                  <w:vAlign w:val="center"/>
                </w:tcPr>
                <w:p w14:paraId="7D7B9A15">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横山镇初级中学</w:t>
                  </w:r>
                </w:p>
              </w:tc>
              <w:tc>
                <w:tcPr>
                  <w:tcW w:w="0" w:type="auto"/>
                  <w:tcBorders>
                    <w:top w:val="nil"/>
                    <w:left w:val="nil"/>
                    <w:bottom w:val="single" w:color="auto" w:sz="4" w:space="0"/>
                    <w:right w:val="single" w:color="auto" w:sz="4" w:space="0"/>
                  </w:tcBorders>
                  <w:shd w:val="clear" w:color="auto" w:fill="auto"/>
                  <w:noWrap/>
                  <w:vAlign w:val="center"/>
                </w:tcPr>
                <w:p w14:paraId="4DEA8658">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西侧</w:t>
                  </w:r>
                </w:p>
              </w:tc>
              <w:tc>
                <w:tcPr>
                  <w:tcW w:w="0" w:type="auto"/>
                  <w:tcBorders>
                    <w:top w:val="nil"/>
                    <w:left w:val="nil"/>
                    <w:bottom w:val="single" w:color="auto" w:sz="4" w:space="0"/>
                    <w:right w:val="single" w:color="auto" w:sz="4" w:space="0"/>
                  </w:tcBorders>
                  <w:shd w:val="clear" w:color="auto" w:fill="auto"/>
                  <w:noWrap/>
                  <w:vAlign w:val="center"/>
                </w:tcPr>
                <w:p w14:paraId="476DD41D">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1551</w:t>
                  </w:r>
                </w:p>
              </w:tc>
              <w:tc>
                <w:tcPr>
                  <w:tcW w:w="0" w:type="auto"/>
                  <w:tcBorders>
                    <w:top w:val="nil"/>
                    <w:left w:val="nil"/>
                    <w:bottom w:val="single" w:color="auto" w:sz="4" w:space="0"/>
                    <w:right w:val="single" w:color="auto" w:sz="4" w:space="0"/>
                  </w:tcBorders>
                  <w:shd w:val="clear" w:color="auto" w:fill="auto"/>
                  <w:noWrap/>
                  <w:vAlign w:val="center"/>
                </w:tcPr>
                <w:p w14:paraId="7559EF53">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师生约800人</w:t>
                  </w:r>
                </w:p>
              </w:tc>
              <w:tc>
                <w:tcPr>
                  <w:tcW w:w="0" w:type="auto"/>
                  <w:vMerge w:val="continue"/>
                  <w:tcBorders>
                    <w:left w:val="nil"/>
                    <w:right w:val="single" w:color="auto" w:sz="4" w:space="0"/>
                  </w:tcBorders>
                </w:tcPr>
                <w:p w14:paraId="4365FBC7">
                  <w:pPr>
                    <w:widowControl/>
                    <w:jc w:val="center"/>
                    <w:rPr>
                      <w:rFonts w:ascii="Times New Roman" w:hAnsi="Times New Roman" w:eastAsia="宋体" w:cs="Times New Roman"/>
                      <w:color w:val="FF0000"/>
                      <w:kern w:val="0"/>
                      <w:szCs w:val="21"/>
                    </w:rPr>
                  </w:pPr>
                </w:p>
              </w:tc>
            </w:tr>
            <w:tr w14:paraId="1000A3E5">
              <w:tblPrEx>
                <w:tblCellMar>
                  <w:top w:w="0" w:type="dxa"/>
                  <w:left w:w="108" w:type="dxa"/>
                  <w:bottom w:w="0" w:type="dxa"/>
                  <w:right w:w="108" w:type="dxa"/>
                </w:tblCellMar>
              </w:tblPrEx>
              <w:trPr>
                <w:trHeight w:val="285" w:hRule="atLeast"/>
              </w:trPr>
              <w:tc>
                <w:tcPr>
                  <w:tcW w:w="702" w:type="dxa"/>
                  <w:vMerge w:val="continue"/>
                  <w:tcBorders>
                    <w:left w:val="single" w:color="auto" w:sz="4" w:space="0"/>
                    <w:bottom w:val="single" w:color="auto" w:sz="4" w:space="0"/>
                    <w:right w:val="single" w:color="auto" w:sz="4" w:space="0"/>
                  </w:tcBorders>
                </w:tcPr>
                <w:p w14:paraId="34B00FD2">
                  <w:pPr>
                    <w:widowControl/>
                    <w:jc w:val="center"/>
                    <w:rPr>
                      <w:rFonts w:ascii="Times New Roman" w:hAnsi="Times New Roman" w:eastAsia="宋体" w:cs="Times New Roman"/>
                      <w:color w:val="FF0000"/>
                      <w:kern w:val="0"/>
                      <w:szCs w:val="21"/>
                    </w:rPr>
                  </w:pPr>
                </w:p>
              </w:tc>
              <w:tc>
                <w:tcPr>
                  <w:tcW w:w="709" w:type="dxa"/>
                  <w:tcBorders>
                    <w:top w:val="nil"/>
                    <w:left w:val="single" w:color="auto" w:sz="4" w:space="0"/>
                    <w:bottom w:val="single" w:color="auto" w:sz="4" w:space="0"/>
                    <w:right w:val="single" w:color="auto" w:sz="4" w:space="0"/>
                  </w:tcBorders>
                  <w:shd w:val="clear" w:color="auto" w:fill="auto"/>
                  <w:noWrap/>
                  <w:vAlign w:val="center"/>
                </w:tcPr>
                <w:p w14:paraId="2AC2CC44">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49</w:t>
                  </w:r>
                </w:p>
              </w:tc>
              <w:tc>
                <w:tcPr>
                  <w:tcW w:w="1490" w:type="dxa"/>
                  <w:tcBorders>
                    <w:top w:val="nil"/>
                    <w:left w:val="nil"/>
                    <w:bottom w:val="single" w:color="auto" w:sz="4" w:space="0"/>
                    <w:right w:val="single" w:color="auto" w:sz="4" w:space="0"/>
                  </w:tcBorders>
                  <w:shd w:val="clear" w:color="auto" w:fill="auto"/>
                  <w:noWrap/>
                  <w:vAlign w:val="center"/>
                </w:tcPr>
                <w:p w14:paraId="7D2E4A16">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横山镇中心卫生院</w:t>
                  </w:r>
                </w:p>
              </w:tc>
              <w:tc>
                <w:tcPr>
                  <w:tcW w:w="0" w:type="auto"/>
                  <w:tcBorders>
                    <w:top w:val="nil"/>
                    <w:left w:val="nil"/>
                    <w:bottom w:val="single" w:color="auto" w:sz="4" w:space="0"/>
                    <w:right w:val="single" w:color="auto" w:sz="4" w:space="0"/>
                  </w:tcBorders>
                  <w:shd w:val="clear" w:color="auto" w:fill="auto"/>
                  <w:noWrap/>
                  <w:vAlign w:val="center"/>
                </w:tcPr>
                <w:p w14:paraId="1AAA2A46">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西侧</w:t>
                  </w:r>
                </w:p>
              </w:tc>
              <w:tc>
                <w:tcPr>
                  <w:tcW w:w="0" w:type="auto"/>
                  <w:tcBorders>
                    <w:top w:val="nil"/>
                    <w:left w:val="nil"/>
                    <w:bottom w:val="single" w:color="auto" w:sz="4" w:space="0"/>
                    <w:right w:val="single" w:color="auto" w:sz="4" w:space="0"/>
                  </w:tcBorders>
                  <w:shd w:val="clear" w:color="auto" w:fill="auto"/>
                  <w:noWrap/>
                  <w:vAlign w:val="center"/>
                </w:tcPr>
                <w:p w14:paraId="7561E544">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1529</w:t>
                  </w:r>
                </w:p>
              </w:tc>
              <w:tc>
                <w:tcPr>
                  <w:tcW w:w="0" w:type="auto"/>
                  <w:tcBorders>
                    <w:top w:val="nil"/>
                    <w:left w:val="nil"/>
                    <w:bottom w:val="single" w:color="auto" w:sz="4" w:space="0"/>
                    <w:right w:val="single" w:color="auto" w:sz="4" w:space="0"/>
                  </w:tcBorders>
                  <w:shd w:val="clear" w:color="auto" w:fill="auto"/>
                  <w:noWrap/>
                  <w:vAlign w:val="center"/>
                </w:tcPr>
                <w:p w14:paraId="5A36E422">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床位60张</w:t>
                  </w:r>
                </w:p>
              </w:tc>
              <w:tc>
                <w:tcPr>
                  <w:tcW w:w="0" w:type="auto"/>
                  <w:vMerge w:val="continue"/>
                  <w:tcBorders>
                    <w:left w:val="nil"/>
                    <w:bottom w:val="single" w:color="auto" w:sz="4" w:space="0"/>
                    <w:right w:val="single" w:color="auto" w:sz="4" w:space="0"/>
                  </w:tcBorders>
                </w:tcPr>
                <w:p w14:paraId="7EE4E26F">
                  <w:pPr>
                    <w:widowControl/>
                    <w:jc w:val="center"/>
                    <w:rPr>
                      <w:rFonts w:ascii="Times New Roman" w:hAnsi="Times New Roman" w:eastAsia="宋体" w:cs="Times New Roman"/>
                      <w:color w:val="FF0000"/>
                      <w:kern w:val="0"/>
                      <w:szCs w:val="21"/>
                    </w:rPr>
                  </w:pPr>
                </w:p>
              </w:tc>
            </w:tr>
            <w:tr w14:paraId="056621D5">
              <w:tblPrEx>
                <w:tblCellMar>
                  <w:top w:w="0" w:type="dxa"/>
                  <w:left w:w="108" w:type="dxa"/>
                  <w:bottom w:w="0" w:type="dxa"/>
                  <w:right w:w="108" w:type="dxa"/>
                </w:tblCellMar>
              </w:tblPrEx>
              <w:trPr>
                <w:trHeight w:val="285" w:hRule="atLeast"/>
              </w:trPr>
              <w:tc>
                <w:tcPr>
                  <w:tcW w:w="702" w:type="dxa"/>
                  <w:vMerge w:val="restart"/>
                  <w:tcBorders>
                    <w:top w:val="single" w:color="auto" w:sz="4" w:space="0"/>
                    <w:left w:val="single" w:color="auto" w:sz="4" w:space="0"/>
                    <w:right w:val="single" w:color="auto" w:sz="4" w:space="0"/>
                  </w:tcBorders>
                </w:tcPr>
                <w:p w14:paraId="74D329E3">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噪声</w:t>
                  </w:r>
                </w:p>
              </w:tc>
              <w:tc>
                <w:tcPr>
                  <w:tcW w:w="70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AF14905">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w:t>
                  </w:r>
                </w:p>
              </w:tc>
              <w:tc>
                <w:tcPr>
                  <w:tcW w:w="1490" w:type="dxa"/>
                  <w:vMerge w:val="restart"/>
                  <w:tcBorders>
                    <w:top w:val="single" w:color="auto" w:sz="4" w:space="0"/>
                    <w:left w:val="nil"/>
                    <w:right w:val="single" w:color="auto" w:sz="4" w:space="0"/>
                  </w:tcBorders>
                  <w:shd w:val="clear" w:color="auto" w:fill="auto"/>
                  <w:noWrap/>
                  <w:vAlign w:val="center"/>
                </w:tcPr>
                <w:p w14:paraId="0DEC9912">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滑泥桥村散户</w:t>
                  </w:r>
                </w:p>
              </w:tc>
              <w:tc>
                <w:tcPr>
                  <w:tcW w:w="0" w:type="auto"/>
                  <w:tcBorders>
                    <w:top w:val="single" w:color="auto" w:sz="4" w:space="0"/>
                    <w:left w:val="nil"/>
                    <w:bottom w:val="single" w:color="auto" w:sz="4" w:space="0"/>
                    <w:right w:val="single" w:color="auto" w:sz="4" w:space="0"/>
                  </w:tcBorders>
                  <w:shd w:val="clear" w:color="auto" w:fill="auto"/>
                  <w:noWrap/>
                  <w:vAlign w:val="center"/>
                </w:tcPr>
                <w:p w14:paraId="2A942888">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kern w:val="0"/>
                      <w:szCs w:val="21"/>
                    </w:rPr>
                    <w:t>西侧</w:t>
                  </w:r>
                </w:p>
              </w:tc>
              <w:tc>
                <w:tcPr>
                  <w:tcW w:w="0" w:type="auto"/>
                  <w:tcBorders>
                    <w:top w:val="single" w:color="auto" w:sz="4" w:space="0"/>
                    <w:left w:val="nil"/>
                    <w:bottom w:val="single" w:color="auto" w:sz="4" w:space="0"/>
                    <w:right w:val="single" w:color="auto" w:sz="4" w:space="0"/>
                  </w:tcBorders>
                  <w:shd w:val="clear" w:color="auto" w:fill="auto"/>
                  <w:noWrap/>
                  <w:vAlign w:val="center"/>
                </w:tcPr>
                <w:p w14:paraId="0EF7D79E">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kern w:val="0"/>
                      <w:szCs w:val="21"/>
                    </w:rPr>
                    <w:t>26-50</w:t>
                  </w:r>
                </w:p>
              </w:tc>
              <w:tc>
                <w:tcPr>
                  <w:tcW w:w="0" w:type="auto"/>
                  <w:tcBorders>
                    <w:top w:val="single" w:color="auto" w:sz="4" w:space="0"/>
                    <w:left w:val="nil"/>
                    <w:bottom w:val="single" w:color="auto" w:sz="4" w:space="0"/>
                    <w:right w:val="single" w:color="auto" w:sz="4" w:space="0"/>
                  </w:tcBorders>
                  <w:shd w:val="clear" w:color="auto" w:fill="auto"/>
                  <w:noWrap/>
                  <w:vAlign w:val="center"/>
                </w:tcPr>
                <w:p w14:paraId="12ECEED1">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kern w:val="0"/>
                      <w:szCs w:val="21"/>
                    </w:rPr>
                    <w:t>8户农户，约32人</w:t>
                  </w:r>
                </w:p>
              </w:tc>
              <w:tc>
                <w:tcPr>
                  <w:tcW w:w="0" w:type="auto"/>
                  <w:vMerge w:val="restart"/>
                  <w:tcBorders>
                    <w:top w:val="single" w:color="auto" w:sz="4" w:space="0"/>
                    <w:left w:val="nil"/>
                    <w:right w:val="single" w:color="auto" w:sz="4" w:space="0"/>
                  </w:tcBorders>
                </w:tcPr>
                <w:p w14:paraId="72408907">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《声环境</w:t>
                  </w:r>
                </w:p>
                <w:p w14:paraId="1216E2BC">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质量标准</w:t>
                  </w:r>
                </w:p>
                <w:p w14:paraId="5797B0CE">
                  <w:pPr>
                    <w:snapToGrid w:val="0"/>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》（GB</w:t>
                  </w:r>
                </w:p>
                <w:p w14:paraId="6985AC48">
                  <w:pPr>
                    <w:widowControl/>
                    <w:jc w:val="center"/>
                    <w:rPr>
                      <w:rFonts w:ascii="Times New Roman" w:hAnsi="Times New Roman" w:eastAsia="宋体" w:cs="Times New Roman"/>
                      <w:color w:val="FF0000"/>
                      <w:szCs w:val="21"/>
                    </w:rPr>
                  </w:pPr>
                  <w:r>
                    <w:rPr>
                      <w:rFonts w:ascii="Times New Roman" w:hAnsi="Times New Roman" w:eastAsia="宋体" w:cs="Times New Roman"/>
                      <w:color w:val="FF0000"/>
                      <w:szCs w:val="21"/>
                    </w:rPr>
                    <w:t>3096-2008）</w:t>
                  </w:r>
                </w:p>
                <w:p w14:paraId="1551EF20">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szCs w:val="21"/>
                    </w:rPr>
                    <w:t>2类标准</w:t>
                  </w:r>
                </w:p>
              </w:tc>
            </w:tr>
            <w:tr w14:paraId="26E559F5">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1AE2EB9D">
                  <w:pPr>
                    <w:widowControl/>
                    <w:jc w:val="center"/>
                    <w:rPr>
                      <w:rFonts w:ascii="Times New Roman" w:hAnsi="Times New Roman" w:eastAsia="宋体" w:cs="Times New Roman"/>
                      <w:color w:val="FF0000"/>
                      <w:kern w:val="0"/>
                      <w:szCs w:val="21"/>
                    </w:rPr>
                  </w:pPr>
                </w:p>
              </w:tc>
              <w:tc>
                <w:tcPr>
                  <w:tcW w:w="70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9478F5B">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3</w:t>
                  </w:r>
                </w:p>
              </w:tc>
              <w:tc>
                <w:tcPr>
                  <w:tcW w:w="1490" w:type="dxa"/>
                  <w:vMerge w:val="continue"/>
                  <w:tcBorders>
                    <w:left w:val="nil"/>
                    <w:right w:val="single" w:color="auto" w:sz="4" w:space="0"/>
                  </w:tcBorders>
                  <w:shd w:val="clear" w:color="auto" w:fill="auto"/>
                  <w:noWrap/>
                  <w:vAlign w:val="center"/>
                </w:tcPr>
                <w:p w14:paraId="713752AB">
                  <w:pPr>
                    <w:snapToGrid w:val="0"/>
                    <w:jc w:val="center"/>
                    <w:rPr>
                      <w:rFonts w:ascii="Times New Roman" w:hAnsi="Times New Roman" w:eastAsia="宋体" w:cs="Times New Roman"/>
                      <w:color w:val="FF0000"/>
                      <w:szCs w:val="21"/>
                    </w:rPr>
                  </w:pPr>
                </w:p>
              </w:tc>
              <w:tc>
                <w:tcPr>
                  <w:tcW w:w="0" w:type="auto"/>
                  <w:tcBorders>
                    <w:top w:val="single" w:color="auto" w:sz="4" w:space="0"/>
                    <w:left w:val="nil"/>
                    <w:bottom w:val="single" w:color="auto" w:sz="4" w:space="0"/>
                    <w:right w:val="single" w:color="auto" w:sz="4" w:space="0"/>
                  </w:tcBorders>
                  <w:shd w:val="clear" w:color="auto" w:fill="auto"/>
                  <w:noWrap/>
                  <w:vAlign w:val="center"/>
                </w:tcPr>
                <w:p w14:paraId="3A59264E">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东北侧</w:t>
                  </w:r>
                </w:p>
              </w:tc>
              <w:tc>
                <w:tcPr>
                  <w:tcW w:w="0" w:type="auto"/>
                  <w:tcBorders>
                    <w:top w:val="single" w:color="auto" w:sz="4" w:space="0"/>
                    <w:left w:val="nil"/>
                    <w:bottom w:val="single" w:color="auto" w:sz="4" w:space="0"/>
                    <w:right w:val="single" w:color="auto" w:sz="4" w:space="0"/>
                  </w:tcBorders>
                  <w:shd w:val="clear" w:color="auto" w:fill="auto"/>
                  <w:noWrap/>
                  <w:vAlign w:val="center"/>
                </w:tcPr>
                <w:p w14:paraId="6B62100A">
                  <w:pPr>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84-180</w:t>
                  </w:r>
                </w:p>
              </w:tc>
              <w:tc>
                <w:tcPr>
                  <w:tcW w:w="0" w:type="auto"/>
                  <w:tcBorders>
                    <w:top w:val="single" w:color="auto" w:sz="4" w:space="0"/>
                    <w:left w:val="nil"/>
                    <w:bottom w:val="single" w:color="auto" w:sz="4" w:space="0"/>
                    <w:right w:val="single" w:color="auto" w:sz="4" w:space="0"/>
                  </w:tcBorders>
                  <w:shd w:val="clear" w:color="auto" w:fill="auto"/>
                  <w:noWrap/>
                  <w:vAlign w:val="center"/>
                </w:tcPr>
                <w:p w14:paraId="62CF41D7">
                  <w:pPr>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10户农户，约40人</w:t>
                  </w:r>
                </w:p>
              </w:tc>
              <w:tc>
                <w:tcPr>
                  <w:tcW w:w="0" w:type="auto"/>
                  <w:vMerge w:val="continue"/>
                  <w:tcBorders>
                    <w:left w:val="nil"/>
                    <w:right w:val="single" w:color="auto" w:sz="4" w:space="0"/>
                  </w:tcBorders>
                </w:tcPr>
                <w:p w14:paraId="6EF265B4">
                  <w:pPr>
                    <w:snapToGrid w:val="0"/>
                    <w:jc w:val="center"/>
                    <w:rPr>
                      <w:rFonts w:ascii="Times New Roman" w:hAnsi="Times New Roman" w:eastAsia="宋体" w:cs="Times New Roman"/>
                      <w:color w:val="FF0000"/>
                      <w:szCs w:val="21"/>
                    </w:rPr>
                  </w:pPr>
                </w:p>
              </w:tc>
            </w:tr>
            <w:tr w14:paraId="2A72C8E5">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21DE4E0F">
                  <w:pPr>
                    <w:widowControl/>
                    <w:jc w:val="center"/>
                    <w:rPr>
                      <w:rFonts w:ascii="Times New Roman" w:hAnsi="Times New Roman" w:eastAsia="宋体" w:cs="Times New Roman"/>
                      <w:color w:val="FF0000"/>
                      <w:kern w:val="0"/>
                      <w:szCs w:val="21"/>
                    </w:rPr>
                  </w:pPr>
                </w:p>
              </w:tc>
              <w:tc>
                <w:tcPr>
                  <w:tcW w:w="70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04E6A3D">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5</w:t>
                  </w:r>
                </w:p>
              </w:tc>
              <w:tc>
                <w:tcPr>
                  <w:tcW w:w="1490" w:type="dxa"/>
                  <w:vMerge w:val="continue"/>
                  <w:tcBorders>
                    <w:left w:val="nil"/>
                    <w:right w:val="single" w:color="auto" w:sz="4" w:space="0"/>
                  </w:tcBorders>
                  <w:shd w:val="clear" w:color="auto" w:fill="auto"/>
                  <w:noWrap/>
                  <w:vAlign w:val="center"/>
                </w:tcPr>
                <w:p w14:paraId="2594925D">
                  <w:pPr>
                    <w:snapToGrid w:val="0"/>
                    <w:jc w:val="center"/>
                    <w:rPr>
                      <w:rFonts w:ascii="Times New Roman" w:hAnsi="Times New Roman" w:eastAsia="宋体" w:cs="Times New Roman"/>
                      <w:color w:val="FF0000"/>
                      <w:szCs w:val="21"/>
                    </w:rPr>
                  </w:pPr>
                </w:p>
              </w:tc>
              <w:tc>
                <w:tcPr>
                  <w:tcW w:w="0" w:type="auto"/>
                  <w:tcBorders>
                    <w:top w:val="single" w:color="auto" w:sz="4" w:space="0"/>
                    <w:left w:val="nil"/>
                    <w:bottom w:val="single" w:color="auto" w:sz="4" w:space="0"/>
                    <w:right w:val="single" w:color="auto" w:sz="4" w:space="0"/>
                  </w:tcBorders>
                  <w:shd w:val="clear" w:color="auto" w:fill="auto"/>
                  <w:noWrap/>
                  <w:vAlign w:val="center"/>
                </w:tcPr>
                <w:p w14:paraId="0F392B17">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东侧</w:t>
                  </w:r>
                </w:p>
              </w:tc>
              <w:tc>
                <w:tcPr>
                  <w:tcW w:w="0" w:type="auto"/>
                  <w:tcBorders>
                    <w:top w:val="single" w:color="auto" w:sz="4" w:space="0"/>
                    <w:left w:val="nil"/>
                    <w:bottom w:val="single" w:color="auto" w:sz="4" w:space="0"/>
                    <w:right w:val="single" w:color="auto" w:sz="4" w:space="0"/>
                  </w:tcBorders>
                  <w:shd w:val="clear" w:color="auto" w:fill="auto"/>
                  <w:noWrap/>
                  <w:vAlign w:val="center"/>
                </w:tcPr>
                <w:p w14:paraId="21BDCABA">
                  <w:pPr>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90</w:t>
                  </w:r>
                </w:p>
              </w:tc>
              <w:tc>
                <w:tcPr>
                  <w:tcW w:w="0" w:type="auto"/>
                  <w:tcBorders>
                    <w:top w:val="single" w:color="auto" w:sz="4" w:space="0"/>
                    <w:left w:val="nil"/>
                    <w:bottom w:val="single" w:color="auto" w:sz="4" w:space="0"/>
                    <w:right w:val="single" w:color="auto" w:sz="4" w:space="0"/>
                  </w:tcBorders>
                  <w:shd w:val="clear" w:color="auto" w:fill="auto"/>
                  <w:noWrap/>
                  <w:vAlign w:val="center"/>
                </w:tcPr>
                <w:p w14:paraId="20417A11">
                  <w:pPr>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1户农户，约4人</w:t>
                  </w:r>
                </w:p>
              </w:tc>
              <w:tc>
                <w:tcPr>
                  <w:tcW w:w="0" w:type="auto"/>
                  <w:vMerge w:val="continue"/>
                  <w:tcBorders>
                    <w:left w:val="nil"/>
                    <w:right w:val="single" w:color="auto" w:sz="4" w:space="0"/>
                  </w:tcBorders>
                </w:tcPr>
                <w:p w14:paraId="3ECFDD33">
                  <w:pPr>
                    <w:snapToGrid w:val="0"/>
                    <w:jc w:val="center"/>
                    <w:rPr>
                      <w:rFonts w:ascii="Times New Roman" w:hAnsi="Times New Roman" w:eastAsia="宋体" w:cs="Times New Roman"/>
                      <w:color w:val="FF0000"/>
                      <w:szCs w:val="21"/>
                    </w:rPr>
                  </w:pPr>
                </w:p>
              </w:tc>
            </w:tr>
            <w:tr w14:paraId="1B716DA0">
              <w:tblPrEx>
                <w:tblCellMar>
                  <w:top w:w="0" w:type="dxa"/>
                  <w:left w:w="108" w:type="dxa"/>
                  <w:bottom w:w="0" w:type="dxa"/>
                  <w:right w:w="108" w:type="dxa"/>
                </w:tblCellMar>
              </w:tblPrEx>
              <w:trPr>
                <w:trHeight w:val="285" w:hRule="atLeast"/>
              </w:trPr>
              <w:tc>
                <w:tcPr>
                  <w:tcW w:w="702" w:type="dxa"/>
                  <w:vMerge w:val="continue"/>
                  <w:tcBorders>
                    <w:left w:val="single" w:color="auto" w:sz="4" w:space="0"/>
                    <w:right w:val="single" w:color="auto" w:sz="4" w:space="0"/>
                  </w:tcBorders>
                </w:tcPr>
                <w:p w14:paraId="7076141A">
                  <w:pPr>
                    <w:widowControl/>
                    <w:jc w:val="center"/>
                    <w:rPr>
                      <w:rFonts w:ascii="Times New Roman" w:hAnsi="Times New Roman" w:eastAsia="宋体" w:cs="Times New Roman"/>
                      <w:color w:val="FF0000"/>
                      <w:kern w:val="0"/>
                      <w:szCs w:val="21"/>
                    </w:rPr>
                  </w:pPr>
                </w:p>
              </w:tc>
              <w:tc>
                <w:tcPr>
                  <w:tcW w:w="70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2B014D6">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6</w:t>
                  </w:r>
                </w:p>
              </w:tc>
              <w:tc>
                <w:tcPr>
                  <w:tcW w:w="1490" w:type="dxa"/>
                  <w:vMerge w:val="continue"/>
                  <w:tcBorders>
                    <w:left w:val="nil"/>
                    <w:right w:val="single" w:color="auto" w:sz="4" w:space="0"/>
                  </w:tcBorders>
                  <w:shd w:val="clear" w:color="auto" w:fill="auto"/>
                  <w:noWrap/>
                  <w:vAlign w:val="center"/>
                </w:tcPr>
                <w:p w14:paraId="0EBF9D52">
                  <w:pPr>
                    <w:snapToGrid w:val="0"/>
                    <w:jc w:val="center"/>
                    <w:rPr>
                      <w:rFonts w:ascii="Times New Roman" w:hAnsi="Times New Roman" w:eastAsia="宋体" w:cs="Times New Roman"/>
                      <w:color w:val="FF0000"/>
                      <w:szCs w:val="21"/>
                    </w:rPr>
                  </w:pPr>
                </w:p>
              </w:tc>
              <w:tc>
                <w:tcPr>
                  <w:tcW w:w="0" w:type="auto"/>
                  <w:tcBorders>
                    <w:top w:val="single" w:color="auto" w:sz="4" w:space="0"/>
                    <w:left w:val="nil"/>
                    <w:bottom w:val="single" w:color="auto" w:sz="4" w:space="0"/>
                    <w:right w:val="single" w:color="auto" w:sz="4" w:space="0"/>
                  </w:tcBorders>
                  <w:shd w:val="clear" w:color="auto" w:fill="auto"/>
                  <w:noWrap/>
                  <w:vAlign w:val="center"/>
                </w:tcPr>
                <w:p w14:paraId="360FC51D">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东南侧</w:t>
                  </w:r>
                </w:p>
              </w:tc>
              <w:tc>
                <w:tcPr>
                  <w:tcW w:w="0" w:type="auto"/>
                  <w:tcBorders>
                    <w:top w:val="single" w:color="auto" w:sz="4" w:space="0"/>
                    <w:left w:val="nil"/>
                    <w:bottom w:val="single" w:color="auto" w:sz="4" w:space="0"/>
                    <w:right w:val="single" w:color="auto" w:sz="4" w:space="0"/>
                  </w:tcBorders>
                  <w:shd w:val="clear" w:color="auto" w:fill="auto"/>
                  <w:noWrap/>
                  <w:vAlign w:val="center"/>
                </w:tcPr>
                <w:p w14:paraId="5CC7521C">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21-50</w:t>
                  </w:r>
                </w:p>
              </w:tc>
              <w:tc>
                <w:tcPr>
                  <w:tcW w:w="0" w:type="auto"/>
                  <w:tcBorders>
                    <w:top w:val="single" w:color="auto" w:sz="4" w:space="0"/>
                    <w:left w:val="nil"/>
                    <w:bottom w:val="single" w:color="auto" w:sz="4" w:space="0"/>
                    <w:right w:val="single" w:color="auto" w:sz="4" w:space="0"/>
                  </w:tcBorders>
                  <w:shd w:val="clear" w:color="auto" w:fill="auto"/>
                  <w:noWrap/>
                  <w:vAlign w:val="center"/>
                </w:tcPr>
                <w:p w14:paraId="47191612">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5户农户，约20人</w:t>
                  </w:r>
                </w:p>
              </w:tc>
              <w:tc>
                <w:tcPr>
                  <w:tcW w:w="0" w:type="auto"/>
                  <w:vMerge w:val="continue"/>
                  <w:tcBorders>
                    <w:left w:val="nil"/>
                    <w:right w:val="single" w:color="auto" w:sz="4" w:space="0"/>
                  </w:tcBorders>
                </w:tcPr>
                <w:p w14:paraId="54D03EAC">
                  <w:pPr>
                    <w:widowControl/>
                    <w:jc w:val="center"/>
                    <w:rPr>
                      <w:rFonts w:ascii="Times New Roman" w:hAnsi="Times New Roman" w:eastAsia="宋体" w:cs="Times New Roman"/>
                      <w:color w:val="FF0000"/>
                      <w:kern w:val="0"/>
                      <w:szCs w:val="21"/>
                    </w:rPr>
                  </w:pPr>
                </w:p>
              </w:tc>
            </w:tr>
            <w:tr w14:paraId="5D27C077">
              <w:tblPrEx>
                <w:tblCellMar>
                  <w:top w:w="0" w:type="dxa"/>
                  <w:left w:w="108" w:type="dxa"/>
                  <w:bottom w:w="0" w:type="dxa"/>
                  <w:right w:w="108" w:type="dxa"/>
                </w:tblCellMar>
              </w:tblPrEx>
              <w:trPr>
                <w:trHeight w:val="285" w:hRule="atLeast"/>
              </w:trPr>
              <w:tc>
                <w:tcPr>
                  <w:tcW w:w="702" w:type="dxa"/>
                  <w:vMerge w:val="continue"/>
                  <w:tcBorders>
                    <w:left w:val="single" w:color="auto" w:sz="4" w:space="0"/>
                    <w:bottom w:val="single" w:color="auto" w:sz="4" w:space="0"/>
                    <w:right w:val="single" w:color="auto" w:sz="4" w:space="0"/>
                  </w:tcBorders>
                </w:tcPr>
                <w:p w14:paraId="79012248">
                  <w:pPr>
                    <w:widowControl/>
                    <w:jc w:val="center"/>
                    <w:rPr>
                      <w:rFonts w:ascii="Times New Roman" w:hAnsi="Times New Roman" w:eastAsia="宋体" w:cs="Times New Roman"/>
                      <w:color w:val="FF0000"/>
                      <w:kern w:val="0"/>
                      <w:szCs w:val="21"/>
                    </w:rPr>
                  </w:pPr>
                </w:p>
              </w:tc>
              <w:tc>
                <w:tcPr>
                  <w:tcW w:w="70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CDC879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9</w:t>
                  </w:r>
                </w:p>
              </w:tc>
              <w:tc>
                <w:tcPr>
                  <w:tcW w:w="1490" w:type="dxa"/>
                  <w:vMerge w:val="continue"/>
                  <w:tcBorders>
                    <w:left w:val="nil"/>
                    <w:bottom w:val="single" w:color="auto" w:sz="4" w:space="0"/>
                    <w:right w:val="single" w:color="auto" w:sz="4" w:space="0"/>
                  </w:tcBorders>
                  <w:shd w:val="clear" w:color="auto" w:fill="auto"/>
                  <w:noWrap/>
                  <w:vAlign w:val="center"/>
                </w:tcPr>
                <w:p w14:paraId="70134D9C">
                  <w:pPr>
                    <w:snapToGrid w:val="0"/>
                    <w:jc w:val="center"/>
                    <w:rPr>
                      <w:rFonts w:ascii="Times New Roman" w:hAnsi="Times New Roman" w:eastAsia="宋体" w:cs="Times New Roman"/>
                      <w:color w:val="FF0000"/>
                      <w:szCs w:val="21"/>
                    </w:rPr>
                  </w:pPr>
                </w:p>
              </w:tc>
              <w:tc>
                <w:tcPr>
                  <w:tcW w:w="0" w:type="auto"/>
                  <w:tcBorders>
                    <w:top w:val="single" w:color="auto" w:sz="4" w:space="0"/>
                    <w:left w:val="nil"/>
                    <w:bottom w:val="single" w:color="auto" w:sz="4" w:space="0"/>
                    <w:right w:val="single" w:color="auto" w:sz="4" w:space="0"/>
                  </w:tcBorders>
                  <w:shd w:val="clear" w:color="auto" w:fill="auto"/>
                  <w:noWrap/>
                  <w:vAlign w:val="center"/>
                </w:tcPr>
                <w:p w14:paraId="488A2387">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南侧</w:t>
                  </w:r>
                </w:p>
              </w:tc>
              <w:tc>
                <w:tcPr>
                  <w:tcW w:w="0" w:type="auto"/>
                  <w:tcBorders>
                    <w:top w:val="single" w:color="auto" w:sz="4" w:space="0"/>
                    <w:left w:val="nil"/>
                    <w:bottom w:val="single" w:color="auto" w:sz="4" w:space="0"/>
                    <w:right w:val="single" w:color="auto" w:sz="4" w:space="0"/>
                  </w:tcBorders>
                  <w:shd w:val="clear" w:color="auto" w:fill="auto"/>
                  <w:noWrap/>
                  <w:vAlign w:val="center"/>
                </w:tcPr>
                <w:p w14:paraId="097D4FFA">
                  <w:pPr>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160-200</w:t>
                  </w:r>
                </w:p>
              </w:tc>
              <w:tc>
                <w:tcPr>
                  <w:tcW w:w="0" w:type="auto"/>
                  <w:tcBorders>
                    <w:top w:val="single" w:color="auto" w:sz="4" w:space="0"/>
                    <w:left w:val="nil"/>
                    <w:bottom w:val="single" w:color="auto" w:sz="4" w:space="0"/>
                    <w:right w:val="single" w:color="auto" w:sz="4" w:space="0"/>
                  </w:tcBorders>
                  <w:shd w:val="clear" w:color="auto" w:fill="auto"/>
                  <w:noWrap/>
                  <w:vAlign w:val="center"/>
                </w:tcPr>
                <w:p w14:paraId="1945AB4B">
                  <w:pPr>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3户农户，约12人</w:t>
                  </w:r>
                </w:p>
              </w:tc>
              <w:tc>
                <w:tcPr>
                  <w:tcW w:w="0" w:type="auto"/>
                  <w:vMerge w:val="continue"/>
                  <w:tcBorders>
                    <w:left w:val="nil"/>
                    <w:bottom w:val="single" w:color="auto" w:sz="4" w:space="0"/>
                    <w:right w:val="single" w:color="auto" w:sz="4" w:space="0"/>
                  </w:tcBorders>
                </w:tcPr>
                <w:p w14:paraId="4B78D89D">
                  <w:pPr>
                    <w:widowControl/>
                    <w:jc w:val="center"/>
                    <w:rPr>
                      <w:rFonts w:ascii="Times New Roman" w:hAnsi="Times New Roman" w:eastAsia="宋体" w:cs="Times New Roman"/>
                      <w:color w:val="FF0000"/>
                      <w:kern w:val="0"/>
                      <w:szCs w:val="21"/>
                    </w:rPr>
                  </w:pPr>
                </w:p>
              </w:tc>
            </w:tr>
            <w:tr w14:paraId="04B87B21">
              <w:tblPrEx>
                <w:tblCellMar>
                  <w:top w:w="0" w:type="dxa"/>
                  <w:left w:w="108" w:type="dxa"/>
                  <w:bottom w:w="0" w:type="dxa"/>
                  <w:right w:w="108" w:type="dxa"/>
                </w:tblCellMar>
              </w:tblPrEx>
              <w:trPr>
                <w:trHeight w:val="285" w:hRule="atLeast"/>
              </w:trPr>
              <w:tc>
                <w:tcPr>
                  <w:tcW w:w="1411" w:type="dxa"/>
                  <w:gridSpan w:val="2"/>
                  <w:tcBorders>
                    <w:top w:val="single" w:color="auto" w:sz="4" w:space="0"/>
                    <w:left w:val="single" w:color="auto" w:sz="4" w:space="0"/>
                    <w:bottom w:val="single" w:color="auto" w:sz="4" w:space="0"/>
                    <w:right w:val="single" w:color="auto" w:sz="4" w:space="0"/>
                  </w:tcBorders>
                </w:tcPr>
                <w:p w14:paraId="77A0E25D">
                  <w:pPr>
                    <w:snapToGrid w:val="0"/>
                    <w:jc w:val="center"/>
                    <w:rPr>
                      <w:rFonts w:ascii="Times New Roman" w:hAnsi="Times New Roman" w:eastAsia="宋体" w:cs="Times New Roman"/>
                      <w:color w:val="FF0000"/>
                      <w:kern w:val="0"/>
                      <w:szCs w:val="21"/>
                    </w:rPr>
                  </w:pPr>
                  <w:r>
                    <w:rPr>
                      <w:rFonts w:ascii="Times New Roman" w:hAnsi="Times New Roman" w:eastAsia="宋体" w:cs="Times New Roman"/>
                      <w:color w:val="FF0000"/>
                      <w:szCs w:val="21"/>
                      <w:lang w:eastAsia="en-US"/>
                    </w:rPr>
                    <w:t>地下水</w:t>
                  </w:r>
                </w:p>
              </w:tc>
              <w:tc>
                <w:tcPr>
                  <w:tcW w:w="5411"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6106E778">
                  <w:pPr>
                    <w:snapToGrid w:val="0"/>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场区所在范围地下水文地质单元。</w:t>
                  </w:r>
                </w:p>
                <w:p w14:paraId="18B72B55">
                  <w:pPr>
                    <w:snapToGrid w:val="0"/>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本项目厂界外500m范围内无集中式饮用水水源和热水、矿泉水</w:t>
                  </w:r>
                </w:p>
                <w:p w14:paraId="5B781319">
                  <w:pPr>
                    <w:snapToGrid w:val="0"/>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、温泉等特殊地下水资源。</w:t>
                  </w:r>
                </w:p>
              </w:tc>
              <w:tc>
                <w:tcPr>
                  <w:tcW w:w="0" w:type="auto"/>
                  <w:tcBorders>
                    <w:top w:val="single" w:color="auto" w:sz="4" w:space="0"/>
                    <w:left w:val="nil"/>
                    <w:bottom w:val="single" w:color="auto" w:sz="4" w:space="0"/>
                    <w:right w:val="single" w:color="auto" w:sz="4" w:space="0"/>
                  </w:tcBorders>
                </w:tcPr>
                <w:p w14:paraId="061DE6CF">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kern w:val="0"/>
                      <w:szCs w:val="21"/>
                    </w:rPr>
                    <w:t>《地下水质量标准》（GB/T14848-2017）III类标准</w:t>
                  </w:r>
                </w:p>
              </w:tc>
            </w:tr>
            <w:tr w14:paraId="1FA4A626">
              <w:tblPrEx>
                <w:tblCellMar>
                  <w:top w:w="0" w:type="dxa"/>
                  <w:left w:w="108" w:type="dxa"/>
                  <w:bottom w:w="0" w:type="dxa"/>
                  <w:right w:w="108" w:type="dxa"/>
                </w:tblCellMar>
              </w:tblPrEx>
              <w:trPr>
                <w:trHeight w:val="285" w:hRule="atLeast"/>
              </w:trPr>
              <w:tc>
                <w:tcPr>
                  <w:tcW w:w="702" w:type="dxa"/>
                  <w:tcBorders>
                    <w:top w:val="single" w:color="auto" w:sz="4" w:space="0"/>
                    <w:left w:val="single" w:color="auto" w:sz="4" w:space="0"/>
                    <w:bottom w:val="single" w:color="auto" w:sz="4" w:space="0"/>
                    <w:right w:val="single" w:color="auto" w:sz="4" w:space="0"/>
                  </w:tcBorders>
                  <w:vAlign w:val="center"/>
                </w:tcPr>
                <w:p w14:paraId="2B8E44A8">
                  <w:pPr>
                    <w:snapToGrid w:val="0"/>
                    <w:jc w:val="center"/>
                    <w:rPr>
                      <w:rFonts w:ascii="Times New Roman" w:hAnsi="Times New Roman" w:eastAsia="宋体" w:cs="Times New Roman"/>
                      <w:color w:val="FF0000"/>
                      <w:szCs w:val="21"/>
                      <w:lang w:eastAsia="en-US"/>
                    </w:rPr>
                  </w:pPr>
                  <w:r>
                    <w:rPr>
                      <w:rFonts w:ascii="Times New Roman" w:hAnsi="Times New Roman" w:eastAsia="宋体" w:cs="Times New Roman"/>
                      <w:color w:val="FF0000"/>
                      <w:szCs w:val="21"/>
                    </w:rPr>
                    <w:t>土壤</w:t>
                  </w:r>
                </w:p>
              </w:tc>
              <w:tc>
                <w:tcPr>
                  <w:tcW w:w="709"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85144E0">
                  <w:pPr>
                    <w:snapToGrid w:val="0"/>
                    <w:jc w:val="center"/>
                    <w:rPr>
                      <w:rFonts w:ascii="Times New Roman" w:hAnsi="Times New Roman" w:eastAsia="宋体" w:cs="Times New Roman"/>
                      <w:color w:val="FF0000"/>
                      <w:szCs w:val="21"/>
                      <w:lang w:eastAsia="en-US"/>
                    </w:rPr>
                  </w:pPr>
                  <w:r>
                    <w:rPr>
                      <w:rFonts w:ascii="Times New Roman" w:hAnsi="Times New Roman" w:eastAsia="宋体" w:cs="Times New Roman"/>
                      <w:color w:val="FF0000"/>
                      <w:szCs w:val="21"/>
                    </w:rPr>
                    <w:t>区域土壤</w:t>
                  </w:r>
                </w:p>
              </w:tc>
              <w:tc>
                <w:tcPr>
                  <w:tcW w:w="5411"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43BD312C">
                  <w:pPr>
                    <w:snapToGrid w:val="0"/>
                    <w:jc w:val="center"/>
                    <w:rPr>
                      <w:rFonts w:ascii="Times New Roman" w:hAnsi="Times New Roman" w:eastAsia="宋体" w:cs="Times New Roman"/>
                      <w:color w:val="FF0000"/>
                      <w:kern w:val="0"/>
                      <w:szCs w:val="21"/>
                    </w:rPr>
                  </w:pPr>
                  <w:r>
                    <w:rPr>
                      <w:rFonts w:ascii="Times New Roman" w:hAnsi="Times New Roman" w:eastAsia="宋体" w:cs="Times New Roman"/>
                      <w:color w:val="FF0000"/>
                      <w:szCs w:val="21"/>
                    </w:rPr>
                    <w:t>项目土壤评价范围内土壤环境</w:t>
                  </w:r>
                </w:p>
              </w:tc>
              <w:tc>
                <w:tcPr>
                  <w:tcW w:w="0" w:type="auto"/>
                  <w:tcBorders>
                    <w:top w:val="single" w:color="auto" w:sz="4" w:space="0"/>
                    <w:left w:val="nil"/>
                    <w:bottom w:val="single" w:color="auto" w:sz="4" w:space="0"/>
                    <w:right w:val="single" w:color="auto" w:sz="4" w:space="0"/>
                  </w:tcBorders>
                </w:tcPr>
                <w:p w14:paraId="02D0BAE3">
                  <w:pPr>
                    <w:widowControl/>
                    <w:jc w:val="center"/>
                    <w:rPr>
                      <w:rFonts w:ascii="Times New Roman" w:hAnsi="Times New Roman" w:eastAsia="宋体" w:cs="Times New Roman"/>
                      <w:color w:val="FF0000"/>
                      <w:kern w:val="0"/>
                      <w:szCs w:val="21"/>
                    </w:rPr>
                  </w:pPr>
                  <w:r>
                    <w:rPr>
                      <w:rFonts w:ascii="Times New Roman" w:hAnsi="Times New Roman" w:eastAsia="宋体" w:cs="Times New Roman"/>
                      <w:color w:val="FF0000"/>
                      <w:szCs w:val="21"/>
                    </w:rPr>
                    <w:t>《土壤环境质量 建设用地土壤污染风险管控标准（试行）》（GB36600-2018）</w:t>
                  </w:r>
                </w:p>
              </w:tc>
            </w:tr>
          </w:tbl>
          <w:p w14:paraId="0B6D932F">
            <w:pPr>
              <w:jc w:val="center"/>
              <w:rPr>
                <w:rFonts w:ascii="Times New Roman" w:hAnsi="Times New Roman" w:eastAsia="宋体" w:cs="Times New Roman"/>
                <w:color w:val="000000" w:themeColor="text1"/>
                <w:sz w:val="24"/>
                <w:szCs w:val="24"/>
                <w14:textFill>
                  <w14:solidFill>
                    <w14:schemeClr w14:val="tx1"/>
                  </w14:solidFill>
                </w14:textFill>
              </w:rPr>
            </w:pPr>
          </w:p>
        </w:tc>
      </w:tr>
      <w:tr w14:paraId="552BC5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456" w:type="dxa"/>
            <w:vAlign w:val="center"/>
          </w:tcPr>
          <w:p w14:paraId="30F97CD7">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污染物排放控制标准</w:t>
            </w:r>
          </w:p>
        </w:tc>
        <w:tc>
          <w:tcPr>
            <w:tcW w:w="8470" w:type="dxa"/>
            <w:vAlign w:val="center"/>
          </w:tcPr>
          <w:p w14:paraId="01DDA2F4">
            <w:pPr>
              <w:adjustRightInd w:val="0"/>
              <w:snapToGrid w:val="0"/>
              <w:spacing w:before="312" w:beforeLines="100"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一、水污染物</w:t>
            </w:r>
          </w:p>
          <w:p w14:paraId="1ACD706D">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lang w:bidi="ar"/>
                <w14:textFill>
                  <w14:solidFill>
                    <w14:schemeClr w14:val="tx1"/>
                  </w14:solidFill>
                </w14:textFill>
              </w:rPr>
              <w:t>本项目厂区周边无地表水系分布，且</w:t>
            </w:r>
            <w:r>
              <w:rPr>
                <w:rFonts w:ascii="Times New Roman" w:hAnsi="Times New Roman" w:eastAsia="宋体" w:cs="Times New Roman"/>
                <w:color w:val="000000" w:themeColor="text1"/>
                <w:sz w:val="24"/>
                <w:szCs w:val="24"/>
                <w14:textFill>
                  <w14:solidFill>
                    <w14:schemeClr w14:val="tx1"/>
                  </w14:solidFill>
                </w14:textFill>
              </w:rPr>
              <w:t>项目生产过程无废水排放，生活污水预处理后用作农田施肥，不外排。</w:t>
            </w:r>
          </w:p>
          <w:p w14:paraId="275C31A9">
            <w:pPr>
              <w:adjustRightInd w:val="0"/>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二、大气污染物</w:t>
            </w:r>
          </w:p>
          <w:p w14:paraId="08618CF3">
            <w:pPr>
              <w:snapToGrid w:val="0"/>
              <w:spacing w:line="360" w:lineRule="auto"/>
              <w:ind w:firstLine="480" w:firstLineChars="200"/>
              <w:rPr>
                <w:rFonts w:ascii="Times New Roman" w:hAnsi="Times New Roman" w:eastAsia="宋体" w:cs="Times New Roman"/>
                <w:bCs/>
                <w:color w:val="000000" w:themeColor="text1"/>
                <w:sz w:val="24"/>
                <w:szCs w:val="24"/>
                <w:lang w:bidi="ar"/>
                <w14:textFill>
                  <w14:solidFill>
                    <w14:schemeClr w14:val="tx1"/>
                  </w14:solidFill>
                </w14:textFill>
              </w:rPr>
            </w:pPr>
            <w:r>
              <w:rPr>
                <w:rFonts w:ascii="Times New Roman" w:hAnsi="Times New Roman" w:eastAsia="宋体" w:cs="Times New Roman"/>
                <w:bCs/>
                <w:color w:val="000000" w:themeColor="text1"/>
                <w:sz w:val="24"/>
                <w:szCs w:val="24"/>
                <w:lang w:bidi="ar"/>
                <w14:textFill>
                  <w14:solidFill>
                    <w14:schemeClr w14:val="tx1"/>
                  </w14:solidFill>
                </w14:textFill>
              </w:rPr>
              <w:t>运营期破碎筛分工序的颗粒物执行废气执行《砖瓦工业大气污染物排放标准》（GB29620-2013）表2、表3中排放限值要求；干燥及烧结过程中产生的颗粒物、二氧化硫、氮氧化物和氟化物参照执行《砖瓦工业大气污染物排放标准》（GB29620-2013）表2、表3中排放限值要求；臭气浓度执行《恶臭污染物排放标准》（GB14554-1993）标准。</w:t>
            </w:r>
          </w:p>
          <w:p w14:paraId="1F2F59AF">
            <w:pPr>
              <w:snapToGrid w:val="0"/>
              <w:spacing w:line="360" w:lineRule="auto"/>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4"/>
                <w:lang w:val="pt-BR"/>
                <w14:textFill>
                  <w14:solidFill>
                    <w14:schemeClr w14:val="tx1"/>
                  </w14:solidFill>
                </w14:textFill>
              </w:rPr>
              <w:t xml:space="preserve">表3- </w:t>
            </w:r>
            <w:r>
              <w:rPr>
                <w:rFonts w:ascii="Times New Roman" w:hAnsi="Times New Roman" w:eastAsia="宋体" w:cs="Times New Roman"/>
                <w:b/>
                <w:bCs/>
                <w:color w:val="000000" w:themeColor="text1"/>
                <w:szCs w:val="24"/>
                <w:lang w:val="pt-BR"/>
                <w14:textFill>
                  <w14:solidFill>
                    <w14:schemeClr w14:val="tx1"/>
                  </w14:solidFill>
                </w14:textFill>
              </w:rPr>
              <w:fldChar w:fldCharType="begin"/>
            </w:r>
            <w:r>
              <w:rPr>
                <w:rFonts w:ascii="Times New Roman" w:hAnsi="Times New Roman" w:eastAsia="宋体" w:cs="Times New Roman"/>
                <w:b/>
                <w:bCs/>
                <w:color w:val="000000" w:themeColor="text1"/>
                <w:szCs w:val="24"/>
                <w:lang w:val="pt-BR"/>
                <w14:textFill>
                  <w14:solidFill>
                    <w14:schemeClr w14:val="tx1"/>
                  </w14:solidFill>
                </w14:textFill>
              </w:rPr>
              <w:instrText xml:space="preserve"> SEQ 表3- \* ARABIC </w:instrText>
            </w:r>
            <w:r>
              <w:rPr>
                <w:rFonts w:ascii="Times New Roman" w:hAnsi="Times New Roman" w:eastAsia="宋体" w:cs="Times New Roman"/>
                <w:b/>
                <w:bCs/>
                <w:color w:val="000000" w:themeColor="text1"/>
                <w:szCs w:val="24"/>
                <w:lang w:val="pt-BR"/>
                <w14:textFill>
                  <w14:solidFill>
                    <w14:schemeClr w14:val="tx1"/>
                  </w14:solidFill>
                </w14:textFill>
              </w:rPr>
              <w:fldChar w:fldCharType="separate"/>
            </w:r>
            <w:r>
              <w:rPr>
                <w:rFonts w:ascii="Times New Roman" w:hAnsi="Times New Roman" w:eastAsia="宋体" w:cs="Times New Roman"/>
                <w:b/>
                <w:bCs/>
                <w:color w:val="000000" w:themeColor="text1"/>
                <w:szCs w:val="24"/>
                <w:lang w:val="pt-BR"/>
                <w14:textFill>
                  <w14:solidFill>
                    <w14:schemeClr w14:val="tx1"/>
                  </w14:solidFill>
                </w14:textFill>
              </w:rPr>
              <w:t>14</w:t>
            </w:r>
            <w:r>
              <w:rPr>
                <w:rFonts w:ascii="Times New Roman" w:hAnsi="Times New Roman" w:eastAsia="宋体" w:cs="Times New Roman"/>
                <w:b/>
                <w:bCs/>
                <w:color w:val="000000" w:themeColor="text1"/>
                <w:szCs w:val="24"/>
                <w:lang w:val="pt-BR"/>
                <w14:textFill>
                  <w14:solidFill>
                    <w14:schemeClr w14:val="tx1"/>
                  </w14:solidFill>
                </w14:textFill>
              </w:rPr>
              <w:fldChar w:fldCharType="end"/>
            </w:r>
            <w:r>
              <w:rPr>
                <w:rFonts w:ascii="Times New Roman" w:hAnsi="Times New Roman" w:eastAsia="宋体" w:cs="Times New Roman"/>
                <w:b/>
                <w:bCs/>
                <w:color w:val="000000" w:themeColor="text1"/>
                <w:szCs w:val="24"/>
                <w14:textFill>
                  <w14:solidFill>
                    <w14:schemeClr w14:val="tx1"/>
                  </w14:solidFill>
                </w14:textFill>
              </w:rPr>
              <w:t xml:space="preserve">  </w:t>
            </w:r>
            <w:r>
              <w:rPr>
                <w:rFonts w:ascii="Times New Roman" w:hAnsi="Times New Roman" w:eastAsia="宋体" w:cs="Times New Roman"/>
                <w:b/>
                <w:bCs/>
                <w:color w:val="000000" w:themeColor="text1"/>
                <w:szCs w:val="21"/>
                <w14:textFill>
                  <w14:solidFill>
                    <w14:schemeClr w14:val="tx1"/>
                  </w14:solidFill>
                </w14:textFill>
              </w:rPr>
              <w:t>大气污染物排放标准（摘录）</w:t>
            </w:r>
          </w:p>
          <w:tbl>
            <w:tblPr>
              <w:tblStyle w:val="24"/>
              <w:tblW w:w="83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46"/>
              <w:gridCol w:w="1280"/>
              <w:gridCol w:w="1273"/>
              <w:gridCol w:w="851"/>
              <w:gridCol w:w="990"/>
              <w:gridCol w:w="1125"/>
              <w:gridCol w:w="2057"/>
            </w:tblGrid>
            <w:tr w14:paraId="538C15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17" w:type="pct"/>
                  <w:gridSpan w:val="2"/>
                  <w:vAlign w:val="center"/>
                </w:tcPr>
                <w:p w14:paraId="430CE386">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项目</w:t>
                  </w:r>
                </w:p>
              </w:tc>
              <w:tc>
                <w:tcPr>
                  <w:tcW w:w="765" w:type="pct"/>
                  <w:vMerge w:val="restart"/>
                  <w:vAlign w:val="center"/>
                </w:tcPr>
                <w:p w14:paraId="03258676">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允许排放浓度（mg/m</w:t>
                  </w:r>
                  <w:r>
                    <w:rPr>
                      <w:rFonts w:ascii="Times New Roman" w:hAnsi="Times New Roman" w:eastAsia="宋体" w:cs="Times New Roman"/>
                      <w:b/>
                      <w:color w:val="000000" w:themeColor="text1"/>
                      <w:szCs w:val="21"/>
                      <w:vertAlign w:val="superscript"/>
                      <w14:textFill>
                        <w14:solidFill>
                          <w14:schemeClr w14:val="tx1"/>
                        </w14:solidFill>
                      </w14:textFill>
                    </w:rPr>
                    <w:t>3</w:t>
                  </w:r>
                  <w:r>
                    <w:rPr>
                      <w:rFonts w:ascii="Times New Roman" w:hAnsi="Times New Roman" w:eastAsia="宋体" w:cs="Times New Roman"/>
                      <w:b/>
                      <w:color w:val="000000" w:themeColor="text1"/>
                      <w:szCs w:val="21"/>
                      <w14:textFill>
                        <w14:solidFill>
                          <w14:schemeClr w14:val="tx1"/>
                        </w14:solidFill>
                      </w14:textFill>
                    </w:rPr>
                    <w:t>）</w:t>
                  </w:r>
                </w:p>
              </w:tc>
              <w:tc>
                <w:tcPr>
                  <w:tcW w:w="511" w:type="pct"/>
                  <w:vMerge w:val="restart"/>
                  <w:vAlign w:val="center"/>
                </w:tcPr>
                <w:p w14:paraId="38C8B50B">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排气筒高度（m）</w:t>
                  </w:r>
                </w:p>
              </w:tc>
              <w:tc>
                <w:tcPr>
                  <w:tcW w:w="595" w:type="pct"/>
                  <w:vMerge w:val="restart"/>
                  <w:vAlign w:val="center"/>
                </w:tcPr>
                <w:p w14:paraId="4329A773">
                  <w:pPr>
                    <w:snapToGrid w:val="0"/>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排放速率（kg/h）</w:t>
                  </w:r>
                </w:p>
              </w:tc>
              <w:tc>
                <w:tcPr>
                  <w:tcW w:w="676" w:type="pct"/>
                  <w:vMerge w:val="restart"/>
                  <w:vAlign w:val="center"/>
                </w:tcPr>
                <w:p w14:paraId="60AAACF4">
                  <w:pPr>
                    <w:snapToGrid w:val="0"/>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无组织排放监控点浓度（mg/m</w:t>
                  </w:r>
                  <w:r>
                    <w:rPr>
                      <w:rFonts w:ascii="Times New Roman" w:hAnsi="Times New Roman" w:eastAsia="宋体" w:cs="Times New Roman"/>
                      <w:b/>
                      <w:color w:val="000000" w:themeColor="text1"/>
                      <w:szCs w:val="21"/>
                      <w:vertAlign w:val="superscript"/>
                      <w14:textFill>
                        <w14:solidFill>
                          <w14:schemeClr w14:val="tx1"/>
                        </w14:solidFill>
                      </w14:textFill>
                    </w:rPr>
                    <w:t>3</w:t>
                  </w:r>
                  <w:r>
                    <w:rPr>
                      <w:rFonts w:ascii="Times New Roman" w:hAnsi="Times New Roman" w:eastAsia="宋体" w:cs="Times New Roman"/>
                      <w:b/>
                      <w:color w:val="000000" w:themeColor="text1"/>
                      <w:szCs w:val="21"/>
                      <w14:textFill>
                        <w14:solidFill>
                          <w14:schemeClr w14:val="tx1"/>
                        </w14:solidFill>
                      </w14:textFill>
                    </w:rPr>
                    <w:t>）</w:t>
                  </w:r>
                </w:p>
              </w:tc>
              <w:tc>
                <w:tcPr>
                  <w:tcW w:w="1236" w:type="pct"/>
                  <w:vMerge w:val="restart"/>
                  <w:vAlign w:val="center"/>
                </w:tcPr>
                <w:p w14:paraId="4197E9C1">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标准来源</w:t>
                  </w:r>
                </w:p>
              </w:tc>
            </w:tr>
            <w:tr w14:paraId="3B100E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448" w:type="pct"/>
                  <w:vAlign w:val="center"/>
                </w:tcPr>
                <w:p w14:paraId="7C3A3164">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工序</w:t>
                  </w:r>
                </w:p>
              </w:tc>
              <w:tc>
                <w:tcPr>
                  <w:tcW w:w="769" w:type="pct"/>
                  <w:vAlign w:val="center"/>
                </w:tcPr>
                <w:p w14:paraId="3CCD8D75">
                  <w:pPr>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污染物</w:t>
                  </w:r>
                </w:p>
              </w:tc>
              <w:tc>
                <w:tcPr>
                  <w:tcW w:w="765" w:type="pct"/>
                  <w:vMerge w:val="continue"/>
                  <w:vAlign w:val="center"/>
                </w:tcPr>
                <w:p w14:paraId="32C0831C">
                  <w:pPr>
                    <w:snapToGrid w:val="0"/>
                    <w:jc w:val="center"/>
                    <w:rPr>
                      <w:rFonts w:ascii="Times New Roman" w:hAnsi="Times New Roman" w:eastAsia="宋体" w:cs="Times New Roman"/>
                      <w:b/>
                      <w:color w:val="000000" w:themeColor="text1"/>
                      <w:szCs w:val="21"/>
                      <w14:textFill>
                        <w14:solidFill>
                          <w14:schemeClr w14:val="tx1"/>
                        </w14:solidFill>
                      </w14:textFill>
                    </w:rPr>
                  </w:pPr>
                </w:p>
              </w:tc>
              <w:tc>
                <w:tcPr>
                  <w:tcW w:w="511" w:type="pct"/>
                  <w:vMerge w:val="continue"/>
                  <w:vAlign w:val="center"/>
                </w:tcPr>
                <w:p w14:paraId="4146D3A3">
                  <w:pPr>
                    <w:snapToGrid w:val="0"/>
                    <w:jc w:val="center"/>
                    <w:rPr>
                      <w:rFonts w:ascii="Times New Roman" w:hAnsi="Times New Roman" w:eastAsia="宋体" w:cs="Times New Roman"/>
                      <w:b/>
                      <w:color w:val="000000" w:themeColor="text1"/>
                      <w:szCs w:val="21"/>
                      <w14:textFill>
                        <w14:solidFill>
                          <w14:schemeClr w14:val="tx1"/>
                        </w14:solidFill>
                      </w14:textFill>
                    </w:rPr>
                  </w:pPr>
                </w:p>
              </w:tc>
              <w:tc>
                <w:tcPr>
                  <w:tcW w:w="595" w:type="pct"/>
                  <w:vMerge w:val="continue"/>
                  <w:vAlign w:val="center"/>
                </w:tcPr>
                <w:p w14:paraId="0CAFD12E">
                  <w:pPr>
                    <w:snapToGrid w:val="0"/>
                    <w:jc w:val="center"/>
                    <w:rPr>
                      <w:rFonts w:ascii="Times New Roman" w:hAnsi="Times New Roman" w:eastAsia="宋体" w:cs="Times New Roman"/>
                      <w:b/>
                      <w:color w:val="000000" w:themeColor="text1"/>
                      <w:szCs w:val="21"/>
                      <w14:textFill>
                        <w14:solidFill>
                          <w14:schemeClr w14:val="tx1"/>
                        </w14:solidFill>
                      </w14:textFill>
                    </w:rPr>
                  </w:pPr>
                </w:p>
              </w:tc>
              <w:tc>
                <w:tcPr>
                  <w:tcW w:w="676" w:type="pct"/>
                  <w:vMerge w:val="continue"/>
                  <w:vAlign w:val="center"/>
                </w:tcPr>
                <w:p w14:paraId="1EE75B2D">
                  <w:pPr>
                    <w:snapToGrid w:val="0"/>
                    <w:jc w:val="center"/>
                    <w:rPr>
                      <w:rFonts w:ascii="Times New Roman" w:hAnsi="Times New Roman" w:eastAsia="宋体" w:cs="Times New Roman"/>
                      <w:b/>
                      <w:color w:val="000000" w:themeColor="text1"/>
                      <w:szCs w:val="21"/>
                      <w14:textFill>
                        <w14:solidFill>
                          <w14:schemeClr w14:val="tx1"/>
                        </w14:solidFill>
                      </w14:textFill>
                    </w:rPr>
                  </w:pPr>
                </w:p>
              </w:tc>
              <w:tc>
                <w:tcPr>
                  <w:tcW w:w="1236" w:type="pct"/>
                  <w:vMerge w:val="continue"/>
                  <w:vAlign w:val="center"/>
                </w:tcPr>
                <w:p w14:paraId="044B44FE">
                  <w:pPr>
                    <w:snapToGrid w:val="0"/>
                    <w:jc w:val="center"/>
                    <w:rPr>
                      <w:rFonts w:ascii="Times New Roman" w:hAnsi="Times New Roman" w:eastAsia="宋体" w:cs="Times New Roman"/>
                      <w:b/>
                      <w:color w:val="000000" w:themeColor="text1"/>
                      <w:szCs w:val="21"/>
                      <w14:textFill>
                        <w14:solidFill>
                          <w14:schemeClr w14:val="tx1"/>
                        </w14:solidFill>
                      </w14:textFill>
                    </w:rPr>
                  </w:pPr>
                </w:p>
              </w:tc>
            </w:tr>
            <w:tr w14:paraId="2D4115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448" w:type="pct"/>
                  <w:vAlign w:val="center"/>
                </w:tcPr>
                <w:p w14:paraId="4C3A1CAA">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破碎及成型</w:t>
                  </w:r>
                </w:p>
              </w:tc>
              <w:tc>
                <w:tcPr>
                  <w:tcW w:w="769" w:type="pct"/>
                  <w:vAlign w:val="center"/>
                </w:tcPr>
                <w:p w14:paraId="5057E34F">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765" w:type="pct"/>
                  <w:vAlign w:val="center"/>
                </w:tcPr>
                <w:p w14:paraId="0FD0CCB7">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30</w:t>
                  </w:r>
                </w:p>
              </w:tc>
              <w:tc>
                <w:tcPr>
                  <w:tcW w:w="511" w:type="pct"/>
                  <w:vAlign w:val="center"/>
                </w:tcPr>
                <w:p w14:paraId="7C15306A">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595" w:type="pct"/>
                  <w:vAlign w:val="center"/>
                </w:tcPr>
                <w:p w14:paraId="017C386D">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676" w:type="pct"/>
                  <w:vAlign w:val="center"/>
                </w:tcPr>
                <w:p w14:paraId="20750C7A">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1.0</w:t>
                  </w:r>
                </w:p>
              </w:tc>
              <w:tc>
                <w:tcPr>
                  <w:tcW w:w="1236" w:type="pct"/>
                  <w:vAlign w:val="center"/>
                </w:tcPr>
                <w:p w14:paraId="2428C89E">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bCs/>
                      <w:color w:val="000000" w:themeColor="text1"/>
                      <w:szCs w:val="24"/>
                      <w:lang w:bidi="ar"/>
                      <w14:textFill>
                        <w14:solidFill>
                          <w14:schemeClr w14:val="tx1"/>
                        </w14:solidFill>
                      </w14:textFill>
                    </w:rPr>
                    <w:t>《砖瓦工业大气污染物排放标准》（GB29620-2013）表2、表3标准</w:t>
                  </w:r>
                </w:p>
              </w:tc>
            </w:tr>
            <w:tr w14:paraId="65F893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448" w:type="pct"/>
                  <w:vMerge w:val="restart"/>
                  <w:vAlign w:val="center"/>
                </w:tcPr>
                <w:p w14:paraId="1A5F4FF6">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干燥及烧结</w:t>
                  </w:r>
                </w:p>
              </w:tc>
              <w:tc>
                <w:tcPr>
                  <w:tcW w:w="769" w:type="pct"/>
                  <w:vAlign w:val="center"/>
                </w:tcPr>
                <w:p w14:paraId="388B0C4A">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765" w:type="pct"/>
                  <w:vAlign w:val="center"/>
                </w:tcPr>
                <w:p w14:paraId="044017ED">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30</w:t>
                  </w:r>
                </w:p>
              </w:tc>
              <w:tc>
                <w:tcPr>
                  <w:tcW w:w="511" w:type="pct"/>
                  <w:vAlign w:val="center"/>
                </w:tcPr>
                <w:p w14:paraId="471EB0F9">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595" w:type="pct"/>
                  <w:vAlign w:val="center"/>
                </w:tcPr>
                <w:p w14:paraId="77E04E80">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676" w:type="pct"/>
                  <w:vAlign w:val="center"/>
                </w:tcPr>
                <w:p w14:paraId="12A7F51C">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1.0</w:t>
                  </w:r>
                </w:p>
              </w:tc>
              <w:tc>
                <w:tcPr>
                  <w:tcW w:w="1236" w:type="pct"/>
                  <w:vMerge w:val="restart"/>
                  <w:vAlign w:val="center"/>
                </w:tcPr>
                <w:p w14:paraId="36CD4ED5">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bCs/>
                      <w:color w:val="000000" w:themeColor="text1"/>
                      <w:szCs w:val="24"/>
                      <w:lang w:bidi="ar"/>
                      <w14:textFill>
                        <w14:solidFill>
                          <w14:schemeClr w14:val="tx1"/>
                        </w14:solidFill>
                      </w14:textFill>
                    </w:rPr>
                    <w:t>《砖瓦工业大气污染物排放标准》（GB29620-2013）表2、表3标准</w:t>
                  </w:r>
                </w:p>
              </w:tc>
            </w:tr>
            <w:tr w14:paraId="39A935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448" w:type="pct"/>
                  <w:vMerge w:val="continue"/>
                  <w:vAlign w:val="center"/>
                </w:tcPr>
                <w:p w14:paraId="65840342">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769" w:type="pct"/>
                  <w:vAlign w:val="center"/>
                </w:tcPr>
                <w:p w14:paraId="7D8456C6">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二氧化硫</w:t>
                  </w:r>
                </w:p>
              </w:tc>
              <w:tc>
                <w:tcPr>
                  <w:tcW w:w="765" w:type="pct"/>
                  <w:vAlign w:val="center"/>
                </w:tcPr>
                <w:p w14:paraId="64AC6A36">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300</w:t>
                  </w:r>
                </w:p>
              </w:tc>
              <w:tc>
                <w:tcPr>
                  <w:tcW w:w="511" w:type="pct"/>
                  <w:vAlign w:val="center"/>
                </w:tcPr>
                <w:p w14:paraId="3DF7A599">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595" w:type="pct"/>
                  <w:vAlign w:val="center"/>
                </w:tcPr>
                <w:p w14:paraId="5F676BBD">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676" w:type="pct"/>
                  <w:vAlign w:val="center"/>
                </w:tcPr>
                <w:p w14:paraId="7A031D98">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0.5</w:t>
                  </w:r>
                </w:p>
              </w:tc>
              <w:tc>
                <w:tcPr>
                  <w:tcW w:w="1236" w:type="pct"/>
                  <w:vMerge w:val="continue"/>
                  <w:vAlign w:val="center"/>
                </w:tcPr>
                <w:p w14:paraId="0F95A629">
                  <w:pPr>
                    <w:snapToGrid w:val="0"/>
                    <w:jc w:val="center"/>
                    <w:rPr>
                      <w:rFonts w:ascii="Times New Roman" w:hAnsi="Times New Roman" w:eastAsia="宋体" w:cs="Times New Roman"/>
                      <w:color w:val="000000" w:themeColor="text1"/>
                      <w:szCs w:val="21"/>
                      <w14:textFill>
                        <w14:solidFill>
                          <w14:schemeClr w14:val="tx1"/>
                        </w14:solidFill>
                      </w14:textFill>
                    </w:rPr>
                  </w:pPr>
                </w:p>
              </w:tc>
            </w:tr>
            <w:tr w14:paraId="127D98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448" w:type="pct"/>
                  <w:vMerge w:val="continue"/>
                  <w:vAlign w:val="center"/>
                </w:tcPr>
                <w:p w14:paraId="4CFA602B">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769" w:type="pct"/>
                  <w:vAlign w:val="center"/>
                </w:tcPr>
                <w:p w14:paraId="66D7083D">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氮氧化物</w:t>
                  </w:r>
                </w:p>
              </w:tc>
              <w:tc>
                <w:tcPr>
                  <w:tcW w:w="765" w:type="pct"/>
                  <w:vAlign w:val="center"/>
                </w:tcPr>
                <w:p w14:paraId="606B85E0">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200</w:t>
                  </w:r>
                </w:p>
              </w:tc>
              <w:tc>
                <w:tcPr>
                  <w:tcW w:w="511" w:type="pct"/>
                  <w:vAlign w:val="center"/>
                </w:tcPr>
                <w:p w14:paraId="33C5A0FF">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595" w:type="pct"/>
                  <w:vAlign w:val="center"/>
                </w:tcPr>
                <w:p w14:paraId="52A894A7">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676" w:type="pct"/>
                  <w:vAlign w:val="center"/>
                </w:tcPr>
                <w:p w14:paraId="29283DF3">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1236" w:type="pct"/>
                  <w:vMerge w:val="continue"/>
                  <w:vAlign w:val="center"/>
                </w:tcPr>
                <w:p w14:paraId="0E1B5755">
                  <w:pPr>
                    <w:snapToGrid w:val="0"/>
                    <w:jc w:val="center"/>
                    <w:rPr>
                      <w:rFonts w:ascii="Times New Roman" w:hAnsi="Times New Roman" w:eastAsia="宋体" w:cs="Times New Roman"/>
                      <w:color w:val="000000" w:themeColor="text1"/>
                      <w:szCs w:val="21"/>
                      <w14:textFill>
                        <w14:solidFill>
                          <w14:schemeClr w14:val="tx1"/>
                        </w14:solidFill>
                      </w14:textFill>
                    </w:rPr>
                  </w:pPr>
                </w:p>
              </w:tc>
            </w:tr>
            <w:tr w14:paraId="50C015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448" w:type="pct"/>
                  <w:vMerge w:val="continue"/>
                  <w:vAlign w:val="center"/>
                </w:tcPr>
                <w:p w14:paraId="59DFE875">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769" w:type="pct"/>
                  <w:vAlign w:val="center"/>
                </w:tcPr>
                <w:p w14:paraId="370D4ED2">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765" w:type="pct"/>
                  <w:vAlign w:val="center"/>
                </w:tcPr>
                <w:p w14:paraId="0DA5B2CE">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w:t>
                  </w:r>
                </w:p>
              </w:tc>
              <w:tc>
                <w:tcPr>
                  <w:tcW w:w="511" w:type="pct"/>
                  <w:vAlign w:val="center"/>
                </w:tcPr>
                <w:p w14:paraId="78BFB071">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595" w:type="pct"/>
                  <w:vAlign w:val="center"/>
                </w:tcPr>
                <w:p w14:paraId="7FF557B3">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676" w:type="pct"/>
                  <w:vAlign w:val="center"/>
                </w:tcPr>
                <w:p w14:paraId="28A56886">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0.02</w:t>
                  </w:r>
                </w:p>
              </w:tc>
              <w:tc>
                <w:tcPr>
                  <w:tcW w:w="1236" w:type="pct"/>
                  <w:vMerge w:val="continue"/>
                  <w:vAlign w:val="center"/>
                </w:tcPr>
                <w:p w14:paraId="0FD403C1">
                  <w:pPr>
                    <w:snapToGrid w:val="0"/>
                    <w:jc w:val="center"/>
                    <w:rPr>
                      <w:rFonts w:ascii="Times New Roman" w:hAnsi="Times New Roman" w:eastAsia="宋体" w:cs="Times New Roman"/>
                      <w:color w:val="000000" w:themeColor="text1"/>
                      <w:szCs w:val="21"/>
                      <w14:textFill>
                        <w14:solidFill>
                          <w14:schemeClr w14:val="tx1"/>
                        </w14:solidFill>
                      </w14:textFill>
                    </w:rPr>
                  </w:pPr>
                </w:p>
              </w:tc>
            </w:tr>
            <w:tr w14:paraId="650175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448" w:type="pct"/>
                  <w:vAlign w:val="center"/>
                </w:tcPr>
                <w:p w14:paraId="279A3BE7">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堆场</w:t>
                  </w:r>
                </w:p>
              </w:tc>
              <w:tc>
                <w:tcPr>
                  <w:tcW w:w="769" w:type="pct"/>
                  <w:vAlign w:val="center"/>
                </w:tcPr>
                <w:p w14:paraId="7D929EFB">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臭气浓度（无量纲）</w:t>
                  </w:r>
                </w:p>
              </w:tc>
              <w:tc>
                <w:tcPr>
                  <w:tcW w:w="765" w:type="pct"/>
                  <w:vAlign w:val="center"/>
                </w:tcPr>
                <w:p w14:paraId="07EA383A">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6000</w:t>
                  </w:r>
                </w:p>
              </w:tc>
              <w:tc>
                <w:tcPr>
                  <w:tcW w:w="511" w:type="pct"/>
                  <w:vAlign w:val="center"/>
                </w:tcPr>
                <w:p w14:paraId="4F22A84A">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15</w:t>
                  </w:r>
                </w:p>
              </w:tc>
              <w:tc>
                <w:tcPr>
                  <w:tcW w:w="595" w:type="pct"/>
                  <w:vAlign w:val="center"/>
                </w:tcPr>
                <w:p w14:paraId="28820724">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2000</w:t>
                  </w:r>
                </w:p>
              </w:tc>
              <w:tc>
                <w:tcPr>
                  <w:tcW w:w="676" w:type="pct"/>
                  <w:vAlign w:val="center"/>
                </w:tcPr>
                <w:p w14:paraId="4A3D97BE">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20</w:t>
                  </w:r>
                </w:p>
              </w:tc>
              <w:tc>
                <w:tcPr>
                  <w:tcW w:w="1236" w:type="pct"/>
                  <w:vAlign w:val="center"/>
                </w:tcPr>
                <w:p w14:paraId="1BEA2317">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《恶臭污染物排放标准》（GB14554-93）中表1 和表2 标准</w:t>
                  </w:r>
                </w:p>
              </w:tc>
            </w:tr>
          </w:tbl>
          <w:p w14:paraId="1BA59078">
            <w:pPr>
              <w:adjustRightInd w:val="0"/>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p>
          <w:p w14:paraId="1D06B772">
            <w:pPr>
              <w:adjustRightInd w:val="0"/>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三、环境噪声</w:t>
            </w:r>
          </w:p>
          <w:p w14:paraId="723E3317">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施工期：执行《建筑施工场界环境噪声排放标准》（GB12523-2011）中排放标准，见下表。</w:t>
            </w:r>
          </w:p>
          <w:p w14:paraId="1FEE2709">
            <w:pPr>
              <w:wordWrap w:val="0"/>
              <w:adjustRightInd w:val="0"/>
              <w:snapToGrid w:val="0"/>
              <w:jc w:val="right"/>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Cs w:val="24"/>
                <w:lang w:val="pt-BR"/>
                <w14:textFill>
                  <w14:solidFill>
                    <w14:schemeClr w14:val="tx1"/>
                  </w14:solidFill>
                </w14:textFill>
              </w:rPr>
              <w:t xml:space="preserve">表3- </w:t>
            </w:r>
            <w:r>
              <w:rPr>
                <w:rFonts w:ascii="Times New Roman" w:hAnsi="Times New Roman" w:eastAsia="宋体" w:cs="Times New Roman"/>
                <w:b/>
                <w:bCs/>
                <w:color w:val="000000" w:themeColor="text1"/>
                <w:szCs w:val="24"/>
                <w:lang w:val="pt-BR"/>
                <w14:textFill>
                  <w14:solidFill>
                    <w14:schemeClr w14:val="tx1"/>
                  </w14:solidFill>
                </w14:textFill>
              </w:rPr>
              <w:fldChar w:fldCharType="begin"/>
            </w:r>
            <w:r>
              <w:rPr>
                <w:rFonts w:ascii="Times New Roman" w:hAnsi="Times New Roman" w:eastAsia="宋体" w:cs="Times New Roman"/>
                <w:b/>
                <w:bCs/>
                <w:color w:val="000000" w:themeColor="text1"/>
                <w:szCs w:val="24"/>
                <w:lang w:val="pt-BR"/>
                <w14:textFill>
                  <w14:solidFill>
                    <w14:schemeClr w14:val="tx1"/>
                  </w14:solidFill>
                </w14:textFill>
              </w:rPr>
              <w:instrText xml:space="preserve"> SEQ 表3- \* ARABIC </w:instrText>
            </w:r>
            <w:r>
              <w:rPr>
                <w:rFonts w:ascii="Times New Roman" w:hAnsi="Times New Roman" w:eastAsia="宋体" w:cs="Times New Roman"/>
                <w:b/>
                <w:bCs/>
                <w:color w:val="000000" w:themeColor="text1"/>
                <w:szCs w:val="24"/>
                <w:lang w:val="pt-BR"/>
                <w14:textFill>
                  <w14:solidFill>
                    <w14:schemeClr w14:val="tx1"/>
                  </w14:solidFill>
                </w14:textFill>
              </w:rPr>
              <w:fldChar w:fldCharType="separate"/>
            </w:r>
            <w:r>
              <w:rPr>
                <w:rFonts w:ascii="Times New Roman" w:hAnsi="Times New Roman" w:eastAsia="宋体" w:cs="Times New Roman"/>
                <w:b/>
                <w:bCs/>
                <w:color w:val="000000" w:themeColor="text1"/>
                <w:szCs w:val="24"/>
                <w:lang w:val="pt-BR"/>
                <w14:textFill>
                  <w14:solidFill>
                    <w14:schemeClr w14:val="tx1"/>
                  </w14:solidFill>
                </w14:textFill>
              </w:rPr>
              <w:t>15</w:t>
            </w:r>
            <w:r>
              <w:rPr>
                <w:rFonts w:ascii="Times New Roman" w:hAnsi="Times New Roman" w:eastAsia="宋体" w:cs="Times New Roman"/>
                <w:b/>
                <w:bCs/>
                <w:color w:val="000000" w:themeColor="text1"/>
                <w:szCs w:val="24"/>
                <w:lang w:val="pt-BR"/>
                <w14:textFill>
                  <w14:solidFill>
                    <w14:schemeClr w14:val="tx1"/>
                  </w14:solidFill>
                </w14:textFill>
              </w:rPr>
              <w:fldChar w:fldCharType="end"/>
            </w:r>
            <w:r>
              <w:rPr>
                <w:rFonts w:ascii="Times New Roman" w:hAnsi="Times New Roman" w:eastAsia="宋体" w:cs="Times New Roman"/>
                <w:b/>
                <w:bCs/>
                <w:color w:val="000000" w:themeColor="text1"/>
                <w:szCs w:val="24"/>
                <w14:textFill>
                  <w14:solidFill>
                    <w14:schemeClr w14:val="tx1"/>
                  </w14:solidFill>
                </w14:textFill>
              </w:rPr>
              <w:t xml:space="preserve">  </w:t>
            </w:r>
            <w:r>
              <w:rPr>
                <w:rFonts w:ascii="Times New Roman" w:hAnsi="Times New Roman" w:eastAsia="宋体" w:cs="Times New Roman"/>
                <w:b/>
                <w:color w:val="000000" w:themeColor="text1"/>
                <w:szCs w:val="24"/>
                <w14:textFill>
                  <w14:solidFill>
                    <w14:schemeClr w14:val="tx1"/>
                  </w14:solidFill>
                </w14:textFill>
              </w:rPr>
              <w:t>建筑施工场界环境噪声排放标准       单位:dB（A）</w:t>
            </w:r>
          </w:p>
          <w:tbl>
            <w:tblPr>
              <w:tblStyle w:val="2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663"/>
              <w:gridCol w:w="4008"/>
            </w:tblGrid>
            <w:tr w14:paraId="31E3BD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89" w:type="pct"/>
                  <w:vAlign w:val="center"/>
                </w:tcPr>
                <w:p w14:paraId="6A626186">
                  <w:pPr>
                    <w:autoSpaceDE w:val="0"/>
                    <w:autoSpaceDN w:val="0"/>
                    <w:adjustRightInd w:val="0"/>
                    <w:snapToGrid w:val="0"/>
                    <w:jc w:val="center"/>
                    <w:textAlignment w:val="baseline"/>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昼间</w:t>
                  </w:r>
                </w:p>
              </w:tc>
              <w:tc>
                <w:tcPr>
                  <w:tcW w:w="2311" w:type="pct"/>
                  <w:vAlign w:val="center"/>
                </w:tcPr>
                <w:p w14:paraId="5F09D7AC">
                  <w:pPr>
                    <w:autoSpaceDE w:val="0"/>
                    <w:autoSpaceDN w:val="0"/>
                    <w:adjustRightInd w:val="0"/>
                    <w:snapToGrid w:val="0"/>
                    <w:jc w:val="center"/>
                    <w:textAlignment w:val="baseline"/>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夜间</w:t>
                  </w:r>
                </w:p>
              </w:tc>
            </w:tr>
            <w:tr w14:paraId="0FF365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89" w:type="pct"/>
                  <w:vAlign w:val="center"/>
                </w:tcPr>
                <w:p w14:paraId="7D78BB25">
                  <w:pPr>
                    <w:autoSpaceDE w:val="0"/>
                    <w:autoSpaceDN w:val="0"/>
                    <w:adjustRightInd w:val="0"/>
                    <w:snapToGrid w:val="0"/>
                    <w:jc w:val="center"/>
                    <w:textAlignment w:val="baseline"/>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70</w:t>
                  </w:r>
                </w:p>
              </w:tc>
              <w:tc>
                <w:tcPr>
                  <w:tcW w:w="2311" w:type="pct"/>
                  <w:vAlign w:val="center"/>
                </w:tcPr>
                <w:p w14:paraId="42EADC98">
                  <w:pPr>
                    <w:autoSpaceDE w:val="0"/>
                    <w:autoSpaceDN w:val="0"/>
                    <w:adjustRightInd w:val="0"/>
                    <w:snapToGrid w:val="0"/>
                    <w:jc w:val="center"/>
                    <w:textAlignment w:val="baseline"/>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55</w:t>
                  </w:r>
                </w:p>
              </w:tc>
            </w:tr>
          </w:tbl>
          <w:p w14:paraId="755274E0">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p>
          <w:p w14:paraId="6266996F">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营运期：执行《工业企业厂界环境噪声排放标准》（GB12348-2008）2类标准。见下表。</w:t>
            </w:r>
          </w:p>
          <w:p w14:paraId="4A032EC3">
            <w:pPr>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4"/>
                <w:lang w:val="pt-BR"/>
                <w14:textFill>
                  <w14:solidFill>
                    <w14:schemeClr w14:val="tx1"/>
                  </w14:solidFill>
                </w14:textFill>
              </w:rPr>
              <w:t xml:space="preserve">表3- </w:t>
            </w:r>
            <w:r>
              <w:rPr>
                <w:rFonts w:ascii="Times New Roman" w:hAnsi="Times New Roman" w:eastAsia="宋体" w:cs="Times New Roman"/>
                <w:b/>
                <w:bCs/>
                <w:color w:val="000000" w:themeColor="text1"/>
                <w:szCs w:val="24"/>
                <w:lang w:val="pt-BR"/>
                <w14:textFill>
                  <w14:solidFill>
                    <w14:schemeClr w14:val="tx1"/>
                  </w14:solidFill>
                </w14:textFill>
              </w:rPr>
              <w:fldChar w:fldCharType="begin"/>
            </w:r>
            <w:r>
              <w:rPr>
                <w:rFonts w:ascii="Times New Roman" w:hAnsi="Times New Roman" w:eastAsia="宋体" w:cs="Times New Roman"/>
                <w:b/>
                <w:bCs/>
                <w:color w:val="000000" w:themeColor="text1"/>
                <w:szCs w:val="24"/>
                <w:lang w:val="pt-BR"/>
                <w14:textFill>
                  <w14:solidFill>
                    <w14:schemeClr w14:val="tx1"/>
                  </w14:solidFill>
                </w14:textFill>
              </w:rPr>
              <w:instrText xml:space="preserve"> SEQ 表3- \* ARABIC </w:instrText>
            </w:r>
            <w:r>
              <w:rPr>
                <w:rFonts w:ascii="Times New Roman" w:hAnsi="Times New Roman" w:eastAsia="宋体" w:cs="Times New Roman"/>
                <w:b/>
                <w:bCs/>
                <w:color w:val="000000" w:themeColor="text1"/>
                <w:szCs w:val="24"/>
                <w:lang w:val="pt-BR"/>
                <w14:textFill>
                  <w14:solidFill>
                    <w14:schemeClr w14:val="tx1"/>
                  </w14:solidFill>
                </w14:textFill>
              </w:rPr>
              <w:fldChar w:fldCharType="separate"/>
            </w:r>
            <w:r>
              <w:rPr>
                <w:rFonts w:ascii="Times New Roman" w:hAnsi="Times New Roman" w:eastAsia="宋体" w:cs="Times New Roman"/>
                <w:b/>
                <w:bCs/>
                <w:color w:val="000000" w:themeColor="text1"/>
                <w:szCs w:val="24"/>
                <w:lang w:val="pt-BR"/>
                <w14:textFill>
                  <w14:solidFill>
                    <w14:schemeClr w14:val="tx1"/>
                  </w14:solidFill>
                </w14:textFill>
              </w:rPr>
              <w:t>16</w:t>
            </w:r>
            <w:r>
              <w:rPr>
                <w:rFonts w:ascii="Times New Roman" w:hAnsi="Times New Roman" w:eastAsia="宋体" w:cs="Times New Roman"/>
                <w:b/>
                <w:bCs/>
                <w:color w:val="000000" w:themeColor="text1"/>
                <w:szCs w:val="24"/>
                <w:lang w:val="pt-BR"/>
                <w14:textFill>
                  <w14:solidFill>
                    <w14:schemeClr w14:val="tx1"/>
                  </w14:solidFill>
                </w14:textFill>
              </w:rPr>
              <w:fldChar w:fldCharType="end"/>
            </w:r>
            <w:r>
              <w:rPr>
                <w:rFonts w:ascii="Times New Roman" w:hAnsi="Times New Roman" w:eastAsia="宋体" w:cs="Times New Roman"/>
                <w:b/>
                <w:bCs/>
                <w:color w:val="000000" w:themeColor="text1"/>
                <w:szCs w:val="24"/>
                <w14:textFill>
                  <w14:solidFill>
                    <w14:schemeClr w14:val="tx1"/>
                  </w14:solidFill>
                </w14:textFill>
              </w:rPr>
              <w:t xml:space="preserve">  </w:t>
            </w:r>
            <w:r>
              <w:rPr>
                <w:rFonts w:ascii="Times New Roman" w:hAnsi="Times New Roman" w:eastAsia="宋体" w:cs="Times New Roman"/>
                <w:b/>
                <w:color w:val="000000" w:themeColor="text1"/>
                <w:szCs w:val="21"/>
                <w14:textFill>
                  <w14:solidFill>
                    <w14:schemeClr w14:val="tx1"/>
                  </w14:solidFill>
                </w14:textFill>
              </w:rPr>
              <w:t>厂界噪声标准值表  单位:dB（A）</w:t>
            </w:r>
          </w:p>
          <w:tbl>
            <w:tblPr>
              <w:tblStyle w:val="2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463"/>
              <w:gridCol w:w="1139"/>
              <w:gridCol w:w="1069"/>
            </w:tblGrid>
            <w:tr w14:paraId="1BC28A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727" w:type="pct"/>
                  <w:vAlign w:val="center"/>
                </w:tcPr>
                <w:p w14:paraId="06AB9D4D">
                  <w:pPr>
                    <w:autoSpaceDE w:val="0"/>
                    <w:autoSpaceDN w:val="0"/>
                    <w:adjustRightInd w:val="0"/>
                    <w:snapToGrid w:val="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类别</w:t>
                  </w:r>
                </w:p>
              </w:tc>
              <w:tc>
                <w:tcPr>
                  <w:tcW w:w="657" w:type="pct"/>
                  <w:vAlign w:val="center"/>
                </w:tcPr>
                <w:p w14:paraId="256818B0">
                  <w:pPr>
                    <w:autoSpaceDE w:val="0"/>
                    <w:autoSpaceDN w:val="0"/>
                    <w:adjustRightInd w:val="0"/>
                    <w:snapToGrid w:val="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昼间</w:t>
                  </w:r>
                </w:p>
              </w:tc>
              <w:tc>
                <w:tcPr>
                  <w:tcW w:w="616" w:type="pct"/>
                  <w:vAlign w:val="center"/>
                </w:tcPr>
                <w:p w14:paraId="204179BF">
                  <w:pPr>
                    <w:autoSpaceDE w:val="0"/>
                    <w:autoSpaceDN w:val="0"/>
                    <w:adjustRightInd w:val="0"/>
                    <w:snapToGrid w:val="0"/>
                    <w:jc w:val="center"/>
                    <w:textAlignment w:val="baseline"/>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夜间</w:t>
                  </w:r>
                </w:p>
              </w:tc>
            </w:tr>
            <w:tr w14:paraId="1F2A82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727" w:type="pct"/>
                  <w:vAlign w:val="center"/>
                </w:tcPr>
                <w:p w14:paraId="7AD5A3B0">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《工业企业厂界环境噪声排放标准》（GB22337-2008）2类</w:t>
                  </w:r>
                </w:p>
              </w:tc>
              <w:tc>
                <w:tcPr>
                  <w:tcW w:w="657" w:type="pct"/>
                  <w:vAlign w:val="center"/>
                </w:tcPr>
                <w:p w14:paraId="2F04128E">
                  <w:pPr>
                    <w:autoSpaceDE w:val="0"/>
                    <w:autoSpaceDN w:val="0"/>
                    <w:adjustRightInd w:val="0"/>
                    <w:snapToGri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60</w:t>
                  </w:r>
                </w:p>
              </w:tc>
              <w:tc>
                <w:tcPr>
                  <w:tcW w:w="616" w:type="pct"/>
                  <w:vAlign w:val="center"/>
                </w:tcPr>
                <w:p w14:paraId="7D421837">
                  <w:pPr>
                    <w:autoSpaceDE w:val="0"/>
                    <w:autoSpaceDN w:val="0"/>
                    <w:adjustRightInd w:val="0"/>
                    <w:snapToGri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50</w:t>
                  </w:r>
                </w:p>
              </w:tc>
            </w:tr>
          </w:tbl>
          <w:p w14:paraId="77D01510">
            <w:pPr>
              <w:adjustRightInd w:val="0"/>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p>
          <w:p w14:paraId="22282876">
            <w:pPr>
              <w:adjustRightInd w:val="0"/>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四、固体废弃物</w:t>
            </w:r>
          </w:p>
          <w:p w14:paraId="57B8634C">
            <w:pPr>
              <w:spacing w:line="360" w:lineRule="auto"/>
              <w:ind w:firstLine="480" w:firstLineChars="200"/>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危险废物参照执行《危险废物贮存污染控制标准》（GB18597-2001）（2013年修订）。</w:t>
            </w:r>
          </w:p>
        </w:tc>
      </w:tr>
      <w:tr w14:paraId="4F6A34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456" w:type="dxa"/>
            <w:vAlign w:val="center"/>
          </w:tcPr>
          <w:p w14:paraId="4523AA90">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总量控制指标</w:t>
            </w:r>
          </w:p>
        </w:tc>
        <w:tc>
          <w:tcPr>
            <w:tcW w:w="8470" w:type="dxa"/>
            <w:vAlign w:val="center"/>
          </w:tcPr>
          <w:p w14:paraId="79F70124">
            <w:pPr>
              <w:spacing w:before="156" w:beforeLines="50" w:line="360" w:lineRule="auto"/>
              <w:ind w:firstLine="480" w:firstLineChars="200"/>
              <w:jc w:val="left"/>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根据国家“十四五”总量控制指标：</w:t>
            </w:r>
            <w:r>
              <w:rPr>
                <w:rFonts w:ascii="Times New Roman" w:hAnsi="Times New Roman" w:eastAsia="宋体" w:cs="Times New Roman"/>
                <w:bCs/>
                <w:color w:val="000000" w:themeColor="text1"/>
                <w:sz w:val="24"/>
                <w:szCs w:val="24"/>
                <w14:textFill>
                  <w14:solidFill>
                    <w14:schemeClr w14:val="tx1"/>
                  </w14:solidFill>
                </w14:textFill>
              </w:rPr>
              <w:t>COD、NH</w:t>
            </w:r>
            <w:r>
              <w:rPr>
                <w:rFonts w:ascii="Times New Roman" w:hAnsi="Times New Roman" w:eastAsia="宋体" w:cs="Times New Roman"/>
                <w:bCs/>
                <w:color w:val="000000" w:themeColor="text1"/>
                <w:sz w:val="24"/>
                <w:szCs w:val="24"/>
                <w:vertAlign w:val="subscript"/>
                <w14:textFill>
                  <w14:solidFill>
                    <w14:schemeClr w14:val="tx1"/>
                  </w14:solidFill>
                </w14:textFill>
              </w:rPr>
              <w:t>3</w:t>
            </w:r>
            <w:r>
              <w:rPr>
                <w:rFonts w:ascii="Times New Roman" w:hAnsi="Times New Roman" w:eastAsia="宋体" w:cs="Times New Roman"/>
                <w:bCs/>
                <w:color w:val="000000" w:themeColor="text1"/>
                <w:sz w:val="24"/>
                <w:szCs w:val="24"/>
                <w14:textFill>
                  <w14:solidFill>
                    <w14:schemeClr w14:val="tx1"/>
                  </w14:solidFill>
                </w14:textFill>
              </w:rPr>
              <w:t>-N、总磷、VOC</w:t>
            </w:r>
            <w:r>
              <w:rPr>
                <w:rFonts w:ascii="Times New Roman" w:hAnsi="Times New Roman" w:eastAsia="宋体" w:cs="Times New Roman"/>
                <w:bCs/>
                <w:color w:val="000000" w:themeColor="text1"/>
                <w:sz w:val="24"/>
                <w:szCs w:val="24"/>
                <w:vertAlign w:val="subscript"/>
                <w14:textFill>
                  <w14:solidFill>
                    <w14:schemeClr w14:val="tx1"/>
                  </w14:solidFill>
                </w14:textFill>
              </w:rPr>
              <w:t>S</w:t>
            </w:r>
            <w:r>
              <w:rPr>
                <w:rFonts w:ascii="Times New Roman" w:hAnsi="Times New Roman" w:eastAsia="宋体" w:cs="Times New Roman"/>
                <w:bCs/>
                <w:color w:val="000000" w:themeColor="text1"/>
                <w:sz w:val="24"/>
                <w:szCs w:val="24"/>
                <w14:textFill>
                  <w14:solidFill>
                    <w14:schemeClr w14:val="tx1"/>
                  </w14:solidFill>
                </w14:textFill>
              </w:rPr>
              <w:t>、SO</w:t>
            </w:r>
            <w:r>
              <w:rPr>
                <w:rFonts w:ascii="Times New Roman" w:hAnsi="Times New Roman" w:eastAsia="宋体" w:cs="Times New Roman"/>
                <w:bCs/>
                <w:color w:val="000000" w:themeColor="text1"/>
                <w:sz w:val="24"/>
                <w:szCs w:val="24"/>
                <w:vertAlign w:val="subscript"/>
                <w14:textFill>
                  <w14:solidFill>
                    <w14:schemeClr w14:val="tx1"/>
                  </w14:solidFill>
                </w14:textFill>
              </w:rPr>
              <w:t>2</w:t>
            </w:r>
            <w:r>
              <w:rPr>
                <w:rFonts w:ascii="Times New Roman" w:hAnsi="Times New Roman" w:eastAsia="宋体" w:cs="Times New Roman"/>
                <w:bCs/>
                <w:color w:val="000000" w:themeColor="text1"/>
                <w:sz w:val="24"/>
                <w:szCs w:val="24"/>
                <w14:textFill>
                  <w14:solidFill>
                    <w14:schemeClr w14:val="tx1"/>
                  </w14:solidFill>
                </w14:textFill>
              </w:rPr>
              <w:t>、NO</w:t>
            </w:r>
            <w:r>
              <w:rPr>
                <w:rFonts w:ascii="Times New Roman" w:hAnsi="Times New Roman" w:eastAsia="宋体" w:cs="Times New Roman"/>
                <w:bCs/>
                <w:color w:val="000000" w:themeColor="text1"/>
                <w:sz w:val="24"/>
                <w:szCs w:val="24"/>
                <w:vertAlign w:val="subscript"/>
                <w14:textFill>
                  <w14:solidFill>
                    <w14:schemeClr w14:val="tx1"/>
                  </w14:solidFill>
                </w14:textFill>
              </w:rPr>
              <w:t>X.</w:t>
            </w:r>
            <w:r>
              <w:rPr>
                <w:rFonts w:ascii="Times New Roman" w:hAnsi="Times New Roman" w:eastAsia="宋体" w:cs="Times New Roman"/>
                <w:bCs/>
                <w:color w:val="000000" w:themeColor="text1"/>
                <w:sz w:val="24"/>
                <w:szCs w:val="24"/>
                <w14:textFill>
                  <w14:solidFill>
                    <w14:schemeClr w14:val="tx1"/>
                  </w14:solidFill>
                </w14:textFill>
              </w:rPr>
              <w:t>。</w:t>
            </w:r>
          </w:p>
          <w:p w14:paraId="5E70F69B">
            <w:pPr>
              <w:spacing w:line="360" w:lineRule="auto"/>
              <w:ind w:firstLine="480" w:firstLineChars="200"/>
              <w:jc w:val="left"/>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本项目不涉及废水排放，无水污染总量控制指标。本项目主要涉及的总量控制指标为SO</w:t>
            </w:r>
            <w:r>
              <w:rPr>
                <w:rFonts w:ascii="Times New Roman" w:hAnsi="Times New Roman" w:eastAsia="宋体" w:cs="Times New Roman"/>
                <w:bCs/>
                <w:color w:val="000000" w:themeColor="text1"/>
                <w:sz w:val="24"/>
                <w:szCs w:val="24"/>
                <w:vertAlign w:val="subscript"/>
                <w14:textFill>
                  <w14:solidFill>
                    <w14:schemeClr w14:val="tx1"/>
                  </w14:solidFill>
                </w14:textFill>
              </w:rPr>
              <w:t>2</w:t>
            </w:r>
            <w:r>
              <w:rPr>
                <w:rFonts w:ascii="Times New Roman" w:hAnsi="Times New Roman" w:eastAsia="宋体" w:cs="Times New Roman"/>
                <w:bCs/>
                <w:color w:val="000000" w:themeColor="text1"/>
                <w:sz w:val="24"/>
                <w:szCs w:val="24"/>
                <w14:textFill>
                  <w14:solidFill>
                    <w14:schemeClr w14:val="tx1"/>
                  </w14:solidFill>
                </w14:textFill>
              </w:rPr>
              <w:t>、NO</w:t>
            </w:r>
            <w:r>
              <w:rPr>
                <w:rFonts w:ascii="Times New Roman" w:hAnsi="Times New Roman" w:eastAsia="宋体" w:cs="Times New Roman"/>
                <w:bCs/>
                <w:color w:val="000000" w:themeColor="text1"/>
                <w:sz w:val="24"/>
                <w:szCs w:val="24"/>
                <w:vertAlign w:val="subscript"/>
                <w14:textFill>
                  <w14:solidFill>
                    <w14:schemeClr w14:val="tx1"/>
                  </w14:solidFill>
                </w14:textFill>
              </w:rPr>
              <w:t>X.</w:t>
            </w:r>
            <w:r>
              <w:rPr>
                <w:rFonts w:ascii="Times New Roman" w:hAnsi="Times New Roman" w:eastAsia="宋体" w:cs="Times New Roman"/>
                <w:bCs/>
                <w:color w:val="000000" w:themeColor="text1"/>
                <w:sz w:val="24"/>
                <w:szCs w:val="24"/>
                <w14:textFill>
                  <w14:solidFill>
                    <w14:schemeClr w14:val="tx1"/>
                  </w14:solidFill>
                </w14:textFill>
              </w:rPr>
              <w:t>。</w:t>
            </w:r>
            <w:r>
              <w:rPr>
                <w:rFonts w:ascii="Times New Roman" w:hAnsi="Times New Roman" w:eastAsia="宋体" w:cs="Times New Roman"/>
                <w:color w:val="000000" w:themeColor="text1"/>
                <w:sz w:val="24"/>
                <w:szCs w:val="24"/>
                <w14:textFill>
                  <w14:solidFill>
                    <w14:schemeClr w14:val="tx1"/>
                  </w14:solidFill>
                </w14:textFill>
              </w:rPr>
              <w:t>本次技改新增</w:t>
            </w:r>
            <w:r>
              <w:rPr>
                <w:rFonts w:ascii="Times New Roman" w:hAnsi="Times New Roman" w:eastAsia="宋体" w:cs="Times New Roman"/>
                <w:bCs/>
                <w:color w:val="000000" w:themeColor="text1"/>
                <w:sz w:val="24"/>
                <w:szCs w:val="24"/>
                <w14:textFill>
                  <w14:solidFill>
                    <w14:schemeClr w14:val="tx1"/>
                  </w14:solidFill>
                </w14:textFill>
              </w:rPr>
              <w:t>SO</w:t>
            </w:r>
            <w:r>
              <w:rPr>
                <w:rFonts w:ascii="Times New Roman" w:hAnsi="Times New Roman" w:eastAsia="宋体" w:cs="Times New Roman"/>
                <w:bCs/>
                <w:color w:val="000000" w:themeColor="text1"/>
                <w:sz w:val="24"/>
                <w:szCs w:val="24"/>
                <w:vertAlign w:val="subscript"/>
                <w14:textFill>
                  <w14:solidFill>
                    <w14:schemeClr w14:val="tx1"/>
                  </w14:solidFill>
                </w14:textFill>
              </w:rPr>
              <w:t>2</w:t>
            </w:r>
            <w:r>
              <w:rPr>
                <w:rFonts w:ascii="Times New Roman" w:hAnsi="Times New Roman" w:eastAsia="宋体" w:cs="Times New Roman"/>
                <w:bCs/>
                <w:color w:val="000000" w:themeColor="text1"/>
                <w:sz w:val="24"/>
                <w:szCs w:val="24"/>
                <w14:textFill>
                  <w14:solidFill>
                    <w14:schemeClr w14:val="tx1"/>
                  </w14:solidFill>
                </w14:textFill>
              </w:rPr>
              <w:t>排放量为</w:t>
            </w:r>
            <w:r>
              <w:rPr>
                <w:rFonts w:ascii="Times New Roman" w:hAnsi="Times New Roman" w:eastAsia="宋体" w:cs="Times New Roman"/>
                <w:color w:val="000000" w:themeColor="text1"/>
                <w:sz w:val="24"/>
                <w:szCs w:val="24"/>
                <w14:textFill>
                  <w14:solidFill>
                    <w14:schemeClr w14:val="tx1"/>
                  </w14:solidFill>
                </w14:textFill>
              </w:rPr>
              <w:t>2.9t/a，不新增</w:t>
            </w:r>
            <w:r>
              <w:rPr>
                <w:rFonts w:ascii="Times New Roman" w:hAnsi="Times New Roman" w:eastAsia="宋体" w:cs="Times New Roman"/>
                <w:bCs/>
                <w:color w:val="000000" w:themeColor="text1"/>
                <w:sz w:val="24"/>
                <w:szCs w:val="24"/>
                <w14:textFill>
                  <w14:solidFill>
                    <w14:schemeClr w14:val="tx1"/>
                  </w14:solidFill>
                </w14:textFill>
              </w:rPr>
              <w:t>NO</w:t>
            </w:r>
            <w:r>
              <w:rPr>
                <w:rFonts w:ascii="Times New Roman" w:hAnsi="Times New Roman" w:eastAsia="宋体" w:cs="Times New Roman"/>
                <w:bCs/>
                <w:color w:val="000000" w:themeColor="text1"/>
                <w:sz w:val="24"/>
                <w:szCs w:val="24"/>
                <w:vertAlign w:val="subscript"/>
                <w14:textFill>
                  <w14:solidFill>
                    <w14:schemeClr w14:val="tx1"/>
                  </w14:solidFill>
                </w14:textFill>
              </w:rPr>
              <w:t>X.</w:t>
            </w:r>
            <w:r>
              <w:rPr>
                <w:rFonts w:ascii="Times New Roman" w:hAnsi="Times New Roman" w:eastAsia="宋体" w:cs="Times New Roman"/>
                <w:color w:val="000000" w:themeColor="text1"/>
                <w:sz w:val="24"/>
                <w:szCs w:val="24"/>
                <w14:textFill>
                  <w14:solidFill>
                    <w14:schemeClr w14:val="tx1"/>
                  </w14:solidFill>
                </w14:textFill>
              </w:rPr>
              <w:t>排放量。</w:t>
            </w:r>
            <w:r>
              <w:rPr>
                <w:rFonts w:ascii="Times New Roman" w:hAnsi="Times New Roman" w:eastAsia="宋体" w:cs="Times New Roman"/>
                <w:bCs/>
                <w:color w:val="000000" w:themeColor="text1"/>
                <w:sz w:val="24"/>
                <w:szCs w:val="24"/>
                <w14:textFill>
                  <w14:solidFill>
                    <w14:schemeClr w14:val="tx1"/>
                  </w14:solidFill>
                </w14:textFill>
              </w:rPr>
              <w:t>本项目建成后全厂</w:t>
            </w:r>
            <w:r>
              <w:rPr>
                <w:rFonts w:ascii="Times New Roman" w:hAnsi="Times New Roman" w:eastAsia="宋体" w:cs="Times New Roman"/>
                <w:color w:val="000000" w:themeColor="text1"/>
                <w:sz w:val="24"/>
                <w:szCs w:val="24"/>
                <w14:textFill>
                  <w14:solidFill>
                    <w14:schemeClr w14:val="tx1"/>
                  </w14:solidFill>
                </w14:textFill>
              </w:rPr>
              <w:t>总量变化情况见下表：</w:t>
            </w:r>
          </w:p>
          <w:p w14:paraId="509E9F56">
            <w:pPr>
              <w:jc w:val="center"/>
              <w:rPr>
                <w:rFonts w:ascii="Times New Roman" w:hAnsi="Times New Roman" w:eastAsia="宋体" w:cs="Times New Roman"/>
                <w:b/>
                <w:color w:val="000000" w:themeColor="text1"/>
                <w:szCs w:val="24"/>
                <w14:textFill>
                  <w14:solidFill>
                    <w14:schemeClr w14:val="tx1"/>
                  </w14:solidFill>
                </w14:textFill>
              </w:rPr>
            </w:pPr>
            <w:r>
              <w:rPr>
                <w:rFonts w:ascii="Times New Roman" w:hAnsi="Times New Roman" w:eastAsia="宋体" w:cs="Times New Roman"/>
                <w:b/>
                <w:bCs/>
                <w:color w:val="000000" w:themeColor="text1"/>
                <w:szCs w:val="24"/>
                <w:lang w:val="pt-BR"/>
                <w14:textFill>
                  <w14:solidFill>
                    <w14:schemeClr w14:val="tx1"/>
                  </w14:solidFill>
                </w14:textFill>
              </w:rPr>
              <w:t xml:space="preserve">表3- </w:t>
            </w:r>
            <w:r>
              <w:rPr>
                <w:rFonts w:ascii="Times New Roman" w:hAnsi="Times New Roman" w:eastAsia="宋体" w:cs="Times New Roman"/>
                <w:b/>
                <w:bCs/>
                <w:color w:val="000000" w:themeColor="text1"/>
                <w:szCs w:val="24"/>
                <w:lang w:val="pt-BR"/>
                <w14:textFill>
                  <w14:solidFill>
                    <w14:schemeClr w14:val="tx1"/>
                  </w14:solidFill>
                </w14:textFill>
              </w:rPr>
              <w:fldChar w:fldCharType="begin"/>
            </w:r>
            <w:r>
              <w:rPr>
                <w:rFonts w:ascii="Times New Roman" w:hAnsi="Times New Roman" w:eastAsia="宋体" w:cs="Times New Roman"/>
                <w:b/>
                <w:bCs/>
                <w:color w:val="000000" w:themeColor="text1"/>
                <w:szCs w:val="24"/>
                <w:lang w:val="pt-BR"/>
                <w14:textFill>
                  <w14:solidFill>
                    <w14:schemeClr w14:val="tx1"/>
                  </w14:solidFill>
                </w14:textFill>
              </w:rPr>
              <w:instrText xml:space="preserve"> SEQ 表3- \* ARABIC </w:instrText>
            </w:r>
            <w:r>
              <w:rPr>
                <w:rFonts w:ascii="Times New Roman" w:hAnsi="Times New Roman" w:eastAsia="宋体" w:cs="Times New Roman"/>
                <w:b/>
                <w:bCs/>
                <w:color w:val="000000" w:themeColor="text1"/>
                <w:szCs w:val="24"/>
                <w:lang w:val="pt-BR"/>
                <w14:textFill>
                  <w14:solidFill>
                    <w14:schemeClr w14:val="tx1"/>
                  </w14:solidFill>
                </w14:textFill>
              </w:rPr>
              <w:fldChar w:fldCharType="separate"/>
            </w:r>
            <w:r>
              <w:rPr>
                <w:rFonts w:ascii="Times New Roman" w:hAnsi="Times New Roman" w:eastAsia="宋体" w:cs="Times New Roman"/>
                <w:b/>
                <w:bCs/>
                <w:color w:val="000000" w:themeColor="text1"/>
                <w:szCs w:val="24"/>
                <w:lang w:val="pt-BR"/>
                <w14:textFill>
                  <w14:solidFill>
                    <w14:schemeClr w14:val="tx1"/>
                  </w14:solidFill>
                </w14:textFill>
              </w:rPr>
              <w:t>17</w:t>
            </w:r>
            <w:r>
              <w:rPr>
                <w:rFonts w:ascii="Times New Roman" w:hAnsi="Times New Roman" w:eastAsia="宋体" w:cs="Times New Roman"/>
                <w:b/>
                <w:bCs/>
                <w:color w:val="000000" w:themeColor="text1"/>
                <w:szCs w:val="24"/>
                <w:lang w:val="pt-BR"/>
                <w14:textFill>
                  <w14:solidFill>
                    <w14:schemeClr w14:val="tx1"/>
                  </w14:solidFill>
                </w14:textFill>
              </w:rPr>
              <w:fldChar w:fldCharType="end"/>
            </w:r>
            <w:r>
              <w:rPr>
                <w:rFonts w:ascii="Times New Roman" w:hAnsi="Times New Roman" w:eastAsia="宋体" w:cs="Times New Roman"/>
                <w:b/>
                <w:bCs/>
                <w:color w:val="000000" w:themeColor="text1"/>
                <w:szCs w:val="24"/>
                <w14:textFill>
                  <w14:solidFill>
                    <w14:schemeClr w14:val="tx1"/>
                  </w14:solidFill>
                </w14:textFill>
              </w:rPr>
              <w:t xml:space="preserve">  </w:t>
            </w:r>
            <w:r>
              <w:rPr>
                <w:rFonts w:ascii="Times New Roman" w:hAnsi="Times New Roman" w:eastAsia="宋体" w:cs="Times New Roman"/>
                <w:b/>
                <w:color w:val="000000" w:themeColor="text1"/>
                <w:szCs w:val="24"/>
                <w14:textFill>
                  <w14:solidFill>
                    <w14:schemeClr w14:val="tx1"/>
                  </w14:solidFill>
                </w14:textFill>
              </w:rPr>
              <w:t>全厂总量控制指标变化情况</w:t>
            </w:r>
          </w:p>
          <w:tbl>
            <w:tblPr>
              <w:tblStyle w:val="24"/>
              <w:tblW w:w="827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170"/>
              <w:gridCol w:w="823"/>
              <w:gridCol w:w="1245"/>
              <w:gridCol w:w="1399"/>
              <w:gridCol w:w="1399"/>
              <w:gridCol w:w="1257"/>
              <w:gridCol w:w="977"/>
            </w:tblGrid>
            <w:tr w14:paraId="18C8D2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206" w:hRule="atLeast"/>
                <w:jc w:val="center"/>
              </w:trPr>
              <w:tc>
                <w:tcPr>
                  <w:tcW w:w="1170" w:type="dxa"/>
                  <w:tcMar>
                    <w:top w:w="0" w:type="dxa"/>
                    <w:left w:w="28" w:type="dxa"/>
                    <w:bottom w:w="0" w:type="dxa"/>
                    <w:right w:w="28" w:type="dxa"/>
                  </w:tcMar>
                  <w:vAlign w:val="center"/>
                </w:tcPr>
                <w:p w14:paraId="3DCDA03C">
                  <w:pPr>
                    <w:snapToGrid w:val="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污染物类别</w:t>
                  </w:r>
                </w:p>
              </w:tc>
              <w:tc>
                <w:tcPr>
                  <w:tcW w:w="823" w:type="dxa"/>
                  <w:vAlign w:val="center"/>
                </w:tcPr>
                <w:p w14:paraId="5547578F">
                  <w:pPr>
                    <w:snapToGrid w:val="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名称</w:t>
                  </w:r>
                </w:p>
              </w:tc>
              <w:tc>
                <w:tcPr>
                  <w:tcW w:w="1245" w:type="dxa"/>
                  <w:tcMar>
                    <w:top w:w="0" w:type="dxa"/>
                    <w:left w:w="28" w:type="dxa"/>
                    <w:bottom w:w="0" w:type="dxa"/>
                    <w:right w:w="28" w:type="dxa"/>
                  </w:tcMar>
                  <w:vAlign w:val="center"/>
                </w:tcPr>
                <w:p w14:paraId="58036DB7">
                  <w:pPr>
                    <w:snapToGrid w:val="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现有工程允许总量t/a</w:t>
                  </w:r>
                </w:p>
              </w:tc>
              <w:tc>
                <w:tcPr>
                  <w:tcW w:w="1399" w:type="dxa"/>
                  <w:vAlign w:val="center"/>
                </w:tcPr>
                <w:p w14:paraId="20E26F07">
                  <w:pPr>
                    <w:snapToGrid w:val="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现有工程实际排放情况t/a</w:t>
                  </w:r>
                </w:p>
              </w:tc>
              <w:tc>
                <w:tcPr>
                  <w:tcW w:w="1399" w:type="dxa"/>
                  <w:vAlign w:val="center"/>
                </w:tcPr>
                <w:p w14:paraId="158F97DB">
                  <w:pPr>
                    <w:snapToGrid w:val="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以新带老削减量t/a</w:t>
                  </w:r>
                </w:p>
              </w:tc>
              <w:tc>
                <w:tcPr>
                  <w:tcW w:w="1257" w:type="dxa"/>
                  <w:vAlign w:val="center"/>
                </w:tcPr>
                <w:p w14:paraId="5B0C9F4D">
                  <w:pPr>
                    <w:snapToGrid w:val="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本项目新增</w:t>
                  </w:r>
                </w:p>
                <w:p w14:paraId="160AB035">
                  <w:pPr>
                    <w:snapToGrid w:val="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排放总量t/a</w:t>
                  </w:r>
                </w:p>
              </w:tc>
              <w:tc>
                <w:tcPr>
                  <w:tcW w:w="977" w:type="dxa"/>
                  <w:vAlign w:val="center"/>
                </w:tcPr>
                <w:p w14:paraId="4C49618F">
                  <w:pPr>
                    <w:snapToGrid w:val="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全厂排放量t/a</w:t>
                  </w:r>
                </w:p>
              </w:tc>
            </w:tr>
            <w:tr w14:paraId="42B3E5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206" w:hRule="atLeast"/>
                <w:jc w:val="center"/>
              </w:trPr>
              <w:tc>
                <w:tcPr>
                  <w:tcW w:w="1170" w:type="dxa"/>
                  <w:vMerge w:val="restart"/>
                  <w:tcMar>
                    <w:top w:w="0" w:type="dxa"/>
                    <w:left w:w="28" w:type="dxa"/>
                    <w:bottom w:w="0" w:type="dxa"/>
                    <w:right w:w="28" w:type="dxa"/>
                  </w:tcMar>
                  <w:vAlign w:val="center"/>
                </w:tcPr>
                <w:p w14:paraId="42A53469">
                  <w:pPr>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大气污染物</w:t>
                  </w:r>
                </w:p>
              </w:tc>
              <w:tc>
                <w:tcPr>
                  <w:tcW w:w="823" w:type="dxa"/>
                  <w:tcMar>
                    <w:top w:w="0" w:type="dxa"/>
                    <w:left w:w="28" w:type="dxa"/>
                    <w:bottom w:w="0" w:type="dxa"/>
                    <w:right w:w="28" w:type="dxa"/>
                  </w:tcMar>
                  <w:vAlign w:val="center"/>
                </w:tcPr>
                <w:p w14:paraId="690ECC0B">
                  <w:pPr>
                    <w:overflowPunct w:val="0"/>
                    <w:topLinePunct/>
                    <w:jc w:val="center"/>
                    <w:textAlignment w:val="baseline"/>
                    <w:rPr>
                      <w:rFonts w:ascii="Times New Roman" w:hAnsi="Times New Roman" w:eastAsia="宋体" w:cs="Times New Roman"/>
                      <w:snapToGrid w:val="0"/>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SO</w:t>
                  </w:r>
                  <w:r>
                    <w:rPr>
                      <w:rFonts w:ascii="Times New Roman" w:hAnsi="Times New Roman" w:eastAsia="宋体" w:cs="Times New Roman"/>
                      <w:bCs/>
                      <w:color w:val="000000" w:themeColor="text1"/>
                      <w:sz w:val="24"/>
                      <w:szCs w:val="24"/>
                      <w:vertAlign w:val="subscript"/>
                      <w14:textFill>
                        <w14:solidFill>
                          <w14:schemeClr w14:val="tx1"/>
                        </w14:solidFill>
                      </w14:textFill>
                    </w:rPr>
                    <w:t>2</w:t>
                  </w:r>
                </w:p>
              </w:tc>
              <w:tc>
                <w:tcPr>
                  <w:tcW w:w="1245" w:type="dxa"/>
                  <w:tcMar>
                    <w:top w:w="0" w:type="dxa"/>
                    <w:left w:w="28" w:type="dxa"/>
                    <w:bottom w:w="0" w:type="dxa"/>
                    <w:right w:w="28" w:type="dxa"/>
                  </w:tcMar>
                  <w:vAlign w:val="center"/>
                </w:tcPr>
                <w:p w14:paraId="46E6270C">
                  <w:pPr>
                    <w:overflowPunct w:val="0"/>
                    <w:topLinePunct/>
                    <w:jc w:val="center"/>
                    <w:textAlignment w:val="baseline"/>
                    <w:rPr>
                      <w:rFonts w:ascii="Times New Roman" w:hAnsi="Times New Roman" w:eastAsia="宋体" w:cs="Times New Roman"/>
                      <w:snapToGrid w:val="0"/>
                      <w:color w:val="000000" w:themeColor="text1"/>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12</w:t>
                  </w:r>
                </w:p>
              </w:tc>
              <w:tc>
                <w:tcPr>
                  <w:tcW w:w="1399" w:type="dxa"/>
                  <w:vAlign w:val="center"/>
                </w:tcPr>
                <w:p w14:paraId="744AF33B">
                  <w:pPr>
                    <w:overflowPunct w:val="0"/>
                    <w:topLinePunct/>
                    <w:jc w:val="center"/>
                    <w:textAlignment w:val="baseline"/>
                    <w:rPr>
                      <w:rFonts w:ascii="Times New Roman" w:hAnsi="Times New Roman" w:eastAsia="宋体" w:cs="Times New Roman"/>
                      <w:snapToGrid w:val="0"/>
                      <w:color w:val="000000" w:themeColor="text1"/>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8.6365</w:t>
                  </w:r>
                </w:p>
              </w:tc>
              <w:tc>
                <w:tcPr>
                  <w:tcW w:w="1399" w:type="dxa"/>
                  <w:vAlign w:val="center"/>
                </w:tcPr>
                <w:p w14:paraId="2EE71A27">
                  <w:pPr>
                    <w:overflowPunct w:val="0"/>
                    <w:topLinePunct/>
                    <w:jc w:val="center"/>
                    <w:textAlignment w:val="baseline"/>
                    <w:rPr>
                      <w:rFonts w:ascii="Times New Roman" w:hAnsi="Times New Roman" w:eastAsia="宋体" w:cs="Times New Roman"/>
                      <w:snapToGrid w:val="0"/>
                      <w:color w:val="000000" w:themeColor="text1"/>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0</w:t>
                  </w:r>
                </w:p>
              </w:tc>
              <w:tc>
                <w:tcPr>
                  <w:tcW w:w="1257" w:type="dxa"/>
                  <w:vAlign w:val="center"/>
                </w:tcPr>
                <w:p w14:paraId="50B418B0">
                  <w:pPr>
                    <w:overflowPunct w:val="0"/>
                    <w:topLinePunct/>
                    <w:jc w:val="center"/>
                    <w:textAlignment w:val="baseline"/>
                    <w:rPr>
                      <w:rFonts w:ascii="Times New Roman" w:hAnsi="Times New Roman" w:cs="Times New Roman"/>
                      <w:snapToGrid w:val="0"/>
                      <w:color w:val="000000" w:themeColor="text1"/>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0</w:t>
                  </w:r>
                </w:p>
              </w:tc>
              <w:tc>
                <w:tcPr>
                  <w:tcW w:w="977" w:type="dxa"/>
                  <w:vAlign w:val="center"/>
                </w:tcPr>
                <w:p w14:paraId="28A45B9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8.6365</w:t>
                  </w:r>
                </w:p>
              </w:tc>
            </w:tr>
            <w:tr w14:paraId="5770DD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206" w:hRule="atLeast"/>
                <w:jc w:val="center"/>
              </w:trPr>
              <w:tc>
                <w:tcPr>
                  <w:tcW w:w="1170" w:type="dxa"/>
                  <w:vMerge w:val="continue"/>
                  <w:tcMar>
                    <w:top w:w="0" w:type="dxa"/>
                    <w:left w:w="28" w:type="dxa"/>
                    <w:bottom w:w="0" w:type="dxa"/>
                    <w:right w:w="28" w:type="dxa"/>
                  </w:tcMar>
                  <w:vAlign w:val="center"/>
                </w:tcPr>
                <w:p w14:paraId="69EDCCE8">
                  <w:pPr>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823" w:type="dxa"/>
                  <w:tcMar>
                    <w:top w:w="0" w:type="dxa"/>
                    <w:left w:w="28" w:type="dxa"/>
                    <w:bottom w:w="0" w:type="dxa"/>
                    <w:right w:w="28" w:type="dxa"/>
                  </w:tcMar>
                  <w:vAlign w:val="center"/>
                </w:tcPr>
                <w:p w14:paraId="30D5FBD2">
                  <w:pPr>
                    <w:overflowPunct w:val="0"/>
                    <w:topLinePunct/>
                    <w:jc w:val="center"/>
                    <w:textAlignment w:val="baseline"/>
                    <w:rPr>
                      <w:rFonts w:ascii="Times New Roman" w:hAnsi="Times New Roman" w:eastAsia="宋体" w:cs="Times New Roman"/>
                      <w:snapToGrid w:val="0"/>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sz w:val="24"/>
                      <w:szCs w:val="24"/>
                      <w14:textFill>
                        <w14:solidFill>
                          <w14:schemeClr w14:val="tx1"/>
                        </w14:solidFill>
                      </w14:textFill>
                    </w:rPr>
                    <w:t>NO</w:t>
                  </w:r>
                  <w:r>
                    <w:rPr>
                      <w:rFonts w:ascii="Times New Roman" w:hAnsi="Times New Roman" w:eastAsia="宋体" w:cs="Times New Roman"/>
                      <w:bCs/>
                      <w:color w:val="000000" w:themeColor="text1"/>
                      <w:sz w:val="24"/>
                      <w:szCs w:val="24"/>
                      <w:vertAlign w:val="subscript"/>
                      <w14:textFill>
                        <w14:solidFill>
                          <w14:schemeClr w14:val="tx1"/>
                        </w14:solidFill>
                      </w14:textFill>
                    </w:rPr>
                    <w:t>X.</w:t>
                  </w:r>
                </w:p>
              </w:tc>
              <w:tc>
                <w:tcPr>
                  <w:tcW w:w="1245" w:type="dxa"/>
                  <w:tcMar>
                    <w:top w:w="0" w:type="dxa"/>
                    <w:left w:w="28" w:type="dxa"/>
                    <w:bottom w:w="0" w:type="dxa"/>
                    <w:right w:w="28" w:type="dxa"/>
                  </w:tcMar>
                  <w:vAlign w:val="center"/>
                </w:tcPr>
                <w:p w14:paraId="3537C3AC">
                  <w:pPr>
                    <w:overflowPunct w:val="0"/>
                    <w:topLinePunct/>
                    <w:jc w:val="center"/>
                    <w:textAlignment w:val="baseline"/>
                    <w:rPr>
                      <w:rFonts w:ascii="Times New Roman" w:hAnsi="Times New Roman" w:eastAsia="宋体" w:cs="Times New Roman"/>
                      <w:snapToGrid w:val="0"/>
                      <w:color w:val="000000" w:themeColor="text1"/>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12.06</w:t>
                  </w:r>
                </w:p>
              </w:tc>
              <w:tc>
                <w:tcPr>
                  <w:tcW w:w="1399" w:type="dxa"/>
                  <w:vAlign w:val="center"/>
                </w:tcPr>
                <w:p w14:paraId="2E53B18F">
                  <w:pPr>
                    <w:overflowPunct w:val="0"/>
                    <w:topLinePunct/>
                    <w:jc w:val="center"/>
                    <w:textAlignment w:val="baseline"/>
                    <w:rPr>
                      <w:rFonts w:ascii="Times New Roman" w:hAnsi="Times New Roman" w:eastAsia="宋体" w:cs="Times New Roman"/>
                      <w:snapToGrid w:val="0"/>
                      <w:color w:val="000000" w:themeColor="text1"/>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9.012</w:t>
                  </w:r>
                </w:p>
              </w:tc>
              <w:tc>
                <w:tcPr>
                  <w:tcW w:w="1399" w:type="dxa"/>
                  <w:vAlign w:val="center"/>
                </w:tcPr>
                <w:p w14:paraId="46AC1C4C">
                  <w:pPr>
                    <w:overflowPunct w:val="0"/>
                    <w:topLinePunct/>
                    <w:jc w:val="center"/>
                    <w:textAlignment w:val="baseline"/>
                    <w:rPr>
                      <w:rFonts w:ascii="Times New Roman" w:hAnsi="Times New Roman" w:eastAsia="宋体" w:cs="Times New Roman"/>
                      <w:snapToGrid w:val="0"/>
                      <w:color w:val="000000" w:themeColor="text1"/>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0</w:t>
                  </w:r>
                </w:p>
              </w:tc>
              <w:tc>
                <w:tcPr>
                  <w:tcW w:w="1257" w:type="dxa"/>
                  <w:vAlign w:val="center"/>
                </w:tcPr>
                <w:p w14:paraId="54011474">
                  <w:pPr>
                    <w:overflowPunct w:val="0"/>
                    <w:topLinePunct/>
                    <w:jc w:val="center"/>
                    <w:textAlignment w:val="baseline"/>
                    <w:rPr>
                      <w:rFonts w:ascii="Times New Roman" w:hAnsi="Times New Roman" w:eastAsia="宋体" w:cs="Times New Roman"/>
                      <w:snapToGrid w:val="0"/>
                      <w:color w:val="000000" w:themeColor="text1"/>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0</w:t>
                  </w:r>
                </w:p>
              </w:tc>
              <w:tc>
                <w:tcPr>
                  <w:tcW w:w="977" w:type="dxa"/>
                  <w:vAlign w:val="center"/>
                </w:tcPr>
                <w:p w14:paraId="4440E95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9.012</w:t>
                  </w:r>
                </w:p>
              </w:tc>
            </w:tr>
          </w:tbl>
          <w:p w14:paraId="4EEBD893">
            <w:pPr>
              <w:spacing w:line="360" w:lineRule="auto"/>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 xml:space="preserve">    本次技改后不超过现有工程已批复总量，因此，本项目建设无需新增总量。</w:t>
            </w:r>
          </w:p>
          <w:p w14:paraId="4776694F">
            <w:pPr>
              <w:spacing w:line="360" w:lineRule="auto"/>
              <w:jc w:val="center"/>
              <w:rPr>
                <w:rFonts w:ascii="Times New Roman" w:hAnsi="Times New Roman" w:eastAsia="宋体" w:cs="Times New Roman"/>
                <w:color w:val="000000" w:themeColor="text1"/>
                <w:sz w:val="24"/>
                <w:szCs w:val="24"/>
                <w14:textFill>
                  <w14:solidFill>
                    <w14:schemeClr w14:val="tx1"/>
                  </w14:solidFill>
                </w14:textFill>
              </w:rPr>
            </w:pPr>
          </w:p>
          <w:p w14:paraId="12F23B83">
            <w:pPr>
              <w:spacing w:line="360" w:lineRule="auto"/>
              <w:jc w:val="center"/>
              <w:rPr>
                <w:rFonts w:ascii="Times New Roman" w:hAnsi="Times New Roman" w:eastAsia="宋体" w:cs="Times New Roman"/>
                <w:color w:val="000000" w:themeColor="text1"/>
                <w:sz w:val="24"/>
                <w:szCs w:val="24"/>
                <w14:textFill>
                  <w14:solidFill>
                    <w14:schemeClr w14:val="tx1"/>
                  </w14:solidFill>
                </w14:textFill>
              </w:rPr>
            </w:pPr>
          </w:p>
          <w:p w14:paraId="4AA2B2E0">
            <w:pPr>
              <w:pStyle w:val="2"/>
              <w:ind w:firstLine="492"/>
            </w:pPr>
          </w:p>
          <w:p w14:paraId="208C1991">
            <w:pPr>
              <w:pStyle w:val="6"/>
            </w:pPr>
          </w:p>
          <w:p w14:paraId="278409D4"/>
          <w:p w14:paraId="5221EDA7">
            <w:pPr>
              <w:pStyle w:val="2"/>
              <w:ind w:firstLine="492"/>
            </w:pPr>
          </w:p>
          <w:p w14:paraId="4E6402F1">
            <w:pPr>
              <w:pStyle w:val="6"/>
            </w:pPr>
          </w:p>
          <w:p w14:paraId="55E73234"/>
          <w:p w14:paraId="4B703C7D">
            <w:pPr>
              <w:pStyle w:val="2"/>
              <w:ind w:firstLine="492"/>
            </w:pPr>
          </w:p>
          <w:p w14:paraId="08B7C884">
            <w:pPr>
              <w:pStyle w:val="6"/>
            </w:pPr>
          </w:p>
          <w:p w14:paraId="70AACA44"/>
          <w:p w14:paraId="4948AD07">
            <w:pPr>
              <w:pStyle w:val="2"/>
              <w:ind w:firstLine="492"/>
            </w:pPr>
          </w:p>
          <w:p w14:paraId="71E3C375">
            <w:pPr>
              <w:pStyle w:val="6"/>
            </w:pPr>
          </w:p>
          <w:p w14:paraId="2720D920"/>
          <w:p w14:paraId="68A1A812">
            <w:pPr>
              <w:jc w:val="center"/>
              <w:rPr>
                <w:rFonts w:ascii="Times New Roman" w:hAnsi="Times New Roman" w:eastAsia="宋体" w:cs="Times New Roman"/>
                <w:color w:val="000000" w:themeColor="text1"/>
                <w:sz w:val="24"/>
                <w:szCs w:val="24"/>
                <w14:textFill>
                  <w14:solidFill>
                    <w14:schemeClr w14:val="tx1"/>
                  </w14:solidFill>
                </w14:textFill>
              </w:rPr>
            </w:pPr>
          </w:p>
          <w:p w14:paraId="56A3DBB8">
            <w:pPr>
              <w:jc w:val="center"/>
              <w:rPr>
                <w:rFonts w:ascii="Times New Roman" w:hAnsi="Times New Roman" w:eastAsia="宋体" w:cs="Times New Roman"/>
                <w:color w:val="000000" w:themeColor="text1"/>
                <w:sz w:val="24"/>
                <w:szCs w:val="24"/>
                <w14:textFill>
                  <w14:solidFill>
                    <w14:schemeClr w14:val="tx1"/>
                  </w14:solidFill>
                </w14:textFill>
              </w:rPr>
            </w:pPr>
          </w:p>
        </w:tc>
      </w:tr>
    </w:tbl>
    <w:p w14:paraId="0CF74B39">
      <w:pPr>
        <w:jc w:val="center"/>
        <w:rPr>
          <w:rFonts w:ascii="Times New Roman" w:hAnsi="Times New Roman" w:eastAsia="宋体" w:cs="Times New Roman"/>
          <w:b/>
          <w:color w:val="000000" w:themeColor="text1"/>
          <w:sz w:val="24"/>
          <w:szCs w:val="24"/>
          <w14:textFill>
            <w14:solidFill>
              <w14:schemeClr w14:val="tx1"/>
            </w14:solidFill>
          </w14:textFill>
        </w:rPr>
      </w:pPr>
    </w:p>
    <w:p w14:paraId="7C685CE8">
      <w:pPr>
        <w:jc w:val="center"/>
        <w:rPr>
          <w:rFonts w:ascii="Times New Roman" w:hAnsi="Times New Roman" w:eastAsia="宋体" w:cs="Times New Roman"/>
          <w:b/>
          <w:color w:val="000000" w:themeColor="text1"/>
          <w:sz w:val="24"/>
          <w:szCs w:val="24"/>
          <w14:textFill>
            <w14:solidFill>
              <w14:schemeClr w14:val="tx1"/>
            </w14:solidFill>
          </w14:textFill>
        </w:rPr>
        <w:sectPr>
          <w:pgSz w:w="11906" w:h="16838"/>
          <w:pgMar w:top="1440" w:right="1800" w:bottom="1440" w:left="1800" w:header="851" w:footer="992" w:gutter="0"/>
          <w:cols w:space="425" w:num="1"/>
          <w:docGrid w:type="lines" w:linePitch="312" w:charSpace="0"/>
        </w:sectPr>
      </w:pPr>
    </w:p>
    <w:p w14:paraId="35D4BEDF">
      <w:pPr>
        <w:jc w:val="center"/>
        <w:outlineLvl w:val="0"/>
        <w:rPr>
          <w:rFonts w:ascii="Times New Roman" w:hAnsi="Times New Roman" w:cs="Times New Roman"/>
          <w:b/>
          <w:color w:val="000000" w:themeColor="text1"/>
          <w:sz w:val="32"/>
          <w14:textFill>
            <w14:solidFill>
              <w14:schemeClr w14:val="tx1"/>
            </w14:solidFill>
          </w14:textFill>
        </w:rPr>
      </w:pPr>
      <w:bookmarkStart w:id="30" w:name="_Toc9824"/>
      <w:r>
        <w:rPr>
          <w:rFonts w:ascii="Times New Roman" w:hAnsi="Times New Roman" w:cs="Times New Roman"/>
          <w:b/>
          <w:color w:val="000000" w:themeColor="text1"/>
          <w:sz w:val="32"/>
          <w14:textFill>
            <w14:solidFill>
              <w14:schemeClr w14:val="tx1"/>
            </w14:solidFill>
          </w14:textFill>
        </w:rPr>
        <w:t>四、主要环境影响和保护措施</w:t>
      </w:r>
      <w:bookmarkEnd w:id="30"/>
    </w:p>
    <w:tbl>
      <w:tblPr>
        <w:tblStyle w:val="25"/>
        <w:tblW w:w="89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6"/>
        <w:gridCol w:w="8729"/>
      </w:tblGrid>
      <w:tr w14:paraId="45C9E0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62" w:type="dxa"/>
            <w:vAlign w:val="center"/>
          </w:tcPr>
          <w:p w14:paraId="54C4B86D">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施工期环境保护措施</w:t>
            </w:r>
          </w:p>
        </w:tc>
        <w:tc>
          <w:tcPr>
            <w:tcW w:w="8364" w:type="dxa"/>
            <w:vAlign w:val="center"/>
          </w:tcPr>
          <w:p w14:paraId="1090973B">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本项目施工期产生的废气主要包括施工扬尘、汽车尾气；施工期产生的废水主要包施工废水及施工人员的生活污水；施工噪声主要为车辆运输噪声；施工期固体废物主要包括建筑垃圾和施工人员生活垃圾。</w:t>
            </w:r>
          </w:p>
          <w:p w14:paraId="083CBD95">
            <w:pPr>
              <w:adjustRightInd w:val="0"/>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一、施工期废气的排放及治理</w:t>
            </w:r>
          </w:p>
          <w:p w14:paraId="3273F456">
            <w:pPr>
              <w:adjustRightInd w:val="0"/>
              <w:snapToGrid w:val="0"/>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1、施工和汽车运输扬尘</w:t>
            </w:r>
          </w:p>
          <w:p w14:paraId="646B3A67">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项目施工过程中须严格按照《四川省人民政府办公厅关于加强灰霾污染防治的通知》及《四川省灰霾污染防治实施方案》要求进行扬尘控制及治理。项目施工工地做到“六必须”（必须围档作业、必须硬化道路、必须设置冲洗设施、必须及时洒水作业、必须落实保洁人员、必须定时清扫施工现场）、“六不准”（不准车辆带泥出门、不准运渣车辆冒顶装载、不准高空抛撒建筑垃圾、不准现场搅拌混凝土、不准场地积水、不准现场焚烧废弃物）。全面督查建设工地现场管理“六必须”、“六不准”执行情况，确保达到《四川省施工场地扬尘排放标准》（DB(A)51 2682 -2020）排放限值要求；项目在施工过程中应采取的扬尘治理措施如下：</w:t>
            </w:r>
          </w:p>
          <w:p w14:paraId="4F0E7BCF">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a. 施工企业要在开工前制定建筑施工现场扬尘控制措施，对施工现场实施封闭围挡、道路硬化、材料堆放遮盖、进出车辆冲洗、工程立面围护、建筑垃圾清运等措施；</w:t>
            </w:r>
          </w:p>
          <w:p w14:paraId="7B962445">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b. 施工现场实行围挡封闭，防止物料、渣土外泄；为施工现场出入口位置配备车辆冲洗设施；</w:t>
            </w:r>
          </w:p>
          <w:p w14:paraId="3A39CAAA">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c. 采用湿法作业，对地面定期洒水，并及时对建筑垃圾进行清运，未及时清运的建筑垃圾采用覆盖措施</w:t>
            </w:r>
          </w:p>
          <w:p w14:paraId="014D766A">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d. 施工现场建筑材料实行集中、分类堆放。建筑垃圾采取封闭方式清运，严禁高处抛洒；装卸和贮存物料应当防止遗撒或者扬尘。</w:t>
            </w:r>
          </w:p>
          <w:p w14:paraId="75935BEC">
            <w:pPr>
              <w:adjustRightInd w:val="0"/>
              <w:snapToGrid w:val="0"/>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2、汽车尾气</w:t>
            </w:r>
          </w:p>
          <w:p w14:paraId="02BE0556">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废气主要来自汽车尾气，主要成分为CO、NOx以及未完全燃烧的THC等，排放量小，且属间断性无组织排放。环评建议进出厂区的车辆缓慢行驶。由于施工场地开阔，扩散条件良好，废气通过自然稀释后场界的贡献值可控制在较低水平。</w:t>
            </w:r>
          </w:p>
          <w:p w14:paraId="6605B24C">
            <w:pPr>
              <w:adjustRightInd w:val="0"/>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二、施工期废水的排放及治理</w:t>
            </w:r>
          </w:p>
          <w:p w14:paraId="1C84A116">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施工期间施工废水污染物主要为悬浮物，施工时设临时沉淀池，施工废水循环利用；施工期施工人员5人，生活用水量按20L/人·天计，则日生活用水量为0.1m</w:t>
            </w:r>
            <w:r>
              <w:rPr>
                <w:rFonts w:ascii="Times New Roman" w:hAnsi="Times New Roman" w:eastAsia="宋体" w:cs="Times New Roman"/>
                <w:color w:val="000000" w:themeColor="text1"/>
                <w:sz w:val="24"/>
                <w:szCs w:val="24"/>
                <w:vertAlign w:val="super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/d，生活污水的排放量按用水量的85%计，则生活污水排放量为0.085m</w:t>
            </w:r>
            <w:r>
              <w:rPr>
                <w:rFonts w:ascii="Times New Roman" w:hAnsi="Times New Roman" w:eastAsia="宋体" w:cs="Times New Roman"/>
                <w:color w:val="000000" w:themeColor="text1"/>
                <w:sz w:val="24"/>
                <w:szCs w:val="24"/>
                <w:vertAlign w:val="super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/d。其中主要的污染因子为COD</w:t>
            </w:r>
            <w:r>
              <w:rPr>
                <w:rFonts w:ascii="Times New Roman" w:hAnsi="Times New Roman" w:eastAsia="宋体" w:cs="Times New Roman"/>
                <w:color w:val="000000" w:themeColor="text1"/>
                <w:sz w:val="24"/>
                <w:szCs w:val="24"/>
                <w:vertAlign w:val="subscript"/>
                <w14:textFill>
                  <w14:solidFill>
                    <w14:schemeClr w14:val="tx1"/>
                  </w14:solidFill>
                </w14:textFill>
              </w:rPr>
              <w:t>Cr</w:t>
            </w:r>
            <w:r>
              <w:rPr>
                <w:rFonts w:ascii="Times New Roman" w:hAnsi="Times New Roman" w:eastAsia="宋体" w:cs="Times New Roman"/>
                <w:color w:val="000000" w:themeColor="text1"/>
                <w:sz w:val="24"/>
                <w:szCs w:val="24"/>
                <w14:textFill>
                  <w14:solidFill>
                    <w14:schemeClr w14:val="tx1"/>
                  </w14:solidFill>
                </w14:textFill>
              </w:rPr>
              <w:t>、SS、NH</w:t>
            </w:r>
            <w:r>
              <w:rPr>
                <w:rFonts w:ascii="Times New Roman" w:hAnsi="Times New Roman" w:eastAsia="宋体" w:cs="Times New Roman"/>
                <w:color w:val="000000" w:themeColor="text1"/>
                <w:sz w:val="24"/>
                <w:szCs w:val="24"/>
                <w:vertAlign w:val="sub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-N等。生活污水经厂区预处理池处理后用作农肥。</w:t>
            </w:r>
          </w:p>
          <w:p w14:paraId="0B3E667E">
            <w:pPr>
              <w:adjustRightInd w:val="0"/>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三、施工期噪声的排放及治理</w:t>
            </w:r>
          </w:p>
          <w:p w14:paraId="726C1902">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施工期间的噪声污染源主要为运输车辆噪声。为防止噪声影响周围环境和人们的正常生活，施工单位应严格执行《中华人民共和国环境噪声污染防治法》的相关要求，采取的防治措施具体如下：</w:t>
            </w:r>
          </w:p>
          <w:p w14:paraId="0CC07602">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①</w:t>
            </w:r>
            <w:r>
              <w:rPr>
                <w:rFonts w:ascii="Times New Roman" w:hAnsi="Times New Roman" w:eastAsia="宋体" w:cs="Times New Roman"/>
                <w:color w:val="000000" w:themeColor="text1"/>
                <w:sz w:val="24"/>
                <w:szCs w:val="24"/>
                <w14:textFill>
                  <w14:solidFill>
                    <w14:schemeClr w14:val="tx1"/>
                  </w14:solidFill>
                </w14:textFill>
              </w:rPr>
              <w:t>合理安排施工计划和施工机械设备组合以及施工时间，禁止在中午（12:00~14:00）和夜间（22:00~6:00）施工，避免在同一时间集中使用大量的动力机械设备。</w:t>
            </w:r>
          </w:p>
          <w:p w14:paraId="2B8E3EC1">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②</w:t>
            </w:r>
            <w:r>
              <w:rPr>
                <w:rFonts w:ascii="Times New Roman" w:hAnsi="Times New Roman" w:eastAsia="宋体" w:cs="Times New Roman"/>
                <w:color w:val="000000" w:themeColor="text1"/>
                <w:sz w:val="24"/>
                <w:szCs w:val="24"/>
                <w14:textFill>
                  <w14:solidFill>
                    <w14:schemeClr w14:val="tx1"/>
                  </w14:solidFill>
                </w14:textFill>
              </w:rPr>
              <w:t>施工单位严格执行《建筑施工场界环境噪声排放标准》（GB12523-2011）的要求，在施工过程中，尽量减少运行动力机械设备的数量，尽可能使动力机械设备比较均匀地使用；合理布置施工机械位置，施工机械应尽可能放置于场地中间或远离居民等敏感目标的地点。</w:t>
            </w:r>
          </w:p>
          <w:p w14:paraId="398C2BC7">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③</w:t>
            </w:r>
            <w:r>
              <w:rPr>
                <w:rFonts w:ascii="Times New Roman" w:hAnsi="Times New Roman" w:eastAsia="宋体" w:cs="Times New Roman"/>
                <w:color w:val="000000" w:themeColor="text1"/>
                <w:sz w:val="24"/>
                <w:szCs w:val="24"/>
                <w14:textFill>
                  <w14:solidFill>
                    <w14:schemeClr w14:val="tx1"/>
                  </w14:solidFill>
                </w14:textFill>
              </w:rPr>
              <w:t>运输车辆限速行驶，并尽量压缩施工区汽车数量和行车密度，控制汽车鸣笛。加强对施工设备的日常维修、保养，使其保持良好的运行状态。</w:t>
            </w:r>
          </w:p>
          <w:p w14:paraId="3BBFC5BC">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④</w:t>
            </w:r>
            <w:r>
              <w:rPr>
                <w:rFonts w:ascii="Times New Roman" w:hAnsi="Times New Roman" w:eastAsia="宋体" w:cs="Times New Roman"/>
                <w:color w:val="000000" w:themeColor="text1"/>
                <w:sz w:val="24"/>
                <w:szCs w:val="24"/>
                <w14:textFill>
                  <w14:solidFill>
                    <w14:schemeClr w14:val="tx1"/>
                  </w14:solidFill>
                </w14:textFill>
              </w:rPr>
              <w:t>对施工人员进场进行文明施工教育，施工中或生活中不大声喧哗，特别是22:00之后，禁止发生人为噪声。施工单位应处理好与施工场界周围居民的关系，及时告知周边居民，避免因噪声污染引发纠纷，影响社会稳定。</w:t>
            </w:r>
          </w:p>
          <w:p w14:paraId="297C772B">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⑤</w:t>
            </w:r>
            <w:r>
              <w:rPr>
                <w:rFonts w:ascii="Times New Roman" w:hAnsi="Times New Roman" w:eastAsia="宋体" w:cs="Times New Roman"/>
                <w:color w:val="000000" w:themeColor="text1"/>
                <w:sz w:val="24"/>
                <w:szCs w:val="24"/>
                <w14:textFill>
                  <w14:solidFill>
                    <w14:schemeClr w14:val="tx1"/>
                  </w14:solidFill>
                </w14:textFill>
              </w:rPr>
              <w:t>有关施工现场声环境保护的其它措施按照“建设工程施工现场环境保护工作基本标准”执行。加强施工管理，提倡文明施工。</w:t>
            </w:r>
          </w:p>
          <w:p w14:paraId="1EA74DDD">
            <w:pPr>
              <w:adjustRightInd w:val="0"/>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四、施工期固体废物的排放及治理</w:t>
            </w:r>
          </w:p>
          <w:p w14:paraId="4BAFF0ED">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①</w:t>
            </w:r>
            <w:r>
              <w:rPr>
                <w:rFonts w:ascii="Times New Roman" w:hAnsi="Times New Roman" w:eastAsia="宋体" w:cs="Times New Roman"/>
                <w:color w:val="000000" w:themeColor="text1"/>
                <w:sz w:val="24"/>
                <w:szCs w:val="24"/>
                <w14:textFill>
                  <w14:solidFill>
                    <w14:schemeClr w14:val="tx1"/>
                  </w14:solidFill>
                </w14:textFill>
              </w:rPr>
              <w:t>建筑垃圾</w:t>
            </w:r>
          </w:p>
          <w:p w14:paraId="522F46BA">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施工所产生的建筑垃圾，主要为废砖以及包装材料等。类比同类项目，本项目建筑垃圾产生量较小。施工现场应设置建筑废弃物临时堆场（树立标示牌）并进行防雨、防泄漏处理。施工产生的废料首先应考虑废料的回收利用，不能利用的应集中堆放，定时清运到指定场所，以免影响环境质量。</w:t>
            </w:r>
          </w:p>
          <w:p w14:paraId="2E54F148">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②</w:t>
            </w:r>
            <w:r>
              <w:rPr>
                <w:rFonts w:ascii="Times New Roman" w:hAnsi="Times New Roman" w:eastAsia="宋体" w:cs="Times New Roman"/>
                <w:color w:val="000000" w:themeColor="text1"/>
                <w:sz w:val="24"/>
                <w:szCs w:val="24"/>
                <w14:textFill>
                  <w14:solidFill>
                    <w14:schemeClr w14:val="tx1"/>
                  </w14:solidFill>
                </w14:textFill>
              </w:rPr>
              <w:t>施工人员生活垃圾</w:t>
            </w:r>
          </w:p>
          <w:p w14:paraId="2A6ADA62">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第二次全国污染源普查城镇生活产排污系数手册》，施工人员生活垃圾产生量按每人每日0.5kg计，施工人员按日均5人计，则生活垃圾产生量约为2.5kg/d。由场区内的生活垃圾收集设施收集后交由当地环卫部门处置。</w:t>
            </w:r>
          </w:p>
          <w:p w14:paraId="4C31CC7C">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综上所述，本项目施工期主要污染物为施工废气、废水、噪声和固体废物。项目工程量小，施工期短，上述污染物随着施工的结束而结束。</w:t>
            </w:r>
          </w:p>
          <w:p w14:paraId="321977A9">
            <w:pPr>
              <w:jc w:val="center"/>
              <w:rPr>
                <w:rFonts w:ascii="Times New Roman" w:hAnsi="Times New Roman" w:eastAsia="宋体" w:cs="Times New Roman"/>
                <w:color w:val="000000" w:themeColor="text1"/>
                <w:sz w:val="24"/>
                <w:szCs w:val="24"/>
                <w14:textFill>
                  <w14:solidFill>
                    <w14:schemeClr w14:val="tx1"/>
                  </w14:solidFill>
                </w14:textFill>
              </w:rPr>
            </w:pPr>
          </w:p>
        </w:tc>
      </w:tr>
      <w:tr w14:paraId="541177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62" w:type="dxa"/>
            <w:vAlign w:val="center"/>
          </w:tcPr>
          <w:p w14:paraId="05BAB7A4">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运营期环境影响和保护措施</w:t>
            </w:r>
          </w:p>
        </w:tc>
        <w:tc>
          <w:tcPr>
            <w:tcW w:w="8364" w:type="dxa"/>
            <w:vAlign w:val="center"/>
          </w:tcPr>
          <w:p w14:paraId="414E1DA6">
            <w:pPr>
              <w:tabs>
                <w:tab w:val="left" w:pos="4140"/>
              </w:tabs>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一、运营期大气污染物产生及排放</w:t>
            </w:r>
          </w:p>
          <w:p w14:paraId="53E1DCAF">
            <w:pPr>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1、</w:t>
            </w:r>
            <w:r>
              <w:rPr>
                <w:rFonts w:ascii="Times New Roman" w:hAnsi="Times New Roman" w:eastAsia="宋体" w:cs="Times New Roman"/>
                <w:b/>
                <w:color w:val="000000" w:themeColor="text1"/>
                <w:sz w:val="24"/>
                <w:szCs w:val="24"/>
                <w14:textFill>
                  <w14:solidFill>
                    <w14:schemeClr w14:val="tx1"/>
                  </w14:solidFill>
                </w14:textFill>
              </w:rPr>
              <w:t>废气源强及治理设施</w:t>
            </w:r>
          </w:p>
          <w:p w14:paraId="5F1297A3">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由工艺流程简述可知，本次技改项目实施后全厂大气污染物主要有：原料堆存粉尘，主要污染因子为颗粒物；页岩、煤炭和污泥破碎筛分粉尘，主要污染因子为颗粒物；污泥贮存过程产生少量异味；烘干车间产生的烟气，主要为颗粒物、S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、NOx、氟化物；隧道窑烘干车间产生的烟气，主要污染因子为颗粒物、SO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、NOx、氟化物，可能有重金属、二噁英等污染物产生；物料转运粉尘，主要污染因子为颗粒物；汽车运输扬尘及尾气，主要污染因子为颗粒物、CO、THC及NOx等。</w:t>
            </w:r>
          </w:p>
          <w:p w14:paraId="6B7E95E7">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本次技改项目将</w:t>
            </w:r>
            <w:r>
              <w:rPr>
                <w:rFonts w:ascii="Times New Roman" w:hAnsi="Times New Roman" w:eastAsia="宋体" w:cs="Times New Roman"/>
                <w:color w:val="000000" w:themeColor="text1"/>
                <w:sz w:val="24"/>
                <w:szCs w:val="24"/>
                <w:lang w:val="en-GB"/>
                <w14:textFill>
                  <w14:solidFill>
                    <w14:schemeClr w14:val="tx1"/>
                  </w14:solidFill>
                </w14:textFill>
              </w:rPr>
              <w:t>水基钻井废弃物、无机工业污泥等一般工业固废替换部分页岩原料添加</w:t>
            </w:r>
            <w:r>
              <w:rPr>
                <w:rFonts w:ascii="Times New Roman" w:hAnsi="Times New Roman" w:eastAsia="宋体" w:cs="Times New Roman"/>
                <w:color w:val="000000" w:themeColor="text1"/>
                <w:sz w:val="24"/>
                <w:szCs w:val="24"/>
                <w14:textFill>
                  <w14:solidFill>
                    <w14:schemeClr w14:val="tx1"/>
                  </w14:solidFill>
                </w14:textFill>
              </w:rPr>
              <w:t>到制砖工序中，既可以解决一般工业固废难处理的问题，又能节省页岩和地下水的用量。添加</w:t>
            </w:r>
            <w:r>
              <w:rPr>
                <w:rFonts w:ascii="Times New Roman" w:hAnsi="Times New Roman" w:eastAsia="宋体" w:cs="Times New Roman"/>
                <w:color w:val="000000" w:themeColor="text1"/>
                <w:sz w:val="24"/>
                <w:szCs w:val="24"/>
                <w:lang w:val="en-GB"/>
                <w14:textFill>
                  <w14:solidFill>
                    <w14:schemeClr w14:val="tx1"/>
                  </w14:solidFill>
                </w14:textFill>
              </w:rPr>
              <w:t>水基钻井废弃物、无机工业污泥等一般工业固废</w:t>
            </w:r>
            <w:r>
              <w:rPr>
                <w:rFonts w:ascii="Times New Roman" w:hAnsi="Times New Roman" w:eastAsia="宋体" w:cs="Times New Roman"/>
                <w:color w:val="000000" w:themeColor="text1"/>
                <w:sz w:val="24"/>
                <w:szCs w:val="24"/>
                <w14:textFill>
                  <w14:solidFill>
                    <w14:schemeClr w14:val="tx1"/>
                  </w14:solidFill>
                </w14:textFill>
              </w:rPr>
              <w:t>等量替代页岩后，废气污染物基本无变化，由于替代原料的含水率较页岩高，贮存、破碎过程粉尘产污量可能会有所降低。本次评价主要针对隧道窑烧结废气进行详细论述。</w:t>
            </w:r>
          </w:p>
          <w:p w14:paraId="595155E0">
            <w:pPr>
              <w:spacing w:line="360" w:lineRule="auto"/>
              <w:ind w:firstLine="482" w:firstLineChars="200"/>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（1）粉尘</w:t>
            </w:r>
          </w:p>
          <w:p w14:paraId="2EBE8434">
            <w:pPr>
              <w:spacing w:line="360" w:lineRule="auto"/>
              <w:ind w:firstLine="482" w:firstLineChars="200"/>
              <w:rPr>
                <w:rFonts w:ascii="Times New Roman" w:hAnsi="Times New Roman" w:eastAsia="宋体" w:cs="Times New Roman"/>
                <w:b/>
                <w:color w:val="000000" w:themeColor="text1"/>
                <w:sz w:val="24"/>
                <w:szCs w:val="24"/>
                <w14:textFill>
                  <w14:solidFill>
                    <w14:schemeClr w14:val="tx1"/>
                  </w14:solidFill>
                </w14:textFill>
              </w:rPr>
            </w:pPr>
            <w:r>
              <w:rPr>
                <w:rFonts w:hint="eastAsia" w:ascii="宋体" w:hAnsi="宋体" w:eastAsia="宋体" w:cs="宋体"/>
                <w:b/>
                <w:color w:val="000000" w:themeColor="text1"/>
                <w:sz w:val="24"/>
                <w:szCs w:val="24"/>
                <w14:textFill>
                  <w14:solidFill>
                    <w14:schemeClr w14:val="tx1"/>
                  </w14:solidFill>
                </w14:textFill>
              </w:rPr>
              <w:t>①</w:t>
            </w:r>
            <w:r>
              <w:rPr>
                <w:rFonts w:ascii="Times New Roman" w:hAnsi="Times New Roman" w:eastAsia="宋体" w:cs="Times New Roman"/>
                <w:b/>
                <w:color w:val="000000" w:themeColor="text1"/>
                <w:sz w:val="24"/>
                <w:szCs w:val="24"/>
                <w14:textFill>
                  <w14:solidFill>
                    <w14:schemeClr w14:val="tx1"/>
                  </w14:solidFill>
                </w14:textFill>
              </w:rPr>
              <w:t>原料堆存粉尘</w:t>
            </w:r>
          </w:p>
          <w:p w14:paraId="3CEFE5C6">
            <w:pPr>
              <w:spacing w:line="360" w:lineRule="auto"/>
              <w:ind w:firstLine="482"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a.现有工程</w:t>
            </w:r>
            <w:r>
              <w:rPr>
                <w:rFonts w:ascii="Times New Roman" w:hAnsi="Times New Roman" w:eastAsia="宋体" w:cs="Times New Roman"/>
                <w:b/>
                <w:color w:val="000000" w:themeColor="text1"/>
                <w:sz w:val="24"/>
                <w:szCs w:val="24"/>
                <w14:textFill>
                  <w14:solidFill>
                    <w14:schemeClr w14:val="tx1"/>
                  </w14:solidFill>
                </w14:textFill>
              </w:rPr>
              <w:t>原料堆存粉尘</w:t>
            </w:r>
            <w:r>
              <w:rPr>
                <w:rFonts w:ascii="Times New Roman" w:hAnsi="Times New Roman" w:eastAsia="宋体" w:cs="Times New Roman"/>
                <w:b/>
                <w:bCs/>
                <w:color w:val="000000" w:themeColor="text1"/>
                <w:sz w:val="24"/>
                <w:szCs w:val="24"/>
                <w14:textFill>
                  <w14:solidFill>
                    <w14:schemeClr w14:val="tx1"/>
                  </w14:solidFill>
                </w14:textFill>
              </w:rPr>
              <w:t>产排情况</w:t>
            </w:r>
          </w:p>
          <w:p w14:paraId="41B9B3D3">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原有项目环评核算结果，页岩、煤用量合计为20万t/a，参考《逸散性工业粉尘控制技术》可知，粉尘产生量为0.02kg/t物料，堆放及装卸料过程产生的扬尘量约为4t/a，通过采取彩钢结构原料堆场，堆场四周设置喷雾喷水抑尘，抑尘率可达95%，粉尘排放量约为0.2t/a，排放速率约为0.0278kg/h。</w:t>
            </w:r>
          </w:p>
          <w:p w14:paraId="3278217B">
            <w:pPr>
              <w:spacing w:line="360" w:lineRule="auto"/>
              <w:ind w:firstLine="482"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b.</w:t>
            </w:r>
            <w:r>
              <w:rPr>
                <w:rFonts w:ascii="Times New Roman" w:hAnsi="Times New Roman" w:eastAsia="宋体" w:cs="Times New Roman"/>
                <w:b/>
                <w:bCs/>
                <w:color w:val="000000" w:themeColor="text1"/>
                <w:sz w:val="24"/>
                <w:szCs w:val="24"/>
                <w14:textFill>
                  <w14:solidFill>
                    <w14:schemeClr w14:val="tx1"/>
                  </w14:solidFill>
                </w14:textFill>
              </w:rPr>
              <w:t>技改后</w:t>
            </w:r>
            <w:r>
              <w:rPr>
                <w:rFonts w:ascii="Times New Roman" w:hAnsi="Times New Roman" w:eastAsia="宋体" w:cs="Times New Roman"/>
                <w:b/>
                <w:color w:val="000000" w:themeColor="text1"/>
                <w:sz w:val="24"/>
                <w:szCs w:val="24"/>
                <w14:textFill>
                  <w14:solidFill>
                    <w14:schemeClr w14:val="tx1"/>
                  </w14:solidFill>
                </w14:textFill>
              </w:rPr>
              <w:t>原料堆存粉尘</w:t>
            </w:r>
            <w:r>
              <w:rPr>
                <w:rFonts w:ascii="Times New Roman" w:hAnsi="Times New Roman" w:eastAsia="宋体" w:cs="Times New Roman"/>
                <w:b/>
                <w:bCs/>
                <w:color w:val="000000" w:themeColor="text1"/>
                <w:sz w:val="24"/>
                <w:szCs w:val="24"/>
                <w14:textFill>
                  <w14:solidFill>
                    <w14:schemeClr w14:val="tx1"/>
                  </w14:solidFill>
                </w14:textFill>
              </w:rPr>
              <w:t>变化情况</w:t>
            </w:r>
          </w:p>
          <w:p w14:paraId="31A4D138">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本项目接纳的水基钻井废弃物</w:t>
            </w:r>
            <w:r>
              <w:rPr>
                <w:rFonts w:ascii="Times New Roman" w:hAnsi="Times New Roman" w:eastAsia="宋体" w:cs="Times New Roman"/>
                <w:bCs/>
                <w:color w:val="000000" w:themeColor="text1"/>
                <w:sz w:val="24"/>
                <w:szCs w:val="24"/>
                <w14:textFill>
                  <w14:solidFill>
                    <w14:schemeClr w14:val="tx1"/>
                  </w14:solidFill>
                </w14:textFill>
              </w:rPr>
              <w:t>含水率在30%-50%之间，无机工业污泥</w:t>
            </w:r>
            <w:r>
              <w:rPr>
                <w:rFonts w:ascii="Times New Roman" w:hAnsi="Times New Roman" w:eastAsia="宋体" w:cs="Times New Roman"/>
                <w:color w:val="000000" w:themeColor="text1"/>
                <w:sz w:val="24"/>
                <w:szCs w:val="24"/>
                <w14:textFill>
                  <w14:solidFill>
                    <w14:schemeClr w14:val="tx1"/>
                  </w14:solidFill>
                </w14:textFill>
              </w:rPr>
              <w:t>含水率在65%左右，均呈固态，且具有一定硬度，在贮存过程几乎不会产生粉尘。因此，原料的替代可降低粉尘的排放量。本次技改后页岩原料使用量减少29000t/a，技改后原料堆存粉尘产生量减少0.58t/a，排放量减少0.029t/a。</w:t>
            </w:r>
          </w:p>
          <w:p w14:paraId="0CF98362">
            <w:pPr>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c.技改后全厂原料堆存粉尘</w:t>
            </w:r>
            <w:r>
              <w:rPr>
                <w:rFonts w:ascii="Times New Roman" w:hAnsi="Times New Roman" w:eastAsia="宋体" w:cs="Times New Roman"/>
                <w:b/>
                <w:bCs/>
                <w:color w:val="000000" w:themeColor="text1"/>
                <w:sz w:val="24"/>
                <w:szCs w:val="24"/>
                <w14:textFill>
                  <w14:solidFill>
                    <w14:schemeClr w14:val="tx1"/>
                  </w14:solidFill>
                </w14:textFill>
              </w:rPr>
              <w:t>产排情况</w:t>
            </w:r>
          </w:p>
          <w:p w14:paraId="04CDE704">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技改后全厂原料堆存粉尘产生量、产生速率分别为3.42t/a、0.475kg/h，排放量、排放速率约为0.171t/a、0.0238kg/h。</w:t>
            </w:r>
          </w:p>
          <w:p w14:paraId="0D35A4AC">
            <w:pPr>
              <w:spacing w:line="360" w:lineRule="auto"/>
              <w:ind w:firstLine="482"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b/>
                <w:bCs/>
                <w:color w:val="000000" w:themeColor="text1"/>
                <w:sz w:val="24"/>
                <w:szCs w:val="24"/>
                <w14:textFill>
                  <w14:solidFill>
                    <w14:schemeClr w14:val="tx1"/>
                  </w14:solidFill>
                </w14:textFill>
              </w:rPr>
              <w:t>②</w:t>
            </w:r>
            <w:r>
              <w:rPr>
                <w:rFonts w:ascii="Times New Roman" w:hAnsi="Times New Roman" w:eastAsia="宋体" w:cs="Times New Roman"/>
                <w:b/>
                <w:color w:val="000000" w:themeColor="text1"/>
                <w:sz w:val="24"/>
                <w:szCs w:val="24"/>
                <w14:textFill>
                  <w14:solidFill>
                    <w14:schemeClr w14:val="tx1"/>
                  </w14:solidFill>
                </w14:textFill>
              </w:rPr>
              <w:t>破碎筛分粉尘</w:t>
            </w:r>
          </w:p>
          <w:p w14:paraId="0272744C">
            <w:pPr>
              <w:spacing w:line="360" w:lineRule="auto"/>
              <w:ind w:firstLine="482"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a.现有工程</w:t>
            </w:r>
            <w:r>
              <w:rPr>
                <w:rFonts w:ascii="Times New Roman" w:hAnsi="Times New Roman" w:eastAsia="宋体" w:cs="Times New Roman"/>
                <w:b/>
                <w:color w:val="000000" w:themeColor="text1"/>
                <w:sz w:val="24"/>
                <w:szCs w:val="24"/>
                <w14:textFill>
                  <w14:solidFill>
                    <w14:schemeClr w14:val="tx1"/>
                  </w14:solidFill>
                </w14:textFill>
              </w:rPr>
              <w:t>破碎筛分粉尘</w:t>
            </w:r>
            <w:r>
              <w:rPr>
                <w:rFonts w:ascii="Times New Roman" w:hAnsi="Times New Roman" w:eastAsia="宋体" w:cs="Times New Roman"/>
                <w:b/>
                <w:bCs/>
                <w:color w:val="000000" w:themeColor="text1"/>
                <w:sz w:val="24"/>
                <w:szCs w:val="24"/>
                <w14:textFill>
                  <w14:solidFill>
                    <w14:schemeClr w14:val="tx1"/>
                  </w14:solidFill>
                </w14:textFill>
              </w:rPr>
              <w:t>产排情况</w:t>
            </w:r>
          </w:p>
          <w:p w14:paraId="00DE0761">
            <w:pPr>
              <w:pStyle w:val="11"/>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原有工程环评核算结果，一次破碎页岩物料约19.2万t/a，参考《逸散性工业粉尘控制技术》，一次破碎粉尘产生量为0.02kg/t物料，一次破碎粉尘产生量约3.84t/a；二次破碎页岩、煤共计20万t/a，参考《逸散性工业粉尘控制技术》可知，粉尘产生量为0.25kg/t物料，二次破碎粉尘产生量约50t/a。破碎工序日工作时间约为12h，年工作时长按3600h计，项目破碎粉尘产尘量为53.84t/a，产生速率为14.96kg/h。项目颚式破碎机、锤式破碎机要求设独立隔间，回转筛进行封闭，胶带输送机设置廊道，项目对破碎用独立隔间、筛分机除进出料口以及胶带输送机廊道进行负压集气收集，排气进入布袋除尘器进行除尘，其粉尘收集效率可达90%，布袋除尘器除尘效率可达99%以上，粉尘经布袋除尘器除尘后通过一根15米高排气筒（DA001）排放。原料制备车间密闭设置，并设置喷雾装置，抑尘效率按照95%计，则无组织排放量、排放速率分别为0.2692t/a、0.0748kg/h。破碎筛分粉尘有组织排放根据实测结果计算，排放情况如下表所示：</w:t>
            </w:r>
          </w:p>
          <w:p w14:paraId="35CE6C47">
            <w:pPr>
              <w:spacing w:line="360" w:lineRule="auto"/>
              <w:jc w:val="center"/>
              <w:rPr>
                <w:rFonts w:ascii="Times New Roman" w:hAnsi="Times New Roman" w:eastAsia="宋体" w:cs="Times New Roman"/>
                <w:b/>
                <w:bCs/>
                <w:color w:val="000000" w:themeColor="text1"/>
                <w:szCs w:val="21"/>
                <w14:textFill>
                  <w14:solidFill>
                    <w14:schemeClr w14:val="tx1"/>
                  </w14:solidFill>
                </w14:textFill>
              </w:rPr>
            </w:pPr>
            <w:bookmarkStart w:id="31" w:name="_Ref143681403"/>
            <w:r>
              <w:rPr>
                <w:rFonts w:ascii="Times New Roman" w:hAnsi="Times New Roman" w:eastAsia="宋体" w:cs="Times New Roman"/>
                <w:b/>
                <w:bCs/>
                <w:color w:val="000000" w:themeColor="text1"/>
                <w:szCs w:val="21"/>
                <w14:textFill>
                  <w14:solidFill>
                    <w14:schemeClr w14:val="tx1"/>
                  </w14:solidFill>
                </w14:textFill>
              </w:rPr>
              <w:t xml:space="preserve">表4-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表4-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1</w:t>
            </w:r>
            <w:r>
              <w:rPr>
                <w:rFonts w:ascii="Times New Roman" w:hAnsi="Times New Roman" w:eastAsia="宋体" w:cs="Times New Roman"/>
                <w:b/>
                <w:bCs/>
                <w:color w:val="000000" w:themeColor="text1"/>
                <w:szCs w:val="21"/>
                <w14:textFill>
                  <w14:solidFill>
                    <w14:schemeClr w14:val="tx1"/>
                  </w14:solidFill>
                </w14:textFill>
              </w:rPr>
              <w:fldChar w:fldCharType="end"/>
            </w:r>
            <w:r>
              <w:rPr>
                <w:rFonts w:ascii="Times New Roman" w:hAnsi="Times New Roman" w:eastAsia="宋体" w:cs="Times New Roman"/>
                <w:b/>
                <w:bCs/>
                <w:color w:val="000000" w:themeColor="text1"/>
                <w:szCs w:val="21"/>
                <w14:textFill>
                  <w14:solidFill>
                    <w14:schemeClr w14:val="tx1"/>
                  </w14:solidFill>
                </w14:textFill>
              </w:rPr>
              <w:t xml:space="preserve">   原料制备车间粉尘产生排放情况表</w:t>
            </w:r>
            <w:bookmarkEnd w:id="31"/>
          </w:p>
          <w:tbl>
            <w:tblPr>
              <w:tblStyle w:val="25"/>
              <w:tblW w:w="835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7"/>
              <w:gridCol w:w="497"/>
              <w:gridCol w:w="905"/>
              <w:gridCol w:w="767"/>
              <w:gridCol w:w="2426"/>
              <w:gridCol w:w="1276"/>
              <w:gridCol w:w="1134"/>
              <w:gridCol w:w="851"/>
            </w:tblGrid>
            <w:tr w14:paraId="3C2B91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7" w:type="dxa"/>
                  <w:vMerge w:val="restart"/>
                  <w:vAlign w:val="center"/>
                </w:tcPr>
                <w:p w14:paraId="74C032B3">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污染源</w:t>
                  </w:r>
                </w:p>
              </w:tc>
              <w:tc>
                <w:tcPr>
                  <w:tcW w:w="497" w:type="dxa"/>
                  <w:vMerge w:val="restart"/>
                  <w:vAlign w:val="center"/>
                </w:tcPr>
                <w:p w14:paraId="7BA243D7">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污染因子</w:t>
                  </w:r>
                </w:p>
              </w:tc>
              <w:tc>
                <w:tcPr>
                  <w:tcW w:w="1672" w:type="dxa"/>
                  <w:gridSpan w:val="2"/>
                  <w:vAlign w:val="center"/>
                </w:tcPr>
                <w:p w14:paraId="79F2B49A">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产生情况</w:t>
                  </w:r>
                </w:p>
              </w:tc>
              <w:tc>
                <w:tcPr>
                  <w:tcW w:w="2426" w:type="dxa"/>
                  <w:vMerge w:val="restart"/>
                  <w:vAlign w:val="center"/>
                </w:tcPr>
                <w:p w14:paraId="7DC4D79D">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污染治理措施</w:t>
                  </w:r>
                </w:p>
              </w:tc>
              <w:tc>
                <w:tcPr>
                  <w:tcW w:w="3261" w:type="dxa"/>
                  <w:gridSpan w:val="3"/>
                  <w:vAlign w:val="center"/>
                </w:tcPr>
                <w:p w14:paraId="3AC14C2B">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有组织排放情况</w:t>
                  </w:r>
                </w:p>
              </w:tc>
            </w:tr>
            <w:tr w14:paraId="189A9C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7" w:type="dxa"/>
                  <w:vMerge w:val="continue"/>
                  <w:vAlign w:val="center"/>
                </w:tcPr>
                <w:p w14:paraId="76734910">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97" w:type="dxa"/>
                  <w:vMerge w:val="continue"/>
                  <w:vAlign w:val="center"/>
                </w:tcPr>
                <w:p w14:paraId="699C30FF">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905" w:type="dxa"/>
                  <w:vAlign w:val="center"/>
                </w:tcPr>
                <w:p w14:paraId="019DAB5B">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产生速率（kg/h）</w:t>
                  </w:r>
                </w:p>
              </w:tc>
              <w:tc>
                <w:tcPr>
                  <w:tcW w:w="767" w:type="dxa"/>
                  <w:vAlign w:val="center"/>
                </w:tcPr>
                <w:p w14:paraId="4C7BA316">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产生量（t/a）</w:t>
                  </w:r>
                </w:p>
              </w:tc>
              <w:tc>
                <w:tcPr>
                  <w:tcW w:w="2426" w:type="dxa"/>
                  <w:vMerge w:val="continue"/>
                  <w:vAlign w:val="center"/>
                </w:tcPr>
                <w:p w14:paraId="05DE6816">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1276" w:type="dxa"/>
                  <w:vAlign w:val="center"/>
                </w:tcPr>
                <w:p w14:paraId="72AB9719">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排放速率（kg/h）</w:t>
                  </w:r>
                </w:p>
              </w:tc>
              <w:tc>
                <w:tcPr>
                  <w:tcW w:w="1134" w:type="dxa"/>
                  <w:vAlign w:val="center"/>
                </w:tcPr>
                <w:p w14:paraId="7002C4EE">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排放浓度（mg/m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851" w:type="dxa"/>
                  <w:vAlign w:val="center"/>
                </w:tcPr>
                <w:p w14:paraId="3C3AAE41">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排放量（t/a）</w:t>
                  </w:r>
                </w:p>
              </w:tc>
            </w:tr>
            <w:tr w14:paraId="5E0A90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97" w:type="dxa"/>
                  <w:vAlign w:val="center"/>
                </w:tcPr>
                <w:p w14:paraId="356A1C22">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原料制备车间粉尘</w:t>
                  </w:r>
                </w:p>
              </w:tc>
              <w:tc>
                <w:tcPr>
                  <w:tcW w:w="497" w:type="dxa"/>
                  <w:vAlign w:val="center"/>
                </w:tcPr>
                <w:p w14:paraId="260072B2">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905" w:type="dxa"/>
                  <w:vAlign w:val="center"/>
                </w:tcPr>
                <w:p w14:paraId="3B6ED089">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14.96</w:t>
                  </w:r>
                </w:p>
              </w:tc>
              <w:tc>
                <w:tcPr>
                  <w:tcW w:w="767" w:type="dxa"/>
                  <w:vAlign w:val="center"/>
                </w:tcPr>
                <w:p w14:paraId="63DB11E9">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53.84</w:t>
                  </w:r>
                </w:p>
              </w:tc>
              <w:tc>
                <w:tcPr>
                  <w:tcW w:w="2426" w:type="dxa"/>
                  <w:vAlign w:val="center"/>
                </w:tcPr>
                <w:p w14:paraId="73B8B2CF">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负压收集装置效率90%，粉尘经布袋除尘器除尘后通过一根15米高排气筒（DA001）排放，风量5000m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/h</w:t>
                  </w:r>
                </w:p>
              </w:tc>
              <w:tc>
                <w:tcPr>
                  <w:tcW w:w="1276" w:type="dxa"/>
                  <w:vAlign w:val="center"/>
                </w:tcPr>
                <w:p w14:paraId="2A339D3C">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0.1346</w:t>
                  </w:r>
                </w:p>
              </w:tc>
              <w:tc>
                <w:tcPr>
                  <w:tcW w:w="1134" w:type="dxa"/>
                  <w:vAlign w:val="center"/>
                </w:tcPr>
                <w:p w14:paraId="7D12366F">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26.92</w:t>
                  </w:r>
                </w:p>
              </w:tc>
              <w:tc>
                <w:tcPr>
                  <w:tcW w:w="851" w:type="dxa"/>
                  <w:vAlign w:val="center"/>
                </w:tcPr>
                <w:p w14:paraId="5E391CF4">
                  <w:pPr>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0.4846</w:t>
                  </w:r>
                </w:p>
              </w:tc>
            </w:tr>
          </w:tbl>
          <w:p w14:paraId="63C708DE">
            <w:pPr>
              <w:spacing w:line="360" w:lineRule="auto"/>
              <w:ind w:firstLine="482"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b.</w:t>
            </w:r>
            <w:r>
              <w:rPr>
                <w:rFonts w:ascii="Times New Roman" w:hAnsi="Times New Roman" w:eastAsia="宋体" w:cs="Times New Roman"/>
                <w:b/>
                <w:bCs/>
                <w:color w:val="000000" w:themeColor="text1"/>
                <w:sz w:val="24"/>
                <w:szCs w:val="24"/>
                <w14:textFill>
                  <w14:solidFill>
                    <w14:schemeClr w14:val="tx1"/>
                  </w14:solidFill>
                </w14:textFill>
              </w:rPr>
              <w:t>技改后</w:t>
            </w:r>
            <w:r>
              <w:rPr>
                <w:rFonts w:ascii="Times New Roman" w:hAnsi="Times New Roman" w:eastAsia="宋体" w:cs="Times New Roman"/>
                <w:b/>
                <w:color w:val="000000" w:themeColor="text1"/>
                <w:sz w:val="24"/>
                <w:szCs w:val="24"/>
                <w14:textFill>
                  <w14:solidFill>
                    <w14:schemeClr w14:val="tx1"/>
                  </w14:solidFill>
                </w14:textFill>
              </w:rPr>
              <w:t>原料堆存粉尘</w:t>
            </w:r>
            <w:r>
              <w:rPr>
                <w:rFonts w:ascii="Times New Roman" w:hAnsi="Times New Roman" w:eastAsia="宋体" w:cs="Times New Roman"/>
                <w:b/>
                <w:bCs/>
                <w:color w:val="000000" w:themeColor="text1"/>
                <w:sz w:val="24"/>
                <w:szCs w:val="24"/>
                <w14:textFill>
                  <w14:solidFill>
                    <w14:schemeClr w14:val="tx1"/>
                  </w14:solidFill>
                </w14:textFill>
              </w:rPr>
              <w:t>变化情况</w:t>
            </w:r>
          </w:p>
          <w:p w14:paraId="3A2DF32E">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 xml:space="preserve">本次技改原料采取等量替代，由于替代原料的含水率较页岩高，且不再破碎，可直接与其他原料混合制砖。粉尘产污量理论上会有所降低，本次评价不对破碎筛分粉尘减少量进行定量计算。 </w:t>
            </w:r>
          </w:p>
          <w:p w14:paraId="6281A220">
            <w:pPr>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hint="eastAsia" w:ascii="宋体" w:hAnsi="宋体" w:eastAsia="宋体" w:cs="宋体"/>
                <w:b/>
                <w:bCs/>
                <w:color w:val="000000" w:themeColor="text1"/>
                <w:sz w:val="24"/>
                <w:szCs w:val="24"/>
                <w14:textFill>
                  <w14:solidFill>
                    <w14:schemeClr w14:val="tx1"/>
                  </w14:solidFill>
                </w14:textFill>
              </w:rPr>
              <w:t>③</w:t>
            </w:r>
            <w:r>
              <w:rPr>
                <w:rFonts w:ascii="Times New Roman" w:hAnsi="Times New Roman" w:eastAsia="宋体" w:cs="Times New Roman"/>
                <w:b/>
                <w:bCs/>
                <w:color w:val="000000" w:themeColor="text1"/>
                <w:sz w:val="24"/>
                <w:szCs w:val="24"/>
                <w14:textFill>
                  <w14:solidFill>
                    <w14:schemeClr w14:val="tx1"/>
                  </w14:solidFill>
                </w14:textFill>
              </w:rPr>
              <w:t>物料运输扬尘</w:t>
            </w:r>
          </w:p>
          <w:p w14:paraId="3BE9ED59">
            <w:pPr>
              <w:spacing w:line="360" w:lineRule="auto"/>
              <w:ind w:firstLine="482"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a.现有工程物料运输扬尘产排情况</w:t>
            </w:r>
          </w:p>
          <w:p w14:paraId="12BEE24F">
            <w:pPr>
              <w:spacing w:line="360" w:lineRule="auto"/>
              <w:ind w:firstLine="480" w:firstLineChars="200"/>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原有工程进场物料总质量约20万t/a，出厂成品总质量约19.8万t/a，在厂区内行驶车速约为15km/h，平均运输距离约100m。</w:t>
            </w:r>
          </w:p>
          <w:p w14:paraId="282DCC66">
            <w:pPr>
              <w:tabs>
                <w:tab w:val="left" w:pos="851"/>
                <w:tab w:val="left" w:pos="1134"/>
                <w:tab w:val="left" w:pos="1276"/>
              </w:tabs>
              <w:spacing w:line="360" w:lineRule="auto"/>
              <w:ind w:firstLine="480" w:firstLineChars="200"/>
              <w:rPr>
                <w:rFonts w:ascii="Times New Roman" w:hAnsi="Times New Roman" w:eastAsia="宋体" w:cs="Times New Roman"/>
                <w:color w:val="000000" w:themeColor="text1"/>
                <w:sz w:val="24"/>
                <w:szCs w:val="20"/>
                <w14:textFill>
                  <w14:solidFill>
                    <w14:schemeClr w14:val="tx1"/>
                  </w14:solidFill>
                </w14:textFill>
              </w:rPr>
            </w:pPr>
            <w:r>
              <w:rPr>
                <w:rFonts w:ascii="Times New Roman" w:hAnsi="Times New Roman" w:eastAsia="宋体" w:cs="Times New Roman"/>
                <w:color w:val="000000" w:themeColor="text1"/>
                <w:sz w:val="24"/>
                <w:szCs w:val="20"/>
                <w14:textFill>
                  <w14:solidFill>
                    <w14:schemeClr w14:val="tx1"/>
                  </w14:solidFill>
                </w14:textFill>
              </w:rPr>
              <w:t>车辆行驶产生的扬尘，在道路完全干燥的情况下，可按下列经验公式计算：</w:t>
            </w:r>
          </w:p>
          <w:p w14:paraId="71426E85">
            <w:pPr>
              <w:spacing w:line="360" w:lineRule="auto"/>
              <w:jc w:val="center"/>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b/>
                <w:color w:val="000000" w:themeColor="text1"/>
                <w:kern w:val="0"/>
                <w:position w:val="-10"/>
                <w:sz w:val="24"/>
                <w:szCs w:val="24"/>
                <w14:textFill>
                  <w14:solidFill>
                    <w14:schemeClr w14:val="tx1"/>
                  </w14:solidFill>
                </w14:textFill>
              </w:rPr>
              <w:drawing>
                <wp:inline distT="0" distB="0" distL="0" distR="0">
                  <wp:extent cx="2657475" cy="276225"/>
                  <wp:effectExtent l="0" t="0" r="9525"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2657475" cy="276225"/>
                          </a:xfrm>
                          <a:prstGeom prst="rect">
                            <a:avLst/>
                          </a:prstGeom>
                          <a:noFill/>
                          <a:ln>
                            <a:noFill/>
                          </a:ln>
                        </pic:spPr>
                      </pic:pic>
                    </a:graphicData>
                  </a:graphic>
                </wp:inline>
              </w:drawing>
            </w:r>
          </w:p>
          <w:p w14:paraId="7C67FD21">
            <w:pPr>
              <w:spacing w:line="360" w:lineRule="auto"/>
              <w:ind w:firstLine="480"/>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式中：Q——汽车行驶的扬尘，kg/km·辆；</w:t>
            </w:r>
          </w:p>
          <w:p w14:paraId="533C6358">
            <w:pPr>
              <w:spacing w:line="360" w:lineRule="auto"/>
              <w:ind w:firstLine="1188" w:firstLineChars="495"/>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V——汽车速度，km/h；</w:t>
            </w:r>
          </w:p>
          <w:p w14:paraId="79F1AC4C">
            <w:pPr>
              <w:spacing w:line="360" w:lineRule="auto"/>
              <w:ind w:firstLine="1188" w:firstLineChars="495"/>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W——汽车载重量，吨；</w:t>
            </w:r>
          </w:p>
          <w:p w14:paraId="2014F6FA">
            <w:pPr>
              <w:spacing w:line="360" w:lineRule="auto"/>
              <w:ind w:firstLine="1200" w:firstLineChars="500"/>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P——道路表面粉尘量，kg/m</w:t>
            </w:r>
            <w:r>
              <w:rPr>
                <w:rFonts w:ascii="Times New Roman" w:hAnsi="Times New Roman" w:eastAsia="宋体" w:cs="Times New Roman"/>
                <w:color w:val="000000" w:themeColor="text1"/>
                <w:kern w:val="0"/>
                <w:sz w:val="24"/>
                <w:szCs w:val="24"/>
                <w:vertAlign w:val="superscript"/>
                <w14:textFill>
                  <w14:solidFill>
                    <w14:schemeClr w14:val="tx1"/>
                  </w14:solidFill>
                </w14:textFill>
              </w:rPr>
              <w:t>2</w:t>
            </w:r>
            <w:r>
              <w:rPr>
                <w:rFonts w:ascii="Times New Roman" w:hAnsi="Times New Roman" w:eastAsia="宋体" w:cs="Times New Roman"/>
                <w:color w:val="000000" w:themeColor="text1"/>
                <w:kern w:val="0"/>
                <w:sz w:val="24"/>
                <w:szCs w:val="24"/>
                <w14:textFill>
                  <w14:solidFill>
                    <w14:schemeClr w14:val="tx1"/>
                  </w14:solidFill>
                </w14:textFill>
              </w:rPr>
              <w:t>。</w:t>
            </w:r>
          </w:p>
          <w:p w14:paraId="6D1D438B">
            <w:pPr>
              <w:spacing w:line="360" w:lineRule="auto"/>
              <w:ind w:firstLine="480" w:firstLineChars="200"/>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sz w:val="24"/>
                <w:szCs w:val="20"/>
                <w14:textFill>
                  <w14:solidFill>
                    <w14:schemeClr w14:val="tx1"/>
                  </w14:solidFill>
                </w14:textFill>
              </w:rPr>
              <w:t>本项目运输空车重约5t，重载车约25t。原有工程厂区道路地面已进行了硬化处理，不洒水时地面清洁程度以0.4kg/m</w:t>
            </w:r>
            <w:r>
              <w:rPr>
                <w:rFonts w:ascii="Times New Roman" w:hAnsi="Times New Roman" w:eastAsia="宋体" w:cs="Times New Roman"/>
                <w:color w:val="000000" w:themeColor="text1"/>
                <w:sz w:val="24"/>
                <w:szCs w:val="20"/>
                <w:vertAlign w:val="superscript"/>
                <w14:textFill>
                  <w14:solidFill>
                    <w14:schemeClr w14:val="tx1"/>
                  </w14:solidFill>
                </w14:textFill>
              </w:rPr>
              <w:t>2</w:t>
            </w:r>
            <w:r>
              <w:rPr>
                <w:rFonts w:ascii="Times New Roman" w:hAnsi="Times New Roman" w:eastAsia="宋体" w:cs="Times New Roman"/>
                <w:color w:val="000000" w:themeColor="text1"/>
                <w:sz w:val="24"/>
                <w:szCs w:val="20"/>
                <w14:textFill>
                  <w14:solidFill>
                    <w14:schemeClr w14:val="tx1"/>
                  </w14:solidFill>
                </w14:textFill>
              </w:rPr>
              <w:t>计，因此原有工程物料运输粉尘产生量约1.55t/a。通过采取车辆篷布遮盖、定期清扫、雾炮抑尘等措施，抑尘效率可达90%以上，运输粉尘排放量约为0.155t/a，排放速率约为0.043kg/h。</w:t>
            </w:r>
          </w:p>
          <w:p w14:paraId="289EF472">
            <w:pPr>
              <w:spacing w:line="360" w:lineRule="auto"/>
              <w:ind w:firstLine="482" w:firstLineChars="200"/>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b.</w:t>
            </w:r>
            <w:r>
              <w:rPr>
                <w:rFonts w:ascii="Times New Roman" w:hAnsi="Times New Roman" w:eastAsia="宋体" w:cs="Times New Roman"/>
                <w:b/>
                <w:bCs/>
                <w:color w:val="000000" w:themeColor="text1"/>
                <w:sz w:val="24"/>
                <w:szCs w:val="24"/>
                <w14:textFill>
                  <w14:solidFill>
                    <w14:schemeClr w14:val="tx1"/>
                  </w14:solidFill>
                </w14:textFill>
              </w:rPr>
              <w:t>技改后物料运输扬尘变化情况</w:t>
            </w:r>
          </w:p>
          <w:p w14:paraId="17EABAAD">
            <w:pPr>
              <w:spacing w:line="360" w:lineRule="auto"/>
              <w:ind w:firstLine="480" w:firstLineChars="200"/>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本次技改采取页岩等量替代一般工业固废（干基）掺烧制砖，由于进出一般固废含水率较高，因此进场物料总质量增加30038t/a，运输车辆辆次增加，运输扬尘产排污相应增加。全厂日均运输时长约12h，年工作时长按3600h计。经计算，技改后运输扬尘排放量增加量约0.012t/a，排放速率约为0.003kg/h。</w:t>
            </w:r>
          </w:p>
          <w:p w14:paraId="3859D176">
            <w:pPr>
              <w:snapToGrid w:val="0"/>
              <w:spacing w:line="360" w:lineRule="auto"/>
              <w:ind w:firstLine="482" w:firstLineChars="200"/>
              <w:textAlignment w:val="center"/>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c.技改后全厂</w:t>
            </w:r>
            <w:r>
              <w:rPr>
                <w:rFonts w:ascii="Times New Roman" w:hAnsi="Times New Roman" w:eastAsia="宋体" w:cs="Times New Roman"/>
                <w:b/>
                <w:bCs/>
                <w:color w:val="000000" w:themeColor="text1"/>
                <w:sz w:val="24"/>
                <w:szCs w:val="24"/>
                <w14:textFill>
                  <w14:solidFill>
                    <w14:schemeClr w14:val="tx1"/>
                  </w14:solidFill>
                </w14:textFill>
              </w:rPr>
              <w:t>物料运输扬尘产排情况</w:t>
            </w:r>
          </w:p>
          <w:p w14:paraId="1E1C0AC4">
            <w:pPr>
              <w:spacing w:line="360" w:lineRule="auto"/>
              <w:ind w:firstLine="480" w:firstLineChars="200"/>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技改后全厂运输扬尘排放量约0.167t/a，排放速率约为0.046kg/h。</w:t>
            </w:r>
          </w:p>
          <w:p w14:paraId="60205131">
            <w:pPr>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（2）炉窑废气</w:t>
            </w:r>
          </w:p>
          <w:p w14:paraId="274D4ED5">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本项目利用</w:t>
            </w:r>
            <w:r>
              <w:rPr>
                <w:rFonts w:ascii="Times New Roman" w:hAnsi="Times New Roman" w:eastAsia="宋体" w:cs="Times New Roman"/>
                <w:color w:val="000000" w:themeColor="text1"/>
                <w:sz w:val="24"/>
                <w:szCs w:val="24"/>
                <w:lang w:val="en-GB"/>
                <w14:textFill>
                  <w14:solidFill>
                    <w14:schemeClr w14:val="tx1"/>
                  </w14:solidFill>
                </w14:textFill>
              </w:rPr>
              <w:t>水基钻井废弃物、无机工业污泥等一般工业固废</w:t>
            </w:r>
            <w:r>
              <w:rPr>
                <w:rFonts w:ascii="Times New Roman" w:hAnsi="Times New Roman" w:eastAsia="宋体" w:cs="Times New Roman"/>
                <w:color w:val="000000" w:themeColor="text1"/>
                <w:sz w:val="24"/>
                <w:szCs w:val="24"/>
                <w14:textFill>
                  <w14:solidFill>
                    <w14:schemeClr w14:val="tx1"/>
                  </w14:solidFill>
                </w14:textFill>
              </w:rPr>
              <w:t>替代部分页岩原料，产能、工艺均未发生变化，由于替代原料均为无机物质，不额外增加热值，原料掺煤用量、点火燃煤用量均不发生变化。因此燃煤部分产污不发生变化，本次评价对隧道窑废气分析主要针对页岩替代部分产污变换进行分析。</w:t>
            </w:r>
          </w:p>
          <w:p w14:paraId="08D29859">
            <w:pPr>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hint="eastAsia" w:ascii="宋体" w:hAnsi="宋体" w:eastAsia="宋体" w:cs="宋体"/>
                <w:b/>
                <w:bCs/>
                <w:color w:val="000000" w:themeColor="text1"/>
                <w:sz w:val="24"/>
                <w:szCs w:val="24"/>
                <w14:textFill>
                  <w14:solidFill>
                    <w14:schemeClr w14:val="tx1"/>
                  </w14:solidFill>
                </w14:textFill>
              </w:rPr>
              <w:t>①</w:t>
            </w:r>
            <w:r>
              <w:rPr>
                <w:rFonts w:ascii="Times New Roman" w:hAnsi="Times New Roman" w:eastAsia="宋体" w:cs="Times New Roman"/>
                <w:b/>
                <w:bCs/>
                <w:color w:val="000000" w:themeColor="text1"/>
                <w:sz w:val="24"/>
                <w:szCs w:val="24"/>
                <w14:textFill>
                  <w14:solidFill>
                    <w14:schemeClr w14:val="tx1"/>
                  </w14:solidFill>
                </w14:textFill>
              </w:rPr>
              <w:t>烟气量</w:t>
            </w:r>
          </w:p>
          <w:p w14:paraId="54015BDD">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技改项目建成后依托现有已建的湿式脱硫塔，根据验收监测数据1#湿式脱硫塔废气量定为54000Nm</w:t>
            </w:r>
            <w:r>
              <w:rPr>
                <w:rFonts w:ascii="Times New Roman" w:hAnsi="Times New Roman" w:eastAsia="宋体" w:cs="Times New Roman"/>
                <w:color w:val="000000" w:themeColor="text1"/>
                <w:sz w:val="24"/>
                <w:szCs w:val="24"/>
                <w:vertAlign w:val="super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/h，2#湿式脱硫塔废气量定为52000Nm</w:t>
            </w:r>
            <w:r>
              <w:rPr>
                <w:rFonts w:ascii="Times New Roman" w:hAnsi="Times New Roman" w:eastAsia="宋体" w:cs="Times New Roman"/>
                <w:color w:val="000000" w:themeColor="text1"/>
                <w:sz w:val="24"/>
                <w:szCs w:val="24"/>
                <w:vertAlign w:val="super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/h。</w:t>
            </w:r>
          </w:p>
          <w:p w14:paraId="6E9148DD">
            <w:pPr>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hint="eastAsia" w:ascii="宋体" w:hAnsi="宋体" w:eastAsia="宋体" w:cs="宋体"/>
                <w:b/>
                <w:bCs/>
                <w:color w:val="000000" w:themeColor="text1"/>
                <w:sz w:val="24"/>
                <w:szCs w:val="24"/>
                <w14:textFill>
                  <w14:solidFill>
                    <w14:schemeClr w14:val="tx1"/>
                  </w14:solidFill>
                </w14:textFill>
              </w:rPr>
              <w:t>②</w:t>
            </w:r>
            <w:r>
              <w:rPr>
                <w:rFonts w:ascii="Times New Roman" w:hAnsi="Times New Roman" w:eastAsia="宋体" w:cs="Times New Roman"/>
                <w:b/>
                <w:bCs/>
                <w:color w:val="000000" w:themeColor="text1"/>
                <w:sz w:val="24"/>
                <w:szCs w:val="24"/>
                <w14:textFill>
                  <w14:solidFill>
                    <w14:schemeClr w14:val="tx1"/>
                  </w14:solidFill>
                </w14:textFill>
              </w:rPr>
              <w:t>烟尘</w:t>
            </w:r>
          </w:p>
          <w:p w14:paraId="067559EE">
            <w:pPr>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a.现有工程烟尘产排情况</w:t>
            </w:r>
          </w:p>
          <w:p w14:paraId="1D13593E">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企业自主验收检测报告川国测检字(2021)第YS01160号，2021年5月13日、14日连续两天对项目两根湿式脱硫塔排气筒出口检测结果表明，1#、2#脱硫塔烟尘（颗粒物）有组织排放能达到《砖瓦工业大气污染物排放标准》（GB29620-2013）及修改单表2新建企业大气污染物排放限值中原料燃料破碎及制备成型限值。</w:t>
            </w:r>
          </w:p>
          <w:p w14:paraId="2569C030">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为核算技改前大气污染物排放情况，本次评价直接以现有环评资料、验收变动情况及检测报告给出产排情况：</w:t>
            </w:r>
          </w:p>
          <w:p w14:paraId="4D080887">
            <w:pPr>
              <w:spacing w:line="360" w:lineRule="auto"/>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 xml:space="preserve">表4-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表4-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2</w:t>
            </w:r>
            <w:r>
              <w:rPr>
                <w:rFonts w:ascii="Times New Roman" w:hAnsi="Times New Roman" w:eastAsia="宋体" w:cs="Times New Roman"/>
                <w:b/>
                <w:bCs/>
                <w:color w:val="000000" w:themeColor="text1"/>
                <w:szCs w:val="21"/>
                <w14:textFill>
                  <w14:solidFill>
                    <w14:schemeClr w14:val="tx1"/>
                  </w14:solidFill>
                </w14:textFill>
              </w:rPr>
              <w:fldChar w:fldCharType="end"/>
            </w:r>
            <w:r>
              <w:rPr>
                <w:rFonts w:ascii="Times New Roman" w:hAnsi="Times New Roman" w:eastAsia="宋体" w:cs="Times New Roman"/>
                <w:b/>
                <w:bCs/>
                <w:color w:val="000000" w:themeColor="text1"/>
                <w:szCs w:val="21"/>
                <w14:textFill>
                  <w14:solidFill>
                    <w14:schemeClr w14:val="tx1"/>
                  </w14:solidFill>
                </w14:textFill>
              </w:rPr>
              <w:t xml:space="preserve">   炉窑颗粒物产生排放情况汇总一览表</w:t>
            </w:r>
          </w:p>
          <w:tbl>
            <w:tblPr>
              <w:tblStyle w:val="25"/>
              <w:tblW w:w="84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8"/>
              <w:gridCol w:w="657"/>
              <w:gridCol w:w="1139"/>
              <w:gridCol w:w="970"/>
              <w:gridCol w:w="1668"/>
              <w:gridCol w:w="1181"/>
              <w:gridCol w:w="1092"/>
              <w:gridCol w:w="1129"/>
            </w:tblGrid>
            <w:tr w14:paraId="6342E2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jc w:val="center"/>
              </w:trPr>
              <w:tc>
                <w:tcPr>
                  <w:tcW w:w="658" w:type="dxa"/>
                  <w:vMerge w:val="restart"/>
                  <w:vAlign w:val="center"/>
                </w:tcPr>
                <w:p w14:paraId="1732F10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污染源</w:t>
                  </w:r>
                </w:p>
              </w:tc>
              <w:tc>
                <w:tcPr>
                  <w:tcW w:w="657" w:type="dxa"/>
                  <w:vMerge w:val="restart"/>
                  <w:vAlign w:val="center"/>
                </w:tcPr>
                <w:p w14:paraId="3CE1889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污染因子</w:t>
                  </w:r>
                </w:p>
              </w:tc>
              <w:tc>
                <w:tcPr>
                  <w:tcW w:w="2109" w:type="dxa"/>
                  <w:gridSpan w:val="2"/>
                  <w:vAlign w:val="center"/>
                </w:tcPr>
                <w:p w14:paraId="2B08CEF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产生情况</w:t>
                  </w:r>
                </w:p>
              </w:tc>
              <w:tc>
                <w:tcPr>
                  <w:tcW w:w="1668" w:type="dxa"/>
                  <w:vMerge w:val="restart"/>
                  <w:vAlign w:val="center"/>
                </w:tcPr>
                <w:p w14:paraId="690F546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污染治理措施</w:t>
                  </w:r>
                </w:p>
              </w:tc>
              <w:tc>
                <w:tcPr>
                  <w:tcW w:w="3402" w:type="dxa"/>
                  <w:gridSpan w:val="3"/>
                  <w:vAlign w:val="center"/>
                </w:tcPr>
                <w:p w14:paraId="43779F3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有组织排放情况</w:t>
                  </w:r>
                </w:p>
              </w:tc>
            </w:tr>
            <w:tr w14:paraId="0E112A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658" w:type="dxa"/>
                  <w:vMerge w:val="continue"/>
                  <w:vAlign w:val="center"/>
                </w:tcPr>
                <w:p w14:paraId="0A40FA7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7" w:type="dxa"/>
                  <w:vMerge w:val="continue"/>
                  <w:vAlign w:val="center"/>
                </w:tcPr>
                <w:p w14:paraId="463C188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1139" w:type="dxa"/>
                  <w:vAlign w:val="center"/>
                </w:tcPr>
                <w:p w14:paraId="31036BA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产生速率（kg/h）</w:t>
                  </w:r>
                </w:p>
              </w:tc>
              <w:tc>
                <w:tcPr>
                  <w:tcW w:w="970" w:type="dxa"/>
                  <w:vAlign w:val="center"/>
                </w:tcPr>
                <w:p w14:paraId="6F8421A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产生量（t/a）</w:t>
                  </w:r>
                </w:p>
              </w:tc>
              <w:tc>
                <w:tcPr>
                  <w:tcW w:w="1668" w:type="dxa"/>
                  <w:vMerge w:val="continue"/>
                  <w:vAlign w:val="center"/>
                </w:tcPr>
                <w:p w14:paraId="347270F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1181" w:type="dxa"/>
                  <w:vAlign w:val="center"/>
                </w:tcPr>
                <w:p w14:paraId="0C51501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排放速率（kg/h）</w:t>
                  </w:r>
                </w:p>
              </w:tc>
              <w:tc>
                <w:tcPr>
                  <w:tcW w:w="1092" w:type="dxa"/>
                  <w:vAlign w:val="center"/>
                </w:tcPr>
                <w:p w14:paraId="472CB8D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排放浓度（mg/m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1129" w:type="dxa"/>
                  <w:vAlign w:val="center"/>
                </w:tcPr>
                <w:p w14:paraId="0F384DD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排放量（t/a）</w:t>
                  </w:r>
                </w:p>
              </w:tc>
            </w:tr>
            <w:tr w14:paraId="18091B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37" w:hRule="atLeast"/>
                <w:jc w:val="center"/>
              </w:trPr>
              <w:tc>
                <w:tcPr>
                  <w:tcW w:w="658" w:type="dxa"/>
                  <w:vAlign w:val="center"/>
                </w:tcPr>
                <w:p w14:paraId="7333BC7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隧道窑</w:t>
                  </w:r>
                </w:p>
              </w:tc>
              <w:tc>
                <w:tcPr>
                  <w:tcW w:w="657" w:type="dxa"/>
                  <w:vAlign w:val="center"/>
                </w:tcPr>
                <w:p w14:paraId="0C14128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1139" w:type="dxa"/>
                  <w:vMerge w:val="restart"/>
                  <w:vAlign w:val="center"/>
                </w:tcPr>
                <w:p w14:paraId="2C1933A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5.25</w:t>
                  </w:r>
                </w:p>
              </w:tc>
              <w:tc>
                <w:tcPr>
                  <w:tcW w:w="970" w:type="dxa"/>
                  <w:vMerge w:val="restart"/>
                  <w:vAlign w:val="center"/>
                </w:tcPr>
                <w:p w14:paraId="04782EB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37.82</w:t>
                  </w:r>
                </w:p>
              </w:tc>
              <w:tc>
                <w:tcPr>
                  <w:tcW w:w="1668" w:type="dxa"/>
                  <w:vAlign w:val="center"/>
                </w:tcPr>
                <w:p w14:paraId="03FFB57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部分废气直接引至一套湿式脱硫塔处理后经18m排气筒（DA002）外排</w:t>
                  </w:r>
                  <w:r>
                    <w:rPr>
                      <w:rFonts w:ascii="Times New Roman" w:hAnsi="Times New Roman" w:eastAsia="宋体" w:cs="Times New Roman"/>
                      <w:color w:val="000000" w:themeColor="text1"/>
                      <w:szCs w:val="21"/>
                      <w14:textFill>
                        <w14:solidFill>
                          <w14:schemeClr w14:val="tx1"/>
                        </w14:solidFill>
                      </w14:textFill>
                    </w:rPr>
                    <w:t xml:space="preserve"> </w:t>
                  </w:r>
                </w:p>
              </w:tc>
              <w:tc>
                <w:tcPr>
                  <w:tcW w:w="1181" w:type="dxa"/>
                  <w:vAlign w:val="center"/>
                </w:tcPr>
                <w:p w14:paraId="16403D8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0.7716</w:t>
                  </w:r>
                </w:p>
              </w:tc>
              <w:tc>
                <w:tcPr>
                  <w:tcW w:w="1092" w:type="dxa"/>
                  <w:vAlign w:val="center"/>
                </w:tcPr>
                <w:p w14:paraId="59F94D3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14.56</w:t>
                  </w:r>
                </w:p>
              </w:tc>
              <w:tc>
                <w:tcPr>
                  <w:tcW w:w="1129" w:type="dxa"/>
                  <w:vAlign w:val="center"/>
                </w:tcPr>
                <w:p w14:paraId="1F3E4FB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5.5557</w:t>
                  </w:r>
                </w:p>
              </w:tc>
            </w:tr>
            <w:tr w14:paraId="4CEF20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0" w:hRule="atLeast"/>
                <w:jc w:val="center"/>
              </w:trPr>
              <w:tc>
                <w:tcPr>
                  <w:tcW w:w="658" w:type="dxa"/>
                  <w:vAlign w:val="center"/>
                </w:tcPr>
                <w:p w14:paraId="33AD7D5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烘干窑</w:t>
                  </w:r>
                </w:p>
              </w:tc>
              <w:tc>
                <w:tcPr>
                  <w:tcW w:w="657" w:type="dxa"/>
                  <w:vAlign w:val="center"/>
                </w:tcPr>
                <w:p w14:paraId="77A9A97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1139" w:type="dxa"/>
                  <w:vMerge w:val="continue"/>
                  <w:vAlign w:val="center"/>
                </w:tcPr>
                <w:p w14:paraId="7AF78EE3">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970" w:type="dxa"/>
                  <w:vMerge w:val="continue"/>
                  <w:vAlign w:val="center"/>
                </w:tcPr>
                <w:p w14:paraId="26B6251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1668" w:type="dxa"/>
                  <w:vAlign w:val="center"/>
                </w:tcPr>
                <w:p w14:paraId="28BC961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隧道窑烟气引至烘干窑，利用烟气余热对砖坯进行烘干，尾气进入一套湿式脱硫塔处理后经18m排气筒（DA003）外排</w:t>
                  </w:r>
                </w:p>
              </w:tc>
              <w:tc>
                <w:tcPr>
                  <w:tcW w:w="1181" w:type="dxa"/>
                  <w:vAlign w:val="center"/>
                </w:tcPr>
                <w:p w14:paraId="4802E60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0.6575</w:t>
                  </w:r>
                </w:p>
              </w:tc>
              <w:tc>
                <w:tcPr>
                  <w:tcW w:w="1092" w:type="dxa"/>
                  <w:vAlign w:val="center"/>
                </w:tcPr>
                <w:p w14:paraId="0F9E927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12.8</w:t>
                  </w:r>
                </w:p>
              </w:tc>
              <w:tc>
                <w:tcPr>
                  <w:tcW w:w="1129" w:type="dxa"/>
                  <w:vAlign w:val="center"/>
                </w:tcPr>
                <w:p w14:paraId="38B41D0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4.7341</w:t>
                  </w:r>
                </w:p>
              </w:tc>
            </w:tr>
          </w:tbl>
          <w:p w14:paraId="52071AAF">
            <w:pPr>
              <w:spacing w:line="360" w:lineRule="auto"/>
              <w:ind w:firstLine="482" w:firstLineChars="200"/>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b.</w:t>
            </w:r>
            <w:r>
              <w:rPr>
                <w:rFonts w:ascii="Times New Roman" w:hAnsi="Times New Roman" w:eastAsia="宋体" w:cs="Times New Roman"/>
                <w:b/>
                <w:bCs/>
                <w:color w:val="000000" w:themeColor="text1"/>
                <w:sz w:val="24"/>
                <w:szCs w:val="24"/>
                <w14:textFill>
                  <w14:solidFill>
                    <w14:schemeClr w14:val="tx1"/>
                  </w14:solidFill>
                </w14:textFill>
              </w:rPr>
              <w:t>技改后烟尘变化情况</w:t>
            </w:r>
          </w:p>
          <w:p w14:paraId="79E14226">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本次技改利用</w:t>
            </w:r>
            <w:r>
              <w:rPr>
                <w:rFonts w:ascii="Times New Roman" w:hAnsi="Times New Roman" w:eastAsia="宋体" w:cs="Times New Roman"/>
                <w:color w:val="000000" w:themeColor="text1"/>
                <w:sz w:val="24"/>
                <w:szCs w:val="24"/>
                <w:lang w:val="en-GB"/>
                <w14:textFill>
                  <w14:solidFill>
                    <w14:schemeClr w14:val="tx1"/>
                  </w14:solidFill>
                </w14:textFill>
              </w:rPr>
              <w:t>水基钻井废弃物、无机工业污泥等一般工业固废</w:t>
            </w:r>
            <w:r>
              <w:rPr>
                <w:rFonts w:ascii="Times New Roman" w:hAnsi="Times New Roman" w:eastAsia="宋体" w:cs="Times New Roman"/>
                <w:color w:val="000000" w:themeColor="text1"/>
                <w:sz w:val="24"/>
                <w:szCs w:val="24"/>
                <w14:textFill>
                  <w14:solidFill>
                    <w14:schemeClr w14:val="tx1"/>
                  </w14:solidFill>
                </w14:textFill>
              </w:rPr>
              <w:t>替代部分页岩原料，采取等量替代，燃煤使用量不发生变化，且替代原料均为无机固废，本次技改不新增产能，因此隧道窑烧结过程烟尘产生量相较技改前</w:t>
            </w:r>
            <w:r>
              <w:rPr>
                <w:rFonts w:ascii="Times New Roman" w:hAnsi="Times New Roman" w:eastAsia="宋体" w:cs="Times New Roman"/>
                <w:b/>
                <w:color w:val="000000" w:themeColor="text1"/>
                <w:sz w:val="24"/>
                <w:szCs w:val="24"/>
                <w14:textFill>
                  <w14:solidFill>
                    <w14:schemeClr w14:val="tx1"/>
                  </w14:solidFill>
                </w14:textFill>
              </w:rPr>
              <w:t>基本无变化</w:t>
            </w:r>
            <w:r>
              <w:rPr>
                <w:rFonts w:ascii="Times New Roman" w:hAnsi="Times New Roman" w:eastAsia="宋体" w:cs="Times New Roman"/>
                <w:color w:val="000000" w:themeColor="text1"/>
                <w:sz w:val="24"/>
                <w:szCs w:val="24"/>
                <w14:textFill>
                  <w14:solidFill>
                    <w14:schemeClr w14:val="tx1"/>
                  </w14:solidFill>
                </w14:textFill>
              </w:rPr>
              <w:t>。</w:t>
            </w:r>
          </w:p>
          <w:p w14:paraId="562303DA">
            <w:pPr>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hint="eastAsia" w:ascii="宋体" w:hAnsi="宋体" w:eastAsia="宋体" w:cs="宋体"/>
                <w:b/>
                <w:bCs/>
                <w:color w:val="000000" w:themeColor="text1"/>
                <w:sz w:val="24"/>
                <w:szCs w:val="24"/>
                <w14:textFill>
                  <w14:solidFill>
                    <w14:schemeClr w14:val="tx1"/>
                  </w14:solidFill>
                </w14:textFill>
              </w:rPr>
              <w:t>③</w:t>
            </w:r>
            <w:r>
              <w:rPr>
                <w:rFonts w:ascii="Times New Roman" w:hAnsi="Times New Roman" w:eastAsia="宋体" w:cs="Times New Roman"/>
                <w:b/>
                <w:bCs/>
                <w:color w:val="000000" w:themeColor="text1"/>
                <w:sz w:val="24"/>
                <w:szCs w:val="24"/>
                <w14:textFill>
                  <w14:solidFill>
                    <w14:schemeClr w14:val="tx1"/>
                  </w14:solidFill>
                </w14:textFill>
              </w:rPr>
              <w:t>SO</w:t>
            </w:r>
            <w:r>
              <w:rPr>
                <w:rFonts w:ascii="Times New Roman" w:hAnsi="Times New Roman" w:eastAsia="宋体" w:cs="Times New Roman"/>
                <w:b/>
                <w:bCs/>
                <w:color w:val="000000" w:themeColor="text1"/>
                <w:sz w:val="24"/>
                <w:szCs w:val="24"/>
                <w:vertAlign w:val="subscript"/>
                <w14:textFill>
                  <w14:solidFill>
                    <w14:schemeClr w14:val="tx1"/>
                  </w14:solidFill>
                </w14:textFill>
              </w:rPr>
              <w:t>2</w:t>
            </w:r>
          </w:p>
          <w:p w14:paraId="775763B7">
            <w:pPr>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a.现有工程SO</w:t>
            </w:r>
            <w:r>
              <w:rPr>
                <w:rFonts w:ascii="Times New Roman" w:hAnsi="Times New Roman" w:eastAsia="宋体" w:cs="Times New Roman"/>
                <w:b/>
                <w:bCs/>
                <w:color w:val="000000" w:themeColor="text1"/>
                <w:sz w:val="24"/>
                <w:szCs w:val="24"/>
                <w:vertAlign w:val="subscript"/>
                <w14:textFill>
                  <w14:solidFill>
                    <w14:schemeClr w14:val="tx1"/>
                  </w14:solidFill>
                </w14:textFill>
              </w:rPr>
              <w:t>2</w:t>
            </w:r>
            <w:r>
              <w:rPr>
                <w:rFonts w:ascii="Times New Roman" w:hAnsi="Times New Roman" w:eastAsia="宋体" w:cs="Times New Roman"/>
                <w:b/>
                <w:bCs/>
                <w:color w:val="000000" w:themeColor="text1"/>
                <w:sz w:val="24"/>
                <w:szCs w:val="24"/>
                <w14:textFill>
                  <w14:solidFill>
                    <w14:schemeClr w14:val="tx1"/>
                  </w14:solidFill>
                </w14:textFill>
              </w:rPr>
              <w:t>产排情况</w:t>
            </w:r>
          </w:p>
          <w:p w14:paraId="3518408E">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根据企业自主验收检测报告川国测检字(2021)第YS01160号，2021年5月13日、14日连续两天对项目两根湿式脱硫塔排气筒出口检测结果表明，1#、2#脱硫塔SO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有组织排放能达到《砖瓦工业大气污染物排放标准》（GB29620-2013）及修改单表2新建企业大气污染物排放限值中原料燃料破碎及制备成型限值。</w:t>
            </w:r>
          </w:p>
          <w:p w14:paraId="66C9085D">
            <w:pPr>
              <w:pStyle w:val="2"/>
              <w:ind w:firstLine="492"/>
            </w:pPr>
          </w:p>
          <w:p w14:paraId="6BAA6DA4">
            <w:pPr>
              <w:pStyle w:val="6"/>
            </w:pPr>
          </w:p>
          <w:p w14:paraId="62573D22">
            <w:pPr>
              <w:spacing w:line="360" w:lineRule="auto"/>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 xml:space="preserve">表4-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表4-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3</w:t>
            </w:r>
            <w:r>
              <w:rPr>
                <w:rFonts w:ascii="Times New Roman" w:hAnsi="Times New Roman" w:eastAsia="宋体" w:cs="Times New Roman"/>
                <w:b/>
                <w:bCs/>
                <w:color w:val="000000" w:themeColor="text1"/>
                <w:szCs w:val="21"/>
                <w14:textFill>
                  <w14:solidFill>
                    <w14:schemeClr w14:val="tx1"/>
                  </w14:solidFill>
                </w14:textFill>
              </w:rPr>
              <w:fldChar w:fldCharType="end"/>
            </w:r>
            <w:r>
              <w:rPr>
                <w:rFonts w:ascii="Times New Roman" w:hAnsi="Times New Roman" w:eastAsia="宋体" w:cs="Times New Roman"/>
                <w:b/>
                <w:bCs/>
                <w:color w:val="000000" w:themeColor="text1"/>
                <w:szCs w:val="21"/>
                <w14:textFill>
                  <w14:solidFill>
                    <w14:schemeClr w14:val="tx1"/>
                  </w14:solidFill>
                </w14:textFill>
              </w:rPr>
              <w:t xml:space="preserve">    炉窑SO</w:t>
            </w:r>
            <w:r>
              <w:rPr>
                <w:rFonts w:ascii="Times New Roman" w:hAnsi="Times New Roman" w:eastAsia="宋体" w:cs="Times New Roman"/>
                <w:b/>
                <w:bCs/>
                <w:color w:val="000000" w:themeColor="text1"/>
                <w:szCs w:val="21"/>
                <w:vertAlign w:val="subscript"/>
                <w14:textFill>
                  <w14:solidFill>
                    <w14:schemeClr w14:val="tx1"/>
                  </w14:solidFill>
                </w14:textFill>
              </w:rPr>
              <w:t>2</w:t>
            </w:r>
            <w:r>
              <w:rPr>
                <w:rFonts w:ascii="Times New Roman" w:hAnsi="Times New Roman" w:eastAsia="宋体" w:cs="Times New Roman"/>
                <w:b/>
                <w:bCs/>
                <w:color w:val="000000" w:themeColor="text1"/>
                <w:szCs w:val="21"/>
                <w14:textFill>
                  <w14:solidFill>
                    <w14:schemeClr w14:val="tx1"/>
                  </w14:solidFill>
                </w14:textFill>
              </w:rPr>
              <w:t>产生排放情况汇总一览表</w:t>
            </w:r>
          </w:p>
          <w:tbl>
            <w:tblPr>
              <w:tblStyle w:val="25"/>
              <w:tblW w:w="850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8"/>
              <w:gridCol w:w="657"/>
              <w:gridCol w:w="1139"/>
              <w:gridCol w:w="970"/>
              <w:gridCol w:w="1668"/>
              <w:gridCol w:w="1181"/>
              <w:gridCol w:w="1092"/>
              <w:gridCol w:w="1138"/>
            </w:tblGrid>
            <w:tr w14:paraId="2445EF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658" w:type="dxa"/>
                  <w:vMerge w:val="restart"/>
                  <w:vAlign w:val="center"/>
                </w:tcPr>
                <w:p w14:paraId="24D5CD1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污染源</w:t>
                  </w:r>
                </w:p>
              </w:tc>
              <w:tc>
                <w:tcPr>
                  <w:tcW w:w="657" w:type="dxa"/>
                  <w:vMerge w:val="restart"/>
                  <w:vAlign w:val="center"/>
                </w:tcPr>
                <w:p w14:paraId="310D7C0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污染因子</w:t>
                  </w:r>
                </w:p>
              </w:tc>
              <w:tc>
                <w:tcPr>
                  <w:tcW w:w="2109" w:type="dxa"/>
                  <w:gridSpan w:val="2"/>
                  <w:vAlign w:val="center"/>
                </w:tcPr>
                <w:p w14:paraId="3321BA0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产生情况</w:t>
                  </w:r>
                </w:p>
              </w:tc>
              <w:tc>
                <w:tcPr>
                  <w:tcW w:w="1668" w:type="dxa"/>
                  <w:vMerge w:val="restart"/>
                  <w:vAlign w:val="center"/>
                </w:tcPr>
                <w:p w14:paraId="347FB2B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污染治理措施</w:t>
                  </w:r>
                </w:p>
              </w:tc>
              <w:tc>
                <w:tcPr>
                  <w:tcW w:w="3411" w:type="dxa"/>
                  <w:gridSpan w:val="3"/>
                  <w:vAlign w:val="center"/>
                </w:tcPr>
                <w:p w14:paraId="3C80FFE3">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有组织排放情况</w:t>
                  </w:r>
                </w:p>
              </w:tc>
            </w:tr>
            <w:tr w14:paraId="08A6B8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trPr>
              <w:tc>
                <w:tcPr>
                  <w:tcW w:w="658" w:type="dxa"/>
                  <w:vMerge w:val="continue"/>
                  <w:vAlign w:val="center"/>
                </w:tcPr>
                <w:p w14:paraId="18AC058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7" w:type="dxa"/>
                  <w:vMerge w:val="continue"/>
                  <w:vAlign w:val="center"/>
                </w:tcPr>
                <w:p w14:paraId="39A287F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1139" w:type="dxa"/>
                  <w:vAlign w:val="center"/>
                </w:tcPr>
                <w:p w14:paraId="6E27EDE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产生速率（kg/h）</w:t>
                  </w:r>
                </w:p>
              </w:tc>
              <w:tc>
                <w:tcPr>
                  <w:tcW w:w="970" w:type="dxa"/>
                  <w:vAlign w:val="center"/>
                </w:tcPr>
                <w:p w14:paraId="2BC7268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产生量（t/a）</w:t>
                  </w:r>
                </w:p>
              </w:tc>
              <w:tc>
                <w:tcPr>
                  <w:tcW w:w="1668" w:type="dxa"/>
                  <w:vMerge w:val="continue"/>
                  <w:vAlign w:val="center"/>
                </w:tcPr>
                <w:p w14:paraId="094EFC5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1181" w:type="dxa"/>
                  <w:vAlign w:val="center"/>
                </w:tcPr>
                <w:p w14:paraId="605124E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排放速率（kg/h）</w:t>
                  </w:r>
                </w:p>
              </w:tc>
              <w:tc>
                <w:tcPr>
                  <w:tcW w:w="1092" w:type="dxa"/>
                  <w:vAlign w:val="center"/>
                </w:tcPr>
                <w:p w14:paraId="7776AB2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排放浓度（mg/m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1138" w:type="dxa"/>
                  <w:vAlign w:val="center"/>
                </w:tcPr>
                <w:p w14:paraId="17B7297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排放量（t/a）</w:t>
                  </w:r>
                </w:p>
              </w:tc>
            </w:tr>
            <w:tr w14:paraId="4E882F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37" w:hRule="atLeast"/>
              </w:trPr>
              <w:tc>
                <w:tcPr>
                  <w:tcW w:w="658" w:type="dxa"/>
                  <w:vAlign w:val="center"/>
                </w:tcPr>
                <w:p w14:paraId="76A09B3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隧道窑</w:t>
                  </w:r>
                </w:p>
              </w:tc>
              <w:tc>
                <w:tcPr>
                  <w:tcW w:w="657" w:type="dxa"/>
                  <w:vAlign w:val="center"/>
                </w:tcPr>
                <w:p w14:paraId="7DF02B1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SO</w:t>
                  </w:r>
                  <w:r>
                    <w:rPr>
                      <w:rFonts w:ascii="Times New Roman" w:hAnsi="Times New Roman" w:eastAsia="宋体" w:cs="Times New Roman"/>
                      <w:color w:val="000000" w:themeColor="text1"/>
                      <w:szCs w:val="21"/>
                      <w:vertAlign w:val="subscript"/>
                      <w14:textFill>
                        <w14:solidFill>
                          <w14:schemeClr w14:val="tx1"/>
                        </w14:solidFill>
                      </w14:textFill>
                    </w:rPr>
                    <w:t>2</w:t>
                  </w:r>
                </w:p>
              </w:tc>
              <w:tc>
                <w:tcPr>
                  <w:tcW w:w="1139" w:type="dxa"/>
                  <w:vMerge w:val="restart"/>
                  <w:vAlign w:val="center"/>
                </w:tcPr>
                <w:p w14:paraId="0911483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3.17</w:t>
                  </w:r>
                </w:p>
              </w:tc>
              <w:tc>
                <w:tcPr>
                  <w:tcW w:w="970" w:type="dxa"/>
                  <w:vMerge w:val="restart"/>
                  <w:vAlign w:val="center"/>
                </w:tcPr>
                <w:p w14:paraId="543B9D4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22.8</w:t>
                  </w:r>
                </w:p>
              </w:tc>
              <w:tc>
                <w:tcPr>
                  <w:tcW w:w="1668" w:type="dxa"/>
                  <w:vAlign w:val="center"/>
                </w:tcPr>
                <w:p w14:paraId="50DE499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部分废气直接引至一套湿式脱硫塔处理后经18m排气筒（DA002）外排</w:t>
                  </w:r>
                </w:p>
              </w:tc>
              <w:tc>
                <w:tcPr>
                  <w:tcW w:w="1181" w:type="dxa"/>
                  <w:vAlign w:val="center"/>
                </w:tcPr>
                <w:p w14:paraId="503ACA5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0.6093</w:t>
                  </w:r>
                </w:p>
              </w:tc>
              <w:tc>
                <w:tcPr>
                  <w:tcW w:w="1092" w:type="dxa"/>
                  <w:vAlign w:val="center"/>
                </w:tcPr>
                <w:p w14:paraId="6019793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11.5</w:t>
                  </w:r>
                </w:p>
              </w:tc>
              <w:tc>
                <w:tcPr>
                  <w:tcW w:w="1138" w:type="dxa"/>
                  <w:vAlign w:val="center"/>
                </w:tcPr>
                <w:p w14:paraId="21991C6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4.3873</w:t>
                  </w:r>
                </w:p>
              </w:tc>
            </w:tr>
            <w:tr w14:paraId="2C3BC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0" w:hRule="atLeast"/>
              </w:trPr>
              <w:tc>
                <w:tcPr>
                  <w:tcW w:w="658" w:type="dxa"/>
                  <w:vAlign w:val="center"/>
                </w:tcPr>
                <w:p w14:paraId="2CF612E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烘干窑</w:t>
                  </w:r>
                </w:p>
              </w:tc>
              <w:tc>
                <w:tcPr>
                  <w:tcW w:w="657" w:type="dxa"/>
                  <w:vAlign w:val="center"/>
                </w:tcPr>
                <w:p w14:paraId="1A68FED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SO</w:t>
                  </w:r>
                  <w:r>
                    <w:rPr>
                      <w:rFonts w:ascii="Times New Roman" w:hAnsi="Times New Roman" w:eastAsia="宋体" w:cs="Times New Roman"/>
                      <w:color w:val="000000" w:themeColor="text1"/>
                      <w:szCs w:val="21"/>
                      <w:vertAlign w:val="subscript"/>
                      <w14:textFill>
                        <w14:solidFill>
                          <w14:schemeClr w14:val="tx1"/>
                        </w14:solidFill>
                      </w14:textFill>
                    </w:rPr>
                    <w:t>2</w:t>
                  </w:r>
                </w:p>
              </w:tc>
              <w:tc>
                <w:tcPr>
                  <w:tcW w:w="1139" w:type="dxa"/>
                  <w:vMerge w:val="continue"/>
                  <w:vAlign w:val="center"/>
                </w:tcPr>
                <w:p w14:paraId="3DFF67B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970" w:type="dxa"/>
                  <w:vMerge w:val="continue"/>
                  <w:vAlign w:val="center"/>
                </w:tcPr>
                <w:p w14:paraId="535E2AB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1668" w:type="dxa"/>
                  <w:vAlign w:val="center"/>
                </w:tcPr>
                <w:p w14:paraId="589A9F0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隧道窑烟气引至烘干窑，利用烟气余热对砖坯进行烘干，尾气进入一套湿式脱硫塔处理后经18m排气筒（DA003）外排</w:t>
                  </w:r>
                </w:p>
              </w:tc>
              <w:tc>
                <w:tcPr>
                  <w:tcW w:w="1181" w:type="dxa"/>
                  <w:vAlign w:val="center"/>
                </w:tcPr>
                <w:p w14:paraId="46144B6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0.5966</w:t>
                  </w:r>
                </w:p>
              </w:tc>
              <w:tc>
                <w:tcPr>
                  <w:tcW w:w="1092" w:type="dxa"/>
                  <w:vAlign w:val="center"/>
                </w:tcPr>
                <w:p w14:paraId="3599EE7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11.63</w:t>
                  </w:r>
                </w:p>
              </w:tc>
              <w:tc>
                <w:tcPr>
                  <w:tcW w:w="1138" w:type="dxa"/>
                  <w:vAlign w:val="center"/>
                </w:tcPr>
                <w:p w14:paraId="0C08F24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4.2953</w:t>
                  </w:r>
                </w:p>
              </w:tc>
            </w:tr>
          </w:tbl>
          <w:p w14:paraId="50730999">
            <w:pPr>
              <w:spacing w:line="360" w:lineRule="auto"/>
              <w:ind w:firstLine="482" w:firstLineChars="200"/>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b.</w:t>
            </w:r>
            <w:r>
              <w:rPr>
                <w:rFonts w:ascii="Times New Roman" w:hAnsi="Times New Roman" w:eastAsia="宋体" w:cs="Times New Roman"/>
                <w:b/>
                <w:bCs/>
                <w:color w:val="000000" w:themeColor="text1"/>
                <w:sz w:val="24"/>
                <w:szCs w:val="24"/>
                <w14:textFill>
                  <w14:solidFill>
                    <w14:schemeClr w14:val="tx1"/>
                  </w14:solidFill>
                </w14:textFill>
              </w:rPr>
              <w:t>技改后SO</w:t>
            </w:r>
            <w:r>
              <w:rPr>
                <w:rFonts w:ascii="Times New Roman" w:hAnsi="Times New Roman" w:eastAsia="宋体" w:cs="Times New Roman"/>
                <w:b/>
                <w:bCs/>
                <w:color w:val="000000" w:themeColor="text1"/>
                <w:sz w:val="24"/>
                <w:szCs w:val="24"/>
                <w:vertAlign w:val="subscript"/>
                <w14:textFill>
                  <w14:solidFill>
                    <w14:schemeClr w14:val="tx1"/>
                  </w14:solidFill>
                </w14:textFill>
              </w:rPr>
              <w:t>2</w:t>
            </w:r>
            <w:r>
              <w:rPr>
                <w:rFonts w:ascii="Times New Roman" w:hAnsi="Times New Roman" w:eastAsia="宋体" w:cs="Times New Roman"/>
                <w:b/>
                <w:bCs/>
                <w:color w:val="000000" w:themeColor="text1"/>
                <w:sz w:val="24"/>
                <w:szCs w:val="24"/>
                <w14:textFill>
                  <w14:solidFill>
                    <w14:schemeClr w14:val="tx1"/>
                  </w14:solidFill>
                </w14:textFill>
              </w:rPr>
              <w:t>变化情况</w:t>
            </w:r>
          </w:p>
          <w:p w14:paraId="2EC70E36">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技改后项目利用水基钻井废弃物、无机工业污泥等一般工业固废等量替代页岩。一般页岩含硫量多在0.05%~0.1%左右，且多以不可燃的无机硫形式存在。</w:t>
            </w:r>
          </w:p>
          <w:p w14:paraId="38C1984B">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根据《利用海上油气田水基钻井废物制备烧结砖》（张忠亮, 金容旭, 张雪梅, 等 环境工程学报，2021,15(9): 3023-3031），陆地水基钻井废弃物含SO</w:t>
            </w:r>
            <w:r>
              <w:rPr>
                <w:rFonts w:ascii="Times New Roman" w:hAnsi="Times New Roman" w:eastAsia="宋体" w:cs="Times New Roman"/>
                <w:color w:val="000000" w:themeColor="text1"/>
                <w:sz w:val="24"/>
                <w:szCs w:val="24"/>
                <w:vertAlign w:val="sub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6.9%，同时含氧化钙、氧化硅、氧化铝等（详见</w:t>
            </w:r>
            <w:r>
              <w:rPr>
                <w:rFonts w:ascii="Times New Roman" w:hAnsi="Times New Roman" w:eastAsia="宋体" w:cs="Times New Roman"/>
                <w:color w:val="000000" w:themeColor="text1"/>
                <w:sz w:val="24"/>
                <w:szCs w:val="24"/>
                <w14:textFill>
                  <w14:solidFill>
                    <w14:schemeClr w14:val="tx1"/>
                  </w14:solidFill>
                </w14:textFill>
              </w:rPr>
              <w:fldChar w:fldCharType="begin"/>
            </w:r>
            <w:r>
              <w:rPr>
                <w:rFonts w:ascii="Times New Roman" w:hAnsi="Times New Roman" w:eastAsia="宋体" w:cs="Times New Roman"/>
                <w:color w:val="000000" w:themeColor="text1"/>
                <w:sz w:val="24"/>
                <w:szCs w:val="24"/>
                <w14:textFill>
                  <w14:solidFill>
                    <w14:schemeClr w14:val="tx1"/>
                  </w14:solidFill>
                </w14:textFill>
              </w:rPr>
              <w:instrText xml:space="preserve"> REF _Ref10942 \h  \* MERGEFORMAT </w:instrText>
            </w:r>
            <w:r>
              <w:rPr>
                <w:rFonts w:ascii="Times New Roman" w:hAnsi="Times New Roman" w:eastAsia="宋体" w:cs="Times New Roman"/>
                <w:color w:val="000000" w:themeColor="text1"/>
                <w:sz w:val="24"/>
                <w:szCs w:val="24"/>
                <w14:textFill>
                  <w14:solidFill>
                    <w14:schemeClr w14:val="tx1"/>
                  </w14:solidFill>
                </w14:textFill>
              </w:rPr>
              <w:fldChar w:fldCharType="separate"/>
            </w:r>
            <w:r>
              <w:rPr>
                <w:rFonts w:ascii="Times New Roman" w:hAnsi="Times New Roman" w:eastAsia="宋体" w:cs="Times New Roman"/>
                <w:b/>
                <w:color w:val="000000"/>
                <w:szCs w:val="24"/>
              </w:rPr>
              <w:t>表2- 19</w:t>
            </w:r>
            <w:r>
              <w:rPr>
                <w:rFonts w:ascii="Times New Roman" w:hAnsi="Times New Roman" w:eastAsia="宋体" w:cs="Times New Roman"/>
                <w:color w:val="000000" w:themeColor="text1"/>
                <w:sz w:val="24"/>
                <w:szCs w:val="24"/>
                <w14:textFill>
                  <w14:solidFill>
                    <w14:schemeClr w14:val="tx1"/>
                  </w14:solidFill>
                </w14:textFill>
              </w:rPr>
              <w:fldChar w:fldCharType="end"/>
            </w:r>
            <w:r>
              <w:rPr>
                <w:rFonts w:ascii="Times New Roman" w:hAnsi="Times New Roman" w:eastAsia="宋体" w:cs="Times New Roman"/>
                <w:color w:val="000000" w:themeColor="text1"/>
                <w:sz w:val="24"/>
                <w:szCs w:val="24"/>
                <w14:textFill>
                  <w14:solidFill>
                    <w14:schemeClr w14:val="tx1"/>
                  </w14:solidFill>
                </w14:textFill>
              </w:rPr>
              <w:t>）。SO</w:t>
            </w:r>
            <w:r>
              <w:rPr>
                <w:rFonts w:ascii="Times New Roman" w:hAnsi="Times New Roman" w:eastAsia="宋体" w:cs="Times New Roman"/>
                <w:color w:val="000000" w:themeColor="text1"/>
                <w:sz w:val="24"/>
                <w:szCs w:val="24"/>
                <w:vertAlign w:val="sub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有类似二氧化硫的气味，易溶于水，溶于水中反应成硫酸。溶于水后可与废弃物中的氧化钙、氧化硅、氧化铝等生成硫酸盐。根据《煤中可燃硫与烟气中SO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含量关系探讨》（苏丽清，李美芬，蔡延波，陈其炎，张玉芝，煤质技术2000年3月第2期）“煤中硫主要以3种形态存在: (1)硫酸盐硫，（2)硫铁矿硫和(3)有机硫。其中，硫酸盐硫为不可燃硫，而硫铁矿硫和有机硫为可燃硫。”。项目水基岩钻井废弃物含水率较高在30%-50%之间，同时原料入场后在一般工业固废贮存间暂存，设计贮存时间达到5天。同时生产过程中还需陈化48小时以上。因此水基岩钻井废弃物中SO</w:t>
            </w:r>
            <w:r>
              <w:rPr>
                <w:rFonts w:ascii="Times New Roman" w:hAnsi="Times New Roman" w:eastAsia="宋体" w:cs="Times New Roman"/>
                <w:color w:val="000000" w:themeColor="text1"/>
                <w:sz w:val="24"/>
                <w:szCs w:val="24"/>
                <w:vertAlign w:val="sub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可完全转化成硫酸盐，形成不可燃硫，在制砖过程中被固化在砖体中。</w:t>
            </w:r>
          </w:p>
          <w:p w14:paraId="78C55748">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无机污泥主要来自污水处理中物化处理形成污泥，主要成分为硫酸钙、氟化钙等，不含硫铁矿硫和有机硫，含硫物质主要为硫酸钙，其中硫为不可燃硫。</w:t>
            </w:r>
          </w:p>
          <w:p w14:paraId="04CA932E">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 xml:space="preserve">综上，项目替代原料水基岩钻井废弃物及无机污泥中，硫主要以不可燃硫形式存在，二氧化硫产污量理论上会有所降低，本次评价不对二氧化硫减少量进行定量计算。 </w:t>
            </w:r>
          </w:p>
          <w:p w14:paraId="4B3EF509">
            <w:pPr>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hint="eastAsia" w:ascii="宋体" w:hAnsi="宋体" w:eastAsia="宋体" w:cs="宋体"/>
                <w:b/>
                <w:bCs/>
                <w:color w:val="000000" w:themeColor="text1"/>
                <w:sz w:val="24"/>
                <w:szCs w:val="24"/>
                <w14:textFill>
                  <w14:solidFill>
                    <w14:schemeClr w14:val="tx1"/>
                  </w14:solidFill>
                </w14:textFill>
              </w:rPr>
              <w:t>④</w:t>
            </w:r>
            <w:r>
              <w:rPr>
                <w:rFonts w:ascii="Times New Roman" w:hAnsi="Times New Roman" w:eastAsia="宋体" w:cs="Times New Roman"/>
                <w:b/>
                <w:bCs/>
                <w:color w:val="000000" w:themeColor="text1"/>
                <w:sz w:val="24"/>
                <w:szCs w:val="24"/>
                <w14:textFill>
                  <w14:solidFill>
                    <w14:schemeClr w14:val="tx1"/>
                  </w14:solidFill>
                </w14:textFill>
              </w:rPr>
              <w:t>NOx</w:t>
            </w:r>
          </w:p>
          <w:p w14:paraId="37B0A3EE">
            <w:pPr>
              <w:spacing w:line="360" w:lineRule="auto"/>
              <w:ind w:firstLine="482"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a.现有工程NOx产排情况</w:t>
            </w:r>
          </w:p>
          <w:p w14:paraId="564DE337">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企业自主验收检测报告川国测检字(2021)第YS01160号，2021年5月13日、14日连续两天对项目两根湿式脱硫塔排气筒出口检测结果表明，1#、2#脱硫塔NOx有组织排放能达到《砖瓦工业大气污染物排放标准》（GB29620-2013）及修改单表2新建企业大气污染物排放限值中原料燃料破碎及制备成型限值。</w:t>
            </w:r>
          </w:p>
          <w:p w14:paraId="05C5150C">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为核算技改前大气污染物排放情况，本次评价验收情况及检测报告给出产排情况：</w:t>
            </w:r>
          </w:p>
          <w:p w14:paraId="7DF45B79">
            <w:pPr>
              <w:spacing w:line="360" w:lineRule="auto"/>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 xml:space="preserve">表4-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表4-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4</w:t>
            </w:r>
            <w:r>
              <w:rPr>
                <w:rFonts w:ascii="Times New Roman" w:hAnsi="Times New Roman" w:eastAsia="宋体" w:cs="Times New Roman"/>
                <w:b/>
                <w:bCs/>
                <w:color w:val="000000" w:themeColor="text1"/>
                <w:szCs w:val="21"/>
                <w14:textFill>
                  <w14:solidFill>
                    <w14:schemeClr w14:val="tx1"/>
                  </w14:solidFill>
                </w14:textFill>
              </w:rPr>
              <w:fldChar w:fldCharType="end"/>
            </w:r>
            <w:r>
              <w:rPr>
                <w:rFonts w:ascii="Times New Roman" w:hAnsi="Times New Roman" w:eastAsia="宋体" w:cs="Times New Roman"/>
                <w:b/>
                <w:bCs/>
                <w:color w:val="000000" w:themeColor="text1"/>
                <w:szCs w:val="21"/>
                <w14:textFill>
                  <w14:solidFill>
                    <w14:schemeClr w14:val="tx1"/>
                  </w14:solidFill>
                </w14:textFill>
              </w:rPr>
              <w:t xml:space="preserve">   隧道窑NOx产生排放情况汇总一览表</w:t>
            </w:r>
          </w:p>
          <w:tbl>
            <w:tblPr>
              <w:tblStyle w:val="25"/>
              <w:tblW w:w="850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8"/>
              <w:gridCol w:w="657"/>
              <w:gridCol w:w="1139"/>
              <w:gridCol w:w="970"/>
              <w:gridCol w:w="1668"/>
              <w:gridCol w:w="1181"/>
              <w:gridCol w:w="1092"/>
              <w:gridCol w:w="1138"/>
            </w:tblGrid>
            <w:tr w14:paraId="466276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658" w:type="dxa"/>
                  <w:vMerge w:val="restart"/>
                  <w:vAlign w:val="center"/>
                </w:tcPr>
                <w:p w14:paraId="199F391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污染源</w:t>
                  </w:r>
                </w:p>
              </w:tc>
              <w:tc>
                <w:tcPr>
                  <w:tcW w:w="657" w:type="dxa"/>
                  <w:vMerge w:val="restart"/>
                  <w:vAlign w:val="center"/>
                </w:tcPr>
                <w:p w14:paraId="4ED6288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污染因子</w:t>
                  </w:r>
                </w:p>
              </w:tc>
              <w:tc>
                <w:tcPr>
                  <w:tcW w:w="2109" w:type="dxa"/>
                  <w:gridSpan w:val="2"/>
                  <w:vAlign w:val="center"/>
                </w:tcPr>
                <w:p w14:paraId="6C7C701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产生情况</w:t>
                  </w:r>
                </w:p>
              </w:tc>
              <w:tc>
                <w:tcPr>
                  <w:tcW w:w="1668" w:type="dxa"/>
                  <w:vMerge w:val="restart"/>
                  <w:vAlign w:val="center"/>
                </w:tcPr>
                <w:p w14:paraId="47147FE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污染治理措施</w:t>
                  </w:r>
                </w:p>
              </w:tc>
              <w:tc>
                <w:tcPr>
                  <w:tcW w:w="3411" w:type="dxa"/>
                  <w:gridSpan w:val="3"/>
                  <w:vAlign w:val="center"/>
                </w:tcPr>
                <w:p w14:paraId="0EA6102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有组织排放情况</w:t>
                  </w:r>
                </w:p>
              </w:tc>
            </w:tr>
            <w:tr w14:paraId="256029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trPr>
              <w:tc>
                <w:tcPr>
                  <w:tcW w:w="658" w:type="dxa"/>
                  <w:vMerge w:val="continue"/>
                  <w:vAlign w:val="center"/>
                </w:tcPr>
                <w:p w14:paraId="2AC659E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7" w:type="dxa"/>
                  <w:vMerge w:val="continue"/>
                  <w:vAlign w:val="center"/>
                </w:tcPr>
                <w:p w14:paraId="1416E74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1139" w:type="dxa"/>
                  <w:vAlign w:val="center"/>
                </w:tcPr>
                <w:p w14:paraId="0772B3F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产生速率（kg/h）</w:t>
                  </w:r>
                </w:p>
              </w:tc>
              <w:tc>
                <w:tcPr>
                  <w:tcW w:w="970" w:type="dxa"/>
                  <w:vAlign w:val="center"/>
                </w:tcPr>
                <w:p w14:paraId="7131D8E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产生量（t/a）</w:t>
                  </w:r>
                </w:p>
              </w:tc>
              <w:tc>
                <w:tcPr>
                  <w:tcW w:w="1668" w:type="dxa"/>
                  <w:vMerge w:val="continue"/>
                  <w:vAlign w:val="center"/>
                </w:tcPr>
                <w:p w14:paraId="5FE29C3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1181" w:type="dxa"/>
                  <w:vAlign w:val="center"/>
                </w:tcPr>
                <w:p w14:paraId="350E2F9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排放速率（kg/h）</w:t>
                  </w:r>
                </w:p>
              </w:tc>
              <w:tc>
                <w:tcPr>
                  <w:tcW w:w="1092" w:type="dxa"/>
                  <w:vAlign w:val="center"/>
                </w:tcPr>
                <w:p w14:paraId="436E80D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排放浓度（mg/m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1138" w:type="dxa"/>
                  <w:vAlign w:val="center"/>
                </w:tcPr>
                <w:p w14:paraId="7D33DFD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排放量（t/a）</w:t>
                  </w:r>
                </w:p>
              </w:tc>
            </w:tr>
            <w:tr w14:paraId="435C09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37" w:hRule="atLeast"/>
              </w:trPr>
              <w:tc>
                <w:tcPr>
                  <w:tcW w:w="658" w:type="dxa"/>
                  <w:vAlign w:val="center"/>
                </w:tcPr>
                <w:p w14:paraId="6542ADC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隧道窑</w:t>
                  </w:r>
                </w:p>
              </w:tc>
              <w:tc>
                <w:tcPr>
                  <w:tcW w:w="657" w:type="dxa"/>
                  <w:vAlign w:val="center"/>
                </w:tcPr>
                <w:p w14:paraId="153896E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NOx</w:t>
                  </w:r>
                </w:p>
              </w:tc>
              <w:tc>
                <w:tcPr>
                  <w:tcW w:w="1139" w:type="dxa"/>
                  <w:vMerge w:val="restart"/>
                  <w:vAlign w:val="center"/>
                </w:tcPr>
                <w:p w14:paraId="5A750B4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1.86</w:t>
                  </w:r>
                </w:p>
              </w:tc>
              <w:tc>
                <w:tcPr>
                  <w:tcW w:w="970" w:type="dxa"/>
                  <w:vMerge w:val="restart"/>
                  <w:vAlign w:val="center"/>
                </w:tcPr>
                <w:p w14:paraId="3BCDF05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13.4</w:t>
                  </w:r>
                </w:p>
              </w:tc>
              <w:tc>
                <w:tcPr>
                  <w:tcW w:w="1668" w:type="dxa"/>
                  <w:vAlign w:val="center"/>
                </w:tcPr>
                <w:p w14:paraId="28E6FF7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部分废气直接引至一套湿式脱硫塔处理后经18m排气筒（DA002）外排</w:t>
                  </w:r>
                </w:p>
              </w:tc>
              <w:tc>
                <w:tcPr>
                  <w:tcW w:w="1181" w:type="dxa"/>
                  <w:vAlign w:val="center"/>
                </w:tcPr>
                <w:p w14:paraId="1DFA9A0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0.6358</w:t>
                  </w:r>
                </w:p>
              </w:tc>
              <w:tc>
                <w:tcPr>
                  <w:tcW w:w="1092" w:type="dxa"/>
                  <w:vAlign w:val="center"/>
                </w:tcPr>
                <w:p w14:paraId="23B343D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w:t>
                  </w:r>
                </w:p>
              </w:tc>
              <w:tc>
                <w:tcPr>
                  <w:tcW w:w="1138" w:type="dxa"/>
                  <w:vAlign w:val="center"/>
                </w:tcPr>
                <w:p w14:paraId="18BC843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4.5781</w:t>
                  </w:r>
                </w:p>
              </w:tc>
            </w:tr>
            <w:tr w14:paraId="3C8EE8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0" w:hRule="atLeast"/>
              </w:trPr>
              <w:tc>
                <w:tcPr>
                  <w:tcW w:w="658" w:type="dxa"/>
                  <w:vAlign w:val="center"/>
                </w:tcPr>
                <w:p w14:paraId="4124DBC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烘干窑</w:t>
                  </w:r>
                </w:p>
              </w:tc>
              <w:tc>
                <w:tcPr>
                  <w:tcW w:w="657" w:type="dxa"/>
                  <w:vAlign w:val="center"/>
                </w:tcPr>
                <w:p w14:paraId="177FD9E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NOx</w:t>
                  </w:r>
                </w:p>
              </w:tc>
              <w:tc>
                <w:tcPr>
                  <w:tcW w:w="1139" w:type="dxa"/>
                  <w:vMerge w:val="continue"/>
                  <w:vAlign w:val="center"/>
                </w:tcPr>
                <w:p w14:paraId="38B6DC3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970" w:type="dxa"/>
                  <w:vMerge w:val="continue"/>
                  <w:vAlign w:val="center"/>
                </w:tcPr>
                <w:p w14:paraId="302BF4B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1668" w:type="dxa"/>
                  <w:vAlign w:val="center"/>
                </w:tcPr>
                <w:p w14:paraId="3B97627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隧道窑烟气引至烘干窑，利用烟气余热对砖坯进行烘干，尾气进入一套湿式脱硫塔处理后经18m排气筒（DA003）外排</w:t>
                  </w:r>
                </w:p>
              </w:tc>
              <w:tc>
                <w:tcPr>
                  <w:tcW w:w="1181" w:type="dxa"/>
                  <w:vAlign w:val="center"/>
                </w:tcPr>
                <w:p w14:paraId="3EF6A45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0.6158</w:t>
                  </w:r>
                </w:p>
              </w:tc>
              <w:tc>
                <w:tcPr>
                  <w:tcW w:w="1092" w:type="dxa"/>
                  <w:vAlign w:val="center"/>
                </w:tcPr>
                <w:p w14:paraId="311ECE3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w:t>
                  </w:r>
                </w:p>
              </w:tc>
              <w:tc>
                <w:tcPr>
                  <w:tcW w:w="1138" w:type="dxa"/>
                  <w:vAlign w:val="center"/>
                </w:tcPr>
                <w:p w14:paraId="2C46AE0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4.4339</w:t>
                  </w:r>
                </w:p>
              </w:tc>
            </w:tr>
          </w:tbl>
          <w:p w14:paraId="51826670">
            <w:pPr>
              <w:spacing w:line="360" w:lineRule="auto"/>
              <w:ind w:firstLine="482"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b.技改后NOx变化情况</w:t>
            </w:r>
          </w:p>
          <w:p w14:paraId="0CB203AB">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由于原料中N元素含量甚少且砖坯烧制温度超过1000</w:t>
            </w:r>
            <w:r>
              <w:rPr>
                <w:rFonts w:hint="eastAsia" w:ascii="宋体" w:hAnsi="宋体" w:eastAsia="宋体" w:cs="宋体"/>
                <w:color w:val="000000" w:themeColor="text1"/>
                <w:sz w:val="24"/>
                <w:szCs w:val="24"/>
                <w14:textFill>
                  <w14:solidFill>
                    <w14:schemeClr w14:val="tx1"/>
                  </w14:solidFill>
                </w14:textFill>
              </w:rPr>
              <w:t>℃</w:t>
            </w:r>
            <w:r>
              <w:rPr>
                <w:rFonts w:ascii="Times New Roman" w:hAnsi="Times New Roman" w:eastAsia="宋体" w:cs="Times New Roman"/>
                <w:color w:val="000000" w:themeColor="text1"/>
                <w:sz w:val="24"/>
                <w:szCs w:val="24"/>
                <w14:textFill>
                  <w14:solidFill>
                    <w14:schemeClr w14:val="tx1"/>
                  </w14:solidFill>
                </w14:textFill>
              </w:rPr>
              <w:t>，氮氧化物主要产生于空气中氮气和氧气高温环境下反应生产的一氧化氮和二氧化氮。本次技改后产能及工作制度不变，</w:t>
            </w:r>
            <w:r>
              <w:rPr>
                <w:rFonts w:ascii="Times New Roman" w:hAnsi="Times New Roman" w:eastAsia="宋体" w:cs="Times New Roman"/>
                <w:b/>
                <w:color w:val="000000" w:themeColor="text1"/>
                <w:sz w:val="24"/>
                <w:szCs w:val="24"/>
                <w14:textFill>
                  <w14:solidFill>
                    <w14:schemeClr w14:val="tx1"/>
                  </w14:solidFill>
                </w14:textFill>
              </w:rPr>
              <w:t>因此技改前后氮氧化物的产生及排放情况不发生变化。</w:t>
            </w:r>
          </w:p>
          <w:p w14:paraId="2C5C1EE3">
            <w:pPr>
              <w:spacing w:line="360" w:lineRule="auto"/>
              <w:ind w:firstLine="482" w:firstLineChars="200"/>
              <w:rPr>
                <w:rFonts w:ascii="Times New Roman" w:hAnsi="Times New Roman" w:eastAsia="宋体" w:cs="Times New Roman"/>
                <w:b/>
                <w:color w:val="000000" w:themeColor="text1"/>
                <w:sz w:val="24"/>
                <w:szCs w:val="24"/>
                <w14:textFill>
                  <w14:solidFill>
                    <w14:schemeClr w14:val="tx1"/>
                  </w14:solidFill>
                </w14:textFill>
              </w:rPr>
            </w:pPr>
            <w:r>
              <w:rPr>
                <w:rFonts w:hint="eastAsia" w:ascii="宋体" w:hAnsi="宋体" w:eastAsia="宋体" w:cs="宋体"/>
                <w:b/>
                <w:color w:val="000000" w:themeColor="text1"/>
                <w:sz w:val="24"/>
                <w:szCs w:val="24"/>
                <w14:textFill>
                  <w14:solidFill>
                    <w14:schemeClr w14:val="tx1"/>
                  </w14:solidFill>
                </w14:textFill>
              </w:rPr>
              <w:t>⑤</w:t>
            </w:r>
            <w:r>
              <w:rPr>
                <w:rFonts w:ascii="Times New Roman" w:hAnsi="Times New Roman" w:eastAsia="宋体" w:cs="Times New Roman"/>
                <w:b/>
                <w:color w:val="000000" w:themeColor="text1"/>
                <w:sz w:val="24"/>
                <w:szCs w:val="24"/>
                <w14:textFill>
                  <w14:solidFill>
                    <w14:schemeClr w14:val="tx1"/>
                  </w14:solidFill>
                </w14:textFill>
              </w:rPr>
              <w:t>氟化物</w:t>
            </w:r>
          </w:p>
          <w:p w14:paraId="49277079">
            <w:pPr>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a.现有工程氟化物产排情况</w:t>
            </w:r>
          </w:p>
          <w:p w14:paraId="5D5A51F2">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企业自主验收检测报告川国测检字(2021)第YS01160号，2021年5月13日、14日连续两天对项目两根湿式脱硫塔排气筒出口检测结果表明，1#、2#脱硫塔氟化物组织排放能达到《砖瓦工业大气污染物排放标准》（GB29620-2013）及修改单表2新建企业大气污染物排放限值中原料燃料破碎及制备成型限值。</w:t>
            </w:r>
          </w:p>
          <w:p w14:paraId="4AD009D7">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为核算技改前大气污染物排放情况，本次评价验收情况及检测报告给出产排情况：</w:t>
            </w:r>
          </w:p>
          <w:p w14:paraId="2E10CC16">
            <w:pPr>
              <w:spacing w:line="360" w:lineRule="auto"/>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表4-6 隧道窑氟化物产生排放情况汇总一览表</w:t>
            </w:r>
          </w:p>
          <w:tbl>
            <w:tblPr>
              <w:tblStyle w:val="25"/>
              <w:tblW w:w="82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8"/>
              <w:gridCol w:w="657"/>
              <w:gridCol w:w="1139"/>
              <w:gridCol w:w="970"/>
              <w:gridCol w:w="1668"/>
              <w:gridCol w:w="1181"/>
              <w:gridCol w:w="1092"/>
              <w:gridCol w:w="883"/>
            </w:tblGrid>
            <w:tr w14:paraId="7B2A3D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trPr>
              <w:tc>
                <w:tcPr>
                  <w:tcW w:w="658" w:type="dxa"/>
                  <w:vMerge w:val="restart"/>
                  <w:vAlign w:val="center"/>
                </w:tcPr>
                <w:p w14:paraId="4F45452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污染源</w:t>
                  </w:r>
                </w:p>
              </w:tc>
              <w:tc>
                <w:tcPr>
                  <w:tcW w:w="657" w:type="dxa"/>
                  <w:vMerge w:val="restart"/>
                  <w:vAlign w:val="center"/>
                </w:tcPr>
                <w:p w14:paraId="17D0A5F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污染因子</w:t>
                  </w:r>
                </w:p>
              </w:tc>
              <w:tc>
                <w:tcPr>
                  <w:tcW w:w="2109" w:type="dxa"/>
                  <w:gridSpan w:val="2"/>
                  <w:vAlign w:val="center"/>
                </w:tcPr>
                <w:p w14:paraId="2F97F51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产生情况</w:t>
                  </w:r>
                </w:p>
              </w:tc>
              <w:tc>
                <w:tcPr>
                  <w:tcW w:w="1668" w:type="dxa"/>
                  <w:vMerge w:val="restart"/>
                  <w:vAlign w:val="center"/>
                </w:tcPr>
                <w:p w14:paraId="71CFA8A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污染治理措施</w:t>
                  </w:r>
                </w:p>
              </w:tc>
              <w:tc>
                <w:tcPr>
                  <w:tcW w:w="3156" w:type="dxa"/>
                  <w:gridSpan w:val="3"/>
                  <w:vAlign w:val="center"/>
                </w:tcPr>
                <w:p w14:paraId="23EFD53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有组织排放情况</w:t>
                  </w:r>
                </w:p>
              </w:tc>
            </w:tr>
            <w:tr w14:paraId="61C01D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trPr>
              <w:tc>
                <w:tcPr>
                  <w:tcW w:w="658" w:type="dxa"/>
                  <w:vMerge w:val="continue"/>
                  <w:vAlign w:val="center"/>
                </w:tcPr>
                <w:p w14:paraId="5692578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657" w:type="dxa"/>
                  <w:vMerge w:val="continue"/>
                  <w:vAlign w:val="center"/>
                </w:tcPr>
                <w:p w14:paraId="3DD6DAA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1139" w:type="dxa"/>
                  <w:vAlign w:val="center"/>
                </w:tcPr>
                <w:p w14:paraId="2EFBFE2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产生速率（kg/h）</w:t>
                  </w:r>
                </w:p>
              </w:tc>
              <w:tc>
                <w:tcPr>
                  <w:tcW w:w="970" w:type="dxa"/>
                  <w:vAlign w:val="center"/>
                </w:tcPr>
                <w:p w14:paraId="6678437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产生量（t/a）</w:t>
                  </w:r>
                </w:p>
              </w:tc>
              <w:tc>
                <w:tcPr>
                  <w:tcW w:w="1668" w:type="dxa"/>
                  <w:vMerge w:val="continue"/>
                  <w:vAlign w:val="center"/>
                </w:tcPr>
                <w:p w14:paraId="0A52560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1181" w:type="dxa"/>
                  <w:vAlign w:val="center"/>
                </w:tcPr>
                <w:p w14:paraId="385A996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排放速率（kg/h）</w:t>
                  </w:r>
                </w:p>
              </w:tc>
              <w:tc>
                <w:tcPr>
                  <w:tcW w:w="1092" w:type="dxa"/>
                  <w:vAlign w:val="center"/>
                </w:tcPr>
                <w:p w14:paraId="1096859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排放浓度（mg/m</w:t>
                  </w:r>
                  <w:r>
                    <w:rPr>
                      <w:rFonts w:ascii="Times New Roman" w:hAnsi="Times New Roman" w:eastAsia="宋体" w:cs="Times New Roman"/>
                      <w:color w:val="000000" w:themeColor="text1"/>
                      <w:szCs w:val="21"/>
                      <w:vertAlign w:val="superscript"/>
                      <w14:textFill>
                        <w14:solidFill>
                          <w14:schemeClr w14:val="tx1"/>
                        </w14:solidFill>
                      </w14:textFill>
                    </w:rPr>
                    <w:t>3</w:t>
                  </w:r>
                  <w:r>
                    <w:rPr>
                      <w:rFonts w:ascii="Times New Roman" w:hAnsi="Times New Roman" w:eastAsia="宋体" w:cs="Times New Roman"/>
                      <w:color w:val="000000" w:themeColor="text1"/>
                      <w:szCs w:val="21"/>
                      <w14:textFill>
                        <w14:solidFill>
                          <w14:schemeClr w14:val="tx1"/>
                        </w14:solidFill>
                      </w14:textFill>
                    </w:rPr>
                    <w:t>）</w:t>
                  </w:r>
                </w:p>
              </w:tc>
              <w:tc>
                <w:tcPr>
                  <w:tcW w:w="883" w:type="dxa"/>
                  <w:vAlign w:val="center"/>
                </w:tcPr>
                <w:p w14:paraId="511CE07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排放量（t/a）</w:t>
                  </w:r>
                </w:p>
              </w:tc>
            </w:tr>
            <w:tr w14:paraId="77D6BB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37" w:hRule="atLeast"/>
              </w:trPr>
              <w:tc>
                <w:tcPr>
                  <w:tcW w:w="658" w:type="dxa"/>
                  <w:vAlign w:val="center"/>
                </w:tcPr>
                <w:p w14:paraId="08C8617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隧道窑</w:t>
                  </w:r>
                </w:p>
              </w:tc>
              <w:tc>
                <w:tcPr>
                  <w:tcW w:w="657" w:type="dxa"/>
                  <w:vAlign w:val="center"/>
                </w:tcPr>
                <w:p w14:paraId="2CADB49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1139" w:type="dxa"/>
                  <w:vMerge w:val="restart"/>
                  <w:vAlign w:val="center"/>
                </w:tcPr>
                <w:p w14:paraId="012F510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0.26</w:t>
                  </w:r>
                </w:p>
              </w:tc>
              <w:tc>
                <w:tcPr>
                  <w:tcW w:w="970" w:type="dxa"/>
                  <w:vMerge w:val="restart"/>
                  <w:vAlign w:val="center"/>
                </w:tcPr>
                <w:p w14:paraId="44E932F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1.86</w:t>
                  </w:r>
                </w:p>
              </w:tc>
              <w:tc>
                <w:tcPr>
                  <w:tcW w:w="1668" w:type="dxa"/>
                  <w:vAlign w:val="center"/>
                </w:tcPr>
                <w:p w14:paraId="34E5FAE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部分废气直接引至一套湿式脱硫塔处理后经18m排气筒（DA002）外排</w:t>
                  </w:r>
                </w:p>
              </w:tc>
              <w:tc>
                <w:tcPr>
                  <w:tcW w:w="1181" w:type="dxa"/>
                  <w:vAlign w:val="center"/>
                </w:tcPr>
                <w:p w14:paraId="41140A3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0.0900</w:t>
                  </w:r>
                </w:p>
              </w:tc>
              <w:tc>
                <w:tcPr>
                  <w:tcW w:w="1092" w:type="dxa"/>
                  <w:vAlign w:val="center"/>
                </w:tcPr>
                <w:p w14:paraId="269E780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1.67</w:t>
                  </w:r>
                </w:p>
              </w:tc>
              <w:tc>
                <w:tcPr>
                  <w:tcW w:w="883" w:type="dxa"/>
                  <w:vAlign w:val="center"/>
                </w:tcPr>
                <w:p w14:paraId="4243500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0.648</w:t>
                  </w:r>
                </w:p>
              </w:tc>
            </w:tr>
            <w:tr w14:paraId="47943D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50" w:hRule="atLeast"/>
              </w:trPr>
              <w:tc>
                <w:tcPr>
                  <w:tcW w:w="658" w:type="dxa"/>
                  <w:vAlign w:val="center"/>
                </w:tcPr>
                <w:p w14:paraId="4A95C30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烘干窑</w:t>
                  </w:r>
                </w:p>
              </w:tc>
              <w:tc>
                <w:tcPr>
                  <w:tcW w:w="657" w:type="dxa"/>
                  <w:vAlign w:val="center"/>
                </w:tcPr>
                <w:p w14:paraId="470E139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1139" w:type="dxa"/>
                  <w:vMerge w:val="continue"/>
                  <w:vAlign w:val="center"/>
                </w:tcPr>
                <w:p w14:paraId="56F1E6A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970" w:type="dxa"/>
                  <w:vMerge w:val="continue"/>
                  <w:vAlign w:val="center"/>
                </w:tcPr>
                <w:p w14:paraId="66CABBF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1668" w:type="dxa"/>
                  <w:vAlign w:val="center"/>
                </w:tcPr>
                <w:p w14:paraId="3CCCD83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隧道窑烟气引至烘干窑，利用烟气余热对砖坯进行烘干，尾气进入一套湿式脱硫塔处理后经18m排气筒（DA003）外排</w:t>
                  </w:r>
                </w:p>
              </w:tc>
              <w:tc>
                <w:tcPr>
                  <w:tcW w:w="1181" w:type="dxa"/>
                  <w:vAlign w:val="center"/>
                </w:tcPr>
                <w:p w14:paraId="588A166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0.0458</w:t>
                  </w:r>
                </w:p>
              </w:tc>
              <w:tc>
                <w:tcPr>
                  <w:tcW w:w="1092" w:type="dxa"/>
                  <w:vAlign w:val="center"/>
                </w:tcPr>
                <w:p w14:paraId="36F1480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0.88</w:t>
                  </w:r>
                </w:p>
              </w:tc>
              <w:tc>
                <w:tcPr>
                  <w:tcW w:w="883" w:type="dxa"/>
                  <w:vAlign w:val="center"/>
                </w:tcPr>
                <w:p w14:paraId="5200C903">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0.3294</w:t>
                  </w:r>
                </w:p>
              </w:tc>
            </w:tr>
          </w:tbl>
          <w:p w14:paraId="0B152423">
            <w:pPr>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b.技改后氟化物变化情况</w:t>
            </w:r>
          </w:p>
          <w:p w14:paraId="2BA9BFE0">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制砖过程氟化物的产生主要来源于原料中的氟元素在高温烧结搓成转化为气态氟化物。根据检测结果，裕宁污泥、信利污泥、东捷污泥中氟含量检测结果分别为</w:t>
            </w:r>
            <w:r>
              <w:rPr>
                <w:rFonts w:ascii="Times New Roman" w:hAnsi="Times New Roman" w:eastAsia="宋体" w:cs="Times New Roman"/>
                <w:color w:val="000000" w:themeColor="text1"/>
                <w:sz w:val="24"/>
                <w:szCs w:val="21"/>
                <w14:textFill>
                  <w14:solidFill>
                    <w14:schemeClr w14:val="tx1"/>
                  </w14:solidFill>
                </w14:textFill>
              </w:rPr>
              <w:t>1.77×10</w:t>
            </w:r>
            <w:r>
              <w:rPr>
                <w:rFonts w:ascii="Times New Roman" w:hAnsi="Times New Roman" w:eastAsia="宋体" w:cs="Times New Roman"/>
                <w:color w:val="000000" w:themeColor="text1"/>
                <w:sz w:val="24"/>
                <w:szCs w:val="21"/>
                <w:vertAlign w:val="superscript"/>
                <w14:textFill>
                  <w14:solidFill>
                    <w14:schemeClr w14:val="tx1"/>
                  </w14:solidFill>
                </w14:textFill>
              </w:rPr>
              <w:t>3</w:t>
            </w:r>
            <w:r>
              <w:rPr>
                <w:rFonts w:ascii="Times New Roman" w:hAnsi="Times New Roman" w:eastAsia="宋体" w:cs="Times New Roman"/>
                <w:color w:val="000000" w:themeColor="text1"/>
                <w:sz w:val="24"/>
                <w:szCs w:val="21"/>
                <w14:textFill>
                  <w14:solidFill>
                    <w14:schemeClr w14:val="tx1"/>
                  </w14:solidFill>
                </w14:textFill>
              </w:rPr>
              <w:t>mg/kg</w:t>
            </w:r>
            <w:r>
              <w:rPr>
                <w:rFonts w:ascii="Times New Roman" w:hAnsi="Times New Roman" w:eastAsia="宋体" w:cs="Times New Roman"/>
                <w:color w:val="000000" w:themeColor="text1"/>
                <w:sz w:val="24"/>
                <w:szCs w:val="24"/>
                <w14:textFill>
                  <w14:solidFill>
                    <w14:schemeClr w14:val="tx1"/>
                  </w14:solidFill>
                </w14:textFill>
              </w:rPr>
              <w:t>、1.32×10</w:t>
            </w:r>
            <w:r>
              <w:rPr>
                <w:rFonts w:ascii="Times New Roman" w:hAnsi="Times New Roman" w:eastAsia="宋体" w:cs="Times New Roman"/>
                <w:color w:val="000000" w:themeColor="text1"/>
                <w:sz w:val="24"/>
                <w:szCs w:val="24"/>
                <w:vertAlign w:val="superscript"/>
                <w14:textFill>
                  <w14:solidFill>
                    <w14:schemeClr w14:val="tx1"/>
                  </w14:solidFill>
                </w14:textFill>
              </w:rPr>
              <w:t>3</w:t>
            </w:r>
            <w:r>
              <w:rPr>
                <w:rFonts w:ascii="Times New Roman" w:hAnsi="Times New Roman" w:eastAsia="宋体" w:cs="Times New Roman"/>
                <w:color w:val="000000" w:themeColor="text1"/>
                <w:sz w:val="24"/>
                <w:szCs w:val="21"/>
                <w14:textFill>
                  <w14:solidFill>
                    <w14:schemeClr w14:val="tx1"/>
                  </w14:solidFill>
                </w14:textFill>
              </w:rPr>
              <w:t xml:space="preserve"> mg/kg、</w:t>
            </w:r>
            <w:r>
              <w:rPr>
                <w:rFonts w:ascii="Times New Roman" w:hAnsi="Times New Roman" w:eastAsia="宋体" w:cs="Times New Roman"/>
                <w:color w:val="000000" w:themeColor="text1"/>
                <w:sz w:val="24"/>
                <w:szCs w:val="24"/>
                <w14:textFill>
                  <w14:solidFill>
                    <w14:schemeClr w14:val="tx1"/>
                  </w14:solidFill>
                </w14:textFill>
              </w:rPr>
              <w:t>1.11×10</w:t>
            </w:r>
            <w:r>
              <w:rPr>
                <w:rFonts w:ascii="Times New Roman" w:hAnsi="Times New Roman" w:eastAsia="宋体" w:cs="Times New Roman"/>
                <w:color w:val="000000" w:themeColor="text1"/>
                <w:sz w:val="24"/>
                <w:szCs w:val="24"/>
                <w:vertAlign w:val="superscript"/>
                <w14:textFill>
                  <w14:solidFill>
                    <w14:schemeClr w14:val="tx1"/>
                  </w14:solidFill>
                </w14:textFill>
              </w:rPr>
              <w:t>3</w:t>
            </w:r>
            <w:r>
              <w:rPr>
                <w:rFonts w:ascii="Times New Roman" w:hAnsi="Times New Roman" w:eastAsia="宋体" w:cs="Times New Roman"/>
                <w:color w:val="000000" w:themeColor="text1"/>
                <w:sz w:val="24"/>
                <w:szCs w:val="21"/>
                <w14:textFill>
                  <w14:solidFill>
                    <w14:schemeClr w14:val="tx1"/>
                  </w14:solidFill>
                </w14:textFill>
              </w:rPr>
              <w:t xml:space="preserve"> mg/kg，算得其平均值为1.4×10</w:t>
            </w:r>
            <w:r>
              <w:rPr>
                <w:rFonts w:ascii="Times New Roman" w:hAnsi="Times New Roman" w:eastAsia="宋体" w:cs="Times New Roman"/>
                <w:color w:val="000000" w:themeColor="text1"/>
                <w:sz w:val="24"/>
                <w:szCs w:val="21"/>
                <w:vertAlign w:val="superscript"/>
                <w14:textFill>
                  <w14:solidFill>
                    <w14:schemeClr w14:val="tx1"/>
                  </w14:solidFill>
                </w14:textFill>
              </w:rPr>
              <w:t>3</w:t>
            </w:r>
            <w:r>
              <w:rPr>
                <w:rFonts w:ascii="Times New Roman" w:hAnsi="Times New Roman" w:eastAsia="宋体" w:cs="Times New Roman"/>
                <w:color w:val="000000" w:themeColor="text1"/>
                <w:sz w:val="24"/>
                <w:szCs w:val="21"/>
                <w14:textFill>
                  <w14:solidFill>
                    <w14:schemeClr w14:val="tx1"/>
                  </w14:solidFill>
                </w14:textFill>
              </w:rPr>
              <w:t>mg/kg，</w:t>
            </w:r>
            <w:r>
              <w:rPr>
                <w:rFonts w:ascii="Times New Roman" w:hAnsi="Times New Roman" w:eastAsia="宋体" w:cs="Times New Roman"/>
                <w:color w:val="000000" w:themeColor="text1"/>
                <w:sz w:val="24"/>
                <w:szCs w:val="24"/>
                <w14:textFill>
                  <w14:solidFill>
                    <w14:schemeClr w14:val="tx1"/>
                  </w14:solidFill>
                </w14:textFill>
              </w:rPr>
              <w:t>煤、页岩中氟含量检测结果分别为257</w:t>
            </w:r>
            <w:r>
              <w:rPr>
                <w:rFonts w:ascii="Times New Roman" w:hAnsi="Times New Roman" w:eastAsia="宋体" w:cs="Times New Roman"/>
                <w:color w:val="000000" w:themeColor="text1"/>
                <w:sz w:val="24"/>
                <w:szCs w:val="21"/>
                <w14:textFill>
                  <w14:solidFill>
                    <w14:schemeClr w14:val="tx1"/>
                  </w14:solidFill>
                </w14:textFill>
              </w:rPr>
              <w:t>mg/kg、</w:t>
            </w:r>
            <w:r>
              <w:rPr>
                <w:rFonts w:ascii="Times New Roman" w:hAnsi="Times New Roman" w:eastAsia="宋体" w:cs="Times New Roman"/>
                <w:color w:val="000000" w:themeColor="text1"/>
                <w:sz w:val="24"/>
                <w:szCs w:val="24"/>
                <w14:textFill>
                  <w14:solidFill>
                    <w14:schemeClr w14:val="tx1"/>
                  </w14:solidFill>
                </w14:textFill>
              </w:rPr>
              <w:t>1.5×10</w:t>
            </w:r>
            <w:r>
              <w:rPr>
                <w:rFonts w:ascii="Times New Roman" w:hAnsi="Times New Roman" w:eastAsia="宋体" w:cs="Times New Roman"/>
                <w:color w:val="000000" w:themeColor="text1"/>
                <w:sz w:val="24"/>
                <w:szCs w:val="24"/>
                <w:vertAlign w:val="superscript"/>
                <w14:textFill>
                  <w14:solidFill>
                    <w14:schemeClr w14:val="tx1"/>
                  </w14:solidFill>
                </w14:textFill>
              </w:rPr>
              <w:t>3</w:t>
            </w:r>
            <w:r>
              <w:rPr>
                <w:rFonts w:ascii="Times New Roman" w:hAnsi="Times New Roman" w:eastAsia="宋体" w:cs="Times New Roman"/>
                <w:color w:val="000000" w:themeColor="text1"/>
                <w:sz w:val="24"/>
                <w:szCs w:val="21"/>
                <w14:textFill>
                  <w14:solidFill>
                    <w14:schemeClr w14:val="tx1"/>
                  </w14:solidFill>
                </w14:textFill>
              </w:rPr>
              <w:t xml:space="preserve"> mg/kg。通过一般工业污泥与页岩中</w:t>
            </w:r>
            <w:r>
              <w:rPr>
                <w:rFonts w:ascii="Times New Roman" w:hAnsi="Times New Roman" w:eastAsia="宋体" w:cs="Times New Roman"/>
                <w:color w:val="000000" w:themeColor="text1"/>
                <w:sz w:val="24"/>
                <w:szCs w:val="24"/>
                <w14:textFill>
                  <w14:solidFill>
                    <w14:schemeClr w14:val="tx1"/>
                  </w14:solidFill>
                </w14:textFill>
              </w:rPr>
              <w:t>氟含量检测结果对比，氟含量较为接近，水基钻井废弃物为地表岩土矿物，微量元素相差无几。</w:t>
            </w:r>
          </w:p>
          <w:p w14:paraId="12349B13">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因此通过综合分析，</w:t>
            </w:r>
            <w:r>
              <w:rPr>
                <w:rFonts w:ascii="Times New Roman" w:hAnsi="Times New Roman" w:eastAsia="宋体" w:cs="Times New Roman"/>
                <w:b/>
                <w:color w:val="000000" w:themeColor="text1"/>
                <w:sz w:val="24"/>
                <w:szCs w:val="24"/>
                <w14:textFill>
                  <w14:solidFill>
                    <w14:schemeClr w14:val="tx1"/>
                  </w14:solidFill>
                </w14:textFill>
              </w:rPr>
              <w:t>本项目技改后氟化物产生排放量不会发生明显变化。</w:t>
            </w:r>
          </w:p>
          <w:p w14:paraId="2CDBBF11">
            <w:pPr>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hint="eastAsia" w:ascii="宋体" w:hAnsi="宋体" w:eastAsia="宋体" w:cs="宋体"/>
                <w:b/>
                <w:bCs/>
                <w:color w:val="000000" w:themeColor="text1"/>
                <w:sz w:val="24"/>
                <w:szCs w:val="24"/>
                <w14:textFill>
                  <w14:solidFill>
                    <w14:schemeClr w14:val="tx1"/>
                  </w14:solidFill>
                </w14:textFill>
              </w:rPr>
              <w:t>⑥</w:t>
            </w:r>
            <w:r>
              <w:rPr>
                <w:rFonts w:ascii="Times New Roman" w:hAnsi="Times New Roman" w:eastAsia="宋体" w:cs="Times New Roman"/>
                <w:b/>
                <w:bCs/>
                <w:color w:val="000000" w:themeColor="text1"/>
                <w:sz w:val="24"/>
                <w:szCs w:val="24"/>
                <w14:textFill>
                  <w14:solidFill>
                    <w14:schemeClr w14:val="tx1"/>
                  </w14:solidFill>
                </w14:textFill>
              </w:rPr>
              <w:t>二噁英</w:t>
            </w:r>
          </w:p>
          <w:p w14:paraId="2612EE1B">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二噁英是一种无色无味、毒性严重的脂溶性物质，二噁英实际上是一类含氯的有机化合物的总称，包括多氯二苯并二噁英（简称PCDD）和多氯二苯并呋喃（简称PCDF）和多氯代联苯等。有机污泥和垃圾焚烧是产生二噁英的主要途径。</w:t>
            </w:r>
          </w:p>
          <w:p w14:paraId="15D6EEB2">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有机污泥垃圾焚烧过程中二噁英的形成机制仍在研究之中。目前认为主要分三步产生：</w:t>
            </w:r>
            <w:r>
              <w:rPr>
                <w:rFonts w:hint="eastAsia" w:ascii="宋体" w:hAnsi="宋体" w:eastAsia="宋体" w:cs="宋体"/>
                <w:color w:val="000000" w:themeColor="text1"/>
                <w:sz w:val="24"/>
                <w:szCs w:val="24"/>
                <w14:textFill>
                  <w14:solidFill>
                    <w14:schemeClr w14:val="tx1"/>
                  </w14:solidFill>
                </w14:textFill>
              </w:rPr>
              <w:t>①</w:t>
            </w:r>
            <w:r>
              <w:rPr>
                <w:rFonts w:ascii="Times New Roman" w:hAnsi="Times New Roman" w:eastAsia="宋体" w:cs="Times New Roman"/>
                <w:color w:val="000000" w:themeColor="text1"/>
                <w:sz w:val="24"/>
                <w:szCs w:val="24"/>
                <w14:textFill>
                  <w14:solidFill>
                    <w14:schemeClr w14:val="tx1"/>
                  </w14:solidFill>
                </w14:textFill>
              </w:rPr>
              <w:t>在对氯乙烯等含氯的焚烧过程中，焚烧温度低于800</w:t>
            </w:r>
            <w:r>
              <w:rPr>
                <w:rFonts w:hint="eastAsia" w:ascii="宋体" w:hAnsi="宋体" w:eastAsia="宋体" w:cs="宋体"/>
                <w:color w:val="000000" w:themeColor="text1"/>
                <w:sz w:val="24"/>
                <w:szCs w:val="24"/>
                <w:lang w:eastAsia="ja-JP"/>
                <w14:textFill>
                  <w14:solidFill>
                    <w14:schemeClr w14:val="tx1"/>
                  </w14:solidFill>
                </w14:textFill>
              </w:rPr>
              <w:t>℃</w:t>
            </w:r>
            <w:r>
              <w:rPr>
                <w:rFonts w:ascii="Times New Roman" w:hAnsi="Times New Roman" w:eastAsia="宋体" w:cs="Times New Roman"/>
                <w:color w:val="000000" w:themeColor="text1"/>
                <w:sz w:val="24"/>
                <w:szCs w:val="24"/>
                <w14:textFill>
                  <w14:solidFill>
                    <w14:schemeClr w14:val="tx1"/>
                  </w14:solidFill>
                </w14:textFill>
              </w:rPr>
              <w:t>，含氯垃圾污泥不完全燃烧，极易生成二噁英；</w:t>
            </w:r>
            <w:r>
              <w:rPr>
                <w:rFonts w:hint="eastAsia" w:ascii="宋体" w:hAnsi="宋体" w:eastAsia="宋体" w:cs="宋体"/>
                <w:color w:val="000000" w:themeColor="text1"/>
                <w:sz w:val="24"/>
                <w:szCs w:val="24"/>
                <w14:textFill>
                  <w14:solidFill>
                    <w14:schemeClr w14:val="tx1"/>
                  </w14:solidFill>
                </w14:textFill>
              </w:rPr>
              <w:t>②</w:t>
            </w:r>
            <w:r>
              <w:rPr>
                <w:rFonts w:ascii="Times New Roman" w:hAnsi="Times New Roman" w:eastAsia="宋体" w:cs="Times New Roman"/>
                <w:color w:val="000000" w:themeColor="text1"/>
                <w:sz w:val="24"/>
                <w:szCs w:val="24"/>
                <w14:textFill>
                  <w14:solidFill>
                    <w14:schemeClr w14:val="tx1"/>
                  </w14:solidFill>
                </w14:textFill>
              </w:rPr>
              <w:t>燃烧后形成氯苯，它是形成二噁英的主要因素；</w:t>
            </w:r>
            <w:r>
              <w:rPr>
                <w:rFonts w:hint="eastAsia" w:ascii="宋体" w:hAnsi="宋体" w:eastAsia="宋体" w:cs="宋体"/>
                <w:color w:val="000000" w:themeColor="text1"/>
                <w:sz w:val="24"/>
                <w:szCs w:val="24"/>
                <w14:textFill>
                  <w14:solidFill>
                    <w14:schemeClr w14:val="tx1"/>
                  </w14:solidFill>
                </w14:textFill>
              </w:rPr>
              <w:t>③</w:t>
            </w:r>
            <w:r>
              <w:rPr>
                <w:rFonts w:ascii="Times New Roman" w:hAnsi="Times New Roman" w:eastAsia="宋体" w:cs="Times New Roman"/>
                <w:color w:val="000000" w:themeColor="text1"/>
                <w:sz w:val="24"/>
                <w:szCs w:val="24"/>
                <w14:textFill>
                  <w14:solidFill>
                    <w14:schemeClr w14:val="tx1"/>
                  </w14:solidFill>
                </w14:textFill>
              </w:rPr>
              <w:t>其他含氯、含碳物质如纸张、木制品、食物残渣等经过铜、钴等金属离子的催化作用与氯苯结合生成二噁英。</w:t>
            </w:r>
          </w:p>
          <w:p w14:paraId="59C318D0">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本项目以</w:t>
            </w:r>
            <w:r>
              <w:rPr>
                <w:rFonts w:ascii="Times New Roman" w:hAnsi="Times New Roman" w:eastAsia="宋体" w:cs="Times New Roman"/>
                <w:color w:val="000000" w:themeColor="text1"/>
                <w:sz w:val="24"/>
                <w:szCs w:val="24"/>
                <w:lang w:val="en-GB"/>
                <w14:textFill>
                  <w14:solidFill>
                    <w14:schemeClr w14:val="tx1"/>
                  </w14:solidFill>
                </w14:textFill>
              </w:rPr>
              <w:t>水基钻井废弃物、无机工业污泥等一般工业固废</w:t>
            </w:r>
            <w:r>
              <w:rPr>
                <w:rFonts w:ascii="Times New Roman" w:hAnsi="Times New Roman" w:eastAsia="宋体" w:cs="Times New Roman"/>
                <w:color w:val="000000" w:themeColor="text1"/>
                <w:sz w:val="24"/>
                <w:szCs w:val="24"/>
                <w14:textFill>
                  <w14:solidFill>
                    <w14:schemeClr w14:val="tx1"/>
                  </w14:solidFill>
                </w14:textFill>
              </w:rPr>
              <w:t>替代部分页岩原料，不涉及有机污泥，原料中氯元素含量极低。此外原料带入的少量氯元生产烧结砖过程中可以被物料中的碱性物质吸收掉，以2CaO·SiO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·CaCl</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 xml:space="preserve"> 的形式被裹挟到砖中；另一部分Cl 元素又可夹带在砖的氯酸盐和铁铝盐的溶剂性矿物中被带出隧道窑系统，从而减少二噁英类物质形成的氯源。</w:t>
            </w:r>
          </w:p>
          <w:p w14:paraId="703B9042">
            <w:pPr>
              <w:widowControl/>
              <w:spacing w:line="360" w:lineRule="auto"/>
              <w:ind w:firstLine="480" w:firstLineChars="200"/>
              <w:jc w:val="left"/>
              <w:rPr>
                <w:rFonts w:ascii="Times New Roman" w:hAnsi="Times New Roman" w:cs="Times New Roman"/>
              </w:rPr>
            </w:pPr>
            <w:r>
              <w:rPr>
                <w:rFonts w:ascii="Times New Roman" w:hAnsi="Times New Roman" w:eastAsia="宋体" w:cs="Times New Roman"/>
                <w:color w:val="000000" w:themeColor="text1"/>
                <w:sz w:val="24"/>
                <w:szCs w:val="24"/>
                <w14:textFill>
                  <w14:solidFill>
                    <w14:schemeClr w14:val="tx1"/>
                  </w14:solidFill>
                </w14:textFill>
              </w:rPr>
              <w:t>通常焚烧炉炉内温度保持在850</w:t>
            </w:r>
            <w:r>
              <w:rPr>
                <w:rFonts w:hint="eastAsia" w:ascii="宋体" w:hAnsi="宋体" w:eastAsia="宋体" w:cs="宋体"/>
                <w:color w:val="000000" w:themeColor="text1"/>
                <w:sz w:val="24"/>
                <w:szCs w:val="24"/>
                <w:lang w:eastAsia="ja-JP"/>
                <w14:textFill>
                  <w14:solidFill>
                    <w14:schemeClr w14:val="tx1"/>
                  </w14:solidFill>
                </w14:textFill>
              </w:rPr>
              <w:t>℃</w:t>
            </w:r>
            <w:r>
              <w:rPr>
                <w:rFonts w:ascii="Times New Roman" w:hAnsi="Times New Roman" w:eastAsia="宋体" w:cs="Times New Roman"/>
                <w:color w:val="000000" w:themeColor="text1"/>
                <w:sz w:val="24"/>
                <w:szCs w:val="24"/>
                <w14:textFill>
                  <w14:solidFill>
                    <w14:schemeClr w14:val="tx1"/>
                  </w14:solidFill>
                </w14:textFill>
              </w:rPr>
              <w:t>~950</w:t>
            </w:r>
            <w:r>
              <w:rPr>
                <w:rFonts w:hint="eastAsia" w:ascii="宋体" w:hAnsi="宋体" w:eastAsia="宋体" w:cs="宋体"/>
                <w:color w:val="000000" w:themeColor="text1"/>
                <w:sz w:val="24"/>
                <w:szCs w:val="24"/>
                <w:lang w:eastAsia="ja-JP"/>
                <w14:textFill>
                  <w14:solidFill>
                    <w14:schemeClr w14:val="tx1"/>
                  </w14:solidFill>
                </w14:textFill>
              </w:rPr>
              <w:t>℃</w:t>
            </w:r>
            <w:r>
              <w:rPr>
                <w:rFonts w:ascii="Times New Roman" w:hAnsi="Times New Roman" w:eastAsia="宋体" w:cs="Times New Roman"/>
                <w:color w:val="000000" w:themeColor="text1"/>
                <w:sz w:val="24"/>
                <w:szCs w:val="24"/>
                <w14:textFill>
                  <w14:solidFill>
                    <w14:schemeClr w14:val="tx1"/>
                  </w14:solidFill>
                </w14:textFill>
              </w:rPr>
              <w:t>、在&gt;850</w:t>
            </w:r>
            <w:r>
              <w:rPr>
                <w:rFonts w:hint="eastAsia" w:ascii="宋体" w:hAnsi="宋体" w:eastAsia="宋体" w:cs="宋体"/>
                <w:color w:val="000000" w:themeColor="text1"/>
                <w:sz w:val="24"/>
                <w:szCs w:val="24"/>
                <w:lang w:eastAsia="ja-JP"/>
                <w14:textFill>
                  <w14:solidFill>
                    <w14:schemeClr w14:val="tx1"/>
                  </w14:solidFill>
                </w14:textFill>
              </w:rPr>
              <w:t>℃</w:t>
            </w:r>
            <w:r>
              <w:rPr>
                <w:rFonts w:ascii="Times New Roman" w:hAnsi="Times New Roman" w:eastAsia="宋体" w:cs="Times New Roman"/>
                <w:color w:val="000000" w:themeColor="text1"/>
                <w:sz w:val="24"/>
                <w:szCs w:val="24"/>
                <w14:textFill>
                  <w14:solidFill>
                    <w14:schemeClr w14:val="tx1"/>
                  </w14:solidFill>
                </w14:textFill>
              </w:rPr>
              <w:t>下烟气停留时间&gt;2s、燃烧室内烟气充分湍流，是国际上通行的二噁英抑制技术（“3T”），能够有效抑制二噁英等有机污染物的生成，二噁英类物质可分解为CO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、H</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O和HCl等。本项目隧道窑焙烧温度控制在</w:t>
            </w:r>
            <w:r>
              <w:rPr>
                <w:rFonts w:ascii="Times New Roman" w:hAnsi="Times New Roman" w:cs="Times New Roman"/>
                <w:color w:val="000000" w:themeColor="text1"/>
                <w:sz w:val="24"/>
                <w:szCs w:val="24"/>
                <w14:textFill>
                  <w14:solidFill>
                    <w14:schemeClr w14:val="tx1"/>
                  </w14:solidFill>
                </w14:textFill>
              </w:rPr>
              <w:t>9</w:t>
            </w:r>
            <w:r>
              <w:rPr>
                <w:rFonts w:ascii="Times New Roman" w:hAnsi="Times New Roman" w:eastAsia="宋体" w:cs="Times New Roman"/>
                <w:color w:val="000000" w:themeColor="text1"/>
                <w:sz w:val="24"/>
                <w:szCs w:val="24"/>
                <w14:textFill>
                  <w14:solidFill>
                    <w14:schemeClr w14:val="tx1"/>
                  </w14:solidFill>
                </w14:textFill>
              </w:rPr>
              <w:t>00-1</w:t>
            </w:r>
            <w:r>
              <w:rPr>
                <w:rFonts w:ascii="Times New Roman" w:hAnsi="Times New Roman" w:cs="Times New Roman"/>
                <w:color w:val="000000" w:themeColor="text1"/>
                <w:sz w:val="24"/>
                <w:szCs w:val="24"/>
                <w14:textFill>
                  <w14:solidFill>
                    <w14:schemeClr w14:val="tx1"/>
                  </w14:solidFill>
                </w14:textFill>
              </w:rPr>
              <w:t>000</w:t>
            </w:r>
            <w:r>
              <w:rPr>
                <w:rFonts w:hint="eastAsia" w:ascii="宋体" w:hAnsi="宋体" w:eastAsia="宋体" w:cs="宋体"/>
                <w:color w:val="000000" w:themeColor="text1"/>
                <w:sz w:val="24"/>
                <w:szCs w:val="24"/>
                <w:lang w:eastAsia="ja-JP"/>
                <w14:textFill>
                  <w14:solidFill>
                    <w14:schemeClr w14:val="tx1"/>
                  </w14:solidFill>
                </w14:textFill>
              </w:rPr>
              <w:t>℃</w:t>
            </w:r>
            <w:r>
              <w:rPr>
                <w:rFonts w:ascii="Times New Roman" w:hAnsi="Times New Roman" w:eastAsia="宋体" w:cs="Times New Roman"/>
                <w:color w:val="000000" w:themeColor="text1"/>
                <w:sz w:val="24"/>
                <w:szCs w:val="24"/>
                <w14:textFill>
                  <w14:solidFill>
                    <w14:schemeClr w14:val="tx1"/>
                  </w14:solidFill>
                </w14:textFill>
              </w:rPr>
              <w:t>左右，高于二噁英产生温度850</w:t>
            </w:r>
            <w:r>
              <w:rPr>
                <w:rFonts w:hint="eastAsia" w:ascii="宋体" w:hAnsi="宋体" w:eastAsia="宋体" w:cs="宋体"/>
                <w:color w:val="000000" w:themeColor="text1"/>
                <w:sz w:val="24"/>
                <w:szCs w:val="24"/>
                <w:lang w:eastAsia="ja-JP"/>
                <w14:textFill>
                  <w14:solidFill>
                    <w14:schemeClr w14:val="tx1"/>
                  </w14:solidFill>
                </w14:textFill>
              </w:rPr>
              <w:t>℃</w:t>
            </w:r>
            <w:r>
              <w:rPr>
                <w:rFonts w:ascii="Times New Roman" w:hAnsi="Times New Roman" w:eastAsia="宋体" w:cs="Times New Roman"/>
                <w:color w:val="000000" w:themeColor="text1"/>
                <w:sz w:val="24"/>
                <w:szCs w:val="24"/>
                <w14:textFill>
                  <w14:solidFill>
                    <w14:schemeClr w14:val="tx1"/>
                  </w14:solidFill>
                </w14:textFill>
              </w:rPr>
              <w:t>。</w:t>
            </w:r>
            <w:r>
              <w:rPr>
                <w:rFonts w:ascii="Times New Roman" w:hAnsi="Times New Roman" w:eastAsia="宋体" w:cs="Times New Roman"/>
                <w:color w:val="000000"/>
                <w:kern w:val="0"/>
                <w:sz w:val="24"/>
                <w:szCs w:val="24"/>
                <w:lang w:bidi="ar"/>
              </w:rPr>
              <w:t xml:space="preserve">类比同类《成都市浦江五兴节能建材有限责任公司综合利用污泥技改项目》，隧道窑焙烧过程中，烟气停留时间13.41s以上。项目焙烧烟气停留时间远大于2s；隧道窑内烟气能够与物料充分接触，物料可以得到完全焙烧，高温下物料中的少量有机物和水分蒸发和汽化，在氧化条件下燃烧完毕，从而使易生成 PCDD/PCDF 的有机氯化物完全燃烧，或已生成的 PCDD/PCDF 完全分解。同时在隧道窑烟气中，多数二噁英类物质是附着在灰尘上的，在气相中的二噁英类物质的量极少。因此，通过“双碱法碱液洗涤”工艺可有效捕获粘有二噁英的粉尘，从而进一步减小二噁英类污染物的排放。 </w:t>
            </w:r>
          </w:p>
          <w:p w14:paraId="4ADB3AD1">
            <w:pPr>
              <w:widowControl/>
              <w:spacing w:line="360" w:lineRule="auto"/>
              <w:ind w:firstLine="480" w:firstLineChars="200"/>
              <w:rPr>
                <w:rFonts w:ascii="Times New Roman" w:hAnsi="Times New Roman" w:cs="Times New Roman"/>
              </w:rPr>
            </w:pPr>
            <w:r>
              <w:rPr>
                <w:rFonts w:ascii="Times New Roman" w:hAnsi="Times New Roman" w:eastAsia="宋体" w:cs="Times New Roman"/>
                <w:color w:val="000000"/>
                <w:kern w:val="0"/>
                <w:sz w:val="24"/>
                <w:szCs w:val="24"/>
                <w:lang w:bidi="ar"/>
              </w:rPr>
              <w:t>住房和城乡建设部、国家发展和改革</w:t>
            </w:r>
            <w:r>
              <w:rPr>
                <w:rFonts w:ascii="Times New Roman" w:hAnsi="Times New Roman" w:eastAsia="宋体" w:cs="Times New Roman"/>
                <w:color w:val="000000" w:themeColor="text1"/>
                <w:sz w:val="24"/>
                <w:szCs w:val="24"/>
                <w:lang w:bidi="ar"/>
                <w14:textFill>
                  <w14:solidFill>
                    <w14:schemeClr w14:val="tx1"/>
                  </w14:solidFill>
                </w14:textFill>
              </w:rPr>
              <w:t>委员会</w:t>
            </w:r>
            <w:r>
              <w:rPr>
                <w:rFonts w:ascii="Times New Roman" w:hAnsi="Times New Roman" w:eastAsia="宋体" w:cs="Times New Roman"/>
                <w:color w:val="000000"/>
                <w:kern w:val="0"/>
                <w:sz w:val="24"/>
                <w:szCs w:val="24"/>
                <w:lang w:bidi="ar"/>
              </w:rPr>
              <w:t xml:space="preserve"> 2011 年 03 月 14 日发布的《关于印发城镇污水处理厂污泥处理处置技术指南（试行）的通知》（建科[2011]34 号）中说明了污泥燃烧产生的二噁英通常低于生活垃圾。根据诸多垃圾焚烧发电厂的监测数据可知，垃圾焚烧炉排放的焚烧烟气中二噁英低于 0.1ngTEQ/m</w:t>
            </w:r>
            <w:r>
              <w:rPr>
                <w:rFonts w:ascii="Times New Roman" w:hAnsi="Times New Roman" w:eastAsia="宋体" w:cs="Times New Roman"/>
                <w:color w:val="000000"/>
                <w:kern w:val="0"/>
                <w:sz w:val="24"/>
                <w:szCs w:val="24"/>
                <w:vertAlign w:val="superscript"/>
                <w:lang w:bidi="ar"/>
              </w:rPr>
              <w:t>3</w:t>
            </w:r>
            <w:r>
              <w:rPr>
                <w:rFonts w:ascii="Times New Roman" w:hAnsi="Times New Roman" w:eastAsia="宋体" w:cs="Times New Roman"/>
                <w:color w:val="000000"/>
                <w:kern w:val="0"/>
                <w:sz w:val="24"/>
                <w:szCs w:val="24"/>
                <w:lang w:bidi="ar"/>
              </w:rPr>
              <w:t xml:space="preserve">。当前，我国建设并运营了数量众多的生活垃圾焚烧厂和污泥制砖厂，但截至目前未有因为二噁英导致的污染事件发生；因此，可认为本项目的二噁英的环境危害风险可控。 </w:t>
            </w:r>
          </w:p>
          <w:p w14:paraId="2FEE09A8">
            <w:pPr>
              <w:widowControl/>
              <w:spacing w:line="360" w:lineRule="auto"/>
              <w:ind w:firstLine="480" w:firstLineChars="200"/>
              <w:rPr>
                <w:rFonts w:ascii="Times New Roman" w:hAnsi="Times New Roman" w:cs="Times New Roman"/>
              </w:rPr>
            </w:pPr>
            <w:r>
              <w:rPr>
                <w:rFonts w:ascii="Times New Roman" w:hAnsi="Times New Roman" w:eastAsia="宋体" w:cs="Times New Roman"/>
                <w:color w:val="000000"/>
                <w:kern w:val="0"/>
                <w:sz w:val="24"/>
                <w:szCs w:val="24"/>
                <w:lang w:bidi="ar"/>
              </w:rPr>
              <w:t>另外，根据给水排水杂志论文《污泥干化焚烧过程中污染物排放的研究》（王飞，2011），原料中硫的存在可明显抑制二噁英的产生，当 S/Cl=10 时，可抑制 90%的低温二噁英的产生；而评价项目原料中含有大量的 S，其 S/Cl 比值将远大于 10，因此项目隧道窑烧结过程中，二噁英产生水平是很低的。同时根据《污泥干化焚烧过程中污染物排放的研究》（王飞，2011）研究结果，在污泥单独焚烧、污泥中添加煤等及其他物质的焚烧情景下，污泥单独焚烧过程二噁英的产生量最高，但也仅有 0.0917ngTEQ/m</w:t>
            </w:r>
            <w:r>
              <w:rPr>
                <w:rFonts w:ascii="Times New Roman" w:hAnsi="Times New Roman" w:eastAsia="宋体" w:cs="Times New Roman"/>
                <w:color w:val="000000"/>
                <w:kern w:val="0"/>
                <w:sz w:val="24"/>
                <w:szCs w:val="24"/>
                <w:vertAlign w:val="superscript"/>
                <w:lang w:bidi="ar"/>
              </w:rPr>
              <w:t>3</w:t>
            </w:r>
            <w:r>
              <w:rPr>
                <w:rFonts w:ascii="Times New Roman" w:hAnsi="Times New Roman" w:eastAsia="宋体" w:cs="Times New Roman"/>
                <w:color w:val="000000"/>
                <w:kern w:val="0"/>
                <w:sz w:val="24"/>
                <w:szCs w:val="24"/>
                <w:lang w:bidi="ar"/>
              </w:rPr>
              <w:t>，低于《生活垃圾焚烧污染控制标准》中二噁英的排放标准 1.0 ngTEQ/m</w:t>
            </w:r>
            <w:r>
              <w:rPr>
                <w:rFonts w:ascii="Times New Roman" w:hAnsi="Times New Roman" w:eastAsia="宋体" w:cs="Times New Roman"/>
                <w:color w:val="000000"/>
                <w:kern w:val="0"/>
                <w:sz w:val="24"/>
                <w:szCs w:val="24"/>
                <w:vertAlign w:val="superscript"/>
                <w:lang w:bidi="ar"/>
              </w:rPr>
              <w:t>3</w:t>
            </w:r>
            <w:r>
              <w:rPr>
                <w:rFonts w:ascii="Times New Roman" w:hAnsi="Times New Roman" w:eastAsia="宋体" w:cs="Times New Roman"/>
                <w:color w:val="000000"/>
                <w:kern w:val="0"/>
                <w:sz w:val="24"/>
                <w:szCs w:val="24"/>
                <w:lang w:bidi="ar"/>
              </w:rPr>
              <w:t xml:space="preserve">。 </w:t>
            </w:r>
          </w:p>
          <w:p w14:paraId="6164E944">
            <w:pPr>
              <w:widowControl/>
              <w:spacing w:line="360" w:lineRule="auto"/>
              <w:ind w:firstLine="480" w:firstLineChars="200"/>
              <w:rPr>
                <w:rFonts w:ascii="Times New Roman" w:hAnsi="Times New Roman" w:eastAsia="宋体" w:cs="Times New Roman"/>
                <w:color w:val="000000"/>
                <w:kern w:val="0"/>
                <w:sz w:val="24"/>
                <w:szCs w:val="24"/>
                <w:lang w:bidi="ar"/>
              </w:rPr>
            </w:pPr>
            <w:r>
              <w:rPr>
                <w:rFonts w:ascii="Times New Roman" w:hAnsi="Times New Roman" w:eastAsia="宋体" w:cs="Times New Roman"/>
                <w:color w:val="000000"/>
                <w:kern w:val="0"/>
                <w:sz w:val="24"/>
                <w:szCs w:val="24"/>
                <w:lang w:bidi="ar"/>
              </w:rPr>
              <w:t>同时类比《四川省芝优胜旭固体废物治理有限公司技改项目环境影响报告书》（2019 年 5 月）验收报告、《湖南辉宏新型环保</w:t>
            </w:r>
            <w:r>
              <w:rPr>
                <w:rFonts w:ascii="Times New Roman" w:hAnsi="Times New Roman" w:eastAsia="宋体" w:cs="Times New Roman"/>
                <w:color w:val="000000" w:themeColor="text1"/>
                <w:sz w:val="24"/>
                <w:szCs w:val="24"/>
                <w:lang w:bidi="ar"/>
                <w14:textFill>
                  <w14:solidFill>
                    <w14:schemeClr w14:val="tx1"/>
                  </w14:solidFill>
                </w14:textFill>
              </w:rPr>
              <w:t>建材</w:t>
            </w:r>
            <w:r>
              <w:rPr>
                <w:rFonts w:ascii="Times New Roman" w:hAnsi="Times New Roman" w:eastAsia="宋体" w:cs="Times New Roman"/>
                <w:color w:val="000000"/>
                <w:kern w:val="0"/>
                <w:sz w:val="24"/>
                <w:szCs w:val="24"/>
                <w:lang w:bidi="ar"/>
              </w:rPr>
              <w:t>有限公司年产 1.5 亿块页岩烧结砖协同处置一般固废、 污泥等废弃物智能化生产线技术改造项目》环评报告和《污泥干化焚烧过程中污染物排放的研究》（浙江大学能源清洁利用国家重点实验室，杭州，310027，王飞，朱小玲，李博，严建华，池涌，岑可法）。同类项目二噁英源强核定情况见下表：</w:t>
            </w:r>
          </w:p>
          <w:p w14:paraId="25136276">
            <w:pPr>
              <w:snapToGrid w:val="0"/>
              <w:jc w:val="center"/>
              <w:rPr>
                <w:rFonts w:ascii="Times New Roman" w:hAnsi="Times New Roman" w:eastAsia="宋体" w:cs="Times New Roman"/>
                <w:color w:val="000000"/>
                <w:sz w:val="24"/>
                <w:szCs w:val="24"/>
              </w:rPr>
            </w:pPr>
            <w:r>
              <w:rPr>
                <w:rFonts w:ascii="Times New Roman" w:hAnsi="Times New Roman" w:eastAsia="宋体" w:cs="Times New Roman"/>
                <w:b/>
                <w:bCs/>
                <w:color w:val="000000" w:themeColor="text1"/>
                <w:szCs w:val="21"/>
                <w14:textFill>
                  <w14:solidFill>
                    <w14:schemeClr w14:val="tx1"/>
                  </w14:solidFill>
                </w14:textFill>
              </w:rPr>
              <w:t xml:space="preserve">表4-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表4-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5</w:t>
            </w:r>
            <w:r>
              <w:rPr>
                <w:rFonts w:ascii="Times New Roman" w:hAnsi="Times New Roman" w:eastAsia="宋体" w:cs="Times New Roman"/>
                <w:b/>
                <w:bCs/>
                <w:color w:val="000000" w:themeColor="text1"/>
                <w:szCs w:val="21"/>
                <w14:textFill>
                  <w14:solidFill>
                    <w14:schemeClr w14:val="tx1"/>
                  </w14:solidFill>
                </w14:textFill>
              </w:rPr>
              <w:fldChar w:fldCharType="end"/>
            </w:r>
            <w:r>
              <w:rPr>
                <w:rFonts w:ascii="Times New Roman" w:hAnsi="Times New Roman" w:eastAsia="宋体" w:cs="Times New Roman"/>
                <w:b/>
                <w:bCs/>
                <w:color w:val="000000" w:themeColor="text1"/>
                <w:szCs w:val="21"/>
                <w14:textFill>
                  <w14:solidFill>
                    <w14:schemeClr w14:val="tx1"/>
                  </w14:solidFill>
                </w14:textFill>
              </w:rPr>
              <w:t xml:space="preserve">   </w:t>
            </w:r>
            <w:r>
              <w:rPr>
                <w:rFonts w:ascii="Times New Roman" w:hAnsi="Times New Roman" w:eastAsia="宋体" w:cs="Times New Roman"/>
                <w:b/>
                <w:bCs/>
                <w:color w:val="000000"/>
                <w:szCs w:val="21"/>
              </w:rPr>
              <w:t>同类项目二噁英排放情</w:t>
            </w:r>
            <w:r>
              <w:rPr>
                <w:rFonts w:ascii="Times New Roman" w:hAnsi="Times New Roman" w:eastAsia="宋体" w:cs="Times New Roman"/>
                <w:b/>
                <w:color w:val="000000"/>
                <w:szCs w:val="24"/>
              </w:rPr>
              <w:t>况表</w:t>
            </w:r>
          </w:p>
          <w:tbl>
            <w:tblPr>
              <w:tblStyle w:val="2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03"/>
              <w:gridCol w:w="462"/>
              <w:gridCol w:w="1489"/>
              <w:gridCol w:w="2313"/>
              <w:gridCol w:w="494"/>
              <w:gridCol w:w="900"/>
              <w:gridCol w:w="642"/>
            </w:tblGrid>
            <w:tr w14:paraId="0C358E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41258382">
                  <w:pPr>
                    <w:snapToGrid w:val="0"/>
                    <w:rPr>
                      <w:rFonts w:ascii="Times New Roman" w:hAnsi="Times New Roman" w:eastAsia="宋体"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名称</w:t>
                  </w:r>
                </w:p>
              </w:tc>
              <w:tc>
                <w:tcPr>
                  <w:tcW w:w="0" w:type="auto"/>
                  <w:vAlign w:val="center"/>
                </w:tcPr>
                <w:p w14:paraId="64B55D5A">
                  <w:pPr>
                    <w:snapToGrid w:val="0"/>
                    <w:rPr>
                      <w:rFonts w:ascii="Times New Roman" w:hAnsi="Times New Roman" w:eastAsia="宋体"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污染物</w:t>
                  </w:r>
                </w:p>
              </w:tc>
              <w:tc>
                <w:tcPr>
                  <w:tcW w:w="0" w:type="auto"/>
                  <w:vAlign w:val="center"/>
                </w:tcPr>
                <w:p w14:paraId="42D171A9">
                  <w:pPr>
                    <w:snapToGrid w:val="0"/>
                    <w:rPr>
                      <w:rFonts w:ascii="Times New Roman" w:hAnsi="Times New Roman" w:eastAsia="宋体"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排放</w:t>
                  </w:r>
                  <w:r>
                    <w:rPr>
                      <w:rFonts w:ascii="Times New Roman" w:hAnsi="Times New Roman" w:eastAsia="宋体" w:cs="Times New Roman"/>
                      <w:color w:val="000000" w:themeColor="text1"/>
                      <w:sz w:val="18"/>
                      <w:szCs w:val="18"/>
                      <w14:textFill>
                        <w14:solidFill>
                          <w14:schemeClr w14:val="tx1"/>
                        </w14:solidFill>
                      </w14:textFill>
                    </w:rPr>
                    <w:t>情况</w:t>
                  </w:r>
                </w:p>
              </w:tc>
              <w:tc>
                <w:tcPr>
                  <w:tcW w:w="0" w:type="auto"/>
                  <w:vAlign w:val="center"/>
                </w:tcPr>
                <w:p w14:paraId="48F8F9A8">
                  <w:pPr>
                    <w:snapToGrid w:val="0"/>
                    <w:rPr>
                      <w:rFonts w:ascii="Times New Roman" w:hAnsi="Times New Roman" w:eastAsia="宋体"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处置规模</w:t>
                  </w:r>
                </w:p>
              </w:tc>
              <w:tc>
                <w:tcPr>
                  <w:tcW w:w="0" w:type="auto"/>
                  <w:vAlign w:val="center"/>
                </w:tcPr>
                <w:p w14:paraId="1AE35011">
                  <w:pPr>
                    <w:snapToGrid w:val="0"/>
                    <w:rPr>
                      <w:rFonts w:ascii="Times New Roman" w:hAnsi="Times New Roman" w:eastAsia="宋体"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治理措施</w:t>
                  </w:r>
                </w:p>
                <w:p w14:paraId="5F71A4EF">
                  <w:pPr>
                    <w:snapToGrid w:val="0"/>
                    <w:rPr>
                      <w:rFonts w:ascii="Times New Roman" w:hAnsi="Times New Roman" w:eastAsia="宋体" w:cs="Times New Roman"/>
                      <w:color w:val="000000" w:themeColor="text1"/>
                      <w:sz w:val="18"/>
                      <w:szCs w:val="18"/>
                      <w14:textFill>
                        <w14:solidFill>
                          <w14:schemeClr w14:val="tx1"/>
                        </w14:solidFill>
                      </w14:textFill>
                    </w:rPr>
                  </w:pPr>
                </w:p>
              </w:tc>
              <w:tc>
                <w:tcPr>
                  <w:tcW w:w="900" w:type="dxa"/>
                  <w:vAlign w:val="center"/>
                </w:tcPr>
                <w:p w14:paraId="73188704">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污泥站原料比列（60%含水率）</w:t>
                  </w:r>
                </w:p>
              </w:tc>
              <w:tc>
                <w:tcPr>
                  <w:tcW w:w="642" w:type="dxa"/>
                  <w:vAlign w:val="center"/>
                </w:tcPr>
                <w:p w14:paraId="0642E8E8">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备注</w:t>
                  </w:r>
                </w:p>
              </w:tc>
            </w:tr>
            <w:tr w14:paraId="12935A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203AD5F6">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四川省芝优胜旭固体废物治理有限公司技改项目</w:t>
                  </w:r>
                </w:p>
              </w:tc>
              <w:tc>
                <w:tcPr>
                  <w:tcW w:w="0" w:type="auto"/>
                  <w:vMerge w:val="restart"/>
                  <w:vAlign w:val="center"/>
                </w:tcPr>
                <w:p w14:paraId="2F82F90C">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b/>
                      <w:bCs/>
                      <w:color w:val="000000" w:themeColor="text1"/>
                      <w:sz w:val="18"/>
                      <w:szCs w:val="18"/>
                      <w14:textFill>
                        <w14:solidFill>
                          <w14:schemeClr w14:val="tx1"/>
                        </w14:solidFill>
                      </w14:textFill>
                    </w:rPr>
                    <w:t>二噁英</w:t>
                  </w:r>
                </w:p>
              </w:tc>
              <w:tc>
                <w:tcPr>
                  <w:tcW w:w="0" w:type="auto"/>
                  <w:vAlign w:val="center"/>
                </w:tcPr>
                <w:p w14:paraId="7799D36A">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0.078ngTEQ/m</w:t>
                  </w:r>
                  <w:r>
                    <w:rPr>
                      <w:rFonts w:ascii="Times New Roman" w:hAnsi="Times New Roman" w:cs="Times New Roman"/>
                      <w:color w:val="000000" w:themeColor="text1"/>
                      <w:sz w:val="18"/>
                      <w:szCs w:val="18"/>
                      <w:vertAlign w:val="superscript"/>
                      <w14:textFill>
                        <w14:solidFill>
                          <w14:schemeClr w14:val="tx1"/>
                        </w14:solidFill>
                      </w14:textFill>
                    </w:rPr>
                    <w:t>3</w:t>
                  </w:r>
                </w:p>
              </w:tc>
              <w:tc>
                <w:tcPr>
                  <w:tcW w:w="0" w:type="auto"/>
                  <w:vAlign w:val="center"/>
                </w:tcPr>
                <w:p w14:paraId="64D3CEE7">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年产4000万烧结砖，利用隧道窑处置污泥(含水80%) 8820t/a或(含水率60%)44 10/a</w:t>
                  </w:r>
                </w:p>
              </w:tc>
              <w:tc>
                <w:tcPr>
                  <w:tcW w:w="0" w:type="auto"/>
                  <w:vAlign w:val="center"/>
                </w:tcPr>
                <w:p w14:paraId="111E42DA">
                  <w:pPr>
                    <w:snapToGrid w:val="0"/>
                    <w:rPr>
                      <w:rFonts w:ascii="Times New Roman" w:hAnsi="Times New Roman" w:eastAsia="宋体"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无</w:t>
                  </w:r>
                </w:p>
              </w:tc>
              <w:tc>
                <w:tcPr>
                  <w:tcW w:w="900" w:type="dxa"/>
                  <w:vAlign w:val="center"/>
                </w:tcPr>
                <w:p w14:paraId="6949DAAD">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5.16%</w:t>
                  </w:r>
                </w:p>
              </w:tc>
              <w:tc>
                <w:tcPr>
                  <w:tcW w:w="642" w:type="dxa"/>
                  <w:vAlign w:val="center"/>
                </w:tcPr>
                <w:p w14:paraId="5C0929CD">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验收检测数据</w:t>
                  </w:r>
                </w:p>
              </w:tc>
            </w:tr>
            <w:tr w14:paraId="08F9D9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00A8A605">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湖南辉宏新型环保建材有限公司年产1.5亿块页岩烧结砖协同处置一般固废、污泥等废弃物智能化生产线技术改造项目</w:t>
                  </w:r>
                </w:p>
              </w:tc>
              <w:tc>
                <w:tcPr>
                  <w:tcW w:w="0" w:type="auto"/>
                  <w:vMerge w:val="continue"/>
                  <w:vAlign w:val="center"/>
                </w:tcPr>
                <w:p w14:paraId="6773B438">
                  <w:pPr>
                    <w:snapToGrid w:val="0"/>
                    <w:rPr>
                      <w:rFonts w:ascii="Times New Roman" w:hAnsi="Times New Roman" w:cs="Times New Roman"/>
                      <w:b/>
                      <w:bCs/>
                      <w:color w:val="000000" w:themeColor="text1"/>
                      <w:sz w:val="18"/>
                      <w:szCs w:val="18"/>
                      <w14:textFill>
                        <w14:solidFill>
                          <w14:schemeClr w14:val="tx1"/>
                        </w14:solidFill>
                      </w14:textFill>
                    </w:rPr>
                  </w:pPr>
                </w:p>
              </w:tc>
              <w:tc>
                <w:tcPr>
                  <w:tcW w:w="0" w:type="auto"/>
                  <w:vAlign w:val="center"/>
                </w:tcPr>
                <w:p w14:paraId="02E500B0">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0.1ngTEQ/m</w:t>
                  </w:r>
                  <w:r>
                    <w:rPr>
                      <w:rFonts w:ascii="Times New Roman" w:hAnsi="Times New Roman" w:cs="Times New Roman"/>
                      <w:color w:val="000000" w:themeColor="text1"/>
                      <w:sz w:val="18"/>
                      <w:szCs w:val="18"/>
                      <w:vertAlign w:val="superscript"/>
                      <w14:textFill>
                        <w14:solidFill>
                          <w14:schemeClr w14:val="tx1"/>
                        </w14:solidFill>
                      </w14:textFill>
                    </w:rPr>
                    <w:t>3</w:t>
                  </w:r>
                </w:p>
              </w:tc>
              <w:tc>
                <w:tcPr>
                  <w:tcW w:w="0" w:type="auto"/>
                  <w:vAlign w:val="center"/>
                </w:tcPr>
                <w:p w14:paraId="7E4AEDBA">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年产15000万空心砖，利用隧道窑处置污泥(含水率20%)23700/a,或(含水率60%) 47400t/a</w:t>
                  </w:r>
                </w:p>
              </w:tc>
              <w:tc>
                <w:tcPr>
                  <w:tcW w:w="0" w:type="auto"/>
                  <w:vAlign w:val="center"/>
                </w:tcPr>
                <w:p w14:paraId="4B80306B">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无</w:t>
                  </w:r>
                </w:p>
              </w:tc>
              <w:tc>
                <w:tcPr>
                  <w:tcW w:w="900" w:type="dxa"/>
                  <w:vAlign w:val="center"/>
                </w:tcPr>
                <w:p w14:paraId="2EE2C52B">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w:t>
                  </w:r>
                </w:p>
              </w:tc>
              <w:tc>
                <w:tcPr>
                  <w:tcW w:w="642" w:type="dxa"/>
                  <w:vAlign w:val="center"/>
                </w:tcPr>
                <w:p w14:paraId="282A5DA6">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环评报告数据</w:t>
                  </w:r>
                </w:p>
              </w:tc>
            </w:tr>
            <w:tr w14:paraId="25D187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0" w:type="auto"/>
                  <w:vAlign w:val="center"/>
                </w:tcPr>
                <w:p w14:paraId="5C1AD9EA">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《污泥干化焚烧过程中污染物排放的研究》</w:t>
                  </w:r>
                </w:p>
              </w:tc>
              <w:tc>
                <w:tcPr>
                  <w:tcW w:w="0" w:type="auto"/>
                  <w:vMerge w:val="continue"/>
                  <w:vAlign w:val="center"/>
                </w:tcPr>
                <w:p w14:paraId="35950ABA">
                  <w:pPr>
                    <w:snapToGrid w:val="0"/>
                    <w:rPr>
                      <w:rFonts w:ascii="Times New Roman" w:hAnsi="Times New Roman" w:cs="Times New Roman"/>
                      <w:b/>
                      <w:bCs/>
                      <w:color w:val="000000" w:themeColor="text1"/>
                      <w:sz w:val="18"/>
                      <w:szCs w:val="18"/>
                      <w14:textFill>
                        <w14:solidFill>
                          <w14:schemeClr w14:val="tx1"/>
                        </w14:solidFill>
                      </w14:textFill>
                    </w:rPr>
                  </w:pPr>
                </w:p>
              </w:tc>
              <w:tc>
                <w:tcPr>
                  <w:tcW w:w="0" w:type="auto"/>
                  <w:vAlign w:val="center"/>
                </w:tcPr>
                <w:p w14:paraId="020CCD52">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0.0917ngTEQ/m</w:t>
                  </w:r>
                  <w:r>
                    <w:rPr>
                      <w:rFonts w:ascii="Times New Roman" w:hAnsi="Times New Roman" w:cs="Times New Roman"/>
                      <w:color w:val="000000" w:themeColor="text1"/>
                      <w:sz w:val="18"/>
                      <w:szCs w:val="18"/>
                      <w:vertAlign w:val="superscript"/>
                      <w14:textFill>
                        <w14:solidFill>
                          <w14:schemeClr w14:val="tx1"/>
                        </w14:solidFill>
                      </w14:textFill>
                    </w:rPr>
                    <w:t>3</w:t>
                  </w:r>
                </w:p>
              </w:tc>
              <w:tc>
                <w:tcPr>
                  <w:tcW w:w="0" w:type="auto"/>
                  <w:vAlign w:val="center"/>
                </w:tcPr>
                <w:p w14:paraId="7D4B1E69">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w:t>
                  </w:r>
                </w:p>
              </w:tc>
              <w:tc>
                <w:tcPr>
                  <w:tcW w:w="0" w:type="auto"/>
                  <w:vAlign w:val="center"/>
                </w:tcPr>
                <w:p w14:paraId="5E81254D">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w:t>
                  </w:r>
                </w:p>
              </w:tc>
              <w:tc>
                <w:tcPr>
                  <w:tcW w:w="900" w:type="dxa"/>
                  <w:vAlign w:val="center"/>
                </w:tcPr>
                <w:p w14:paraId="092095A6">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w:t>
                  </w:r>
                </w:p>
              </w:tc>
              <w:tc>
                <w:tcPr>
                  <w:tcW w:w="642" w:type="dxa"/>
                  <w:vAlign w:val="center"/>
                </w:tcPr>
                <w:p w14:paraId="0987A1A9">
                  <w:pPr>
                    <w:snapToGrid w:val="0"/>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cs="Times New Roman"/>
                      <w:color w:val="000000" w:themeColor="text1"/>
                      <w:sz w:val="18"/>
                      <w:szCs w:val="18"/>
                      <w14:textFill>
                        <w14:solidFill>
                          <w14:schemeClr w14:val="tx1"/>
                        </w14:solidFill>
                      </w14:textFill>
                    </w:rPr>
                    <w:t>/</w:t>
                  </w:r>
                </w:p>
              </w:tc>
            </w:tr>
          </w:tbl>
          <w:p w14:paraId="7D8A7836">
            <w:pPr>
              <w:widowControl/>
              <w:spacing w:line="360" w:lineRule="auto"/>
              <w:ind w:firstLine="480" w:firstLineChars="200"/>
              <w:jc w:val="left"/>
              <w:rPr>
                <w:rFonts w:ascii="Times New Roman" w:hAnsi="Times New Roman" w:eastAsia="宋体" w:cs="Times New Roman"/>
                <w:color w:val="000000"/>
                <w:kern w:val="0"/>
                <w:sz w:val="24"/>
                <w:szCs w:val="24"/>
                <w:lang w:bidi="ar"/>
              </w:rPr>
            </w:pPr>
            <w:r>
              <w:rPr>
                <w:rFonts w:ascii="Times New Roman" w:hAnsi="Times New Roman" w:eastAsia="宋体" w:cs="Times New Roman"/>
                <w:color w:val="000000"/>
                <w:kern w:val="0"/>
                <w:sz w:val="24"/>
                <w:szCs w:val="24"/>
                <w:lang w:bidi="ar"/>
              </w:rPr>
              <w:t>本项目替代原料为水基岩钻井废弃物及无机污泥均为无机固废，有机物含量较低；原料中氯元素含量极低，且会被物料中碱性物质吸收，减少二噁英类形成的氯源；焙烧过程满足二噁英抑制技术（“3T”）要求，有效降低二噁英产生。</w:t>
            </w:r>
          </w:p>
          <w:p w14:paraId="2644A53B">
            <w:pPr>
              <w:widowControl/>
              <w:spacing w:line="360" w:lineRule="auto"/>
              <w:ind w:firstLine="480" w:firstLineChars="200"/>
              <w:jc w:val="left"/>
              <w:rPr>
                <w:rFonts w:ascii="Times New Roman" w:hAnsi="Times New Roman" w:eastAsia="宋体" w:cs="Times New Roman"/>
                <w:color w:val="000000"/>
                <w:kern w:val="0"/>
                <w:sz w:val="24"/>
                <w:szCs w:val="24"/>
                <w:lang w:bidi="ar"/>
              </w:rPr>
            </w:pPr>
            <w:r>
              <w:rPr>
                <w:rFonts w:ascii="Times New Roman" w:hAnsi="Times New Roman" w:eastAsia="宋体" w:cs="Times New Roman"/>
                <w:color w:val="000000"/>
                <w:kern w:val="0"/>
                <w:sz w:val="24"/>
                <w:szCs w:val="24"/>
                <w:lang w:bidi="ar"/>
              </w:rPr>
              <w:t>另外，大量的研究表明，污泥垃圾焚烧产生的二噁英绝大部分均存在于固相之中，通过除尘系统可以去除相当部分的二噁英。因此综上分析，环评认为评价项目隧道窑中二噁英的产生水平极低，其排放可满足《生活垃圾焚烧污染控制标准》中二噁英的排放标准（1.0ngTEQ/m</w:t>
            </w:r>
            <w:r>
              <w:rPr>
                <w:rFonts w:ascii="Times New Roman" w:hAnsi="Times New Roman" w:eastAsia="宋体" w:cs="Times New Roman"/>
                <w:color w:val="000000"/>
                <w:kern w:val="0"/>
                <w:sz w:val="24"/>
                <w:szCs w:val="24"/>
                <w:vertAlign w:val="superscript"/>
                <w:lang w:bidi="ar"/>
              </w:rPr>
              <w:t>3</w:t>
            </w:r>
            <w:r>
              <w:rPr>
                <w:rFonts w:ascii="Times New Roman" w:hAnsi="Times New Roman" w:eastAsia="宋体" w:cs="Times New Roman"/>
                <w:color w:val="000000"/>
                <w:kern w:val="0"/>
                <w:sz w:val="24"/>
                <w:szCs w:val="24"/>
                <w:lang w:bidi="ar"/>
              </w:rPr>
              <w:t>）</w:t>
            </w:r>
            <w:r>
              <w:rPr>
                <w:rFonts w:hint="eastAsia" w:ascii="Times New Roman" w:hAnsi="Times New Roman" w:eastAsia="宋体" w:cs="Times New Roman"/>
                <w:color w:val="000000"/>
                <w:kern w:val="0"/>
                <w:sz w:val="24"/>
                <w:szCs w:val="24"/>
                <w:lang w:bidi="ar"/>
              </w:rPr>
              <w:t>。</w:t>
            </w:r>
          </w:p>
          <w:p w14:paraId="4B3E4D7A">
            <w:pPr>
              <w:widowControl/>
              <w:spacing w:line="360" w:lineRule="auto"/>
              <w:ind w:firstLine="480" w:firstLineChars="200"/>
              <w:jc w:val="left"/>
              <w:rPr>
                <w:rFonts w:ascii="Segoe UI Symbol" w:hAnsi="Segoe UI Symbol" w:eastAsia="宋体" w:cs="Times New Roman"/>
                <w:color w:val="000000"/>
                <w:kern w:val="0"/>
                <w:sz w:val="24"/>
                <w:szCs w:val="24"/>
                <w:lang w:bidi="ar"/>
              </w:rPr>
            </w:pPr>
            <w:r>
              <w:rPr>
                <w:rFonts w:hint="eastAsia" w:ascii="Times New Roman" w:hAnsi="Times New Roman" w:eastAsia="宋体" w:cs="Times New Roman"/>
                <w:color w:val="000000"/>
                <w:kern w:val="0"/>
                <w:sz w:val="24"/>
                <w:szCs w:val="24"/>
                <w:lang w:bidi="ar"/>
              </w:rPr>
              <w:t>本次评价对</w:t>
            </w:r>
            <w:r>
              <w:rPr>
                <w:rFonts w:ascii="Times New Roman" w:hAnsi="Times New Roman" w:eastAsia="宋体" w:cs="Times New Roman"/>
                <w:color w:val="000000"/>
                <w:kern w:val="0"/>
                <w:sz w:val="24"/>
                <w:szCs w:val="24"/>
                <w:lang w:bidi="ar"/>
              </w:rPr>
              <w:t>项目隧道窑进行</w:t>
            </w:r>
            <w:r>
              <w:rPr>
                <w:rFonts w:hint="eastAsia" w:ascii="Times New Roman" w:hAnsi="Times New Roman" w:eastAsia="宋体" w:cs="Times New Roman"/>
                <w:color w:val="000000"/>
                <w:kern w:val="0"/>
                <w:sz w:val="24"/>
                <w:szCs w:val="24"/>
                <w:lang w:bidi="ar"/>
              </w:rPr>
              <w:t>二噁英检测（详见</w:t>
            </w:r>
            <w:r>
              <w:rPr>
                <w:rFonts w:ascii="Times New Roman" w:hAnsi="Times New Roman" w:eastAsia="宋体" w:cs="Times New Roman"/>
                <w:color w:val="000000"/>
                <w:kern w:val="0"/>
                <w:sz w:val="24"/>
                <w:szCs w:val="24"/>
                <w:lang w:bidi="ar"/>
              </w:rPr>
              <w:fldChar w:fldCharType="begin"/>
            </w:r>
            <w:r>
              <w:rPr>
                <w:rFonts w:ascii="Times New Roman" w:hAnsi="Times New Roman" w:eastAsia="宋体" w:cs="Times New Roman"/>
                <w:color w:val="000000"/>
                <w:kern w:val="0"/>
                <w:sz w:val="24"/>
                <w:szCs w:val="24"/>
                <w:lang w:bidi="ar"/>
              </w:rPr>
              <w:instrText xml:space="preserve"> </w:instrText>
            </w:r>
            <w:r>
              <w:rPr>
                <w:rFonts w:hint="eastAsia" w:ascii="Times New Roman" w:hAnsi="Times New Roman" w:eastAsia="宋体" w:cs="Times New Roman"/>
                <w:color w:val="000000"/>
                <w:kern w:val="0"/>
                <w:sz w:val="24"/>
                <w:szCs w:val="24"/>
                <w:lang w:bidi="ar"/>
              </w:rPr>
              <w:instrText xml:space="preserve">REF _Ref143617577 \h</w:instrText>
            </w:r>
            <w:r>
              <w:rPr>
                <w:rFonts w:ascii="Times New Roman" w:hAnsi="Times New Roman" w:eastAsia="宋体" w:cs="Times New Roman"/>
                <w:color w:val="000000"/>
                <w:kern w:val="0"/>
                <w:sz w:val="24"/>
                <w:szCs w:val="24"/>
                <w:lang w:bidi="ar"/>
              </w:rPr>
              <w:instrText xml:space="preserve">  \* MERGEFORMAT </w:instrText>
            </w:r>
            <w:r>
              <w:rPr>
                <w:rFonts w:ascii="Times New Roman" w:hAnsi="Times New Roman" w:eastAsia="宋体" w:cs="Times New Roman"/>
                <w:color w:val="000000"/>
                <w:kern w:val="0"/>
                <w:sz w:val="24"/>
                <w:szCs w:val="24"/>
                <w:lang w:bidi="ar"/>
              </w:rPr>
              <w:fldChar w:fldCharType="separate"/>
            </w:r>
            <w:r>
              <w:rPr>
                <w:rFonts w:ascii="Times New Roman" w:hAnsi="Times New Roman" w:eastAsia="宋体" w:cs="Times New Roman"/>
                <w:color w:val="000000"/>
                <w:kern w:val="0"/>
                <w:sz w:val="24"/>
                <w:szCs w:val="24"/>
                <w:lang w:bidi="ar"/>
              </w:rPr>
              <w:t>表2- 31</w:t>
            </w:r>
            <w:r>
              <w:rPr>
                <w:rFonts w:ascii="Times New Roman" w:hAnsi="Times New Roman" w:eastAsia="宋体" w:cs="Times New Roman"/>
                <w:color w:val="000000"/>
                <w:kern w:val="0"/>
                <w:sz w:val="24"/>
                <w:szCs w:val="24"/>
                <w:lang w:bidi="ar"/>
              </w:rPr>
              <w:fldChar w:fldCharType="end"/>
            </w:r>
            <w:r>
              <w:rPr>
                <w:rFonts w:hint="eastAsia" w:ascii="Times New Roman" w:hAnsi="Times New Roman" w:eastAsia="宋体" w:cs="Times New Roman"/>
                <w:color w:val="000000"/>
                <w:kern w:val="0"/>
                <w:sz w:val="24"/>
                <w:szCs w:val="24"/>
                <w:lang w:bidi="ar"/>
              </w:rPr>
              <w:t>）</w:t>
            </w:r>
            <w:r>
              <w:rPr>
                <w:rFonts w:ascii="Times New Roman" w:hAnsi="Times New Roman" w:eastAsia="宋体" w:cs="Times New Roman"/>
                <w:color w:val="000000"/>
                <w:kern w:val="0"/>
                <w:sz w:val="24"/>
                <w:szCs w:val="24"/>
                <w:lang w:bidi="ar"/>
              </w:rPr>
              <w:t>，</w:t>
            </w:r>
            <w:r>
              <w:rPr>
                <w:rFonts w:hint="eastAsia" w:ascii="Times New Roman" w:hAnsi="Times New Roman" w:eastAsia="宋体" w:cs="Times New Roman"/>
                <w:color w:val="000000"/>
                <w:kern w:val="0"/>
                <w:sz w:val="24"/>
                <w:szCs w:val="24"/>
                <w:lang w:bidi="ar"/>
              </w:rPr>
              <w:t>根据</w:t>
            </w:r>
            <w:r>
              <w:rPr>
                <w:rFonts w:ascii="Times New Roman" w:hAnsi="Times New Roman" w:eastAsia="宋体" w:cs="Times New Roman"/>
                <w:color w:val="000000"/>
                <w:kern w:val="0"/>
                <w:sz w:val="24"/>
                <w:szCs w:val="24"/>
                <w:lang w:bidi="ar"/>
              </w:rPr>
              <w:t>检测结果，现有项目二噁英排放</w:t>
            </w:r>
            <w:r>
              <w:rPr>
                <w:rFonts w:hint="eastAsia" w:ascii="Times New Roman" w:hAnsi="Times New Roman" w:eastAsia="宋体" w:cs="Times New Roman"/>
                <w:color w:val="000000"/>
                <w:kern w:val="0"/>
                <w:sz w:val="24"/>
                <w:szCs w:val="24"/>
                <w:lang w:bidi="ar"/>
              </w:rPr>
              <w:t>平均</w:t>
            </w:r>
            <w:r>
              <w:rPr>
                <w:rFonts w:ascii="Times New Roman" w:hAnsi="Times New Roman" w:eastAsia="宋体" w:cs="Times New Roman"/>
                <w:color w:val="000000"/>
                <w:kern w:val="0"/>
                <w:sz w:val="24"/>
                <w:szCs w:val="24"/>
                <w:lang w:bidi="ar"/>
              </w:rPr>
              <w:t>浓度</w:t>
            </w:r>
            <w:r>
              <w:rPr>
                <w:rFonts w:hint="eastAsia" w:ascii="Times New Roman" w:hAnsi="Times New Roman" w:eastAsia="宋体" w:cs="Times New Roman"/>
                <w:color w:val="000000"/>
                <w:kern w:val="0"/>
                <w:sz w:val="24"/>
                <w:szCs w:val="24"/>
                <w:lang w:bidi="ar"/>
              </w:rPr>
              <w:t>为0.18</w:t>
            </w:r>
            <w:r>
              <w:rPr>
                <w:rFonts w:ascii="Times New Roman" w:hAnsi="Times New Roman" w:eastAsia="宋体" w:cs="Times New Roman"/>
                <w:color w:val="000000"/>
                <w:kern w:val="0"/>
                <w:sz w:val="24"/>
                <w:szCs w:val="24"/>
                <w:lang w:bidi="ar"/>
              </w:rPr>
              <w:t>ng TEQ/m</w:t>
            </w:r>
            <w:r>
              <w:rPr>
                <w:rFonts w:ascii="Times New Roman" w:hAnsi="Times New Roman" w:eastAsia="宋体" w:cs="Times New Roman"/>
                <w:color w:val="000000"/>
                <w:kern w:val="0"/>
                <w:sz w:val="24"/>
                <w:szCs w:val="24"/>
                <w:vertAlign w:val="superscript"/>
                <w:lang w:bidi="ar"/>
              </w:rPr>
              <w:t>3</w:t>
            </w:r>
            <w:r>
              <w:rPr>
                <w:rFonts w:hint="eastAsia" w:ascii="Times New Roman" w:hAnsi="Times New Roman" w:eastAsia="宋体" w:cs="Times New Roman"/>
                <w:color w:val="000000"/>
                <w:kern w:val="0"/>
                <w:sz w:val="24"/>
                <w:szCs w:val="24"/>
                <w:lang w:bidi="ar"/>
              </w:rPr>
              <w:t>，</w:t>
            </w:r>
            <w:r>
              <w:rPr>
                <w:rFonts w:ascii="Times New Roman" w:hAnsi="Times New Roman" w:eastAsia="宋体" w:cs="Times New Roman"/>
                <w:color w:val="000000"/>
                <w:kern w:val="0"/>
                <w:sz w:val="24"/>
                <w:szCs w:val="24"/>
                <w:lang w:bidi="ar"/>
              </w:rPr>
              <w:t>满足《生活垃圾焚烧污染控制标准》中二噁英的排放标准（1.0ngTEQ/m</w:t>
            </w:r>
            <w:r>
              <w:rPr>
                <w:rFonts w:ascii="Times New Roman" w:hAnsi="Times New Roman" w:eastAsia="宋体" w:cs="Times New Roman"/>
                <w:color w:val="000000"/>
                <w:kern w:val="0"/>
                <w:sz w:val="24"/>
                <w:szCs w:val="24"/>
                <w:vertAlign w:val="superscript"/>
                <w:lang w:bidi="ar"/>
              </w:rPr>
              <w:t>3</w:t>
            </w:r>
            <w:r>
              <w:rPr>
                <w:rFonts w:ascii="Times New Roman" w:hAnsi="Times New Roman" w:eastAsia="宋体" w:cs="Times New Roman"/>
                <w:color w:val="000000"/>
                <w:kern w:val="0"/>
                <w:sz w:val="24"/>
                <w:szCs w:val="24"/>
                <w:lang w:bidi="ar"/>
              </w:rPr>
              <w:t>）</w:t>
            </w:r>
            <w:r>
              <w:rPr>
                <w:rFonts w:hint="eastAsia" w:ascii="Times New Roman" w:hAnsi="Times New Roman" w:eastAsia="宋体" w:cs="Times New Roman"/>
                <w:color w:val="000000"/>
                <w:kern w:val="0"/>
                <w:sz w:val="24"/>
                <w:szCs w:val="24"/>
                <w:lang w:bidi="ar"/>
              </w:rPr>
              <w:t>。根据</w:t>
            </w:r>
            <w:r>
              <w:rPr>
                <w:rFonts w:ascii="Times New Roman" w:hAnsi="Times New Roman" w:eastAsia="宋体" w:cs="Times New Roman"/>
                <w:color w:val="000000"/>
                <w:kern w:val="0"/>
                <w:sz w:val="24"/>
                <w:szCs w:val="24"/>
                <w:lang w:bidi="ar"/>
              </w:rPr>
              <w:t>前文分析，</w:t>
            </w:r>
            <w:r>
              <w:rPr>
                <w:rFonts w:hint="eastAsia" w:ascii="Times New Roman" w:hAnsi="Times New Roman" w:eastAsia="宋体" w:cs="Times New Roman"/>
                <w:color w:val="000000"/>
                <w:kern w:val="0"/>
                <w:sz w:val="24"/>
                <w:szCs w:val="24"/>
                <w:lang w:bidi="ar"/>
              </w:rPr>
              <w:t>掺烧污泥砖厂</w:t>
            </w:r>
            <w:r>
              <w:rPr>
                <w:rFonts w:ascii="Times New Roman" w:hAnsi="Times New Roman" w:eastAsia="宋体" w:cs="Times New Roman"/>
                <w:color w:val="000000"/>
                <w:kern w:val="0"/>
                <w:sz w:val="24"/>
                <w:szCs w:val="24"/>
                <w:lang w:bidi="ar"/>
              </w:rPr>
              <w:t>二噁英排放浓度</w:t>
            </w:r>
            <w:r>
              <w:rPr>
                <w:rFonts w:hint="eastAsia" w:ascii="Times New Roman" w:hAnsi="Times New Roman" w:eastAsia="宋体" w:cs="Times New Roman"/>
                <w:color w:val="000000"/>
                <w:kern w:val="0"/>
                <w:sz w:val="24"/>
                <w:szCs w:val="24"/>
                <w:lang w:bidi="ar"/>
              </w:rPr>
              <w:t>在0.0</w:t>
            </w:r>
            <w:r>
              <w:rPr>
                <w:rFonts w:ascii="Times New Roman" w:hAnsi="Times New Roman" w:eastAsia="宋体" w:cs="Times New Roman"/>
                <w:color w:val="000000"/>
                <w:kern w:val="0"/>
                <w:sz w:val="24"/>
                <w:szCs w:val="24"/>
                <w:lang w:bidi="ar"/>
              </w:rPr>
              <w:t>78-0.1 ngTEQ/m</w:t>
            </w:r>
            <w:r>
              <w:rPr>
                <w:rFonts w:ascii="Times New Roman" w:hAnsi="Times New Roman" w:eastAsia="宋体" w:cs="Times New Roman"/>
                <w:color w:val="000000"/>
                <w:kern w:val="0"/>
                <w:sz w:val="24"/>
                <w:szCs w:val="24"/>
                <w:vertAlign w:val="superscript"/>
                <w:lang w:bidi="ar"/>
              </w:rPr>
              <w:t>3</w:t>
            </w:r>
            <w:r>
              <w:rPr>
                <w:rFonts w:hint="eastAsia" w:ascii="Times New Roman" w:hAnsi="Times New Roman" w:eastAsia="宋体" w:cs="Times New Roman"/>
                <w:color w:val="000000"/>
                <w:kern w:val="0"/>
                <w:sz w:val="24"/>
                <w:szCs w:val="24"/>
                <w:lang w:bidi="ar"/>
              </w:rPr>
              <w:t>，</w:t>
            </w:r>
            <w:r>
              <w:rPr>
                <w:rFonts w:ascii="Times New Roman" w:hAnsi="Times New Roman" w:eastAsia="宋体" w:cs="Times New Roman"/>
                <w:color w:val="000000"/>
                <w:kern w:val="0"/>
                <w:sz w:val="24"/>
                <w:szCs w:val="24"/>
                <w:lang w:bidi="ar"/>
              </w:rPr>
              <w:t>浓度低于项目现状排放浓度。因此</w:t>
            </w:r>
            <w:r>
              <w:rPr>
                <w:rFonts w:hint="eastAsia" w:ascii="Times New Roman" w:hAnsi="Times New Roman" w:eastAsia="宋体" w:cs="Times New Roman"/>
                <w:color w:val="000000"/>
                <w:kern w:val="0"/>
                <w:sz w:val="24"/>
                <w:szCs w:val="24"/>
                <w:lang w:bidi="ar"/>
              </w:rPr>
              <w:t>，</w:t>
            </w:r>
            <w:r>
              <w:rPr>
                <w:rFonts w:ascii="Times New Roman" w:hAnsi="Times New Roman" w:eastAsia="宋体" w:cs="Times New Roman"/>
                <w:color w:val="000000"/>
                <w:kern w:val="0"/>
                <w:sz w:val="24"/>
                <w:szCs w:val="24"/>
                <w:lang w:bidi="ar"/>
              </w:rPr>
              <w:t>本项目</w:t>
            </w:r>
            <w:r>
              <w:rPr>
                <w:rFonts w:hint="eastAsia" w:ascii="Segoe UI Symbol" w:hAnsi="Segoe UI Symbol" w:eastAsia="宋体" w:cs="Times New Roman"/>
                <w:color w:val="000000"/>
                <w:kern w:val="0"/>
                <w:sz w:val="24"/>
                <w:szCs w:val="24"/>
                <w:lang w:bidi="ar"/>
              </w:rPr>
              <w:t>掺烧</w:t>
            </w:r>
            <w:r>
              <w:rPr>
                <w:rFonts w:ascii="Times New Roman" w:hAnsi="Times New Roman" w:eastAsia="宋体" w:cs="Times New Roman"/>
                <w:color w:val="000000"/>
                <w:sz w:val="24"/>
                <w:szCs w:val="20"/>
              </w:rPr>
              <w:t>水基钻井废弃物</w:t>
            </w:r>
            <w:r>
              <w:rPr>
                <w:rFonts w:hint="eastAsia" w:ascii="Times New Roman" w:hAnsi="Times New Roman" w:eastAsia="宋体" w:cs="Times New Roman"/>
                <w:color w:val="000000"/>
                <w:sz w:val="24"/>
                <w:szCs w:val="20"/>
              </w:rPr>
              <w:t>、无机工业污泥后</w:t>
            </w:r>
            <w:r>
              <w:rPr>
                <w:rFonts w:ascii="Times New Roman" w:hAnsi="Times New Roman" w:eastAsia="宋体" w:cs="Times New Roman"/>
                <w:color w:val="000000"/>
                <w:sz w:val="24"/>
                <w:szCs w:val="20"/>
              </w:rPr>
              <w:t>二噁英排放浓度不会增加。</w:t>
            </w:r>
          </w:p>
          <w:p w14:paraId="0B81133F">
            <w:pPr>
              <w:widowControl/>
              <w:spacing w:line="360" w:lineRule="auto"/>
              <w:ind w:firstLine="480" w:firstLineChars="200"/>
              <w:jc w:val="left"/>
              <w:rPr>
                <w:rFonts w:ascii="Times New Roman" w:hAnsi="Times New Roman" w:cs="Times New Roman"/>
                <w:color w:val="000000" w:themeColor="text1"/>
                <w:sz w:val="18"/>
                <w:szCs w:val="18"/>
                <w14:textFill>
                  <w14:solidFill>
                    <w14:schemeClr w14:val="tx1"/>
                  </w14:solidFill>
                </w14:textFill>
              </w:rPr>
            </w:pPr>
            <w:r>
              <w:rPr>
                <w:rFonts w:ascii="Times New Roman" w:hAnsi="Times New Roman" w:eastAsia="宋体" w:cs="Times New Roman"/>
                <w:color w:val="000000"/>
                <w:kern w:val="0"/>
                <w:sz w:val="24"/>
                <w:szCs w:val="24"/>
                <w:lang w:bidi="ar"/>
              </w:rPr>
              <w:t>本次评价</w:t>
            </w:r>
            <w:r>
              <w:rPr>
                <w:rFonts w:hint="eastAsia" w:ascii="Times New Roman" w:hAnsi="Times New Roman" w:eastAsia="宋体" w:cs="Times New Roman"/>
                <w:color w:val="000000"/>
                <w:kern w:val="0"/>
                <w:sz w:val="24"/>
                <w:szCs w:val="24"/>
                <w:lang w:bidi="ar"/>
              </w:rPr>
              <w:t>，</w:t>
            </w:r>
            <w:r>
              <w:rPr>
                <w:rFonts w:ascii="Times New Roman" w:hAnsi="Times New Roman" w:eastAsia="宋体" w:cs="Times New Roman"/>
                <w:color w:val="000000"/>
                <w:kern w:val="0"/>
                <w:sz w:val="24"/>
                <w:szCs w:val="24"/>
                <w:lang w:bidi="ar"/>
              </w:rPr>
              <w:t>项目建成后二噁英排放浓度按现状检测结果计，则本项目</w:t>
            </w:r>
            <w:r>
              <w:rPr>
                <w:rFonts w:hint="eastAsia" w:ascii="Times New Roman" w:hAnsi="Times New Roman" w:eastAsia="宋体" w:cs="Times New Roman"/>
                <w:color w:val="000000"/>
                <w:kern w:val="0"/>
                <w:sz w:val="24"/>
                <w:szCs w:val="24"/>
                <w:lang w:bidi="ar"/>
              </w:rPr>
              <w:t>建成后二噁英</w:t>
            </w:r>
            <w:r>
              <w:rPr>
                <w:rFonts w:ascii="Times New Roman" w:hAnsi="Times New Roman" w:eastAsia="宋体" w:cs="Times New Roman"/>
                <w:color w:val="000000"/>
                <w:kern w:val="0"/>
                <w:sz w:val="24"/>
                <w:szCs w:val="24"/>
                <w:lang w:bidi="ar"/>
              </w:rPr>
              <w:t>产生及排放情况如下表</w:t>
            </w:r>
            <w:r>
              <w:rPr>
                <w:rFonts w:hint="eastAsia" w:ascii="Times New Roman" w:hAnsi="Times New Roman" w:eastAsia="宋体" w:cs="Times New Roman"/>
                <w:color w:val="000000"/>
                <w:kern w:val="0"/>
                <w:sz w:val="24"/>
                <w:szCs w:val="24"/>
                <w:lang w:bidi="ar"/>
              </w:rPr>
              <w:t>。</w:t>
            </w:r>
          </w:p>
          <w:p w14:paraId="0855816B">
            <w:pPr>
              <w:pStyle w:val="2"/>
              <w:ind w:firstLine="494"/>
              <w:jc w:val="center"/>
            </w:pPr>
            <w:r>
              <w:rPr>
                <w:rFonts w:ascii="Times New Roman" w:eastAsia="宋体" w:cs="Times New Roman"/>
                <w:b/>
                <w:bCs/>
                <w:color w:val="000000" w:themeColor="text1"/>
                <w:szCs w:val="21"/>
                <w14:textFill>
                  <w14:solidFill>
                    <w14:schemeClr w14:val="tx1"/>
                  </w14:solidFill>
                </w14:textFill>
              </w:rPr>
              <w:t xml:space="preserve">表4- </w:t>
            </w:r>
            <w:r>
              <w:rPr>
                <w:rFonts w:ascii="Times New Roman" w:eastAsia="宋体" w:cs="Times New Roman"/>
                <w:b/>
                <w:bCs/>
                <w:color w:val="000000" w:themeColor="text1"/>
                <w:szCs w:val="21"/>
                <w14:textFill>
                  <w14:solidFill>
                    <w14:schemeClr w14:val="tx1"/>
                  </w14:solidFill>
                </w14:textFill>
              </w:rPr>
              <w:fldChar w:fldCharType="begin"/>
            </w:r>
            <w:r>
              <w:rPr>
                <w:rFonts w:ascii="Times New Roman" w:eastAsia="宋体" w:cs="Times New Roman"/>
                <w:b/>
                <w:bCs/>
                <w:color w:val="000000" w:themeColor="text1"/>
                <w:szCs w:val="21"/>
                <w14:textFill>
                  <w14:solidFill>
                    <w14:schemeClr w14:val="tx1"/>
                  </w14:solidFill>
                </w14:textFill>
              </w:rPr>
              <w:instrText xml:space="preserve"> SEQ 表4- \* ARABIC </w:instrText>
            </w:r>
            <w:r>
              <w:rPr>
                <w:rFonts w:ascii="Times New Roman" w:eastAsia="宋体" w:cs="Times New Roman"/>
                <w:b/>
                <w:bCs/>
                <w:color w:val="000000" w:themeColor="text1"/>
                <w:szCs w:val="21"/>
                <w14:textFill>
                  <w14:solidFill>
                    <w14:schemeClr w14:val="tx1"/>
                  </w14:solidFill>
                </w14:textFill>
              </w:rPr>
              <w:fldChar w:fldCharType="separate"/>
            </w:r>
            <w:r>
              <w:rPr>
                <w:rFonts w:ascii="Times New Roman" w:eastAsia="宋体" w:cs="Times New Roman"/>
                <w:b/>
                <w:bCs/>
                <w:color w:val="000000" w:themeColor="text1"/>
                <w:szCs w:val="21"/>
                <w14:textFill>
                  <w14:solidFill>
                    <w14:schemeClr w14:val="tx1"/>
                  </w14:solidFill>
                </w14:textFill>
              </w:rPr>
              <w:t>6</w:t>
            </w:r>
            <w:r>
              <w:rPr>
                <w:rFonts w:ascii="Times New Roman" w:eastAsia="宋体" w:cs="Times New Roman"/>
                <w:b/>
                <w:bCs/>
                <w:color w:val="000000" w:themeColor="text1"/>
                <w:szCs w:val="21"/>
                <w14:textFill>
                  <w14:solidFill>
                    <w14:schemeClr w14:val="tx1"/>
                  </w14:solidFill>
                </w14:textFill>
              </w:rPr>
              <w:fldChar w:fldCharType="end"/>
            </w:r>
            <w:r>
              <w:rPr>
                <w:rFonts w:ascii="Times New Roman" w:eastAsia="宋体" w:cs="Times New Roman"/>
                <w:b/>
                <w:bCs/>
                <w:color w:val="000000" w:themeColor="text1"/>
                <w:szCs w:val="21"/>
                <w14:textFill>
                  <w14:solidFill>
                    <w14:schemeClr w14:val="tx1"/>
                  </w14:solidFill>
                </w14:textFill>
              </w:rPr>
              <w:t xml:space="preserve">   炉窑</w:t>
            </w:r>
            <w:r>
              <w:rPr>
                <w:rFonts w:hint="eastAsia" w:ascii="Times New Roman" w:eastAsia="宋体" w:cs="Times New Roman"/>
                <w:b/>
                <w:bCs/>
                <w:color w:val="000000" w:themeColor="text1"/>
                <w:szCs w:val="21"/>
                <w14:textFill>
                  <w14:solidFill>
                    <w14:schemeClr w14:val="tx1"/>
                  </w14:solidFill>
                </w14:textFill>
              </w:rPr>
              <w:t>二噁英</w:t>
            </w:r>
            <w:r>
              <w:rPr>
                <w:rFonts w:ascii="Times New Roman" w:eastAsia="宋体" w:cs="Times New Roman"/>
                <w:b/>
                <w:bCs/>
                <w:color w:val="000000" w:themeColor="text1"/>
                <w:szCs w:val="21"/>
                <w14:textFill>
                  <w14:solidFill>
                    <w14:schemeClr w14:val="tx1"/>
                  </w14:solidFill>
                </w14:textFill>
              </w:rPr>
              <w:t>产生排放情况汇总一览表</w:t>
            </w:r>
          </w:p>
          <w:tbl>
            <w:tblPr>
              <w:tblStyle w:val="2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6"/>
              <w:gridCol w:w="846"/>
              <w:gridCol w:w="636"/>
              <w:gridCol w:w="846"/>
              <w:gridCol w:w="926"/>
              <w:gridCol w:w="846"/>
              <w:gridCol w:w="549"/>
              <w:gridCol w:w="846"/>
              <w:gridCol w:w="926"/>
              <w:gridCol w:w="846"/>
            </w:tblGrid>
            <w:tr w14:paraId="55197F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restart"/>
                  <w:vAlign w:val="center"/>
                </w:tcPr>
                <w:p w14:paraId="422CCBC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污染源</w:t>
                  </w:r>
                </w:p>
              </w:tc>
              <w:tc>
                <w:tcPr>
                  <w:tcW w:w="0" w:type="auto"/>
                  <w:vMerge w:val="restart"/>
                  <w:vAlign w:val="center"/>
                </w:tcPr>
                <w:p w14:paraId="1F7A861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污染因子</w:t>
                  </w:r>
                </w:p>
              </w:tc>
              <w:tc>
                <w:tcPr>
                  <w:tcW w:w="0" w:type="auto"/>
                  <w:vMerge w:val="restart"/>
                </w:tcPr>
                <w:p w14:paraId="23790BE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14:textFill>
                        <w14:solidFill>
                          <w14:schemeClr w14:val="tx1"/>
                        </w14:solidFill>
                      </w14:textFill>
                    </w:rPr>
                    <w:t>风量</w:t>
                  </w:r>
                </w:p>
                <w:p w14:paraId="5DEA96CB">
                  <w:pPr>
                    <w:pStyle w:val="2"/>
                    <w:ind w:firstLine="0" w:firstLineChars="0"/>
                    <w:rPr>
                      <w:rFonts w:ascii="Times New Roman" w:eastAsia="宋体" w:cs="Times New Roman"/>
                      <w:color w:val="000000" w:themeColor="text1"/>
                      <w:kern w:val="2"/>
                      <w:sz w:val="21"/>
                      <w:szCs w:val="21"/>
                      <w14:textFill>
                        <w14:solidFill>
                          <w14:schemeClr w14:val="tx1"/>
                        </w14:solidFill>
                      </w14:textFill>
                    </w:rPr>
                  </w:pPr>
                  <w:r>
                    <w:rPr>
                      <w:rFonts w:ascii="Times New Roman" w:eastAsia="宋体" w:cs="Times New Roman"/>
                      <w:color w:val="000000" w:themeColor="text1"/>
                      <w:kern w:val="2"/>
                      <w:sz w:val="21"/>
                      <w:szCs w:val="21"/>
                      <w14:textFill>
                        <w14:solidFill>
                          <w14:schemeClr w14:val="tx1"/>
                        </w14:solidFill>
                      </w14:textFill>
                    </w:rPr>
                    <w:t>m</w:t>
                  </w:r>
                  <w:r>
                    <w:rPr>
                      <w:rFonts w:hint="eastAsia" w:ascii="Times New Roman" w:eastAsia="宋体" w:cs="Times New Roman"/>
                      <w:color w:val="000000" w:themeColor="text1"/>
                      <w:kern w:val="2"/>
                      <w:sz w:val="21"/>
                      <w:szCs w:val="21"/>
                      <w:vertAlign w:val="superscript"/>
                      <w14:textFill>
                        <w14:solidFill>
                          <w14:schemeClr w14:val="tx1"/>
                        </w14:solidFill>
                      </w14:textFill>
                    </w:rPr>
                    <w:t>3</w:t>
                  </w:r>
                  <w:r>
                    <w:rPr>
                      <w:rFonts w:hint="eastAsia" w:ascii="Times New Roman" w:eastAsia="宋体" w:cs="Times New Roman"/>
                      <w:color w:val="000000" w:themeColor="text1"/>
                      <w:kern w:val="2"/>
                      <w:sz w:val="21"/>
                      <w:szCs w:val="21"/>
                      <w14:textFill>
                        <w14:solidFill>
                          <w14:schemeClr w14:val="tx1"/>
                        </w14:solidFill>
                      </w14:textFill>
                    </w:rPr>
                    <w:t>/h</w:t>
                  </w:r>
                </w:p>
              </w:tc>
              <w:tc>
                <w:tcPr>
                  <w:tcW w:w="0" w:type="auto"/>
                  <w:gridSpan w:val="3"/>
                  <w:vAlign w:val="center"/>
                </w:tcPr>
                <w:p w14:paraId="39281E5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产生情况</w:t>
                  </w:r>
                </w:p>
              </w:tc>
              <w:tc>
                <w:tcPr>
                  <w:tcW w:w="0" w:type="auto"/>
                  <w:vMerge w:val="restart"/>
                  <w:vAlign w:val="center"/>
                </w:tcPr>
                <w:p w14:paraId="61511F3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w:t>
                  </w:r>
                </w:p>
                <w:p w14:paraId="20DA11F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治理</w:t>
                  </w:r>
                </w:p>
                <w:p w14:paraId="275FBAC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措施</w:t>
                  </w:r>
                </w:p>
              </w:tc>
              <w:tc>
                <w:tcPr>
                  <w:tcW w:w="0" w:type="auto"/>
                  <w:gridSpan w:val="3"/>
                  <w:vAlign w:val="center"/>
                </w:tcPr>
                <w:p w14:paraId="2596985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有组织排放情况</w:t>
                  </w:r>
                </w:p>
              </w:tc>
            </w:tr>
            <w:tr w14:paraId="0810B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Merge w:val="continue"/>
                  <w:vAlign w:val="center"/>
                </w:tcPr>
                <w:p w14:paraId="1F3F7CF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0" w:type="auto"/>
                  <w:vMerge w:val="continue"/>
                  <w:vAlign w:val="center"/>
                </w:tcPr>
                <w:p w14:paraId="25783C1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0" w:type="auto"/>
                  <w:vMerge w:val="continue"/>
                </w:tcPr>
                <w:p w14:paraId="21D6992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0" w:type="auto"/>
                  <w:vAlign w:val="center"/>
                </w:tcPr>
                <w:p w14:paraId="6A514D4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产生速率</w:t>
                  </w:r>
                </w:p>
                <w:p w14:paraId="7820596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（ug/h）</w:t>
                  </w:r>
                </w:p>
              </w:tc>
              <w:tc>
                <w:tcPr>
                  <w:tcW w:w="0" w:type="auto"/>
                  <w:vAlign w:val="center"/>
                </w:tcPr>
                <w:p w14:paraId="18560A9C">
                  <w:pPr>
                    <w:ind w:left="-105" w:leftChars="-50" w:right="-105" w:rightChars="-50"/>
                    <w:jc w:val="center"/>
                    <w:rPr>
                      <w:rFonts w:ascii="Times New Roman" w:hAnsi="Times New Roman" w:eastAsia="宋体" w:cs="Times New Roman"/>
                      <w:szCs w:val="21"/>
                    </w:rPr>
                  </w:pPr>
                  <w:r>
                    <w:rPr>
                      <w:rFonts w:hint="eastAsia" w:ascii="Times New Roman" w:hAnsi="Times New Roman" w:eastAsia="宋体" w:cs="Times New Roman"/>
                      <w:szCs w:val="21"/>
                    </w:rPr>
                    <w:t>产生</w:t>
                  </w:r>
                  <w:r>
                    <w:rPr>
                      <w:rFonts w:ascii="Times New Roman" w:hAnsi="Times New Roman" w:eastAsia="宋体" w:cs="Times New Roman"/>
                      <w:szCs w:val="21"/>
                    </w:rPr>
                    <w:t>浓度</w:t>
                  </w:r>
                </w:p>
                <w:p w14:paraId="52348DEC">
                  <w:pPr>
                    <w:ind w:left="-105" w:leftChars="-50" w:right="-105" w:rightChars="-50"/>
                    <w:jc w:val="center"/>
                    <w:rPr>
                      <w:rFonts w:ascii="Times New Roman" w:hAnsi="Times New Roman" w:eastAsia="宋体" w:cs="Times New Roman"/>
                      <w:szCs w:val="21"/>
                    </w:rPr>
                  </w:pPr>
                  <w:r>
                    <w:rPr>
                      <w:rFonts w:ascii="Times New Roman" w:hAnsi="Times New Roman" w:eastAsia="宋体" w:cs="Times New Roman"/>
                      <w:szCs w:val="21"/>
                    </w:rPr>
                    <w:t>（ng/m</w:t>
                  </w:r>
                  <w:r>
                    <w:rPr>
                      <w:rFonts w:ascii="Times New Roman" w:hAnsi="Times New Roman" w:eastAsia="宋体" w:cs="Times New Roman"/>
                      <w:szCs w:val="21"/>
                      <w:vertAlign w:val="superscript"/>
                    </w:rPr>
                    <w:t>3</w:t>
                  </w:r>
                  <w:r>
                    <w:rPr>
                      <w:rFonts w:ascii="Times New Roman" w:hAnsi="Times New Roman" w:eastAsia="宋体" w:cs="Times New Roman"/>
                      <w:szCs w:val="21"/>
                    </w:rPr>
                    <w:t>）</w:t>
                  </w:r>
                </w:p>
              </w:tc>
              <w:tc>
                <w:tcPr>
                  <w:tcW w:w="0" w:type="auto"/>
                  <w:vAlign w:val="center"/>
                </w:tcPr>
                <w:p w14:paraId="2E234C31">
                  <w:pPr>
                    <w:ind w:left="-105" w:leftChars="-50" w:right="-105" w:rightChars="-50"/>
                    <w:jc w:val="center"/>
                    <w:rPr>
                      <w:rFonts w:ascii="Times New Roman" w:hAnsi="Times New Roman" w:eastAsia="宋体" w:cs="Times New Roman"/>
                      <w:szCs w:val="21"/>
                    </w:rPr>
                  </w:pPr>
                  <w:r>
                    <w:rPr>
                      <w:rFonts w:ascii="Times New Roman" w:hAnsi="Times New Roman" w:eastAsia="宋体" w:cs="Times New Roman"/>
                      <w:szCs w:val="21"/>
                    </w:rPr>
                    <w:t>产生量</w:t>
                  </w:r>
                </w:p>
                <w:p w14:paraId="0088023B">
                  <w:pPr>
                    <w:ind w:left="-105" w:leftChars="-50" w:right="-105" w:rightChars="-50"/>
                    <w:jc w:val="center"/>
                    <w:rPr>
                      <w:rFonts w:ascii="Times New Roman" w:hAnsi="Times New Roman" w:eastAsia="宋体" w:cs="Times New Roman"/>
                      <w:szCs w:val="21"/>
                    </w:rPr>
                  </w:pPr>
                  <w:r>
                    <w:rPr>
                      <w:rFonts w:ascii="Times New Roman" w:hAnsi="Times New Roman" w:eastAsia="宋体" w:cs="Times New Roman"/>
                      <w:szCs w:val="21"/>
                    </w:rPr>
                    <w:t>（mg/a）</w:t>
                  </w:r>
                </w:p>
              </w:tc>
              <w:tc>
                <w:tcPr>
                  <w:tcW w:w="0" w:type="auto"/>
                  <w:vMerge w:val="continue"/>
                  <w:vAlign w:val="center"/>
                </w:tcPr>
                <w:p w14:paraId="6A75D497">
                  <w:pPr>
                    <w:ind w:left="-105" w:leftChars="-50" w:right="-105" w:rightChars="-50"/>
                    <w:jc w:val="center"/>
                    <w:rPr>
                      <w:rFonts w:ascii="Times New Roman" w:hAnsi="Times New Roman" w:eastAsia="宋体" w:cs="Times New Roman"/>
                      <w:szCs w:val="21"/>
                    </w:rPr>
                  </w:pPr>
                </w:p>
              </w:tc>
              <w:tc>
                <w:tcPr>
                  <w:tcW w:w="0" w:type="auto"/>
                  <w:vAlign w:val="center"/>
                </w:tcPr>
                <w:p w14:paraId="000BEDD4">
                  <w:pPr>
                    <w:ind w:left="-105" w:leftChars="-50" w:right="-105" w:rightChars="-50"/>
                    <w:jc w:val="center"/>
                    <w:rPr>
                      <w:rFonts w:ascii="Times New Roman" w:hAnsi="Times New Roman" w:eastAsia="宋体" w:cs="Times New Roman"/>
                      <w:szCs w:val="21"/>
                    </w:rPr>
                  </w:pPr>
                  <w:r>
                    <w:rPr>
                      <w:rFonts w:ascii="Times New Roman" w:hAnsi="Times New Roman" w:eastAsia="宋体" w:cs="Times New Roman"/>
                      <w:szCs w:val="21"/>
                    </w:rPr>
                    <w:t>排放速率</w:t>
                  </w:r>
                </w:p>
                <w:p w14:paraId="75DE383C">
                  <w:pPr>
                    <w:ind w:left="-105" w:leftChars="-50" w:right="-105" w:rightChars="-50"/>
                    <w:jc w:val="center"/>
                    <w:rPr>
                      <w:rFonts w:ascii="Times New Roman" w:hAnsi="Times New Roman" w:eastAsia="宋体" w:cs="Times New Roman"/>
                      <w:szCs w:val="21"/>
                    </w:rPr>
                  </w:pPr>
                  <w:r>
                    <w:rPr>
                      <w:rFonts w:ascii="Times New Roman" w:hAnsi="Times New Roman" w:eastAsia="宋体" w:cs="Times New Roman"/>
                      <w:szCs w:val="21"/>
                    </w:rPr>
                    <w:t>（ug/h）</w:t>
                  </w:r>
                </w:p>
              </w:tc>
              <w:tc>
                <w:tcPr>
                  <w:tcW w:w="0" w:type="auto"/>
                  <w:vAlign w:val="center"/>
                </w:tcPr>
                <w:p w14:paraId="19F47C07">
                  <w:pPr>
                    <w:ind w:left="-105" w:leftChars="-50" w:right="-105" w:rightChars="-50"/>
                    <w:jc w:val="center"/>
                    <w:rPr>
                      <w:rFonts w:ascii="Times New Roman" w:hAnsi="Times New Roman" w:eastAsia="宋体" w:cs="Times New Roman"/>
                      <w:szCs w:val="21"/>
                    </w:rPr>
                  </w:pPr>
                  <w:r>
                    <w:rPr>
                      <w:rFonts w:ascii="Times New Roman" w:hAnsi="Times New Roman" w:eastAsia="宋体" w:cs="Times New Roman"/>
                      <w:szCs w:val="21"/>
                    </w:rPr>
                    <w:t>排放浓度</w:t>
                  </w:r>
                </w:p>
                <w:p w14:paraId="73CC22B5">
                  <w:pPr>
                    <w:ind w:left="-105" w:leftChars="-50" w:right="-105" w:rightChars="-50"/>
                    <w:jc w:val="center"/>
                    <w:rPr>
                      <w:rFonts w:ascii="Times New Roman" w:hAnsi="Times New Roman" w:eastAsia="宋体" w:cs="Times New Roman"/>
                      <w:szCs w:val="21"/>
                    </w:rPr>
                  </w:pPr>
                  <w:r>
                    <w:rPr>
                      <w:rFonts w:ascii="Times New Roman" w:hAnsi="Times New Roman" w:eastAsia="宋体" w:cs="Times New Roman"/>
                      <w:szCs w:val="21"/>
                    </w:rPr>
                    <w:t>（ng/m</w:t>
                  </w:r>
                  <w:r>
                    <w:rPr>
                      <w:rFonts w:ascii="Times New Roman" w:hAnsi="Times New Roman" w:eastAsia="宋体" w:cs="Times New Roman"/>
                      <w:szCs w:val="21"/>
                      <w:vertAlign w:val="superscript"/>
                    </w:rPr>
                    <w:t>3</w:t>
                  </w:r>
                  <w:r>
                    <w:rPr>
                      <w:rFonts w:ascii="Times New Roman" w:hAnsi="Times New Roman" w:eastAsia="宋体" w:cs="Times New Roman"/>
                      <w:szCs w:val="21"/>
                    </w:rPr>
                    <w:t>）</w:t>
                  </w:r>
                </w:p>
              </w:tc>
              <w:tc>
                <w:tcPr>
                  <w:tcW w:w="0" w:type="auto"/>
                  <w:vAlign w:val="center"/>
                </w:tcPr>
                <w:p w14:paraId="44D1C282">
                  <w:pPr>
                    <w:ind w:left="-105" w:leftChars="-50" w:right="-105" w:rightChars="-50"/>
                    <w:jc w:val="center"/>
                    <w:rPr>
                      <w:rFonts w:ascii="Times New Roman" w:hAnsi="Times New Roman" w:eastAsia="宋体" w:cs="Times New Roman"/>
                      <w:szCs w:val="21"/>
                    </w:rPr>
                  </w:pPr>
                  <w:r>
                    <w:rPr>
                      <w:rFonts w:ascii="Times New Roman" w:hAnsi="Times New Roman" w:eastAsia="宋体" w:cs="Times New Roman"/>
                      <w:szCs w:val="21"/>
                    </w:rPr>
                    <w:t>排放量</w:t>
                  </w:r>
                </w:p>
                <w:p w14:paraId="62A19AD0">
                  <w:pPr>
                    <w:ind w:left="-105" w:leftChars="-50" w:right="-105" w:rightChars="-50"/>
                    <w:jc w:val="center"/>
                    <w:rPr>
                      <w:rFonts w:ascii="Times New Roman" w:hAnsi="Times New Roman" w:eastAsia="宋体" w:cs="Times New Roman"/>
                      <w:szCs w:val="21"/>
                    </w:rPr>
                  </w:pPr>
                  <w:r>
                    <w:rPr>
                      <w:rFonts w:ascii="Times New Roman" w:hAnsi="Times New Roman" w:eastAsia="宋体" w:cs="Times New Roman"/>
                      <w:szCs w:val="21"/>
                    </w:rPr>
                    <w:t>（mg/a）</w:t>
                  </w:r>
                </w:p>
              </w:tc>
            </w:tr>
            <w:tr w14:paraId="5102EA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2C643A6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隧道窑</w:t>
                  </w:r>
                </w:p>
              </w:tc>
              <w:tc>
                <w:tcPr>
                  <w:tcW w:w="0" w:type="auto"/>
                  <w:vMerge w:val="restart"/>
                  <w:vAlign w:val="center"/>
                </w:tcPr>
                <w:p w14:paraId="4C3DD5D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14:textFill>
                        <w14:solidFill>
                          <w14:schemeClr w14:val="tx1"/>
                        </w14:solidFill>
                      </w14:textFill>
                    </w:rPr>
                    <w:t>二噁英</w:t>
                  </w:r>
                </w:p>
              </w:tc>
              <w:tc>
                <w:tcPr>
                  <w:tcW w:w="0" w:type="auto"/>
                  <w:vAlign w:val="center"/>
                </w:tcPr>
                <w:p w14:paraId="033CEC2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14:textFill>
                        <w14:solidFill>
                          <w14:schemeClr w14:val="tx1"/>
                        </w14:solidFill>
                      </w14:textFill>
                    </w:rPr>
                    <w:t>54000</w:t>
                  </w:r>
                </w:p>
              </w:tc>
              <w:tc>
                <w:tcPr>
                  <w:tcW w:w="0" w:type="auto"/>
                  <w:vAlign w:val="center"/>
                </w:tcPr>
                <w:p w14:paraId="657B5CA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szCs w:val="21"/>
                    </w:rPr>
                    <w:t>9.72</w:t>
                  </w:r>
                </w:p>
              </w:tc>
              <w:tc>
                <w:tcPr>
                  <w:tcW w:w="0" w:type="auto"/>
                  <w:vAlign w:val="center"/>
                </w:tcPr>
                <w:p w14:paraId="5377754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szCs w:val="21"/>
                    </w:rPr>
                    <w:t>0.18</w:t>
                  </w:r>
                </w:p>
              </w:tc>
              <w:tc>
                <w:tcPr>
                  <w:tcW w:w="0" w:type="auto"/>
                  <w:vAlign w:val="center"/>
                </w:tcPr>
                <w:p w14:paraId="33F922B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szCs w:val="21"/>
                    </w:rPr>
                    <w:t>69.984</w:t>
                  </w:r>
                </w:p>
              </w:tc>
              <w:tc>
                <w:tcPr>
                  <w:tcW w:w="0" w:type="auto"/>
                  <w:vMerge w:val="restart"/>
                  <w:vAlign w:val="center"/>
                </w:tcPr>
                <w:p w14:paraId="07BCC24B">
                  <w:pPr>
                    <w:ind w:left="-105" w:leftChars="-50" w:right="-105" w:rightChars="-50"/>
                    <w:jc w:val="center"/>
                    <w:rPr>
                      <w:rFonts w:ascii="Times New Roman" w:hAnsi="Times New Roman" w:eastAsia="宋体" w:cs="Times New Roman"/>
                      <w:snapToGrid w:val="0"/>
                      <w:color w:val="000000" w:themeColor="text1"/>
                      <w:kern w:val="0"/>
                      <w:szCs w:val="21"/>
                      <w14:textFill>
                        <w14:solidFill>
                          <w14:schemeClr w14:val="tx1"/>
                        </w14:solidFill>
                      </w14:textFill>
                    </w:rPr>
                  </w:pPr>
                  <w:r>
                    <w:rPr>
                      <w:rFonts w:hint="eastAsia" w:ascii="Times New Roman" w:hAnsi="Times New Roman" w:eastAsia="宋体" w:cs="Times New Roman"/>
                      <w:snapToGrid w:val="0"/>
                      <w:color w:val="000000" w:themeColor="text1"/>
                      <w:kern w:val="0"/>
                      <w:szCs w:val="21"/>
                      <w14:textFill>
                        <w14:solidFill>
                          <w14:schemeClr w14:val="tx1"/>
                        </w14:solidFill>
                      </w14:textFill>
                    </w:rPr>
                    <w:t>二噁</w:t>
                  </w:r>
                </w:p>
                <w:p w14:paraId="3F6E02BC">
                  <w:pPr>
                    <w:ind w:left="-105" w:leftChars="-50" w:right="-105" w:rightChars="-50"/>
                    <w:jc w:val="center"/>
                    <w:rPr>
                      <w:rFonts w:ascii="Times New Roman" w:hAnsi="Times New Roman" w:eastAsia="宋体" w:cs="Times New Roman"/>
                      <w:snapToGrid w:val="0"/>
                      <w:color w:val="000000" w:themeColor="text1"/>
                      <w:kern w:val="0"/>
                      <w:szCs w:val="21"/>
                      <w14:textFill>
                        <w14:solidFill>
                          <w14:schemeClr w14:val="tx1"/>
                        </w14:solidFill>
                      </w14:textFill>
                    </w:rPr>
                  </w:pPr>
                  <w:r>
                    <w:rPr>
                      <w:rFonts w:hint="eastAsia" w:ascii="Times New Roman" w:hAnsi="Times New Roman" w:eastAsia="宋体" w:cs="Times New Roman"/>
                      <w:snapToGrid w:val="0"/>
                      <w:color w:val="000000" w:themeColor="text1"/>
                      <w:kern w:val="0"/>
                      <w:szCs w:val="21"/>
                      <w14:textFill>
                        <w14:solidFill>
                          <w14:schemeClr w14:val="tx1"/>
                        </w14:solidFill>
                      </w14:textFill>
                    </w:rPr>
                    <w:t>英治</w:t>
                  </w:r>
                </w:p>
                <w:p w14:paraId="5A62EA00">
                  <w:pPr>
                    <w:ind w:left="-105" w:leftChars="-50" w:right="-105" w:rightChars="-50"/>
                    <w:jc w:val="center"/>
                    <w:rPr>
                      <w:rFonts w:ascii="Times New Roman" w:hAnsi="Times New Roman" w:eastAsia="宋体" w:cs="Times New Roman"/>
                      <w:snapToGrid w:val="0"/>
                      <w:color w:val="000000" w:themeColor="text1"/>
                      <w:kern w:val="0"/>
                      <w:szCs w:val="21"/>
                      <w14:textFill>
                        <w14:solidFill>
                          <w14:schemeClr w14:val="tx1"/>
                        </w14:solidFill>
                      </w14:textFill>
                    </w:rPr>
                  </w:pPr>
                  <w:r>
                    <w:rPr>
                      <w:rFonts w:hint="eastAsia" w:ascii="Times New Roman" w:hAnsi="Times New Roman" w:eastAsia="宋体" w:cs="Times New Roman"/>
                      <w:snapToGrid w:val="0"/>
                      <w:color w:val="000000" w:themeColor="text1"/>
                      <w:kern w:val="0"/>
                      <w:szCs w:val="21"/>
                      <w14:textFill>
                        <w14:solidFill>
                          <w14:schemeClr w14:val="tx1"/>
                        </w14:solidFill>
                      </w14:textFill>
                    </w:rPr>
                    <w:t>理</w:t>
                  </w:r>
                  <w:r>
                    <w:rPr>
                      <w:rFonts w:ascii="Times New Roman" w:hAnsi="Times New Roman" w:eastAsia="宋体" w:cs="Times New Roman"/>
                      <w:snapToGrid w:val="0"/>
                      <w:color w:val="000000" w:themeColor="text1"/>
                      <w:kern w:val="0"/>
                      <w:szCs w:val="21"/>
                      <w14:textFill>
                        <w14:solidFill>
                          <w14:schemeClr w14:val="tx1"/>
                        </w14:solidFill>
                      </w14:textFill>
                    </w:rPr>
                    <w:t>效</w:t>
                  </w:r>
                </w:p>
                <w:p w14:paraId="40A9936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率</w:t>
                  </w:r>
                  <w:r>
                    <w:rPr>
                      <w:rFonts w:hint="eastAsia" w:ascii="Times New Roman" w:hAnsi="Times New Roman" w:eastAsia="宋体" w:cs="Times New Roman"/>
                      <w:snapToGrid w:val="0"/>
                      <w:color w:val="000000" w:themeColor="text1"/>
                      <w:kern w:val="0"/>
                      <w:szCs w:val="21"/>
                      <w14:textFill>
                        <w14:solidFill>
                          <w14:schemeClr w14:val="tx1"/>
                        </w14:solidFill>
                      </w14:textFill>
                    </w:rPr>
                    <w:t>0</w:t>
                  </w:r>
                  <w:r>
                    <w:rPr>
                      <w:rFonts w:ascii="Times New Roman" w:hAnsi="Times New Roman" w:eastAsia="宋体" w:cs="Times New Roman"/>
                      <w:snapToGrid w:val="0"/>
                      <w:color w:val="000000" w:themeColor="text1"/>
                      <w:kern w:val="0"/>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 xml:space="preserve"> </w:t>
                  </w:r>
                </w:p>
              </w:tc>
              <w:tc>
                <w:tcPr>
                  <w:tcW w:w="0" w:type="auto"/>
                  <w:vAlign w:val="center"/>
                </w:tcPr>
                <w:p w14:paraId="1152D7A3">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szCs w:val="21"/>
                    </w:rPr>
                    <w:t>9.72</w:t>
                  </w:r>
                </w:p>
              </w:tc>
              <w:tc>
                <w:tcPr>
                  <w:tcW w:w="0" w:type="auto"/>
                  <w:vAlign w:val="center"/>
                </w:tcPr>
                <w:p w14:paraId="2568567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szCs w:val="21"/>
                    </w:rPr>
                    <w:t>0.18</w:t>
                  </w:r>
                </w:p>
              </w:tc>
              <w:tc>
                <w:tcPr>
                  <w:tcW w:w="0" w:type="auto"/>
                  <w:vAlign w:val="center"/>
                </w:tcPr>
                <w:p w14:paraId="423B98A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szCs w:val="21"/>
                    </w:rPr>
                    <w:t>69.984</w:t>
                  </w:r>
                </w:p>
              </w:tc>
            </w:tr>
            <w:tr w14:paraId="4BEC9D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7A4046E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烘干窑</w:t>
                  </w:r>
                </w:p>
              </w:tc>
              <w:tc>
                <w:tcPr>
                  <w:tcW w:w="0" w:type="auto"/>
                  <w:vMerge w:val="continue"/>
                  <w:vAlign w:val="center"/>
                </w:tcPr>
                <w:p w14:paraId="2C46305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0" w:type="auto"/>
                  <w:vAlign w:val="center"/>
                </w:tcPr>
                <w:p w14:paraId="3EBA815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14:textFill>
                        <w14:solidFill>
                          <w14:schemeClr w14:val="tx1"/>
                        </w14:solidFill>
                      </w14:textFill>
                    </w:rPr>
                    <w:t>52000</w:t>
                  </w:r>
                </w:p>
              </w:tc>
              <w:tc>
                <w:tcPr>
                  <w:tcW w:w="0" w:type="auto"/>
                  <w:vAlign w:val="center"/>
                </w:tcPr>
                <w:p w14:paraId="7B702DE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szCs w:val="21"/>
                    </w:rPr>
                    <w:t>9.36</w:t>
                  </w:r>
                </w:p>
              </w:tc>
              <w:tc>
                <w:tcPr>
                  <w:tcW w:w="0" w:type="auto"/>
                  <w:vAlign w:val="center"/>
                </w:tcPr>
                <w:p w14:paraId="19F0258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szCs w:val="21"/>
                    </w:rPr>
                    <w:t>0.18</w:t>
                  </w:r>
                </w:p>
              </w:tc>
              <w:tc>
                <w:tcPr>
                  <w:tcW w:w="0" w:type="auto"/>
                  <w:vAlign w:val="center"/>
                </w:tcPr>
                <w:p w14:paraId="4E9B7E6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szCs w:val="21"/>
                    </w:rPr>
                    <w:t>67.392</w:t>
                  </w:r>
                </w:p>
              </w:tc>
              <w:tc>
                <w:tcPr>
                  <w:tcW w:w="0" w:type="auto"/>
                  <w:vMerge w:val="continue"/>
                  <w:vAlign w:val="center"/>
                </w:tcPr>
                <w:p w14:paraId="11C5428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0" w:type="auto"/>
                  <w:vAlign w:val="center"/>
                </w:tcPr>
                <w:p w14:paraId="7B1B235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szCs w:val="21"/>
                    </w:rPr>
                    <w:t>9.36</w:t>
                  </w:r>
                </w:p>
              </w:tc>
              <w:tc>
                <w:tcPr>
                  <w:tcW w:w="0" w:type="auto"/>
                  <w:vAlign w:val="center"/>
                </w:tcPr>
                <w:p w14:paraId="63C5EC8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szCs w:val="21"/>
                    </w:rPr>
                    <w:t>0.18</w:t>
                  </w:r>
                </w:p>
              </w:tc>
              <w:tc>
                <w:tcPr>
                  <w:tcW w:w="0" w:type="auto"/>
                  <w:vAlign w:val="center"/>
                </w:tcPr>
                <w:p w14:paraId="734B0DA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szCs w:val="21"/>
                    </w:rPr>
                    <w:t>67.392</w:t>
                  </w:r>
                </w:p>
              </w:tc>
            </w:tr>
            <w:tr w14:paraId="1DF1F1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6BA3A55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14:textFill>
                        <w14:solidFill>
                          <w14:schemeClr w14:val="tx1"/>
                        </w14:solidFill>
                      </w14:textFill>
                    </w:rPr>
                    <w:t>合计</w:t>
                  </w:r>
                </w:p>
              </w:tc>
              <w:tc>
                <w:tcPr>
                  <w:tcW w:w="0" w:type="auto"/>
                  <w:vAlign w:val="center"/>
                </w:tcPr>
                <w:p w14:paraId="0012328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0" w:type="auto"/>
                  <w:vAlign w:val="center"/>
                </w:tcPr>
                <w:p w14:paraId="1DA6301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fldChar w:fldCharType="begin"/>
                  </w:r>
                  <w:r>
                    <w:rPr>
                      <w:rFonts w:ascii="Times New Roman" w:hAnsi="Times New Roman" w:eastAsia="宋体" w:cs="Times New Roman"/>
                      <w:color w:val="000000" w:themeColor="text1"/>
                      <w:szCs w:val="21"/>
                      <w14:textFill>
                        <w14:solidFill>
                          <w14:schemeClr w14:val="tx1"/>
                        </w14:solidFill>
                      </w14:textFill>
                    </w:rPr>
                    <w:instrText xml:space="preserve"> </w:instrText>
                  </w:r>
                  <w:r>
                    <w:rPr>
                      <w:rFonts w:hint="eastAsia" w:ascii="Times New Roman" w:hAnsi="Times New Roman" w:eastAsia="宋体" w:cs="Times New Roman"/>
                      <w:color w:val="000000" w:themeColor="text1"/>
                      <w:szCs w:val="21"/>
                      <w14:textFill>
                        <w14:solidFill>
                          <w14:schemeClr w14:val="tx1"/>
                        </w14:solidFill>
                      </w14:textFill>
                    </w:rPr>
                    <w:instrText xml:space="preserve">=SUM(ABOVE)</w:instrText>
                  </w:r>
                  <w:r>
                    <w:rPr>
                      <w:rFonts w:ascii="Times New Roman" w:hAnsi="Times New Roman" w:eastAsia="宋体" w:cs="Times New Roman"/>
                      <w:color w:val="000000" w:themeColor="text1"/>
                      <w:szCs w:val="21"/>
                      <w14:textFill>
                        <w14:solidFill>
                          <w14:schemeClr w14:val="tx1"/>
                        </w14:solidFill>
                      </w14:textFill>
                    </w:rPr>
                    <w:instrText xml:space="preserve"> </w:instrText>
                  </w:r>
                  <w:r>
                    <w:rPr>
                      <w:rFonts w:ascii="Times New Roman" w:hAnsi="Times New Roman" w:eastAsia="宋体" w:cs="Times New Roman"/>
                      <w:color w:val="000000" w:themeColor="text1"/>
                      <w:szCs w:val="21"/>
                      <w14:textFill>
                        <w14:solidFill>
                          <w14:schemeClr w14:val="tx1"/>
                        </w14:solidFill>
                      </w14:textFill>
                    </w:rPr>
                    <w:fldChar w:fldCharType="separate"/>
                  </w:r>
                  <w:r>
                    <w:rPr>
                      <w:rFonts w:ascii="Times New Roman" w:hAnsi="Times New Roman" w:eastAsia="宋体" w:cs="Times New Roman"/>
                      <w:color w:val="000000" w:themeColor="text1"/>
                      <w:szCs w:val="21"/>
                      <w14:textFill>
                        <w14:solidFill>
                          <w14:schemeClr w14:val="tx1"/>
                        </w14:solidFill>
                      </w14:textFill>
                    </w:rPr>
                    <w:t>106000</w:t>
                  </w:r>
                  <w:r>
                    <w:rPr>
                      <w:rFonts w:ascii="Times New Roman" w:hAnsi="Times New Roman" w:eastAsia="宋体" w:cs="Times New Roman"/>
                      <w:color w:val="000000" w:themeColor="text1"/>
                      <w:szCs w:val="21"/>
                      <w14:textFill>
                        <w14:solidFill>
                          <w14:schemeClr w14:val="tx1"/>
                        </w14:solidFill>
                      </w14:textFill>
                    </w:rPr>
                    <w:fldChar w:fldCharType="end"/>
                  </w:r>
                </w:p>
              </w:tc>
              <w:tc>
                <w:tcPr>
                  <w:tcW w:w="0" w:type="auto"/>
                  <w:vAlign w:val="center"/>
                </w:tcPr>
                <w:p w14:paraId="07510E95">
                  <w:pPr>
                    <w:ind w:left="-105" w:leftChars="-50" w:right="-105" w:rightChars="-50"/>
                    <w:jc w:val="center"/>
                    <w:rPr>
                      <w:rFonts w:ascii="Times New Roman" w:hAnsi="Times New Roman" w:cs="Times New Roman"/>
                      <w:color w:val="000000"/>
                      <w:szCs w:val="21"/>
                    </w:rPr>
                  </w:pPr>
                  <w:r>
                    <w:rPr>
                      <w:rFonts w:ascii="Times New Roman" w:hAnsi="Times New Roman" w:cs="Times New Roman"/>
                      <w:color w:val="000000"/>
                      <w:szCs w:val="21"/>
                    </w:rPr>
                    <w:fldChar w:fldCharType="begin"/>
                  </w:r>
                  <w:r>
                    <w:rPr>
                      <w:rFonts w:ascii="Times New Roman" w:hAnsi="Times New Roman" w:cs="Times New Roman"/>
                      <w:color w:val="000000"/>
                      <w:szCs w:val="21"/>
                    </w:rPr>
                    <w:instrText xml:space="preserve"> =SUM(ABOVE) </w:instrText>
                  </w:r>
                  <w:r>
                    <w:rPr>
                      <w:rFonts w:ascii="Times New Roman" w:hAnsi="Times New Roman" w:cs="Times New Roman"/>
                      <w:color w:val="000000"/>
                      <w:szCs w:val="21"/>
                    </w:rPr>
                    <w:fldChar w:fldCharType="separate"/>
                  </w:r>
                  <w:r>
                    <w:rPr>
                      <w:rFonts w:ascii="Times New Roman" w:hAnsi="Times New Roman" w:cs="Times New Roman"/>
                      <w:color w:val="000000"/>
                      <w:szCs w:val="21"/>
                    </w:rPr>
                    <w:t>19.08</w:t>
                  </w:r>
                  <w:r>
                    <w:rPr>
                      <w:rFonts w:ascii="Times New Roman" w:hAnsi="Times New Roman" w:cs="Times New Roman"/>
                      <w:color w:val="000000"/>
                      <w:szCs w:val="21"/>
                    </w:rPr>
                    <w:fldChar w:fldCharType="end"/>
                  </w:r>
                </w:p>
              </w:tc>
              <w:tc>
                <w:tcPr>
                  <w:tcW w:w="0" w:type="auto"/>
                  <w:vAlign w:val="center"/>
                </w:tcPr>
                <w:p w14:paraId="0881DEF8">
                  <w:pPr>
                    <w:ind w:left="-105" w:leftChars="-50" w:right="-105" w:rightChars="-50"/>
                    <w:jc w:val="center"/>
                    <w:rPr>
                      <w:rFonts w:ascii="Times New Roman" w:hAnsi="Times New Roman" w:cs="Times New Roman"/>
                      <w:color w:val="000000"/>
                      <w:szCs w:val="21"/>
                    </w:rPr>
                  </w:pPr>
                </w:p>
              </w:tc>
              <w:tc>
                <w:tcPr>
                  <w:tcW w:w="0" w:type="auto"/>
                  <w:vAlign w:val="center"/>
                </w:tcPr>
                <w:p w14:paraId="158C2790">
                  <w:pPr>
                    <w:ind w:left="-105" w:leftChars="-50" w:right="-105" w:rightChars="-50"/>
                    <w:jc w:val="center"/>
                    <w:rPr>
                      <w:rFonts w:ascii="Times New Roman" w:hAnsi="Times New Roman" w:cs="Times New Roman"/>
                      <w:color w:val="000000"/>
                      <w:szCs w:val="21"/>
                    </w:rPr>
                  </w:pPr>
                  <w:r>
                    <w:rPr>
                      <w:rFonts w:ascii="Times New Roman" w:hAnsi="Times New Roman" w:cs="Times New Roman"/>
                      <w:color w:val="000000"/>
                      <w:szCs w:val="21"/>
                    </w:rPr>
                    <w:fldChar w:fldCharType="begin"/>
                  </w:r>
                  <w:r>
                    <w:rPr>
                      <w:rFonts w:ascii="Times New Roman" w:hAnsi="Times New Roman" w:cs="Times New Roman"/>
                      <w:color w:val="000000"/>
                      <w:szCs w:val="21"/>
                    </w:rPr>
                    <w:instrText xml:space="preserve"> =SUM(ABOVE) </w:instrText>
                  </w:r>
                  <w:r>
                    <w:rPr>
                      <w:rFonts w:ascii="Times New Roman" w:hAnsi="Times New Roman" w:cs="Times New Roman"/>
                      <w:color w:val="000000"/>
                      <w:szCs w:val="21"/>
                    </w:rPr>
                    <w:fldChar w:fldCharType="separate"/>
                  </w:r>
                  <w:r>
                    <w:rPr>
                      <w:rFonts w:ascii="Times New Roman" w:hAnsi="Times New Roman" w:cs="Times New Roman"/>
                      <w:color w:val="000000"/>
                      <w:szCs w:val="21"/>
                    </w:rPr>
                    <w:t>137.376</w:t>
                  </w:r>
                  <w:r>
                    <w:rPr>
                      <w:rFonts w:ascii="Times New Roman" w:hAnsi="Times New Roman" w:cs="Times New Roman"/>
                      <w:color w:val="000000"/>
                      <w:szCs w:val="21"/>
                    </w:rPr>
                    <w:fldChar w:fldCharType="end"/>
                  </w:r>
                </w:p>
              </w:tc>
              <w:tc>
                <w:tcPr>
                  <w:tcW w:w="0" w:type="auto"/>
                  <w:vAlign w:val="center"/>
                </w:tcPr>
                <w:p w14:paraId="00BB933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0" w:type="auto"/>
                  <w:vAlign w:val="center"/>
                </w:tcPr>
                <w:p w14:paraId="7095AE8C">
                  <w:pPr>
                    <w:ind w:left="-105" w:leftChars="-50" w:right="-105" w:rightChars="-50"/>
                    <w:jc w:val="center"/>
                    <w:rPr>
                      <w:rFonts w:ascii="Times New Roman" w:hAnsi="Times New Roman" w:cs="Times New Roman"/>
                      <w:color w:val="000000"/>
                      <w:szCs w:val="21"/>
                    </w:rPr>
                  </w:pPr>
                  <w:r>
                    <w:rPr>
                      <w:rFonts w:ascii="Times New Roman" w:hAnsi="Times New Roman" w:cs="Times New Roman"/>
                      <w:color w:val="000000"/>
                      <w:szCs w:val="21"/>
                    </w:rPr>
                    <w:fldChar w:fldCharType="begin"/>
                  </w:r>
                  <w:r>
                    <w:rPr>
                      <w:rFonts w:ascii="Times New Roman" w:hAnsi="Times New Roman" w:cs="Times New Roman"/>
                      <w:color w:val="000000"/>
                      <w:szCs w:val="21"/>
                    </w:rPr>
                    <w:instrText xml:space="preserve"> =SUM(ABOVE) </w:instrText>
                  </w:r>
                  <w:r>
                    <w:rPr>
                      <w:rFonts w:ascii="Times New Roman" w:hAnsi="Times New Roman" w:cs="Times New Roman"/>
                      <w:color w:val="000000"/>
                      <w:szCs w:val="21"/>
                    </w:rPr>
                    <w:fldChar w:fldCharType="separate"/>
                  </w:r>
                  <w:r>
                    <w:rPr>
                      <w:rFonts w:ascii="Times New Roman" w:hAnsi="Times New Roman" w:cs="Times New Roman"/>
                      <w:color w:val="000000"/>
                      <w:szCs w:val="21"/>
                    </w:rPr>
                    <w:t>19.08</w:t>
                  </w:r>
                  <w:r>
                    <w:rPr>
                      <w:rFonts w:ascii="Times New Roman" w:hAnsi="Times New Roman" w:cs="Times New Roman"/>
                      <w:color w:val="000000"/>
                      <w:szCs w:val="21"/>
                    </w:rPr>
                    <w:fldChar w:fldCharType="end"/>
                  </w:r>
                </w:p>
              </w:tc>
              <w:tc>
                <w:tcPr>
                  <w:tcW w:w="0" w:type="auto"/>
                  <w:vAlign w:val="center"/>
                </w:tcPr>
                <w:p w14:paraId="7CD32DF7">
                  <w:pPr>
                    <w:ind w:left="-105" w:leftChars="-50" w:right="-105" w:rightChars="-50"/>
                    <w:jc w:val="center"/>
                    <w:rPr>
                      <w:rFonts w:ascii="Times New Roman" w:hAnsi="Times New Roman" w:cs="Times New Roman"/>
                      <w:color w:val="000000"/>
                      <w:szCs w:val="21"/>
                    </w:rPr>
                  </w:pPr>
                  <w:r>
                    <w:rPr>
                      <w:rFonts w:hint="eastAsia" w:ascii="Times New Roman" w:hAnsi="Times New Roman" w:cs="Times New Roman"/>
                      <w:color w:val="000000"/>
                      <w:szCs w:val="21"/>
                    </w:rPr>
                    <w:t>/</w:t>
                  </w:r>
                </w:p>
              </w:tc>
              <w:tc>
                <w:tcPr>
                  <w:tcW w:w="0" w:type="auto"/>
                  <w:vAlign w:val="center"/>
                </w:tcPr>
                <w:p w14:paraId="45A3B792">
                  <w:pPr>
                    <w:ind w:left="-105" w:leftChars="-50" w:right="-105" w:rightChars="-50"/>
                    <w:jc w:val="center"/>
                    <w:rPr>
                      <w:rFonts w:ascii="Times New Roman" w:hAnsi="Times New Roman" w:cs="Times New Roman"/>
                      <w:color w:val="000000"/>
                      <w:szCs w:val="21"/>
                    </w:rPr>
                  </w:pPr>
                  <w:r>
                    <w:rPr>
                      <w:rFonts w:ascii="Times New Roman" w:hAnsi="Times New Roman" w:cs="Times New Roman"/>
                      <w:color w:val="000000"/>
                      <w:szCs w:val="21"/>
                    </w:rPr>
                    <w:fldChar w:fldCharType="begin"/>
                  </w:r>
                  <w:r>
                    <w:rPr>
                      <w:rFonts w:ascii="Times New Roman" w:hAnsi="Times New Roman" w:cs="Times New Roman"/>
                      <w:color w:val="000000"/>
                      <w:szCs w:val="21"/>
                    </w:rPr>
                    <w:instrText xml:space="preserve"> =SUM(ABOVE) </w:instrText>
                  </w:r>
                  <w:r>
                    <w:rPr>
                      <w:rFonts w:ascii="Times New Roman" w:hAnsi="Times New Roman" w:cs="Times New Roman"/>
                      <w:color w:val="000000"/>
                      <w:szCs w:val="21"/>
                    </w:rPr>
                    <w:fldChar w:fldCharType="separate"/>
                  </w:r>
                  <w:r>
                    <w:rPr>
                      <w:rFonts w:ascii="Times New Roman" w:hAnsi="Times New Roman" w:cs="Times New Roman"/>
                      <w:color w:val="000000"/>
                      <w:szCs w:val="21"/>
                    </w:rPr>
                    <w:t>137.376</w:t>
                  </w:r>
                  <w:r>
                    <w:rPr>
                      <w:rFonts w:ascii="Times New Roman" w:hAnsi="Times New Roman" w:cs="Times New Roman"/>
                      <w:color w:val="000000"/>
                      <w:szCs w:val="21"/>
                    </w:rPr>
                    <w:fldChar w:fldCharType="end"/>
                  </w:r>
                </w:p>
              </w:tc>
            </w:tr>
          </w:tbl>
          <w:p w14:paraId="59348E4B">
            <w:pPr>
              <w:widowControl/>
              <w:spacing w:line="360" w:lineRule="auto"/>
              <w:ind w:firstLine="480" w:firstLineChars="200"/>
              <w:jc w:val="left"/>
              <w:rPr>
                <w:rFonts w:ascii="Times New Roman" w:hAnsi="Times New Roman" w:eastAsia="宋体" w:cs="Times New Roman"/>
                <w:color w:val="000000"/>
                <w:kern w:val="0"/>
                <w:sz w:val="24"/>
                <w:szCs w:val="24"/>
                <w:lang w:bidi="ar"/>
              </w:rPr>
            </w:pPr>
          </w:p>
          <w:p w14:paraId="12E96D71">
            <w:pPr>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（3）一般固废贮存间异味</w:t>
            </w:r>
          </w:p>
          <w:p w14:paraId="075985FC">
            <w:pPr>
              <w:spacing w:line="360" w:lineRule="auto"/>
              <w:ind w:firstLine="480" w:firstLineChars="200"/>
              <w:rPr>
                <w:rFonts w:ascii="Times New Roman" w:hAnsi="Times New Roman" w:eastAsia="宋体" w:cs="Times New Roman"/>
                <w:color w:val="000000" w:themeColor="text1"/>
                <w:sz w:val="24"/>
                <w:szCs w:val="24"/>
                <w:lang w:val="en-GB"/>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恶臭物质主要来源为有机物在微生物作用下发酵，产生的氨、硫化氢等物质。由于本项目选用的替代原料</w:t>
            </w:r>
            <w:r>
              <w:rPr>
                <w:rFonts w:ascii="Times New Roman" w:hAnsi="Times New Roman" w:eastAsia="宋体" w:cs="Times New Roman"/>
                <w:color w:val="000000" w:themeColor="text1"/>
                <w:sz w:val="24"/>
                <w:szCs w:val="24"/>
                <w:lang w:val="en-GB"/>
                <w14:textFill>
                  <w14:solidFill>
                    <w14:schemeClr w14:val="tx1"/>
                  </w14:solidFill>
                </w14:textFill>
              </w:rPr>
              <w:t>水基钻井废弃物、无机工业污泥等一般工业固废，均为无机固废，有机物质含量极少，因此贮存期间恶臭物质产生量极少，可能存在污水处理过程中未中和的酸碱在贮存过程挥发产生异味。为防止异味产生，评价要求将贮存间设置为密闭车间，车间采取负压机械抽风，废气经采取水喷淋吸收，以有效控制异味气体的产生。</w:t>
            </w:r>
          </w:p>
          <w:p w14:paraId="19F418F6">
            <w:pPr>
              <w:spacing w:line="360" w:lineRule="auto"/>
              <w:rPr>
                <w:rFonts w:ascii="Times New Roman" w:hAnsi="Times New Roman" w:eastAsia="宋体" w:cs="Times New Roman"/>
                <w:color w:val="000000" w:themeColor="text1"/>
                <w:sz w:val="24"/>
                <w:szCs w:val="24"/>
                <w:lang w:val="en-GB"/>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2、废气污染治理设施可行性分析</w:t>
            </w:r>
          </w:p>
          <w:p w14:paraId="062700C1">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根据《排污许可证申请与核发技术规范 陶瓷砖瓦工业》（HJ 954-2018），砖瓦工业废气污染治理工艺及设施主要包括除尘设施（袋式除尘、电除尘、电袋复合除尘、湿式电除尘、其他）、脱硫设施（干法脱硫设施、半干法脱硫设施、湿法脱硫设施）、脱硝设施（低氮燃烧系统、SNCR系统、SCR系统、其他）等废气治理设施。</w:t>
            </w:r>
          </w:p>
          <w:p w14:paraId="5E681061">
            <w:pPr>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（1）炉窑烟尘</w:t>
            </w:r>
          </w:p>
          <w:p w14:paraId="6000DC5C">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本项目隧道窑、烘干窑湿式脱硫塔采取“钠钙双碱法脱硫除尘”净化工艺。双碱法是先用可溶性的碱性清液作为吸收剂吸收SO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，然后再用石灰浆液对吸收液进行再生，由于在吸收和吸收液处理中，使用了两种不同类型的碱，故称为双碱法。双碱法的明显优点是，由于采用液相吸收，从而不存在结垢和浆料堵塞等问题。钠一钙碱法是以Na</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CO</w:t>
            </w:r>
            <w:r>
              <w:rPr>
                <w:rFonts w:ascii="Times New Roman" w:hAnsi="Times New Roman" w:eastAsia="宋体" w:cs="Times New Roman"/>
                <w:color w:val="000000" w:themeColor="text1"/>
                <w:sz w:val="24"/>
                <w:szCs w:val="24"/>
                <w:vertAlign w:val="sub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或NaOH溶液为第一碱吸收烟气SO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，然后再用石灰作为第二碱，对吸收液进行再生。再生后的吸收液可循环使用。其主要反应原理如下：</w:t>
            </w:r>
          </w:p>
          <w:p w14:paraId="062D8DC5">
            <w:pPr>
              <w:widowControl/>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①</w:t>
            </w:r>
            <w:r>
              <w:rPr>
                <w:rFonts w:ascii="Times New Roman" w:hAnsi="Times New Roman" w:eastAsia="宋体" w:cs="Times New Roman"/>
                <w:color w:val="000000" w:themeColor="text1"/>
                <w:sz w:val="24"/>
                <w:szCs w:val="24"/>
                <w14:textFill>
                  <w14:solidFill>
                    <w14:schemeClr w14:val="tx1"/>
                  </w14:solidFill>
                </w14:textFill>
              </w:rPr>
              <w:t>脱硫过程</w:t>
            </w:r>
          </w:p>
          <w:p w14:paraId="3AA928CC">
            <w:pPr>
              <w:widowControl/>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2NaOH+SO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→Na</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SO</w:t>
            </w:r>
            <w:r>
              <w:rPr>
                <w:rFonts w:ascii="Times New Roman" w:hAnsi="Times New Roman" w:eastAsia="宋体" w:cs="Times New Roman"/>
                <w:color w:val="000000" w:themeColor="text1"/>
                <w:sz w:val="24"/>
                <w:szCs w:val="24"/>
                <w:vertAlign w:val="sub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+H</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O</w:t>
            </w:r>
          </w:p>
          <w:p w14:paraId="29E02533">
            <w:pPr>
              <w:widowControl/>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Na</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SO</w:t>
            </w:r>
            <w:r>
              <w:rPr>
                <w:rFonts w:ascii="Times New Roman" w:hAnsi="Times New Roman" w:eastAsia="宋体" w:cs="Times New Roman"/>
                <w:color w:val="000000" w:themeColor="text1"/>
                <w:sz w:val="24"/>
                <w:szCs w:val="24"/>
                <w:vertAlign w:val="sub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+SO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+H</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O→2NaHSO</w:t>
            </w:r>
            <w:r>
              <w:rPr>
                <w:rFonts w:ascii="Times New Roman" w:hAnsi="Times New Roman" w:eastAsia="宋体" w:cs="Times New Roman"/>
                <w:color w:val="000000" w:themeColor="text1"/>
                <w:sz w:val="24"/>
                <w:szCs w:val="24"/>
                <w:vertAlign w:val="subscript"/>
                <w14:textFill>
                  <w14:solidFill>
                    <w14:schemeClr w14:val="tx1"/>
                  </w14:solidFill>
                </w14:textFill>
              </w:rPr>
              <w:t>3</w:t>
            </w:r>
          </w:p>
          <w:p w14:paraId="0A888392">
            <w:pPr>
              <w:widowControl/>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②</w:t>
            </w:r>
            <w:r>
              <w:rPr>
                <w:rFonts w:ascii="Times New Roman" w:hAnsi="Times New Roman" w:eastAsia="宋体" w:cs="Times New Roman"/>
                <w:color w:val="000000" w:themeColor="text1"/>
                <w:sz w:val="24"/>
                <w:szCs w:val="24"/>
                <w14:textFill>
                  <w14:solidFill>
                    <w14:schemeClr w14:val="tx1"/>
                  </w14:solidFill>
                </w14:textFill>
              </w:rPr>
              <w:t>氧化过程</w:t>
            </w:r>
          </w:p>
          <w:p w14:paraId="5DBF9E96">
            <w:pPr>
              <w:widowControl/>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2Na</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SO</w:t>
            </w:r>
            <w:r>
              <w:rPr>
                <w:rFonts w:ascii="Times New Roman" w:hAnsi="Times New Roman" w:eastAsia="宋体" w:cs="Times New Roman"/>
                <w:color w:val="000000" w:themeColor="text1"/>
                <w:sz w:val="24"/>
                <w:szCs w:val="24"/>
                <w:vertAlign w:val="sub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→2Na</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SO</w:t>
            </w:r>
            <w:r>
              <w:rPr>
                <w:rFonts w:ascii="Times New Roman" w:hAnsi="Times New Roman" w:eastAsia="宋体" w:cs="Times New Roman"/>
                <w:color w:val="000000" w:themeColor="text1"/>
                <w:sz w:val="24"/>
                <w:szCs w:val="24"/>
                <w:vertAlign w:val="subscript"/>
                <w14:textFill>
                  <w14:solidFill>
                    <w14:schemeClr w14:val="tx1"/>
                  </w14:solidFill>
                </w14:textFill>
              </w:rPr>
              <w:t>4</w:t>
            </w:r>
          </w:p>
          <w:p w14:paraId="3D48059A">
            <w:pPr>
              <w:widowControl/>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2NaHSO</w:t>
            </w:r>
            <w:r>
              <w:rPr>
                <w:rFonts w:ascii="Times New Roman" w:hAnsi="Times New Roman" w:eastAsia="宋体" w:cs="Times New Roman"/>
                <w:color w:val="000000" w:themeColor="text1"/>
                <w:sz w:val="24"/>
                <w:szCs w:val="24"/>
                <w:vertAlign w:val="sub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→2NaHSO</w:t>
            </w:r>
            <w:r>
              <w:rPr>
                <w:rFonts w:ascii="Times New Roman" w:hAnsi="Times New Roman" w:eastAsia="宋体" w:cs="Times New Roman"/>
                <w:color w:val="000000" w:themeColor="text1"/>
                <w:sz w:val="24"/>
                <w:szCs w:val="24"/>
                <w:vertAlign w:val="subscript"/>
                <w14:textFill>
                  <w14:solidFill>
                    <w14:schemeClr w14:val="tx1"/>
                  </w14:solidFill>
                </w14:textFill>
              </w:rPr>
              <w:t>4</w:t>
            </w:r>
          </w:p>
          <w:p w14:paraId="1E1FF863">
            <w:pPr>
              <w:widowControl/>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③</w:t>
            </w:r>
            <w:r>
              <w:rPr>
                <w:rFonts w:ascii="Times New Roman" w:hAnsi="Times New Roman" w:eastAsia="宋体" w:cs="Times New Roman"/>
                <w:color w:val="000000" w:themeColor="text1"/>
                <w:sz w:val="24"/>
                <w:szCs w:val="24"/>
                <w14:textFill>
                  <w14:solidFill>
                    <w14:schemeClr w14:val="tx1"/>
                  </w14:solidFill>
                </w14:textFill>
              </w:rPr>
              <w:t>再生过程</w:t>
            </w:r>
          </w:p>
          <w:p w14:paraId="3DAC456F">
            <w:pPr>
              <w:widowControl/>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Ca(OH)</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+Na</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SO</w:t>
            </w:r>
            <w:r>
              <w:rPr>
                <w:rFonts w:ascii="Times New Roman" w:hAnsi="Times New Roman" w:eastAsia="宋体" w:cs="Times New Roman"/>
                <w:color w:val="000000" w:themeColor="text1"/>
                <w:sz w:val="24"/>
                <w:szCs w:val="24"/>
                <w:vertAlign w:val="sub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→2NaOH+CaSO</w:t>
            </w:r>
            <w:r>
              <w:rPr>
                <w:rFonts w:ascii="Times New Roman" w:hAnsi="Times New Roman" w:eastAsia="宋体" w:cs="Times New Roman"/>
                <w:color w:val="000000" w:themeColor="text1"/>
                <w:sz w:val="24"/>
                <w:szCs w:val="24"/>
                <w:vertAlign w:val="subscript"/>
                <w14:textFill>
                  <w14:solidFill>
                    <w14:schemeClr w14:val="tx1"/>
                  </w14:solidFill>
                </w14:textFill>
              </w:rPr>
              <w:t>3</w:t>
            </w:r>
          </w:p>
          <w:p w14:paraId="160710E0">
            <w:pPr>
              <w:widowControl/>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Ca(OH)</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+2NaHSO</w:t>
            </w:r>
            <w:r>
              <w:rPr>
                <w:rFonts w:ascii="Times New Roman" w:hAnsi="Times New Roman" w:eastAsia="宋体" w:cs="Times New Roman"/>
                <w:color w:val="000000" w:themeColor="text1"/>
                <w:sz w:val="24"/>
                <w:szCs w:val="24"/>
                <w:vertAlign w:val="sub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→Na</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SO</w:t>
            </w:r>
            <w:r>
              <w:rPr>
                <w:rFonts w:ascii="Times New Roman" w:hAnsi="Times New Roman" w:eastAsia="宋体" w:cs="Times New Roman"/>
                <w:color w:val="000000" w:themeColor="text1"/>
                <w:sz w:val="24"/>
                <w:szCs w:val="24"/>
                <w:vertAlign w:val="sub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+CaSO</w:t>
            </w:r>
            <w:r>
              <w:rPr>
                <w:rFonts w:ascii="Times New Roman" w:hAnsi="Times New Roman" w:eastAsia="宋体" w:cs="Times New Roman"/>
                <w:color w:val="000000" w:themeColor="text1"/>
                <w:sz w:val="24"/>
                <w:szCs w:val="24"/>
                <w:vertAlign w:val="sub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•H</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O+H</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O</w:t>
            </w:r>
          </w:p>
          <w:p w14:paraId="40CD58BA">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在Ca(OH)</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浆液达到过饱和状态时，中性的H</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SO</w:t>
            </w:r>
            <w:r>
              <w:rPr>
                <w:rFonts w:ascii="Times New Roman" w:hAnsi="Times New Roman" w:eastAsia="宋体" w:cs="Times New Roman"/>
                <w:color w:val="000000" w:themeColor="text1"/>
                <w:sz w:val="24"/>
                <w:szCs w:val="24"/>
                <w:vertAlign w:val="sub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很快和Ca(OH)</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反应从而稀释出[Na</w:t>
            </w:r>
            <w:r>
              <w:rPr>
                <w:rFonts w:ascii="Times New Roman" w:hAnsi="Times New Roman" w:eastAsia="宋体" w:cs="Times New Roman"/>
                <w:color w:val="000000" w:themeColor="text1"/>
                <w:sz w:val="24"/>
                <w:szCs w:val="24"/>
                <w:vertAlign w:val="superscript"/>
                <w14:textFill>
                  <w14:solidFill>
                    <w14:schemeClr w14:val="tx1"/>
                  </w14:solidFill>
                </w14:textFill>
              </w:rPr>
              <w:t>+</w:t>
            </w:r>
            <w:r>
              <w:rPr>
                <w:rFonts w:ascii="Times New Roman" w:hAnsi="Times New Roman" w:eastAsia="宋体" w:cs="Times New Roman"/>
                <w:color w:val="000000" w:themeColor="text1"/>
                <w:sz w:val="24"/>
                <w:szCs w:val="24"/>
                <w14:textFill>
                  <w14:solidFill>
                    <w14:schemeClr w14:val="tx1"/>
                  </w14:solidFill>
                </w14:textFill>
              </w:rPr>
              <w:t>]，随后生成的[SO</w:t>
            </w:r>
            <w:r>
              <w:rPr>
                <w:rFonts w:ascii="Times New Roman" w:hAnsi="Times New Roman" w:eastAsia="宋体" w:cs="Times New Roman"/>
                <w:color w:val="000000" w:themeColor="text1"/>
                <w:sz w:val="24"/>
                <w:szCs w:val="24"/>
                <w:vertAlign w:val="sub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w:t>
            </w:r>
            <w:r>
              <w:rPr>
                <w:rFonts w:ascii="Times New Roman" w:hAnsi="Times New Roman" w:eastAsia="宋体" w:cs="Times New Roman"/>
                <w:color w:val="000000" w:themeColor="text1"/>
                <w:sz w:val="24"/>
                <w:szCs w:val="24"/>
                <w:vertAlign w:val="super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继续与Ca(OH)</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反应，生成的亚硫酸钙以半水化合物形式慢慢沉淀下来，从而使得到再生，吸收液恢复对SO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的吸收能力，循环使用。</w:t>
            </w:r>
          </w:p>
          <w:p w14:paraId="25FDF376">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钠钙双碱法脱硫技术的主要优点：</w:t>
            </w:r>
          </w:p>
          <w:p w14:paraId="11ED7D51">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①</w:t>
            </w:r>
            <w:r>
              <w:rPr>
                <w:rFonts w:ascii="Times New Roman" w:hAnsi="Times New Roman" w:eastAsia="宋体" w:cs="Times New Roman"/>
                <w:color w:val="000000" w:themeColor="text1"/>
                <w:sz w:val="24"/>
                <w:szCs w:val="24"/>
                <w14:textFill>
                  <w14:solidFill>
                    <w14:schemeClr w14:val="tx1"/>
                  </w14:solidFill>
                </w14:textFill>
              </w:rPr>
              <w:t>技术成熟，运行稳定可靠。主要设备、设置故障率低，因此不会因洗涤塔故障影响隧道窑的安全运行。</w:t>
            </w:r>
          </w:p>
          <w:p w14:paraId="337028EC">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②</w:t>
            </w:r>
            <w:r>
              <w:rPr>
                <w:rFonts w:ascii="Times New Roman" w:hAnsi="Times New Roman" w:eastAsia="宋体" w:cs="Times New Roman"/>
                <w:color w:val="000000" w:themeColor="text1"/>
                <w:sz w:val="24"/>
                <w:szCs w:val="24"/>
                <w14:textFill>
                  <w14:solidFill>
                    <w14:schemeClr w14:val="tx1"/>
                  </w14:solidFill>
                </w14:textFill>
              </w:rPr>
              <w:t>工艺先进，运行费用低。因钠碱活性极强极高，所以只用很低的液气比就可达到高效率的脱硫效果；又因用廉价的钙碱再生、钠碱重复利用，就大大降低了运行成本。</w:t>
            </w:r>
          </w:p>
          <w:p w14:paraId="726DB35F">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③</w:t>
            </w:r>
            <w:r>
              <w:rPr>
                <w:rFonts w:ascii="Times New Roman" w:hAnsi="Times New Roman" w:eastAsia="宋体" w:cs="Times New Roman"/>
                <w:color w:val="000000" w:themeColor="text1"/>
                <w:sz w:val="24"/>
                <w:szCs w:val="24"/>
                <w14:textFill>
                  <w14:solidFill>
                    <w14:schemeClr w14:val="tx1"/>
                  </w14:solidFill>
                </w14:textFill>
              </w:rPr>
              <w:t>工程投资少、经济效益高。钠钙双碱法工程投资仅为其他湿法技术的2/3～3/4；脱硫效率同样达到90%～95%，脱硫后的SO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和烟尘排放完全满足环保要求。</w:t>
            </w:r>
          </w:p>
          <w:p w14:paraId="31DC3A6C">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④</w:t>
            </w:r>
            <w:r>
              <w:rPr>
                <w:rFonts w:ascii="Times New Roman" w:hAnsi="Times New Roman" w:eastAsia="宋体" w:cs="Times New Roman"/>
                <w:color w:val="000000" w:themeColor="text1"/>
                <w:sz w:val="24"/>
                <w:szCs w:val="24"/>
                <w14:textFill>
                  <w14:solidFill>
                    <w14:schemeClr w14:val="tx1"/>
                  </w14:solidFill>
                </w14:textFill>
              </w:rPr>
              <w:t>钙钠双碱法是先用钠碱性吸收液进行烟气脱硫，然后再用石灰浆液再生脱硫液，由于整个反应过程是液气相之间进行，避免了系统结垢问题，而且吸收效率高，液气比低，吸收剂利用率高，投资费用省，运行成本低。以NaOH脱硫，脱硫液中主要为NaOH水溶液，避免了在循环过程中对水泵、管道及设备的腐蚀、冲刷及堵塞等，便于设备运行和维护。钠基吸收液对S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反应速度快，故有较小的液气比，达到较高的脱硫效率，一般90%以上。脱硫剂的再生及脱硫沉淀均发生于塔外，避免了塔内的堵塞和磨损，提高了设备运行的可靠性，降低了运行成本。</w:t>
            </w:r>
          </w:p>
          <w:p w14:paraId="1FCAD4C9">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⑤</w:t>
            </w:r>
            <w:r>
              <w:rPr>
                <w:rFonts w:ascii="Times New Roman" w:hAnsi="Times New Roman" w:eastAsia="宋体" w:cs="Times New Roman"/>
                <w:color w:val="000000" w:themeColor="text1"/>
                <w:sz w:val="24"/>
                <w:szCs w:val="24"/>
                <w14:textFill>
                  <w14:solidFill>
                    <w14:schemeClr w14:val="tx1"/>
                  </w14:solidFill>
                </w14:textFill>
              </w:rPr>
              <w:t>脱硫除尘一体化。经过喷淋、吸收、吸附、再生等物理化学过程，以及脱水、除雾，达到脱硫、除尘、除湿、净化烟气的目的。重金属烟尘以气态或吸附态形式存在，气化温度较高的重金属及其化合物在烟气处理系统降温过程中凝结成粒状物质，然后被钙钠双碱法脱硫塔吸附去除。</w:t>
            </w:r>
          </w:p>
          <w:p w14:paraId="06E0AABC">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⑥</w:t>
            </w:r>
            <w:r>
              <w:rPr>
                <w:rFonts w:ascii="Times New Roman" w:hAnsi="Times New Roman" w:eastAsia="宋体" w:cs="Times New Roman"/>
                <w:color w:val="000000" w:themeColor="text1"/>
                <w:sz w:val="24"/>
                <w:szCs w:val="24"/>
                <w14:textFill>
                  <w14:solidFill>
                    <w14:schemeClr w14:val="tx1"/>
                  </w14:solidFill>
                </w14:textFill>
              </w:rPr>
              <w:t>钠钙双碱法对NOx、HF (氟化物)等气体，也有一定的吸收作用，根据实际运行案例，通常在50%以上。</w:t>
            </w:r>
          </w:p>
          <w:p w14:paraId="74994D94">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⑦</w:t>
            </w:r>
            <w:r>
              <w:rPr>
                <w:rFonts w:ascii="Times New Roman" w:hAnsi="Times New Roman" w:eastAsia="宋体" w:cs="Times New Roman"/>
                <w:color w:val="000000" w:themeColor="text1"/>
                <w:sz w:val="24"/>
                <w:szCs w:val="24"/>
                <w14:textFill>
                  <w14:solidFill>
                    <w14:schemeClr w14:val="tx1"/>
                  </w14:solidFill>
                </w14:textFill>
              </w:rPr>
              <w:t>节能、节水、节省脱硫剂效果显著。实现双碱法“三高、二低、一小”的特点。即：脱硫效率高、可利用率高、可靠性高；投资成本低、运行费用低；占地面积小。</w:t>
            </w:r>
          </w:p>
          <w:p w14:paraId="1A30A90C">
            <w:pPr>
              <w:adjustRightInd w:val="0"/>
              <w:snapToGrid w:val="0"/>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（2）除尘措施</w:t>
            </w:r>
          </w:p>
          <w:p w14:paraId="1B476DB2">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制砖生产工段破碎、筛分粉尘通过布袋除尘器除尘的方式进行控制；堆场粉尘通过四面实体围挡+喷雾除尘的方式进行控制；运输扬尘主要通过控制车速+定期洒水+雾炮机抑尘的方式进行控制。布袋除尘器除尘粒径范围大，性能稳定可靠，符合变化适应性强，但需注意温度和腐蚀性的问题。根据同类企业采取的除尘措施，根据现有项目实际运行状态下验收检测报告，选用气布袋除尘器。布袋除尘器性能稳定可靠，除尘效率一般可稳定达到90%以上。</w:t>
            </w:r>
          </w:p>
          <w:p w14:paraId="653E61E2">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另外，四周设置喷雾除尘装置除尘是无组织粉尘控制的常用除尘方式，其除尘效果稳定可靠。根据前述工程分析和影响预测分析，经采取上述除尘措施后，各有组织粉尘均可达标排放；且粉尘对区域的环境影响可控。因此，上述含尘气体防治措施可行。</w:t>
            </w:r>
          </w:p>
          <w:p w14:paraId="5D20E45A">
            <w:pPr>
              <w:pStyle w:val="2"/>
              <w:ind w:firstLine="492"/>
              <w:rPr>
                <w:rFonts w:ascii="Times New Roman" w:eastAsia="宋体" w:cs="Times New Roman"/>
                <w:color w:val="000000" w:themeColor="text1"/>
                <w:szCs w:val="24"/>
                <w14:textFill>
                  <w14:solidFill>
                    <w14:schemeClr w14:val="tx1"/>
                  </w14:solidFill>
                </w14:textFill>
              </w:rPr>
            </w:pPr>
          </w:p>
          <w:p w14:paraId="78B0A72D">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p>
        </w:tc>
      </w:tr>
    </w:tbl>
    <w:p w14:paraId="659E94CA">
      <w:pPr>
        <w:jc w:val="center"/>
        <w:rPr>
          <w:rFonts w:ascii="Times New Roman" w:hAnsi="Times New Roman" w:eastAsia="宋体" w:cs="Times New Roman"/>
          <w:b/>
          <w:color w:val="000000" w:themeColor="text1"/>
          <w:sz w:val="24"/>
          <w:szCs w:val="24"/>
          <w14:textFill>
            <w14:solidFill>
              <w14:schemeClr w14:val="tx1"/>
            </w14:solidFill>
          </w14:textFill>
        </w:rPr>
        <w:sectPr>
          <w:pgSz w:w="11906" w:h="16838"/>
          <w:pgMar w:top="1440" w:right="1800" w:bottom="1440" w:left="1800" w:header="851" w:footer="992" w:gutter="0"/>
          <w:cols w:space="425" w:num="1"/>
          <w:docGrid w:type="lines" w:linePitch="312" w:charSpace="0"/>
        </w:sectPr>
      </w:pPr>
    </w:p>
    <w:tbl>
      <w:tblPr>
        <w:tblStyle w:val="25"/>
        <w:tblW w:w="140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2"/>
        <w:gridCol w:w="13467"/>
      </w:tblGrid>
      <w:tr w14:paraId="3DBF8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562" w:type="dxa"/>
            <w:vAlign w:val="center"/>
          </w:tcPr>
          <w:p w14:paraId="7626C4D2">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p>
        </w:tc>
        <w:tc>
          <w:tcPr>
            <w:tcW w:w="13467" w:type="dxa"/>
            <w:vAlign w:val="center"/>
          </w:tcPr>
          <w:p w14:paraId="77894C8F">
            <w:pPr>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3、正常工况下废气排放情况汇总</w:t>
            </w:r>
          </w:p>
          <w:p w14:paraId="5D3B4869">
            <w:pPr>
              <w:spacing w:line="360" w:lineRule="auto"/>
              <w:ind w:firstLine="480" w:firstLineChars="200"/>
              <w:rPr>
                <w:rFonts w:ascii="Times New Roman" w:hAnsi="Times New Roman" w:eastAsia="宋体" w:cs="Times New Roman"/>
                <w:snapToGrid w:val="0"/>
                <w:color w:val="000000" w:themeColor="text1"/>
                <w:kern w:val="0"/>
                <w:sz w:val="24"/>
                <w:szCs w:val="24"/>
                <w14:textFill>
                  <w14:solidFill>
                    <w14:schemeClr w14:val="tx1"/>
                  </w14:solidFill>
                </w14:textFill>
              </w:rPr>
            </w:pPr>
            <w:r>
              <w:rPr>
                <w:rFonts w:ascii="Times New Roman" w:hAnsi="Times New Roman" w:eastAsia="宋体" w:cs="Times New Roman"/>
                <w:snapToGrid w:val="0"/>
                <w:color w:val="000000" w:themeColor="text1"/>
                <w:kern w:val="0"/>
                <w:sz w:val="24"/>
                <w:szCs w:val="24"/>
                <w14:textFill>
                  <w14:solidFill>
                    <w14:schemeClr w14:val="tx1"/>
                  </w14:solidFill>
                </w14:textFill>
              </w:rPr>
              <w:t>技改后废气产排情况汇总表见下表。</w:t>
            </w:r>
          </w:p>
          <w:p w14:paraId="79E697D9">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 xml:space="preserve">表4-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表4-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7</w:t>
            </w:r>
            <w:r>
              <w:rPr>
                <w:rFonts w:ascii="Times New Roman" w:hAnsi="Times New Roman" w:eastAsia="宋体" w:cs="Times New Roman"/>
                <w:b/>
                <w:bCs/>
                <w:color w:val="000000" w:themeColor="text1"/>
                <w:szCs w:val="21"/>
                <w14:textFill>
                  <w14:solidFill>
                    <w14:schemeClr w14:val="tx1"/>
                  </w14:solidFill>
                </w14:textFill>
              </w:rPr>
              <w:fldChar w:fldCharType="end"/>
            </w:r>
            <w:r>
              <w:rPr>
                <w:rFonts w:ascii="Times New Roman" w:hAnsi="Times New Roman" w:eastAsia="宋体" w:cs="Times New Roman"/>
                <w:b/>
                <w:bCs/>
                <w:color w:val="000000" w:themeColor="text1"/>
                <w:szCs w:val="21"/>
                <w14:textFill>
                  <w14:solidFill>
                    <w14:schemeClr w14:val="tx1"/>
                  </w14:solidFill>
                </w14:textFill>
              </w:rPr>
              <w:t xml:space="preserve">   </w:t>
            </w:r>
            <w:r>
              <w:rPr>
                <w:rFonts w:ascii="Times New Roman" w:hAnsi="Times New Roman" w:eastAsia="宋体" w:cs="Times New Roman"/>
                <w:b/>
                <w:color w:val="000000" w:themeColor="text1"/>
                <w:szCs w:val="21"/>
                <w14:textFill>
                  <w14:solidFill>
                    <w14:schemeClr w14:val="tx1"/>
                  </w14:solidFill>
                </w14:textFill>
              </w:rPr>
              <w:t>本项目废气产排情况汇总表</w:t>
            </w:r>
          </w:p>
          <w:tbl>
            <w:tblPr>
              <w:tblStyle w:val="24"/>
              <w:tblW w:w="132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84"/>
              <w:gridCol w:w="918"/>
              <w:gridCol w:w="746"/>
              <w:gridCol w:w="616"/>
              <w:gridCol w:w="1153"/>
              <w:gridCol w:w="698"/>
              <w:gridCol w:w="698"/>
              <w:gridCol w:w="1407"/>
              <w:gridCol w:w="979"/>
              <w:gridCol w:w="598"/>
              <w:gridCol w:w="601"/>
              <w:gridCol w:w="839"/>
              <w:gridCol w:w="875"/>
              <w:gridCol w:w="1123"/>
              <w:gridCol w:w="858"/>
              <w:gridCol w:w="637"/>
            </w:tblGrid>
            <w:tr w14:paraId="0BEAEC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 w:hRule="atLeast"/>
                <w:jc w:val="center"/>
              </w:trPr>
              <w:tc>
                <w:tcPr>
                  <w:tcW w:w="184" w:type="pct"/>
                  <w:vMerge w:val="restart"/>
                  <w:vAlign w:val="center"/>
                </w:tcPr>
                <w:p w14:paraId="3971CF6A">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序号</w:t>
                  </w:r>
                </w:p>
              </w:tc>
              <w:tc>
                <w:tcPr>
                  <w:tcW w:w="348" w:type="pct"/>
                  <w:vMerge w:val="restart"/>
                  <w:vAlign w:val="center"/>
                </w:tcPr>
                <w:p w14:paraId="08998C7F">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生产单元</w:t>
                  </w:r>
                </w:p>
              </w:tc>
              <w:tc>
                <w:tcPr>
                  <w:tcW w:w="283" w:type="pct"/>
                  <w:vMerge w:val="restart"/>
                  <w:vAlign w:val="center"/>
                </w:tcPr>
                <w:p w14:paraId="57B0530F">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产污环节</w:t>
                  </w:r>
                </w:p>
              </w:tc>
              <w:tc>
                <w:tcPr>
                  <w:tcW w:w="234" w:type="pct"/>
                  <w:vMerge w:val="restart"/>
                  <w:vAlign w:val="center"/>
                </w:tcPr>
                <w:p w14:paraId="79E7BF85">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污染物种类</w:t>
                  </w:r>
                </w:p>
              </w:tc>
              <w:tc>
                <w:tcPr>
                  <w:tcW w:w="702" w:type="pct"/>
                  <w:gridSpan w:val="2"/>
                  <w:vAlign w:val="center"/>
                </w:tcPr>
                <w:p w14:paraId="2AA99CE1">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污染物产生</w:t>
                  </w:r>
                </w:p>
              </w:tc>
              <w:tc>
                <w:tcPr>
                  <w:tcW w:w="265" w:type="pct"/>
                  <w:vMerge w:val="restart"/>
                  <w:vAlign w:val="center"/>
                </w:tcPr>
                <w:p w14:paraId="3EAD0A7F">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排放</w:t>
                  </w:r>
                </w:p>
                <w:p w14:paraId="1DB84DA4">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形式</w:t>
                  </w:r>
                </w:p>
              </w:tc>
              <w:tc>
                <w:tcPr>
                  <w:tcW w:w="1676" w:type="pct"/>
                  <w:gridSpan w:val="5"/>
                  <w:vAlign w:val="center"/>
                </w:tcPr>
                <w:p w14:paraId="4B394AA1">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废气治理设施</w:t>
                  </w:r>
                </w:p>
              </w:tc>
              <w:tc>
                <w:tcPr>
                  <w:tcW w:w="1068" w:type="pct"/>
                  <w:gridSpan w:val="3"/>
                  <w:vAlign w:val="center"/>
                </w:tcPr>
                <w:p w14:paraId="7D3778A9">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污染物排放</w:t>
                  </w:r>
                </w:p>
              </w:tc>
              <w:tc>
                <w:tcPr>
                  <w:tcW w:w="240" w:type="pct"/>
                  <w:vMerge w:val="restart"/>
                  <w:vAlign w:val="center"/>
                </w:tcPr>
                <w:p w14:paraId="4B089FDF">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排放时间h</w:t>
                  </w:r>
                </w:p>
              </w:tc>
            </w:tr>
            <w:tr w14:paraId="1FF57D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 w:hRule="atLeast"/>
                <w:jc w:val="center"/>
              </w:trPr>
              <w:tc>
                <w:tcPr>
                  <w:tcW w:w="0" w:type="auto"/>
                  <w:vMerge w:val="continue"/>
                  <w:vAlign w:val="center"/>
                </w:tcPr>
                <w:p w14:paraId="0CCE5AD9">
                  <w:pPr>
                    <w:widowControl/>
                    <w:jc w:val="left"/>
                    <w:rPr>
                      <w:rFonts w:ascii="Times New Roman" w:hAnsi="Times New Roman" w:eastAsia="宋体" w:cs="Times New Roman"/>
                      <w:b/>
                      <w:bCs/>
                      <w:color w:val="000000" w:themeColor="text1"/>
                      <w:szCs w:val="21"/>
                      <w14:textFill>
                        <w14:solidFill>
                          <w14:schemeClr w14:val="tx1"/>
                        </w14:solidFill>
                      </w14:textFill>
                    </w:rPr>
                  </w:pPr>
                </w:p>
              </w:tc>
              <w:tc>
                <w:tcPr>
                  <w:tcW w:w="0" w:type="auto"/>
                  <w:vMerge w:val="continue"/>
                  <w:vAlign w:val="center"/>
                </w:tcPr>
                <w:p w14:paraId="61EBB81E">
                  <w:pPr>
                    <w:widowControl/>
                    <w:jc w:val="left"/>
                    <w:rPr>
                      <w:rFonts w:ascii="Times New Roman" w:hAnsi="Times New Roman" w:eastAsia="宋体" w:cs="Times New Roman"/>
                      <w:b/>
                      <w:bCs/>
                      <w:color w:val="000000" w:themeColor="text1"/>
                      <w:szCs w:val="21"/>
                      <w14:textFill>
                        <w14:solidFill>
                          <w14:schemeClr w14:val="tx1"/>
                        </w14:solidFill>
                      </w14:textFill>
                    </w:rPr>
                  </w:pPr>
                </w:p>
              </w:tc>
              <w:tc>
                <w:tcPr>
                  <w:tcW w:w="0" w:type="auto"/>
                  <w:vMerge w:val="continue"/>
                  <w:vAlign w:val="center"/>
                </w:tcPr>
                <w:p w14:paraId="3FCA008F">
                  <w:pPr>
                    <w:widowControl/>
                    <w:jc w:val="left"/>
                    <w:rPr>
                      <w:rFonts w:ascii="Times New Roman" w:hAnsi="Times New Roman" w:eastAsia="宋体" w:cs="Times New Roman"/>
                      <w:b/>
                      <w:bCs/>
                      <w:color w:val="000000" w:themeColor="text1"/>
                      <w:szCs w:val="21"/>
                      <w14:textFill>
                        <w14:solidFill>
                          <w14:schemeClr w14:val="tx1"/>
                        </w14:solidFill>
                      </w14:textFill>
                    </w:rPr>
                  </w:pPr>
                </w:p>
              </w:tc>
              <w:tc>
                <w:tcPr>
                  <w:tcW w:w="0" w:type="auto"/>
                  <w:vMerge w:val="continue"/>
                  <w:vAlign w:val="center"/>
                </w:tcPr>
                <w:p w14:paraId="3478CDAB">
                  <w:pPr>
                    <w:widowControl/>
                    <w:jc w:val="left"/>
                    <w:rPr>
                      <w:rFonts w:ascii="Times New Roman" w:hAnsi="Times New Roman" w:eastAsia="宋体" w:cs="Times New Roman"/>
                      <w:b/>
                      <w:bCs/>
                      <w:color w:val="000000" w:themeColor="text1"/>
                      <w:szCs w:val="21"/>
                      <w14:textFill>
                        <w14:solidFill>
                          <w14:schemeClr w14:val="tx1"/>
                        </w14:solidFill>
                      </w14:textFill>
                    </w:rPr>
                  </w:pPr>
                </w:p>
              </w:tc>
              <w:tc>
                <w:tcPr>
                  <w:tcW w:w="437" w:type="pct"/>
                  <w:vAlign w:val="center"/>
                </w:tcPr>
                <w:p w14:paraId="74D34AB8">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产生速率</w:t>
                  </w:r>
                  <w:r>
                    <w:rPr>
                      <w:rFonts w:ascii="Times New Roman" w:hAnsi="Times New Roman" w:eastAsia="宋体" w:cs="Times New Roman"/>
                      <w:b/>
                      <w:color w:val="000000" w:themeColor="text1"/>
                      <w:szCs w:val="21"/>
                      <w14:textFill>
                        <w14:solidFill>
                          <w14:schemeClr w14:val="tx1"/>
                        </w14:solidFill>
                      </w14:textFill>
                    </w:rPr>
                    <w:t>kg/h</w:t>
                  </w:r>
                </w:p>
              </w:tc>
              <w:tc>
                <w:tcPr>
                  <w:tcW w:w="265" w:type="pct"/>
                  <w:vAlign w:val="center"/>
                </w:tcPr>
                <w:p w14:paraId="69C8E75A">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年产</w:t>
                  </w:r>
                </w:p>
                <w:p w14:paraId="0F0A11BC">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生量</w:t>
                  </w:r>
                  <w:r>
                    <w:rPr>
                      <w:rFonts w:ascii="Times New Roman" w:hAnsi="Times New Roman" w:eastAsia="宋体" w:cs="Times New Roman"/>
                      <w:b/>
                      <w:color w:val="000000" w:themeColor="text1"/>
                      <w:szCs w:val="21"/>
                      <w14:textFill>
                        <w14:solidFill>
                          <w14:schemeClr w14:val="tx1"/>
                        </w14:solidFill>
                      </w14:textFill>
                    </w:rPr>
                    <w:t>t/a</w:t>
                  </w:r>
                </w:p>
              </w:tc>
              <w:tc>
                <w:tcPr>
                  <w:tcW w:w="0" w:type="auto"/>
                  <w:vMerge w:val="continue"/>
                  <w:vAlign w:val="center"/>
                </w:tcPr>
                <w:p w14:paraId="2D7D8B58">
                  <w:pPr>
                    <w:widowControl/>
                    <w:jc w:val="left"/>
                    <w:rPr>
                      <w:rFonts w:ascii="Times New Roman" w:hAnsi="Times New Roman" w:eastAsia="宋体" w:cs="Times New Roman"/>
                      <w:b/>
                      <w:bCs/>
                      <w:color w:val="000000" w:themeColor="text1"/>
                      <w:szCs w:val="21"/>
                      <w14:textFill>
                        <w14:solidFill>
                          <w14:schemeClr w14:val="tx1"/>
                        </w14:solidFill>
                      </w14:textFill>
                    </w:rPr>
                  </w:pPr>
                </w:p>
              </w:tc>
              <w:tc>
                <w:tcPr>
                  <w:tcW w:w="533" w:type="pct"/>
                  <w:vAlign w:val="center"/>
                </w:tcPr>
                <w:p w14:paraId="2BEE937F">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治理设施名称及工艺</w:t>
                  </w:r>
                </w:p>
              </w:tc>
              <w:tc>
                <w:tcPr>
                  <w:tcW w:w="371" w:type="pct"/>
                  <w:vAlign w:val="center"/>
                </w:tcPr>
                <w:p w14:paraId="1EB7199F">
                  <w:pPr>
                    <w:ind w:left="-105" w:leftChars="-50" w:right="-105" w:rightChars="-50"/>
                    <w:jc w:val="center"/>
                    <w:rPr>
                      <w:rFonts w:ascii="Times New Roman" w:hAnsi="Times New Roman" w:eastAsia="宋体" w:cs="Times New Roman"/>
                      <w:b/>
                      <w:bCs/>
                      <w:color w:val="000000" w:themeColor="text1"/>
                      <w:kern w:val="0"/>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风机风量</w:t>
                  </w:r>
                  <w:r>
                    <w:rPr>
                      <w:rFonts w:ascii="Times New Roman" w:hAnsi="Times New Roman" w:eastAsia="宋体" w:cs="Times New Roman"/>
                      <w:b/>
                      <w:color w:val="000000" w:themeColor="text1"/>
                      <w:kern w:val="0"/>
                      <w:szCs w:val="21"/>
                      <w14:textFill>
                        <w14:solidFill>
                          <w14:schemeClr w14:val="tx1"/>
                        </w14:solidFill>
                      </w14:textFill>
                    </w:rPr>
                    <w:t>m</w:t>
                  </w:r>
                  <w:r>
                    <w:rPr>
                      <w:rFonts w:ascii="Times New Roman" w:hAnsi="Times New Roman" w:eastAsia="宋体" w:cs="Times New Roman"/>
                      <w:b/>
                      <w:color w:val="000000" w:themeColor="text1"/>
                      <w:kern w:val="0"/>
                      <w:szCs w:val="21"/>
                      <w:vertAlign w:val="superscript"/>
                      <w14:textFill>
                        <w14:solidFill>
                          <w14:schemeClr w14:val="tx1"/>
                        </w14:solidFill>
                      </w14:textFill>
                    </w:rPr>
                    <w:t>3</w:t>
                  </w:r>
                  <w:r>
                    <w:rPr>
                      <w:rFonts w:ascii="Times New Roman" w:hAnsi="Times New Roman" w:eastAsia="宋体" w:cs="Times New Roman"/>
                      <w:b/>
                      <w:color w:val="000000" w:themeColor="text1"/>
                      <w:kern w:val="0"/>
                      <w:szCs w:val="21"/>
                      <w14:textFill>
                        <w14:solidFill>
                          <w14:schemeClr w14:val="tx1"/>
                        </w14:solidFill>
                      </w14:textFill>
                    </w:rPr>
                    <w:t>/h</w:t>
                  </w:r>
                </w:p>
              </w:tc>
              <w:tc>
                <w:tcPr>
                  <w:tcW w:w="227" w:type="pct"/>
                  <w:vAlign w:val="center"/>
                </w:tcPr>
                <w:p w14:paraId="3D414FAD">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收集效率</w:t>
                  </w:r>
                </w:p>
              </w:tc>
              <w:tc>
                <w:tcPr>
                  <w:tcW w:w="227" w:type="pct"/>
                  <w:vAlign w:val="center"/>
                </w:tcPr>
                <w:p w14:paraId="7E9646A6">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处理效率</w:t>
                  </w:r>
                </w:p>
              </w:tc>
              <w:tc>
                <w:tcPr>
                  <w:tcW w:w="318" w:type="pct"/>
                  <w:vAlign w:val="center"/>
                </w:tcPr>
                <w:p w14:paraId="751633CB">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是否为可行技术</w:t>
                  </w:r>
                </w:p>
              </w:tc>
              <w:tc>
                <w:tcPr>
                  <w:tcW w:w="318" w:type="pct"/>
                  <w:vAlign w:val="center"/>
                </w:tcPr>
                <w:p w14:paraId="77073BC7">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排放浓度</w:t>
                  </w:r>
                  <w:r>
                    <w:rPr>
                      <w:rFonts w:ascii="Times New Roman" w:hAnsi="Times New Roman" w:eastAsia="宋体" w:cs="Times New Roman"/>
                      <w:b/>
                      <w:color w:val="000000" w:themeColor="text1"/>
                      <w:szCs w:val="21"/>
                      <w14:textFill>
                        <w14:solidFill>
                          <w14:schemeClr w14:val="tx1"/>
                        </w14:solidFill>
                      </w14:textFill>
                    </w:rPr>
                    <w:t>mg/m</w:t>
                  </w:r>
                  <w:r>
                    <w:rPr>
                      <w:rFonts w:ascii="Times New Roman" w:hAnsi="Times New Roman" w:eastAsia="宋体" w:cs="Times New Roman"/>
                      <w:b/>
                      <w:color w:val="000000" w:themeColor="text1"/>
                      <w:szCs w:val="21"/>
                      <w:vertAlign w:val="superscript"/>
                      <w14:textFill>
                        <w14:solidFill>
                          <w14:schemeClr w14:val="tx1"/>
                        </w14:solidFill>
                      </w14:textFill>
                    </w:rPr>
                    <w:t>3</w:t>
                  </w:r>
                </w:p>
              </w:tc>
              <w:tc>
                <w:tcPr>
                  <w:tcW w:w="425" w:type="pct"/>
                  <w:vAlign w:val="center"/>
                </w:tcPr>
                <w:p w14:paraId="2867A652">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排放速率</w:t>
                  </w:r>
                  <w:r>
                    <w:rPr>
                      <w:rFonts w:ascii="Times New Roman" w:hAnsi="Times New Roman" w:eastAsia="宋体" w:cs="Times New Roman"/>
                      <w:b/>
                      <w:color w:val="000000" w:themeColor="text1"/>
                      <w:szCs w:val="21"/>
                      <w14:textFill>
                        <w14:solidFill>
                          <w14:schemeClr w14:val="tx1"/>
                        </w14:solidFill>
                      </w14:textFill>
                    </w:rPr>
                    <w:t>kg/h</w:t>
                  </w:r>
                </w:p>
              </w:tc>
              <w:tc>
                <w:tcPr>
                  <w:tcW w:w="325" w:type="pct"/>
                  <w:vAlign w:val="center"/>
                </w:tcPr>
                <w:p w14:paraId="6B79693D">
                  <w:pPr>
                    <w:ind w:left="-105" w:leftChars="-50" w:right="-105" w:rightChars="-5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排放量</w:t>
                  </w:r>
                  <w:r>
                    <w:rPr>
                      <w:rFonts w:ascii="Times New Roman" w:hAnsi="Times New Roman" w:eastAsia="宋体" w:cs="Times New Roman"/>
                      <w:b/>
                      <w:color w:val="000000" w:themeColor="text1"/>
                      <w:szCs w:val="21"/>
                      <w14:textFill>
                        <w14:solidFill>
                          <w14:schemeClr w14:val="tx1"/>
                        </w14:solidFill>
                      </w14:textFill>
                    </w:rPr>
                    <w:t>t/a</w:t>
                  </w:r>
                </w:p>
              </w:tc>
              <w:tc>
                <w:tcPr>
                  <w:tcW w:w="0" w:type="auto"/>
                  <w:vMerge w:val="continue"/>
                  <w:vAlign w:val="center"/>
                </w:tcPr>
                <w:p w14:paraId="4FCD0C60">
                  <w:pPr>
                    <w:widowControl/>
                    <w:jc w:val="left"/>
                    <w:rPr>
                      <w:rFonts w:ascii="Times New Roman" w:hAnsi="Times New Roman" w:eastAsia="宋体" w:cs="Times New Roman"/>
                      <w:b/>
                      <w:bCs/>
                      <w:color w:val="000000" w:themeColor="text1"/>
                      <w:szCs w:val="21"/>
                      <w14:textFill>
                        <w14:solidFill>
                          <w14:schemeClr w14:val="tx1"/>
                        </w14:solidFill>
                      </w14:textFill>
                    </w:rPr>
                  </w:pPr>
                </w:p>
              </w:tc>
            </w:tr>
            <w:tr w14:paraId="1F74F9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184" w:type="pct"/>
                  <w:vMerge w:val="restart"/>
                  <w:vAlign w:val="center"/>
                </w:tcPr>
                <w:p w14:paraId="3E07380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w:t>
                  </w:r>
                </w:p>
              </w:tc>
              <w:tc>
                <w:tcPr>
                  <w:tcW w:w="348" w:type="pct"/>
                  <w:vMerge w:val="restart"/>
                  <w:vAlign w:val="center"/>
                </w:tcPr>
                <w:p w14:paraId="08E77DD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隧道窑</w:t>
                  </w:r>
                </w:p>
              </w:tc>
              <w:tc>
                <w:tcPr>
                  <w:tcW w:w="283" w:type="pct"/>
                  <w:vMerge w:val="restart"/>
                  <w:vAlign w:val="center"/>
                </w:tcPr>
                <w:p w14:paraId="5D472E8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烧结</w:t>
                  </w:r>
                </w:p>
              </w:tc>
              <w:tc>
                <w:tcPr>
                  <w:tcW w:w="234" w:type="pct"/>
                  <w:vAlign w:val="center"/>
                </w:tcPr>
                <w:p w14:paraId="407964B6">
                  <w:pPr>
                    <w:widowControl/>
                    <w:ind w:left="-50" w:right="-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437" w:type="pct"/>
                  <w:vAlign w:val="center"/>
                </w:tcPr>
                <w:p w14:paraId="213303B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5.25</w:t>
                  </w:r>
                </w:p>
              </w:tc>
              <w:tc>
                <w:tcPr>
                  <w:tcW w:w="265" w:type="pct"/>
                  <w:vAlign w:val="center"/>
                </w:tcPr>
                <w:p w14:paraId="35D3A61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37.82</w:t>
                  </w:r>
                </w:p>
              </w:tc>
              <w:tc>
                <w:tcPr>
                  <w:tcW w:w="265" w:type="pct"/>
                  <w:vMerge w:val="restart"/>
                  <w:vAlign w:val="center"/>
                </w:tcPr>
                <w:p w14:paraId="0FDCEC7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有组织</w:t>
                  </w:r>
                </w:p>
              </w:tc>
              <w:tc>
                <w:tcPr>
                  <w:tcW w:w="533" w:type="pct"/>
                  <w:vMerge w:val="restart"/>
                  <w:vAlign w:val="center"/>
                </w:tcPr>
                <w:p w14:paraId="66E65FBF">
                  <w:pPr>
                    <w:adjustRightInd w:val="0"/>
                    <w:snapToGrid w:val="0"/>
                    <w:ind w:left="-105" w:leftChars="-50" w:right="-105" w:rightChars="-50"/>
                    <w:jc w:val="center"/>
                    <w:rPr>
                      <w:rFonts w:ascii="Times New Roman" w:hAnsi="Times New Roman" w:eastAsia="宋体" w:cs="Times New Roman"/>
                      <w:color w:val="000000" w:themeColor="text1"/>
                      <w:szCs w:val="24"/>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部分废气直接引至一套湿式脱硫塔处理后经18m排气筒（DA002）外排</w:t>
                  </w:r>
                  <w:r>
                    <w:rPr>
                      <w:rFonts w:hint="eastAsia" w:ascii="Times New Roman" w:hAnsi="Times New Roman" w:eastAsia="宋体" w:cs="Times New Roman"/>
                      <w:snapToGrid w:val="0"/>
                      <w:color w:val="000000" w:themeColor="text1"/>
                      <w:kern w:val="0"/>
                      <w:szCs w:val="21"/>
                      <w14:textFill>
                        <w14:solidFill>
                          <w14:schemeClr w14:val="tx1"/>
                        </w14:solidFill>
                      </w14:textFill>
                    </w:rPr>
                    <w:t>，部分废气</w:t>
                  </w:r>
                  <w:r>
                    <w:rPr>
                      <w:rFonts w:ascii="Times New Roman" w:hAnsi="Times New Roman" w:eastAsia="宋体" w:cs="Times New Roman"/>
                      <w:snapToGrid w:val="0"/>
                      <w:color w:val="000000" w:themeColor="text1"/>
                      <w:kern w:val="0"/>
                      <w:szCs w:val="21"/>
                      <w14:textFill>
                        <w14:solidFill>
                          <w14:schemeClr w14:val="tx1"/>
                        </w14:solidFill>
                      </w14:textFill>
                    </w:rPr>
                    <w:t>引致烘干窑</w:t>
                  </w:r>
                </w:p>
              </w:tc>
              <w:tc>
                <w:tcPr>
                  <w:tcW w:w="371" w:type="pct"/>
                  <w:vMerge w:val="restart"/>
                  <w:vAlign w:val="center"/>
                </w:tcPr>
                <w:p w14:paraId="0628A984">
                  <w:pPr>
                    <w:adjustRightInd w:val="0"/>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54000</w:t>
                  </w:r>
                </w:p>
              </w:tc>
              <w:tc>
                <w:tcPr>
                  <w:tcW w:w="227" w:type="pct"/>
                  <w:vMerge w:val="restart"/>
                  <w:vAlign w:val="center"/>
                </w:tcPr>
                <w:p w14:paraId="1990892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100%</w:t>
                  </w:r>
                </w:p>
              </w:tc>
              <w:tc>
                <w:tcPr>
                  <w:tcW w:w="227" w:type="pct"/>
                  <w:vAlign w:val="center"/>
                </w:tcPr>
                <w:p w14:paraId="08642E4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50%</w:t>
                  </w:r>
                </w:p>
              </w:tc>
              <w:tc>
                <w:tcPr>
                  <w:tcW w:w="318" w:type="pct"/>
                  <w:vMerge w:val="restart"/>
                  <w:vAlign w:val="center"/>
                </w:tcPr>
                <w:p w14:paraId="2BDE579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sym w:font="Wingdings" w:char="F0FE"/>
                  </w:r>
                  <w:r>
                    <w:rPr>
                      <w:rFonts w:ascii="Times New Roman" w:hAnsi="Times New Roman" w:eastAsia="宋体" w:cs="Times New Roman"/>
                      <w:color w:val="000000" w:themeColor="text1"/>
                      <w:szCs w:val="21"/>
                      <w14:textFill>
                        <w14:solidFill>
                          <w14:schemeClr w14:val="tx1"/>
                        </w14:solidFill>
                      </w14:textFill>
                    </w:rPr>
                    <w:t xml:space="preserve"> 是</w:t>
                  </w:r>
                </w:p>
                <w:p w14:paraId="050BDA6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sym w:font="Wingdings" w:char="F0A8"/>
                  </w:r>
                  <w:r>
                    <w:rPr>
                      <w:rFonts w:ascii="Times New Roman" w:hAnsi="Times New Roman" w:eastAsia="宋体" w:cs="Times New Roman"/>
                      <w:color w:val="000000" w:themeColor="text1"/>
                      <w:szCs w:val="21"/>
                      <w14:textFill>
                        <w14:solidFill>
                          <w14:schemeClr w14:val="tx1"/>
                        </w14:solidFill>
                      </w14:textFill>
                    </w:rPr>
                    <w:t xml:space="preserve"> 否</w:t>
                  </w:r>
                </w:p>
              </w:tc>
              <w:tc>
                <w:tcPr>
                  <w:tcW w:w="318" w:type="pct"/>
                  <w:vAlign w:val="center"/>
                </w:tcPr>
                <w:p w14:paraId="18D8A8EB">
                  <w:pPr>
                    <w:adjustRightInd w:val="0"/>
                    <w:ind w:left="-105" w:leftChars="-50" w:right="-105" w:rightChars="-5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14.56</w:t>
                  </w:r>
                </w:p>
              </w:tc>
              <w:tc>
                <w:tcPr>
                  <w:tcW w:w="425" w:type="pct"/>
                  <w:vAlign w:val="center"/>
                </w:tcPr>
                <w:p w14:paraId="43DBB1EC">
                  <w:pPr>
                    <w:adjustRightInd w:val="0"/>
                    <w:ind w:left="-105" w:leftChars="-50" w:right="-105" w:rightChars="-5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0.7716</w:t>
                  </w:r>
                </w:p>
              </w:tc>
              <w:tc>
                <w:tcPr>
                  <w:tcW w:w="325" w:type="pct"/>
                  <w:vAlign w:val="center"/>
                </w:tcPr>
                <w:p w14:paraId="33F14717">
                  <w:pPr>
                    <w:adjustRightInd w:val="0"/>
                    <w:ind w:left="-105" w:leftChars="-50" w:right="-105" w:rightChars="-5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5.5557</w:t>
                  </w:r>
                </w:p>
              </w:tc>
              <w:tc>
                <w:tcPr>
                  <w:tcW w:w="240" w:type="pct"/>
                  <w:vMerge w:val="restart"/>
                  <w:vAlign w:val="center"/>
                </w:tcPr>
                <w:p w14:paraId="0DE8C43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7200</w:t>
                  </w:r>
                </w:p>
              </w:tc>
            </w:tr>
            <w:tr w14:paraId="76F66A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184" w:type="pct"/>
                  <w:vMerge w:val="continue"/>
                  <w:vAlign w:val="center"/>
                </w:tcPr>
                <w:p w14:paraId="2E6FF40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48" w:type="pct"/>
                  <w:vMerge w:val="continue"/>
                  <w:vAlign w:val="center"/>
                </w:tcPr>
                <w:p w14:paraId="0C4F9AD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83" w:type="pct"/>
                  <w:vMerge w:val="continue"/>
                  <w:vAlign w:val="center"/>
                </w:tcPr>
                <w:p w14:paraId="2FB41AB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34" w:type="pct"/>
                  <w:vAlign w:val="center"/>
                </w:tcPr>
                <w:p w14:paraId="08470BCF">
                  <w:pPr>
                    <w:widowControl/>
                    <w:ind w:left="-50" w:right="-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SO</w:t>
                  </w:r>
                  <w:r>
                    <w:rPr>
                      <w:rFonts w:ascii="Times New Roman" w:hAnsi="Times New Roman" w:eastAsia="宋体" w:cs="Times New Roman"/>
                      <w:color w:val="000000" w:themeColor="text1"/>
                      <w:szCs w:val="21"/>
                      <w:vertAlign w:val="subscript"/>
                      <w14:textFill>
                        <w14:solidFill>
                          <w14:schemeClr w14:val="tx1"/>
                        </w14:solidFill>
                      </w14:textFill>
                    </w:rPr>
                    <w:t>2</w:t>
                  </w:r>
                </w:p>
              </w:tc>
              <w:tc>
                <w:tcPr>
                  <w:tcW w:w="437" w:type="pct"/>
                  <w:vAlign w:val="center"/>
                </w:tcPr>
                <w:p w14:paraId="4AEF90E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5.7</w:t>
                  </w:r>
                </w:p>
              </w:tc>
              <w:tc>
                <w:tcPr>
                  <w:tcW w:w="265" w:type="pct"/>
                  <w:vAlign w:val="center"/>
                </w:tcPr>
                <w:p w14:paraId="5D317B4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22.8</w:t>
                  </w:r>
                </w:p>
              </w:tc>
              <w:tc>
                <w:tcPr>
                  <w:tcW w:w="265" w:type="pct"/>
                  <w:vMerge w:val="continue"/>
                  <w:vAlign w:val="center"/>
                </w:tcPr>
                <w:p w14:paraId="17F1C7E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533" w:type="pct"/>
                  <w:vMerge w:val="continue"/>
                  <w:vAlign w:val="center"/>
                </w:tcPr>
                <w:p w14:paraId="7D0DC422">
                  <w:pPr>
                    <w:adjustRightInd w:val="0"/>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71" w:type="pct"/>
                  <w:vMerge w:val="continue"/>
                  <w:vAlign w:val="center"/>
                </w:tcPr>
                <w:p w14:paraId="5756E21B">
                  <w:pPr>
                    <w:adjustRightInd w:val="0"/>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27" w:type="pct"/>
                  <w:vMerge w:val="continue"/>
                  <w:vAlign w:val="center"/>
                </w:tcPr>
                <w:p w14:paraId="3F71555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27" w:type="pct"/>
                  <w:vAlign w:val="center"/>
                </w:tcPr>
                <w:p w14:paraId="1A2814D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90%</w:t>
                  </w:r>
                </w:p>
              </w:tc>
              <w:tc>
                <w:tcPr>
                  <w:tcW w:w="318" w:type="pct"/>
                  <w:vMerge w:val="continue"/>
                  <w:vAlign w:val="center"/>
                </w:tcPr>
                <w:p w14:paraId="43F4899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18" w:type="pct"/>
                  <w:vAlign w:val="center"/>
                </w:tcPr>
                <w:p w14:paraId="3BFB9539">
                  <w:pPr>
                    <w:adjustRightInd w:val="0"/>
                    <w:ind w:left="-105" w:leftChars="-50" w:right="-105" w:rightChars="-5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11.5</w:t>
                  </w:r>
                </w:p>
              </w:tc>
              <w:tc>
                <w:tcPr>
                  <w:tcW w:w="425" w:type="pct"/>
                  <w:vAlign w:val="center"/>
                </w:tcPr>
                <w:p w14:paraId="37F30713">
                  <w:pPr>
                    <w:adjustRightInd w:val="0"/>
                    <w:ind w:left="-105" w:leftChars="-50" w:right="-105" w:rightChars="-5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0.6093</w:t>
                  </w:r>
                </w:p>
              </w:tc>
              <w:tc>
                <w:tcPr>
                  <w:tcW w:w="325" w:type="pct"/>
                  <w:vAlign w:val="center"/>
                </w:tcPr>
                <w:p w14:paraId="0C5504A8">
                  <w:pPr>
                    <w:adjustRightInd w:val="0"/>
                    <w:ind w:left="-105" w:leftChars="-50" w:right="-105" w:rightChars="-5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4.3873</w:t>
                  </w:r>
                </w:p>
              </w:tc>
              <w:tc>
                <w:tcPr>
                  <w:tcW w:w="240" w:type="pct"/>
                  <w:vMerge w:val="continue"/>
                  <w:vAlign w:val="center"/>
                </w:tcPr>
                <w:p w14:paraId="151A920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r>
            <w:tr w14:paraId="3005B3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184" w:type="pct"/>
                  <w:vMerge w:val="continue"/>
                  <w:vAlign w:val="center"/>
                </w:tcPr>
                <w:p w14:paraId="064A069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48" w:type="pct"/>
                  <w:vMerge w:val="continue"/>
                  <w:vAlign w:val="center"/>
                </w:tcPr>
                <w:p w14:paraId="20A84FE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83" w:type="pct"/>
                  <w:vMerge w:val="continue"/>
                  <w:vAlign w:val="center"/>
                </w:tcPr>
                <w:p w14:paraId="790F25E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34" w:type="pct"/>
                  <w:vAlign w:val="center"/>
                </w:tcPr>
                <w:p w14:paraId="5A6A8D4C">
                  <w:pPr>
                    <w:widowControl/>
                    <w:ind w:left="-50" w:right="-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NOx</w:t>
                  </w:r>
                </w:p>
              </w:tc>
              <w:tc>
                <w:tcPr>
                  <w:tcW w:w="437" w:type="pct"/>
                  <w:vAlign w:val="center"/>
                </w:tcPr>
                <w:p w14:paraId="75C99B6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1.86</w:t>
                  </w:r>
                </w:p>
              </w:tc>
              <w:tc>
                <w:tcPr>
                  <w:tcW w:w="265" w:type="pct"/>
                  <w:vAlign w:val="center"/>
                </w:tcPr>
                <w:p w14:paraId="5076BFA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13.4</w:t>
                  </w:r>
                </w:p>
              </w:tc>
              <w:tc>
                <w:tcPr>
                  <w:tcW w:w="265" w:type="pct"/>
                  <w:vMerge w:val="continue"/>
                  <w:vAlign w:val="center"/>
                </w:tcPr>
                <w:p w14:paraId="025744D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533" w:type="pct"/>
                  <w:vMerge w:val="continue"/>
                  <w:vAlign w:val="center"/>
                </w:tcPr>
                <w:p w14:paraId="1FE1A471">
                  <w:pPr>
                    <w:adjustRightInd w:val="0"/>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71" w:type="pct"/>
                  <w:vMerge w:val="continue"/>
                  <w:vAlign w:val="center"/>
                </w:tcPr>
                <w:p w14:paraId="19EE1969">
                  <w:pPr>
                    <w:adjustRightInd w:val="0"/>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27" w:type="pct"/>
                  <w:vMerge w:val="continue"/>
                  <w:vAlign w:val="center"/>
                </w:tcPr>
                <w:p w14:paraId="514BB57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27" w:type="pct"/>
                  <w:vAlign w:val="center"/>
                </w:tcPr>
                <w:p w14:paraId="08B92B8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50%</w:t>
                  </w:r>
                </w:p>
              </w:tc>
              <w:tc>
                <w:tcPr>
                  <w:tcW w:w="318" w:type="pct"/>
                  <w:vMerge w:val="continue"/>
                  <w:vAlign w:val="center"/>
                </w:tcPr>
                <w:p w14:paraId="36411A4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18" w:type="pct"/>
                  <w:vAlign w:val="center"/>
                </w:tcPr>
                <w:p w14:paraId="3AF76FC2">
                  <w:pPr>
                    <w:adjustRightInd w:val="0"/>
                    <w:ind w:left="-105" w:leftChars="-50" w:right="-105" w:rightChars="-5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12</w:t>
                  </w:r>
                </w:p>
              </w:tc>
              <w:tc>
                <w:tcPr>
                  <w:tcW w:w="425" w:type="pct"/>
                  <w:vAlign w:val="center"/>
                </w:tcPr>
                <w:p w14:paraId="1ED1DC63">
                  <w:pPr>
                    <w:adjustRightInd w:val="0"/>
                    <w:ind w:left="-105" w:leftChars="-50" w:right="-105" w:rightChars="-5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0.6358</w:t>
                  </w:r>
                </w:p>
              </w:tc>
              <w:tc>
                <w:tcPr>
                  <w:tcW w:w="325" w:type="pct"/>
                  <w:vAlign w:val="center"/>
                </w:tcPr>
                <w:p w14:paraId="07E888D4">
                  <w:pPr>
                    <w:adjustRightInd w:val="0"/>
                    <w:ind w:left="-105" w:leftChars="-50" w:right="-105" w:rightChars="-5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4.5781</w:t>
                  </w:r>
                </w:p>
              </w:tc>
              <w:tc>
                <w:tcPr>
                  <w:tcW w:w="240" w:type="pct"/>
                  <w:vMerge w:val="continue"/>
                  <w:vAlign w:val="center"/>
                </w:tcPr>
                <w:p w14:paraId="4742AB0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r>
            <w:tr w14:paraId="18A296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184" w:type="pct"/>
                  <w:vMerge w:val="continue"/>
                  <w:vAlign w:val="center"/>
                </w:tcPr>
                <w:p w14:paraId="27A6995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48" w:type="pct"/>
                  <w:vMerge w:val="continue"/>
                  <w:vAlign w:val="center"/>
                </w:tcPr>
                <w:p w14:paraId="2E69F4E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83" w:type="pct"/>
                  <w:vMerge w:val="continue"/>
                  <w:vAlign w:val="center"/>
                </w:tcPr>
                <w:p w14:paraId="3518845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34" w:type="pct"/>
                  <w:vAlign w:val="center"/>
                </w:tcPr>
                <w:p w14:paraId="2A8B9213">
                  <w:pPr>
                    <w:widowControl/>
                    <w:ind w:left="-50" w:right="-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437" w:type="pct"/>
                  <w:vAlign w:val="center"/>
                </w:tcPr>
                <w:p w14:paraId="1B8C5A2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0.26</w:t>
                  </w:r>
                </w:p>
              </w:tc>
              <w:tc>
                <w:tcPr>
                  <w:tcW w:w="265" w:type="pct"/>
                  <w:vAlign w:val="center"/>
                </w:tcPr>
                <w:p w14:paraId="07C1AA9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1.86</w:t>
                  </w:r>
                </w:p>
              </w:tc>
              <w:tc>
                <w:tcPr>
                  <w:tcW w:w="265" w:type="pct"/>
                  <w:vMerge w:val="continue"/>
                  <w:vAlign w:val="center"/>
                </w:tcPr>
                <w:p w14:paraId="1363246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533" w:type="pct"/>
                  <w:vMerge w:val="continue"/>
                  <w:vAlign w:val="center"/>
                </w:tcPr>
                <w:p w14:paraId="1A97D4D0">
                  <w:pPr>
                    <w:adjustRightInd w:val="0"/>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71" w:type="pct"/>
                  <w:vMerge w:val="continue"/>
                  <w:vAlign w:val="center"/>
                </w:tcPr>
                <w:p w14:paraId="0CA6878C">
                  <w:pPr>
                    <w:adjustRightInd w:val="0"/>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27" w:type="pct"/>
                  <w:vMerge w:val="continue"/>
                  <w:vAlign w:val="center"/>
                </w:tcPr>
                <w:p w14:paraId="41CB8D9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27" w:type="pct"/>
                  <w:vAlign w:val="center"/>
                </w:tcPr>
                <w:p w14:paraId="26D02EA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60%</w:t>
                  </w:r>
                </w:p>
              </w:tc>
              <w:tc>
                <w:tcPr>
                  <w:tcW w:w="318" w:type="pct"/>
                  <w:vMerge w:val="continue"/>
                  <w:vAlign w:val="center"/>
                </w:tcPr>
                <w:p w14:paraId="31D41BF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18" w:type="pct"/>
                  <w:vAlign w:val="center"/>
                </w:tcPr>
                <w:p w14:paraId="05B2CCFF">
                  <w:pPr>
                    <w:adjustRightInd w:val="0"/>
                    <w:ind w:left="-105" w:leftChars="-50" w:right="-105" w:rightChars="-5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1.67</w:t>
                  </w:r>
                </w:p>
              </w:tc>
              <w:tc>
                <w:tcPr>
                  <w:tcW w:w="425" w:type="pct"/>
                  <w:vAlign w:val="center"/>
                </w:tcPr>
                <w:p w14:paraId="02275BBF">
                  <w:pPr>
                    <w:adjustRightInd w:val="0"/>
                    <w:ind w:left="-105" w:leftChars="-50" w:right="-105" w:rightChars="-5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0.0900</w:t>
                  </w:r>
                </w:p>
              </w:tc>
              <w:tc>
                <w:tcPr>
                  <w:tcW w:w="325" w:type="pct"/>
                  <w:vAlign w:val="center"/>
                </w:tcPr>
                <w:p w14:paraId="00DF1794">
                  <w:pPr>
                    <w:adjustRightInd w:val="0"/>
                    <w:ind w:left="-105" w:leftChars="-50" w:right="-105" w:rightChars="-5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0.648</w:t>
                  </w:r>
                </w:p>
              </w:tc>
              <w:tc>
                <w:tcPr>
                  <w:tcW w:w="240" w:type="pct"/>
                  <w:vMerge w:val="continue"/>
                  <w:vAlign w:val="center"/>
                </w:tcPr>
                <w:p w14:paraId="7D88269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r>
            <w:tr w14:paraId="75E68C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 w:hRule="atLeast"/>
                <w:jc w:val="center"/>
              </w:trPr>
              <w:tc>
                <w:tcPr>
                  <w:tcW w:w="0" w:type="auto"/>
                  <w:vMerge w:val="continue"/>
                  <w:vAlign w:val="center"/>
                </w:tcPr>
                <w:p w14:paraId="1677BCE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0" w:type="auto"/>
                  <w:vMerge w:val="continue"/>
                  <w:vAlign w:val="center"/>
                </w:tcPr>
                <w:p w14:paraId="3E1FD9B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0" w:type="auto"/>
                  <w:vMerge w:val="continue"/>
                  <w:vAlign w:val="center"/>
                </w:tcPr>
                <w:p w14:paraId="5707873F">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234" w:type="pct"/>
                  <w:vAlign w:val="center"/>
                </w:tcPr>
                <w:p w14:paraId="7535157F">
                  <w:pPr>
                    <w:ind w:left="-50" w:right="-5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14:textFill>
                        <w14:solidFill>
                          <w14:schemeClr w14:val="tx1"/>
                        </w14:solidFill>
                      </w14:textFill>
                    </w:rPr>
                    <w:t>二噁英</w:t>
                  </w:r>
                </w:p>
              </w:tc>
              <w:tc>
                <w:tcPr>
                  <w:tcW w:w="437" w:type="pct"/>
                  <w:vAlign w:val="center"/>
                </w:tcPr>
                <w:p w14:paraId="33C7771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szCs w:val="21"/>
                    </w:rPr>
                    <w:t>9.72</w:t>
                  </w:r>
                  <w:r>
                    <w:rPr>
                      <w:rFonts w:ascii="Times New Roman" w:hAnsi="Times New Roman" w:eastAsia="宋体" w:cs="Times New Roman"/>
                      <w:color w:val="000000" w:themeColor="text1"/>
                      <w:szCs w:val="21"/>
                      <w14:textFill>
                        <w14:solidFill>
                          <w14:schemeClr w14:val="tx1"/>
                        </w14:solidFill>
                      </w14:textFill>
                    </w:rPr>
                    <w:t xml:space="preserve"> ug/h</w:t>
                  </w:r>
                </w:p>
              </w:tc>
              <w:tc>
                <w:tcPr>
                  <w:tcW w:w="265" w:type="pct"/>
                  <w:vAlign w:val="center"/>
                </w:tcPr>
                <w:p w14:paraId="01DD421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szCs w:val="21"/>
                    </w:rPr>
                    <w:t>69.984</w:t>
                  </w:r>
                  <w:r>
                    <w:rPr>
                      <w:rFonts w:ascii="Times New Roman" w:hAnsi="Times New Roman" w:eastAsia="宋体" w:cs="Times New Roman"/>
                      <w:szCs w:val="21"/>
                    </w:rPr>
                    <w:t xml:space="preserve"> mg/a</w:t>
                  </w:r>
                </w:p>
              </w:tc>
              <w:tc>
                <w:tcPr>
                  <w:tcW w:w="0" w:type="auto"/>
                  <w:vMerge w:val="continue"/>
                  <w:vAlign w:val="center"/>
                </w:tcPr>
                <w:p w14:paraId="2516A937">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0" w:type="auto"/>
                  <w:vMerge w:val="continue"/>
                  <w:vAlign w:val="center"/>
                </w:tcPr>
                <w:p w14:paraId="791F1E58">
                  <w:pPr>
                    <w:widowControl/>
                    <w:jc w:val="left"/>
                    <w:rPr>
                      <w:rFonts w:ascii="Times New Roman" w:hAnsi="Times New Roman" w:eastAsia="宋体" w:cs="Times New Roman"/>
                      <w:color w:val="000000" w:themeColor="text1"/>
                      <w:szCs w:val="24"/>
                      <w14:textFill>
                        <w14:solidFill>
                          <w14:schemeClr w14:val="tx1"/>
                        </w14:solidFill>
                      </w14:textFill>
                    </w:rPr>
                  </w:pPr>
                </w:p>
              </w:tc>
              <w:tc>
                <w:tcPr>
                  <w:tcW w:w="0" w:type="auto"/>
                  <w:vMerge w:val="continue"/>
                  <w:vAlign w:val="center"/>
                </w:tcPr>
                <w:p w14:paraId="2440F62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0" w:type="auto"/>
                  <w:vMerge w:val="continue"/>
                  <w:vAlign w:val="center"/>
                </w:tcPr>
                <w:p w14:paraId="6DD33086">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0" w:type="auto"/>
                  <w:vAlign w:val="center"/>
                </w:tcPr>
                <w:p w14:paraId="710BC3BB">
                  <w:pPr>
                    <w:widowControl/>
                    <w:jc w:val="left"/>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14:textFill>
                        <w14:solidFill>
                          <w14:schemeClr w14:val="tx1"/>
                        </w14:solidFill>
                      </w14:textFill>
                    </w:rPr>
                    <w:t>0</w:t>
                  </w:r>
                  <w:r>
                    <w:rPr>
                      <w:rFonts w:ascii="Times New Roman" w:hAnsi="Times New Roman" w:eastAsia="宋体" w:cs="Times New Roman"/>
                      <w:color w:val="000000" w:themeColor="text1"/>
                      <w:szCs w:val="21"/>
                      <w14:textFill>
                        <w14:solidFill>
                          <w14:schemeClr w14:val="tx1"/>
                        </w14:solidFill>
                      </w14:textFill>
                    </w:rPr>
                    <w:t>%</w:t>
                  </w:r>
                </w:p>
              </w:tc>
              <w:tc>
                <w:tcPr>
                  <w:tcW w:w="0" w:type="auto"/>
                  <w:vMerge w:val="continue"/>
                  <w:vAlign w:val="center"/>
                </w:tcPr>
                <w:p w14:paraId="4E1EB677">
                  <w:pPr>
                    <w:widowControl/>
                    <w:jc w:val="center"/>
                    <w:rPr>
                      <w:rFonts w:ascii="Times New Roman" w:hAnsi="Times New Roman" w:eastAsia="宋体" w:cs="Times New Roman"/>
                      <w:color w:val="000000" w:themeColor="text1"/>
                      <w:szCs w:val="21"/>
                      <w14:textFill>
                        <w14:solidFill>
                          <w14:schemeClr w14:val="tx1"/>
                        </w14:solidFill>
                      </w14:textFill>
                    </w:rPr>
                  </w:pPr>
                </w:p>
              </w:tc>
              <w:tc>
                <w:tcPr>
                  <w:tcW w:w="318" w:type="pct"/>
                  <w:vAlign w:val="center"/>
                </w:tcPr>
                <w:p w14:paraId="42E4F6D4">
                  <w:pPr>
                    <w:adjustRightInd w:val="0"/>
                    <w:ind w:left="-105" w:leftChars="-50" w:right="-105" w:rightChars="-5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cs="Times New Roman"/>
                      <w:color w:val="000000"/>
                      <w:szCs w:val="21"/>
                    </w:rPr>
                    <w:t>0.18</w:t>
                  </w:r>
                  <w:r>
                    <w:rPr>
                      <w:rFonts w:hint="eastAsia" w:ascii="Times New Roman" w:hAnsi="Times New Roman" w:eastAsia="宋体" w:cs="Times New Roman"/>
                      <w:color w:val="000000" w:themeColor="text1"/>
                      <w:szCs w:val="21"/>
                      <w14:textFill>
                        <w14:solidFill>
                          <w14:schemeClr w14:val="tx1"/>
                        </w14:solidFill>
                      </w14:textFill>
                    </w:rPr>
                    <w:t xml:space="preserve"> ng/m</w:t>
                  </w:r>
                  <w:r>
                    <w:rPr>
                      <w:rFonts w:hint="eastAsia" w:ascii="Times New Roman" w:hAnsi="Times New Roman" w:eastAsia="宋体" w:cs="Times New Roman"/>
                      <w:color w:val="000000" w:themeColor="text1"/>
                      <w:szCs w:val="21"/>
                      <w:vertAlign w:val="superscript"/>
                      <w14:textFill>
                        <w14:solidFill>
                          <w14:schemeClr w14:val="tx1"/>
                        </w14:solidFill>
                      </w14:textFill>
                    </w:rPr>
                    <w:t>3</w:t>
                  </w:r>
                </w:p>
              </w:tc>
              <w:tc>
                <w:tcPr>
                  <w:tcW w:w="425" w:type="pct"/>
                  <w:vAlign w:val="center"/>
                </w:tcPr>
                <w:p w14:paraId="731AF606">
                  <w:pPr>
                    <w:adjustRightInd w:val="0"/>
                    <w:ind w:left="-105" w:leftChars="-50" w:right="-105" w:rightChars="-5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cs="Times New Roman"/>
                      <w:color w:val="000000"/>
                      <w:szCs w:val="21"/>
                    </w:rPr>
                    <w:t>9.72</w:t>
                  </w:r>
                  <w:r>
                    <w:rPr>
                      <w:rFonts w:ascii="Times New Roman" w:hAnsi="Times New Roman" w:eastAsia="宋体" w:cs="Times New Roman"/>
                      <w:color w:val="000000" w:themeColor="text1"/>
                      <w:szCs w:val="21"/>
                      <w14:textFill>
                        <w14:solidFill>
                          <w14:schemeClr w14:val="tx1"/>
                        </w14:solidFill>
                      </w14:textFill>
                    </w:rPr>
                    <w:t xml:space="preserve"> ug/h</w:t>
                  </w:r>
                </w:p>
              </w:tc>
              <w:tc>
                <w:tcPr>
                  <w:tcW w:w="325" w:type="pct"/>
                  <w:vAlign w:val="center"/>
                </w:tcPr>
                <w:p w14:paraId="77D26DE6">
                  <w:pPr>
                    <w:adjustRightInd w:val="0"/>
                    <w:ind w:left="-105" w:leftChars="-50" w:right="-105" w:rightChars="-5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cs="Times New Roman"/>
                      <w:color w:val="000000"/>
                      <w:szCs w:val="21"/>
                    </w:rPr>
                    <w:t>69.984</w:t>
                  </w:r>
                  <w:r>
                    <w:rPr>
                      <w:rFonts w:ascii="Times New Roman" w:hAnsi="Times New Roman" w:eastAsia="宋体" w:cs="Times New Roman"/>
                      <w:szCs w:val="21"/>
                    </w:rPr>
                    <w:t xml:space="preserve"> mg/a</w:t>
                  </w:r>
                </w:p>
              </w:tc>
              <w:tc>
                <w:tcPr>
                  <w:tcW w:w="0" w:type="auto"/>
                  <w:vMerge w:val="continue"/>
                  <w:vAlign w:val="center"/>
                </w:tcPr>
                <w:p w14:paraId="32EAC3BA">
                  <w:pPr>
                    <w:widowControl/>
                    <w:jc w:val="left"/>
                    <w:rPr>
                      <w:rFonts w:ascii="Times New Roman" w:hAnsi="Times New Roman" w:eastAsia="宋体" w:cs="Times New Roman"/>
                      <w:color w:val="000000" w:themeColor="text1"/>
                      <w:szCs w:val="21"/>
                      <w14:textFill>
                        <w14:solidFill>
                          <w14:schemeClr w14:val="tx1"/>
                        </w14:solidFill>
                      </w14:textFill>
                    </w:rPr>
                  </w:pPr>
                </w:p>
              </w:tc>
            </w:tr>
            <w:tr w14:paraId="45D90B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 w:hRule="atLeast"/>
                <w:jc w:val="center"/>
              </w:trPr>
              <w:tc>
                <w:tcPr>
                  <w:tcW w:w="184" w:type="pct"/>
                  <w:vMerge w:val="restart"/>
                  <w:vAlign w:val="center"/>
                </w:tcPr>
                <w:p w14:paraId="7DFF476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w:t>
                  </w:r>
                </w:p>
              </w:tc>
              <w:tc>
                <w:tcPr>
                  <w:tcW w:w="348" w:type="pct"/>
                  <w:vMerge w:val="restart"/>
                  <w:vAlign w:val="center"/>
                </w:tcPr>
                <w:p w14:paraId="3673A4E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烘干窑</w:t>
                  </w:r>
                </w:p>
              </w:tc>
              <w:tc>
                <w:tcPr>
                  <w:tcW w:w="283" w:type="pct"/>
                  <w:vMerge w:val="restart"/>
                  <w:vAlign w:val="center"/>
                </w:tcPr>
                <w:p w14:paraId="74F4402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烘干</w:t>
                  </w:r>
                </w:p>
              </w:tc>
              <w:tc>
                <w:tcPr>
                  <w:tcW w:w="234" w:type="pct"/>
                  <w:vAlign w:val="center"/>
                </w:tcPr>
                <w:p w14:paraId="3623AF7D">
                  <w:pPr>
                    <w:widowControl/>
                    <w:ind w:left="-50" w:right="-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437" w:type="pct"/>
                  <w:vAlign w:val="center"/>
                </w:tcPr>
                <w:p w14:paraId="7C1E457B">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265" w:type="pct"/>
                  <w:vAlign w:val="center"/>
                </w:tcPr>
                <w:p w14:paraId="1B6FFC70">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265" w:type="pct"/>
                  <w:vMerge w:val="restart"/>
                  <w:vAlign w:val="center"/>
                </w:tcPr>
                <w:p w14:paraId="5D9C930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有组织</w:t>
                  </w:r>
                </w:p>
              </w:tc>
              <w:tc>
                <w:tcPr>
                  <w:tcW w:w="533" w:type="pct"/>
                  <w:vMerge w:val="restart"/>
                  <w:vAlign w:val="center"/>
                </w:tcPr>
                <w:p w14:paraId="5A18B0E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一套湿式脱硫塔处理后经18m排气筒（DA003）外排</w:t>
                  </w:r>
                </w:p>
              </w:tc>
              <w:tc>
                <w:tcPr>
                  <w:tcW w:w="371" w:type="pct"/>
                  <w:vMerge w:val="restart"/>
                  <w:vAlign w:val="center"/>
                </w:tcPr>
                <w:p w14:paraId="2E0BBAA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52000</w:t>
                  </w:r>
                </w:p>
              </w:tc>
              <w:tc>
                <w:tcPr>
                  <w:tcW w:w="227" w:type="pct"/>
                  <w:vMerge w:val="restart"/>
                  <w:vAlign w:val="center"/>
                </w:tcPr>
                <w:p w14:paraId="70B5F29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100%</w:t>
                  </w:r>
                </w:p>
              </w:tc>
              <w:tc>
                <w:tcPr>
                  <w:tcW w:w="227" w:type="pct"/>
                  <w:vAlign w:val="center"/>
                </w:tcPr>
                <w:p w14:paraId="575A48B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50%</w:t>
                  </w:r>
                </w:p>
              </w:tc>
              <w:tc>
                <w:tcPr>
                  <w:tcW w:w="318" w:type="pct"/>
                  <w:vMerge w:val="restart"/>
                  <w:vAlign w:val="center"/>
                </w:tcPr>
                <w:p w14:paraId="62C6C73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sym w:font="Wingdings" w:char="F0FE"/>
                  </w:r>
                  <w:r>
                    <w:rPr>
                      <w:rFonts w:ascii="Times New Roman" w:hAnsi="Times New Roman" w:eastAsia="宋体" w:cs="Times New Roman"/>
                      <w:color w:val="000000" w:themeColor="text1"/>
                      <w:szCs w:val="21"/>
                      <w14:textFill>
                        <w14:solidFill>
                          <w14:schemeClr w14:val="tx1"/>
                        </w14:solidFill>
                      </w14:textFill>
                    </w:rPr>
                    <w:t xml:space="preserve"> 是</w:t>
                  </w:r>
                </w:p>
                <w:p w14:paraId="5169180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sym w:font="Wingdings" w:char="F0A8"/>
                  </w:r>
                  <w:r>
                    <w:rPr>
                      <w:rFonts w:ascii="Times New Roman" w:hAnsi="Times New Roman" w:eastAsia="宋体" w:cs="Times New Roman"/>
                      <w:color w:val="000000" w:themeColor="text1"/>
                      <w:szCs w:val="21"/>
                      <w14:textFill>
                        <w14:solidFill>
                          <w14:schemeClr w14:val="tx1"/>
                        </w14:solidFill>
                      </w14:textFill>
                    </w:rPr>
                    <w:t xml:space="preserve"> 否/</w:t>
                  </w:r>
                </w:p>
              </w:tc>
              <w:tc>
                <w:tcPr>
                  <w:tcW w:w="318" w:type="pct"/>
                  <w:vAlign w:val="center"/>
                </w:tcPr>
                <w:p w14:paraId="2933FD4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12.8</w:t>
                  </w:r>
                </w:p>
              </w:tc>
              <w:tc>
                <w:tcPr>
                  <w:tcW w:w="425" w:type="pct"/>
                  <w:vAlign w:val="center"/>
                </w:tcPr>
                <w:p w14:paraId="3A8A8F45">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0.6575</w:t>
                  </w:r>
                </w:p>
              </w:tc>
              <w:tc>
                <w:tcPr>
                  <w:tcW w:w="325" w:type="pct"/>
                  <w:vAlign w:val="center"/>
                </w:tcPr>
                <w:p w14:paraId="34155AC2">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4.7341</w:t>
                  </w:r>
                </w:p>
              </w:tc>
              <w:tc>
                <w:tcPr>
                  <w:tcW w:w="240" w:type="pct"/>
                  <w:vMerge w:val="restart"/>
                  <w:vAlign w:val="center"/>
                </w:tcPr>
                <w:p w14:paraId="117BDE1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7200</w:t>
                  </w:r>
                </w:p>
              </w:tc>
            </w:tr>
            <w:tr w14:paraId="7B81E2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 w:hRule="atLeast"/>
                <w:jc w:val="center"/>
              </w:trPr>
              <w:tc>
                <w:tcPr>
                  <w:tcW w:w="184" w:type="pct"/>
                  <w:vMerge w:val="continue"/>
                  <w:vAlign w:val="center"/>
                </w:tcPr>
                <w:p w14:paraId="39644B0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48" w:type="pct"/>
                  <w:vMerge w:val="continue"/>
                  <w:vAlign w:val="center"/>
                </w:tcPr>
                <w:p w14:paraId="01A1585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83" w:type="pct"/>
                  <w:vMerge w:val="continue"/>
                  <w:vAlign w:val="center"/>
                </w:tcPr>
                <w:p w14:paraId="1A4B3AC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34" w:type="pct"/>
                  <w:vAlign w:val="center"/>
                </w:tcPr>
                <w:p w14:paraId="471CE219">
                  <w:pPr>
                    <w:widowControl/>
                    <w:ind w:left="-50" w:right="-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SO</w:t>
                  </w:r>
                  <w:r>
                    <w:rPr>
                      <w:rFonts w:ascii="Times New Roman" w:hAnsi="Times New Roman" w:eastAsia="宋体" w:cs="Times New Roman"/>
                      <w:color w:val="000000" w:themeColor="text1"/>
                      <w:szCs w:val="21"/>
                      <w:vertAlign w:val="subscript"/>
                      <w14:textFill>
                        <w14:solidFill>
                          <w14:schemeClr w14:val="tx1"/>
                        </w14:solidFill>
                      </w14:textFill>
                    </w:rPr>
                    <w:t>2</w:t>
                  </w:r>
                </w:p>
              </w:tc>
              <w:tc>
                <w:tcPr>
                  <w:tcW w:w="437" w:type="pct"/>
                  <w:vAlign w:val="center"/>
                </w:tcPr>
                <w:p w14:paraId="3568686D">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265" w:type="pct"/>
                  <w:vAlign w:val="center"/>
                </w:tcPr>
                <w:p w14:paraId="2111398E">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265" w:type="pct"/>
                  <w:vMerge w:val="continue"/>
                  <w:vAlign w:val="center"/>
                </w:tcPr>
                <w:p w14:paraId="6B1ABC2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533" w:type="pct"/>
                  <w:vMerge w:val="continue"/>
                  <w:vAlign w:val="center"/>
                </w:tcPr>
                <w:p w14:paraId="2856A5B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71" w:type="pct"/>
                  <w:vMerge w:val="continue"/>
                  <w:vAlign w:val="center"/>
                </w:tcPr>
                <w:p w14:paraId="6E8BF0D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27" w:type="pct"/>
                  <w:vMerge w:val="continue"/>
                  <w:vAlign w:val="center"/>
                </w:tcPr>
                <w:p w14:paraId="3316ECA3">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27" w:type="pct"/>
                  <w:vAlign w:val="center"/>
                </w:tcPr>
                <w:p w14:paraId="1C7CA20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90%</w:t>
                  </w:r>
                </w:p>
              </w:tc>
              <w:tc>
                <w:tcPr>
                  <w:tcW w:w="318" w:type="pct"/>
                  <w:vMerge w:val="continue"/>
                  <w:vAlign w:val="center"/>
                </w:tcPr>
                <w:p w14:paraId="2FB2810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18" w:type="pct"/>
                  <w:vAlign w:val="center"/>
                </w:tcPr>
                <w:p w14:paraId="44C431C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11.63</w:t>
                  </w:r>
                </w:p>
              </w:tc>
              <w:tc>
                <w:tcPr>
                  <w:tcW w:w="425" w:type="pct"/>
                  <w:vAlign w:val="center"/>
                </w:tcPr>
                <w:p w14:paraId="631912C2">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0.5966</w:t>
                  </w:r>
                </w:p>
              </w:tc>
              <w:tc>
                <w:tcPr>
                  <w:tcW w:w="325" w:type="pct"/>
                  <w:vAlign w:val="center"/>
                </w:tcPr>
                <w:p w14:paraId="1E0832E8">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4.2953</w:t>
                  </w:r>
                </w:p>
              </w:tc>
              <w:tc>
                <w:tcPr>
                  <w:tcW w:w="240" w:type="pct"/>
                  <w:vMerge w:val="continue"/>
                  <w:vAlign w:val="center"/>
                </w:tcPr>
                <w:p w14:paraId="4671969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r>
            <w:tr w14:paraId="3CD656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 w:hRule="atLeast"/>
                <w:jc w:val="center"/>
              </w:trPr>
              <w:tc>
                <w:tcPr>
                  <w:tcW w:w="184" w:type="pct"/>
                  <w:vMerge w:val="continue"/>
                  <w:vAlign w:val="center"/>
                </w:tcPr>
                <w:p w14:paraId="319EB39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48" w:type="pct"/>
                  <w:vMerge w:val="continue"/>
                  <w:vAlign w:val="center"/>
                </w:tcPr>
                <w:p w14:paraId="790DD50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83" w:type="pct"/>
                  <w:vMerge w:val="continue"/>
                  <w:vAlign w:val="center"/>
                </w:tcPr>
                <w:p w14:paraId="722CD8A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34" w:type="pct"/>
                  <w:vAlign w:val="center"/>
                </w:tcPr>
                <w:p w14:paraId="7078D357">
                  <w:pPr>
                    <w:widowControl/>
                    <w:ind w:left="-50" w:right="-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NOx</w:t>
                  </w:r>
                </w:p>
              </w:tc>
              <w:tc>
                <w:tcPr>
                  <w:tcW w:w="437" w:type="pct"/>
                  <w:vAlign w:val="center"/>
                </w:tcPr>
                <w:p w14:paraId="581145D6">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265" w:type="pct"/>
                  <w:vAlign w:val="center"/>
                </w:tcPr>
                <w:p w14:paraId="604AC278">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265" w:type="pct"/>
                  <w:vMerge w:val="continue"/>
                  <w:vAlign w:val="center"/>
                </w:tcPr>
                <w:p w14:paraId="6D2E68B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533" w:type="pct"/>
                  <w:vMerge w:val="continue"/>
                  <w:vAlign w:val="center"/>
                </w:tcPr>
                <w:p w14:paraId="0F0EB2A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71" w:type="pct"/>
                  <w:vMerge w:val="continue"/>
                  <w:vAlign w:val="center"/>
                </w:tcPr>
                <w:p w14:paraId="7DF80EB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27" w:type="pct"/>
                  <w:vMerge w:val="continue"/>
                  <w:vAlign w:val="center"/>
                </w:tcPr>
                <w:p w14:paraId="5E271C1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27" w:type="pct"/>
                  <w:vAlign w:val="center"/>
                </w:tcPr>
                <w:p w14:paraId="50CA7B4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50%</w:t>
                  </w:r>
                </w:p>
              </w:tc>
              <w:tc>
                <w:tcPr>
                  <w:tcW w:w="318" w:type="pct"/>
                  <w:vMerge w:val="continue"/>
                  <w:vAlign w:val="center"/>
                </w:tcPr>
                <w:p w14:paraId="1F16A45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18" w:type="pct"/>
                  <w:vAlign w:val="center"/>
                </w:tcPr>
                <w:p w14:paraId="6CD1FD1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12</w:t>
                  </w:r>
                </w:p>
              </w:tc>
              <w:tc>
                <w:tcPr>
                  <w:tcW w:w="425" w:type="pct"/>
                  <w:vAlign w:val="center"/>
                </w:tcPr>
                <w:p w14:paraId="3945C16B">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0.6158</w:t>
                  </w:r>
                </w:p>
              </w:tc>
              <w:tc>
                <w:tcPr>
                  <w:tcW w:w="325" w:type="pct"/>
                  <w:vAlign w:val="center"/>
                </w:tcPr>
                <w:p w14:paraId="274BB2D6">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4.4339</w:t>
                  </w:r>
                </w:p>
              </w:tc>
              <w:tc>
                <w:tcPr>
                  <w:tcW w:w="240" w:type="pct"/>
                  <w:vMerge w:val="continue"/>
                  <w:vAlign w:val="center"/>
                </w:tcPr>
                <w:p w14:paraId="49B340F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r>
            <w:tr w14:paraId="7BEBD8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 w:hRule="atLeast"/>
                <w:jc w:val="center"/>
              </w:trPr>
              <w:tc>
                <w:tcPr>
                  <w:tcW w:w="184" w:type="pct"/>
                  <w:vMerge w:val="continue"/>
                  <w:vAlign w:val="center"/>
                </w:tcPr>
                <w:p w14:paraId="33F3B29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48" w:type="pct"/>
                  <w:vMerge w:val="continue"/>
                  <w:vAlign w:val="center"/>
                </w:tcPr>
                <w:p w14:paraId="39FB0AA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83" w:type="pct"/>
                  <w:vMerge w:val="continue"/>
                  <w:vAlign w:val="center"/>
                </w:tcPr>
                <w:p w14:paraId="4554A8A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34" w:type="pct"/>
                  <w:vAlign w:val="center"/>
                </w:tcPr>
                <w:p w14:paraId="34358F0B">
                  <w:pPr>
                    <w:widowControl/>
                    <w:ind w:left="-50" w:right="-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437" w:type="pct"/>
                  <w:vAlign w:val="center"/>
                </w:tcPr>
                <w:p w14:paraId="6C17B8A3">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265" w:type="pct"/>
                  <w:vAlign w:val="center"/>
                </w:tcPr>
                <w:p w14:paraId="2C700691">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265" w:type="pct"/>
                  <w:vMerge w:val="continue"/>
                  <w:vAlign w:val="center"/>
                </w:tcPr>
                <w:p w14:paraId="55A52AB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533" w:type="pct"/>
                  <w:vMerge w:val="continue"/>
                  <w:vAlign w:val="center"/>
                </w:tcPr>
                <w:p w14:paraId="72B814F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71" w:type="pct"/>
                  <w:vMerge w:val="continue"/>
                  <w:vAlign w:val="center"/>
                </w:tcPr>
                <w:p w14:paraId="4E7965A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27" w:type="pct"/>
                  <w:vMerge w:val="continue"/>
                  <w:vAlign w:val="center"/>
                </w:tcPr>
                <w:p w14:paraId="12E83D5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27" w:type="pct"/>
                  <w:vAlign w:val="center"/>
                </w:tcPr>
                <w:p w14:paraId="062E2A1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60%</w:t>
                  </w:r>
                </w:p>
              </w:tc>
              <w:tc>
                <w:tcPr>
                  <w:tcW w:w="318" w:type="pct"/>
                  <w:vMerge w:val="continue"/>
                  <w:vAlign w:val="center"/>
                </w:tcPr>
                <w:p w14:paraId="4C589AB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18" w:type="pct"/>
                  <w:vAlign w:val="center"/>
                </w:tcPr>
                <w:p w14:paraId="4098A4A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0.88</w:t>
                  </w:r>
                </w:p>
              </w:tc>
              <w:tc>
                <w:tcPr>
                  <w:tcW w:w="425" w:type="pct"/>
                  <w:vAlign w:val="center"/>
                </w:tcPr>
                <w:p w14:paraId="106C6910">
                  <w:pPr>
                    <w:adjustRightInd w:val="0"/>
                    <w:jc w:val="center"/>
                    <w:textAlignment w:val="baseline"/>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0.0458</w:t>
                  </w:r>
                </w:p>
              </w:tc>
              <w:tc>
                <w:tcPr>
                  <w:tcW w:w="325" w:type="pct"/>
                  <w:vAlign w:val="center"/>
                </w:tcPr>
                <w:p w14:paraId="484D34AB">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0.3294</w:t>
                  </w:r>
                </w:p>
              </w:tc>
              <w:tc>
                <w:tcPr>
                  <w:tcW w:w="240" w:type="pct"/>
                  <w:vMerge w:val="continue"/>
                  <w:vAlign w:val="center"/>
                </w:tcPr>
                <w:p w14:paraId="4AD5A24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r>
            <w:tr w14:paraId="66CB2E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 w:hRule="atLeast"/>
                <w:jc w:val="center"/>
              </w:trPr>
              <w:tc>
                <w:tcPr>
                  <w:tcW w:w="0" w:type="auto"/>
                  <w:vMerge w:val="continue"/>
                  <w:vAlign w:val="center"/>
                </w:tcPr>
                <w:p w14:paraId="2716646F">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0" w:type="auto"/>
                  <w:vMerge w:val="continue"/>
                  <w:vAlign w:val="center"/>
                </w:tcPr>
                <w:p w14:paraId="6A7320F3">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0" w:type="auto"/>
                  <w:vMerge w:val="continue"/>
                  <w:vAlign w:val="center"/>
                </w:tcPr>
                <w:p w14:paraId="7C9279D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234" w:type="pct"/>
                  <w:vAlign w:val="center"/>
                </w:tcPr>
                <w:p w14:paraId="63EB4F93">
                  <w:pPr>
                    <w:ind w:left="-50" w:right="-5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14:textFill>
                        <w14:solidFill>
                          <w14:schemeClr w14:val="tx1"/>
                        </w14:solidFill>
                      </w14:textFill>
                    </w:rPr>
                    <w:t>二噁英</w:t>
                  </w:r>
                </w:p>
              </w:tc>
              <w:tc>
                <w:tcPr>
                  <w:tcW w:w="437" w:type="pct"/>
                  <w:vAlign w:val="center"/>
                </w:tcPr>
                <w:p w14:paraId="7BF9FFC0">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cs="Times New Roman"/>
                      <w:color w:val="000000"/>
                      <w:szCs w:val="21"/>
                    </w:rPr>
                    <w:t>9.36</w:t>
                  </w:r>
                  <w:r>
                    <w:rPr>
                      <w:rFonts w:ascii="Times New Roman" w:hAnsi="Times New Roman" w:eastAsia="宋体" w:cs="Times New Roman"/>
                      <w:color w:val="000000" w:themeColor="text1"/>
                      <w:szCs w:val="21"/>
                      <w14:textFill>
                        <w14:solidFill>
                          <w14:schemeClr w14:val="tx1"/>
                        </w14:solidFill>
                      </w14:textFill>
                    </w:rPr>
                    <w:t xml:space="preserve"> ug/h</w:t>
                  </w:r>
                </w:p>
              </w:tc>
              <w:tc>
                <w:tcPr>
                  <w:tcW w:w="265" w:type="pct"/>
                  <w:vAlign w:val="center"/>
                </w:tcPr>
                <w:p w14:paraId="10776D3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szCs w:val="21"/>
                    </w:rPr>
                    <w:t>67.392</w:t>
                  </w:r>
                  <w:r>
                    <w:rPr>
                      <w:rFonts w:ascii="Times New Roman" w:hAnsi="Times New Roman" w:eastAsia="宋体" w:cs="Times New Roman"/>
                      <w:szCs w:val="21"/>
                    </w:rPr>
                    <w:t xml:space="preserve"> mg/a</w:t>
                  </w:r>
                </w:p>
              </w:tc>
              <w:tc>
                <w:tcPr>
                  <w:tcW w:w="0" w:type="auto"/>
                  <w:vMerge w:val="continue"/>
                  <w:vAlign w:val="center"/>
                </w:tcPr>
                <w:p w14:paraId="0CF9A1D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0" w:type="auto"/>
                  <w:vMerge w:val="continue"/>
                  <w:vAlign w:val="center"/>
                </w:tcPr>
                <w:p w14:paraId="6AABD4C3">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0" w:type="auto"/>
                  <w:vMerge w:val="continue"/>
                  <w:vAlign w:val="center"/>
                </w:tcPr>
                <w:p w14:paraId="4AD24BE1">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0" w:type="auto"/>
                  <w:vMerge w:val="continue"/>
                  <w:vAlign w:val="center"/>
                </w:tcPr>
                <w:p w14:paraId="7E24213D">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0" w:type="auto"/>
                  <w:vAlign w:val="center"/>
                </w:tcPr>
                <w:p w14:paraId="266C695D">
                  <w:pPr>
                    <w:widowControl/>
                    <w:jc w:val="left"/>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14:textFill>
                        <w14:solidFill>
                          <w14:schemeClr w14:val="tx1"/>
                        </w14:solidFill>
                      </w14:textFill>
                    </w:rPr>
                    <w:t>0</w:t>
                  </w:r>
                  <w:r>
                    <w:rPr>
                      <w:rFonts w:ascii="Times New Roman" w:hAnsi="Times New Roman" w:eastAsia="宋体" w:cs="Times New Roman"/>
                      <w:color w:val="000000" w:themeColor="text1"/>
                      <w:szCs w:val="21"/>
                      <w14:textFill>
                        <w14:solidFill>
                          <w14:schemeClr w14:val="tx1"/>
                        </w14:solidFill>
                      </w14:textFill>
                    </w:rPr>
                    <w:t>%</w:t>
                  </w:r>
                </w:p>
              </w:tc>
              <w:tc>
                <w:tcPr>
                  <w:tcW w:w="0" w:type="auto"/>
                  <w:vMerge w:val="continue"/>
                  <w:vAlign w:val="center"/>
                </w:tcPr>
                <w:p w14:paraId="0C32093C">
                  <w:pPr>
                    <w:widowControl/>
                    <w:jc w:val="center"/>
                    <w:rPr>
                      <w:rFonts w:ascii="Times New Roman" w:hAnsi="Times New Roman" w:eastAsia="宋体" w:cs="Times New Roman"/>
                      <w:color w:val="000000" w:themeColor="text1"/>
                      <w:szCs w:val="21"/>
                      <w14:textFill>
                        <w14:solidFill>
                          <w14:schemeClr w14:val="tx1"/>
                        </w14:solidFill>
                      </w14:textFill>
                    </w:rPr>
                  </w:pPr>
                </w:p>
              </w:tc>
              <w:tc>
                <w:tcPr>
                  <w:tcW w:w="318" w:type="pct"/>
                  <w:vAlign w:val="center"/>
                </w:tcPr>
                <w:p w14:paraId="67BF8F9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14:textFill>
                        <w14:solidFill>
                          <w14:schemeClr w14:val="tx1"/>
                        </w14:solidFill>
                      </w14:textFill>
                    </w:rPr>
                    <w:t>0.18ng/m</w:t>
                  </w:r>
                  <w:r>
                    <w:rPr>
                      <w:rFonts w:hint="eastAsia" w:ascii="Times New Roman" w:hAnsi="Times New Roman" w:eastAsia="宋体" w:cs="Times New Roman"/>
                      <w:color w:val="000000" w:themeColor="text1"/>
                      <w:szCs w:val="21"/>
                      <w:vertAlign w:val="superscript"/>
                      <w14:textFill>
                        <w14:solidFill>
                          <w14:schemeClr w14:val="tx1"/>
                        </w14:solidFill>
                      </w14:textFill>
                    </w:rPr>
                    <w:t>3</w:t>
                  </w:r>
                </w:p>
              </w:tc>
              <w:tc>
                <w:tcPr>
                  <w:tcW w:w="425" w:type="pct"/>
                  <w:vAlign w:val="center"/>
                </w:tcPr>
                <w:p w14:paraId="704B0851">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cs="Times New Roman"/>
                      <w:color w:val="000000"/>
                      <w:szCs w:val="21"/>
                    </w:rPr>
                    <w:t>9.36</w:t>
                  </w:r>
                  <w:r>
                    <w:rPr>
                      <w:rFonts w:ascii="Times New Roman" w:hAnsi="Times New Roman" w:eastAsia="宋体" w:cs="Times New Roman"/>
                      <w:color w:val="000000" w:themeColor="text1"/>
                      <w:szCs w:val="21"/>
                      <w14:textFill>
                        <w14:solidFill>
                          <w14:schemeClr w14:val="tx1"/>
                        </w14:solidFill>
                      </w14:textFill>
                    </w:rPr>
                    <w:t xml:space="preserve"> ug/h</w:t>
                  </w:r>
                </w:p>
              </w:tc>
              <w:tc>
                <w:tcPr>
                  <w:tcW w:w="325" w:type="pct"/>
                  <w:vAlign w:val="center"/>
                </w:tcPr>
                <w:p w14:paraId="1973B576">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szCs w:val="21"/>
                    </w:rPr>
                    <w:t>67.392</w:t>
                  </w:r>
                  <w:r>
                    <w:rPr>
                      <w:rFonts w:ascii="Times New Roman" w:hAnsi="Times New Roman" w:eastAsia="宋体" w:cs="Times New Roman"/>
                      <w:szCs w:val="21"/>
                    </w:rPr>
                    <w:t xml:space="preserve"> mg/a</w:t>
                  </w:r>
                </w:p>
              </w:tc>
              <w:tc>
                <w:tcPr>
                  <w:tcW w:w="0" w:type="auto"/>
                  <w:vMerge w:val="continue"/>
                  <w:vAlign w:val="center"/>
                </w:tcPr>
                <w:p w14:paraId="2AE90EF8">
                  <w:pPr>
                    <w:widowControl/>
                    <w:jc w:val="left"/>
                    <w:rPr>
                      <w:rFonts w:ascii="Times New Roman" w:hAnsi="Times New Roman" w:eastAsia="宋体" w:cs="Times New Roman"/>
                      <w:color w:val="000000" w:themeColor="text1"/>
                      <w:szCs w:val="21"/>
                      <w14:textFill>
                        <w14:solidFill>
                          <w14:schemeClr w14:val="tx1"/>
                        </w14:solidFill>
                      </w14:textFill>
                    </w:rPr>
                  </w:pPr>
                </w:p>
              </w:tc>
            </w:tr>
            <w:tr w14:paraId="058346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 w:hRule="atLeast"/>
                <w:jc w:val="center"/>
              </w:trPr>
              <w:tc>
                <w:tcPr>
                  <w:tcW w:w="184" w:type="pct"/>
                  <w:vMerge w:val="restart"/>
                  <w:vAlign w:val="center"/>
                </w:tcPr>
                <w:p w14:paraId="5D2F310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w:t>
                  </w:r>
                </w:p>
              </w:tc>
              <w:tc>
                <w:tcPr>
                  <w:tcW w:w="348" w:type="pct"/>
                  <w:vMerge w:val="restart"/>
                  <w:vAlign w:val="center"/>
                </w:tcPr>
                <w:p w14:paraId="33A5FE23">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原料制备车间</w:t>
                  </w:r>
                </w:p>
              </w:tc>
              <w:tc>
                <w:tcPr>
                  <w:tcW w:w="283" w:type="pct"/>
                  <w:vMerge w:val="restart"/>
                  <w:vAlign w:val="center"/>
                </w:tcPr>
                <w:p w14:paraId="3C77A0F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破碎筛分</w:t>
                  </w:r>
                </w:p>
              </w:tc>
              <w:tc>
                <w:tcPr>
                  <w:tcW w:w="234" w:type="pct"/>
                  <w:vMerge w:val="restart"/>
                  <w:vAlign w:val="center"/>
                </w:tcPr>
                <w:p w14:paraId="43D74922">
                  <w:pPr>
                    <w:ind w:left="-50" w:right="-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437" w:type="pct"/>
                  <w:vMerge w:val="restart"/>
                  <w:vAlign w:val="center"/>
                </w:tcPr>
                <w:p w14:paraId="05A21C43">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14.96</w:t>
                  </w:r>
                </w:p>
              </w:tc>
              <w:tc>
                <w:tcPr>
                  <w:tcW w:w="265" w:type="pct"/>
                  <w:vMerge w:val="restart"/>
                  <w:vAlign w:val="center"/>
                </w:tcPr>
                <w:p w14:paraId="1C1EEDE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53.84</w:t>
                  </w:r>
                </w:p>
              </w:tc>
              <w:tc>
                <w:tcPr>
                  <w:tcW w:w="265" w:type="pct"/>
                  <w:vAlign w:val="center"/>
                </w:tcPr>
                <w:p w14:paraId="73C5DF2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有组织</w:t>
                  </w:r>
                </w:p>
              </w:tc>
              <w:tc>
                <w:tcPr>
                  <w:tcW w:w="533" w:type="pct"/>
                  <w:vAlign w:val="center"/>
                </w:tcPr>
                <w:p w14:paraId="3F27750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负压收集装置效率，布袋除尘器处理后通过15m排气筒</w:t>
                  </w:r>
                  <w:r>
                    <w:rPr>
                      <w:rFonts w:ascii="Times New Roman" w:hAnsi="Times New Roman" w:eastAsia="宋体" w:cs="Times New Roman"/>
                      <w:snapToGrid w:val="0"/>
                      <w:color w:val="000000" w:themeColor="text1"/>
                      <w:kern w:val="0"/>
                      <w:szCs w:val="21"/>
                      <w14:textFill>
                        <w14:solidFill>
                          <w14:schemeClr w14:val="tx1"/>
                        </w14:solidFill>
                      </w14:textFill>
                    </w:rPr>
                    <w:t>（DA001）</w:t>
                  </w:r>
                  <w:r>
                    <w:rPr>
                      <w:rFonts w:ascii="Times New Roman" w:hAnsi="Times New Roman" w:eastAsia="宋体" w:cs="Times New Roman"/>
                      <w:color w:val="000000" w:themeColor="text1"/>
                      <w:szCs w:val="21"/>
                      <w14:textFill>
                        <w14:solidFill>
                          <w14:schemeClr w14:val="tx1"/>
                        </w14:solidFill>
                      </w14:textFill>
                    </w:rPr>
                    <w:t>排放</w:t>
                  </w:r>
                </w:p>
              </w:tc>
              <w:tc>
                <w:tcPr>
                  <w:tcW w:w="371" w:type="pct"/>
                  <w:vAlign w:val="center"/>
                </w:tcPr>
                <w:p w14:paraId="5528080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5000</w:t>
                  </w:r>
                </w:p>
              </w:tc>
              <w:tc>
                <w:tcPr>
                  <w:tcW w:w="227" w:type="pct"/>
                  <w:vAlign w:val="center"/>
                </w:tcPr>
                <w:p w14:paraId="2DE005F3">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90%</w:t>
                  </w:r>
                </w:p>
              </w:tc>
              <w:tc>
                <w:tcPr>
                  <w:tcW w:w="227" w:type="pct"/>
                  <w:vAlign w:val="center"/>
                </w:tcPr>
                <w:p w14:paraId="42F2533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99%</w:t>
                  </w:r>
                </w:p>
              </w:tc>
              <w:tc>
                <w:tcPr>
                  <w:tcW w:w="318" w:type="pct"/>
                  <w:vAlign w:val="center"/>
                </w:tcPr>
                <w:p w14:paraId="25295F4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sym w:font="Wingdings" w:char="F0FE"/>
                  </w:r>
                  <w:r>
                    <w:rPr>
                      <w:rFonts w:ascii="Times New Roman" w:hAnsi="Times New Roman" w:eastAsia="宋体" w:cs="Times New Roman"/>
                      <w:color w:val="000000" w:themeColor="text1"/>
                      <w:szCs w:val="21"/>
                      <w14:textFill>
                        <w14:solidFill>
                          <w14:schemeClr w14:val="tx1"/>
                        </w14:solidFill>
                      </w14:textFill>
                    </w:rPr>
                    <w:t xml:space="preserve"> 是</w:t>
                  </w:r>
                </w:p>
                <w:p w14:paraId="34EECB5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sym w:font="Wingdings" w:char="F0A8"/>
                  </w:r>
                  <w:r>
                    <w:rPr>
                      <w:rFonts w:ascii="Times New Roman" w:hAnsi="Times New Roman" w:eastAsia="宋体" w:cs="Times New Roman"/>
                      <w:color w:val="000000" w:themeColor="text1"/>
                      <w:szCs w:val="21"/>
                      <w14:textFill>
                        <w14:solidFill>
                          <w14:schemeClr w14:val="tx1"/>
                        </w14:solidFill>
                      </w14:textFill>
                    </w:rPr>
                    <w:t xml:space="preserve"> 否/</w:t>
                  </w:r>
                </w:p>
              </w:tc>
              <w:tc>
                <w:tcPr>
                  <w:tcW w:w="318" w:type="pct"/>
                  <w:vAlign w:val="center"/>
                </w:tcPr>
                <w:p w14:paraId="19CC7FD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26.92</w:t>
                  </w:r>
                </w:p>
              </w:tc>
              <w:tc>
                <w:tcPr>
                  <w:tcW w:w="425" w:type="pct"/>
                  <w:vAlign w:val="center"/>
                </w:tcPr>
                <w:p w14:paraId="3C949E97">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0.1346</w:t>
                  </w:r>
                </w:p>
              </w:tc>
              <w:tc>
                <w:tcPr>
                  <w:tcW w:w="325" w:type="pct"/>
                  <w:vAlign w:val="center"/>
                </w:tcPr>
                <w:p w14:paraId="51A1A273">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0.4846</w:t>
                  </w:r>
                </w:p>
              </w:tc>
              <w:tc>
                <w:tcPr>
                  <w:tcW w:w="240" w:type="pct"/>
                  <w:vAlign w:val="center"/>
                </w:tcPr>
                <w:p w14:paraId="1E207B00">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3600</w:t>
                  </w:r>
                </w:p>
              </w:tc>
            </w:tr>
            <w:tr w14:paraId="56CFF8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 w:hRule="atLeast"/>
                <w:jc w:val="center"/>
              </w:trPr>
              <w:tc>
                <w:tcPr>
                  <w:tcW w:w="184" w:type="pct"/>
                  <w:vMerge w:val="continue"/>
                  <w:vAlign w:val="center"/>
                </w:tcPr>
                <w:p w14:paraId="0CAC268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348" w:type="pct"/>
                  <w:vMerge w:val="continue"/>
                  <w:vAlign w:val="center"/>
                </w:tcPr>
                <w:p w14:paraId="548C5DD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83" w:type="pct"/>
                  <w:vMerge w:val="continue"/>
                  <w:vAlign w:val="center"/>
                </w:tcPr>
                <w:p w14:paraId="4B9F7E7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34" w:type="pct"/>
                  <w:vMerge w:val="continue"/>
                  <w:vAlign w:val="center"/>
                </w:tcPr>
                <w:p w14:paraId="40ACE62B">
                  <w:pPr>
                    <w:widowControl/>
                    <w:ind w:left="-50" w:right="-50"/>
                    <w:jc w:val="center"/>
                    <w:rPr>
                      <w:rFonts w:ascii="Times New Roman" w:hAnsi="Times New Roman" w:eastAsia="宋体" w:cs="Times New Roman"/>
                      <w:color w:val="000000" w:themeColor="text1"/>
                      <w:szCs w:val="21"/>
                      <w14:textFill>
                        <w14:solidFill>
                          <w14:schemeClr w14:val="tx1"/>
                        </w14:solidFill>
                      </w14:textFill>
                    </w:rPr>
                  </w:pPr>
                </w:p>
              </w:tc>
              <w:tc>
                <w:tcPr>
                  <w:tcW w:w="437" w:type="pct"/>
                  <w:vMerge w:val="continue"/>
                  <w:vAlign w:val="center"/>
                </w:tcPr>
                <w:p w14:paraId="76EFEDD2">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p>
              </w:tc>
              <w:tc>
                <w:tcPr>
                  <w:tcW w:w="265" w:type="pct"/>
                  <w:vMerge w:val="continue"/>
                  <w:vAlign w:val="center"/>
                </w:tcPr>
                <w:p w14:paraId="44F368C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265" w:type="pct"/>
                  <w:vAlign w:val="center"/>
                </w:tcPr>
                <w:p w14:paraId="39D80CC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无组织</w:t>
                  </w:r>
                </w:p>
              </w:tc>
              <w:tc>
                <w:tcPr>
                  <w:tcW w:w="533" w:type="pct"/>
                  <w:vAlign w:val="center"/>
                </w:tcPr>
                <w:p w14:paraId="232D6D5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原料制备车间密闭设置，并设置喷雾装置</w:t>
                  </w:r>
                </w:p>
              </w:tc>
              <w:tc>
                <w:tcPr>
                  <w:tcW w:w="371" w:type="pct"/>
                  <w:vAlign w:val="center"/>
                </w:tcPr>
                <w:p w14:paraId="31F4046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227" w:type="pct"/>
                  <w:vAlign w:val="center"/>
                </w:tcPr>
                <w:p w14:paraId="103FD11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227" w:type="pct"/>
                  <w:vAlign w:val="center"/>
                </w:tcPr>
                <w:p w14:paraId="082AFC0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95%</w:t>
                  </w:r>
                </w:p>
              </w:tc>
              <w:tc>
                <w:tcPr>
                  <w:tcW w:w="318" w:type="pct"/>
                  <w:vAlign w:val="center"/>
                </w:tcPr>
                <w:p w14:paraId="0EC6251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sym w:font="Wingdings" w:char="F0FE"/>
                  </w:r>
                  <w:r>
                    <w:rPr>
                      <w:rFonts w:ascii="Times New Roman" w:hAnsi="Times New Roman" w:eastAsia="宋体" w:cs="Times New Roman"/>
                      <w:color w:val="000000" w:themeColor="text1"/>
                      <w:szCs w:val="21"/>
                      <w14:textFill>
                        <w14:solidFill>
                          <w14:schemeClr w14:val="tx1"/>
                        </w14:solidFill>
                      </w14:textFill>
                    </w:rPr>
                    <w:t xml:space="preserve"> 是</w:t>
                  </w:r>
                </w:p>
                <w:p w14:paraId="22852633">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sym w:font="Wingdings" w:char="F0A8"/>
                  </w:r>
                  <w:r>
                    <w:rPr>
                      <w:rFonts w:ascii="Times New Roman" w:hAnsi="Times New Roman" w:eastAsia="宋体" w:cs="Times New Roman"/>
                      <w:color w:val="000000" w:themeColor="text1"/>
                      <w:szCs w:val="21"/>
                      <w14:textFill>
                        <w14:solidFill>
                          <w14:schemeClr w14:val="tx1"/>
                        </w14:solidFill>
                      </w14:textFill>
                    </w:rPr>
                    <w:t xml:space="preserve"> 否/</w:t>
                  </w:r>
                </w:p>
              </w:tc>
              <w:tc>
                <w:tcPr>
                  <w:tcW w:w="318" w:type="pct"/>
                  <w:vAlign w:val="center"/>
                </w:tcPr>
                <w:p w14:paraId="59470F33">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425" w:type="pct"/>
                  <w:vAlign w:val="center"/>
                </w:tcPr>
                <w:p w14:paraId="24BC8DFD">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0.0748</w:t>
                  </w:r>
                </w:p>
              </w:tc>
              <w:tc>
                <w:tcPr>
                  <w:tcW w:w="325" w:type="pct"/>
                  <w:vAlign w:val="center"/>
                </w:tcPr>
                <w:p w14:paraId="45EE5D9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0.2692</w:t>
                  </w:r>
                </w:p>
              </w:tc>
              <w:tc>
                <w:tcPr>
                  <w:tcW w:w="240" w:type="pct"/>
                  <w:vAlign w:val="center"/>
                </w:tcPr>
                <w:p w14:paraId="1D6BAF6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3600</w:t>
                  </w:r>
                </w:p>
              </w:tc>
            </w:tr>
            <w:tr w14:paraId="0D81E0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 w:hRule="atLeast"/>
                <w:jc w:val="center"/>
              </w:trPr>
              <w:tc>
                <w:tcPr>
                  <w:tcW w:w="0" w:type="auto"/>
                  <w:vAlign w:val="center"/>
                </w:tcPr>
                <w:p w14:paraId="1DFE225C">
                  <w:pPr>
                    <w:widowControl/>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4</w:t>
                  </w:r>
                </w:p>
              </w:tc>
              <w:tc>
                <w:tcPr>
                  <w:tcW w:w="0" w:type="auto"/>
                  <w:vAlign w:val="center"/>
                </w:tcPr>
                <w:p w14:paraId="3BE282F9">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原料堆场</w:t>
                  </w:r>
                </w:p>
              </w:tc>
              <w:tc>
                <w:tcPr>
                  <w:tcW w:w="0" w:type="auto"/>
                  <w:vAlign w:val="center"/>
                </w:tcPr>
                <w:p w14:paraId="22775CB4">
                  <w:pPr>
                    <w:widowControl/>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风力扬尘</w:t>
                  </w:r>
                </w:p>
              </w:tc>
              <w:tc>
                <w:tcPr>
                  <w:tcW w:w="234" w:type="pct"/>
                  <w:vAlign w:val="center"/>
                </w:tcPr>
                <w:p w14:paraId="2AA1CFE5">
                  <w:pPr>
                    <w:ind w:left="-50" w:right="-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437" w:type="pct"/>
                  <w:vAlign w:val="center"/>
                </w:tcPr>
                <w:p w14:paraId="206CD892">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0.475</w:t>
                  </w:r>
                </w:p>
              </w:tc>
              <w:tc>
                <w:tcPr>
                  <w:tcW w:w="265" w:type="pct"/>
                  <w:vAlign w:val="center"/>
                </w:tcPr>
                <w:p w14:paraId="2E069C0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3.42</w:t>
                  </w:r>
                </w:p>
              </w:tc>
              <w:tc>
                <w:tcPr>
                  <w:tcW w:w="0" w:type="auto"/>
                  <w:vAlign w:val="center"/>
                </w:tcPr>
                <w:p w14:paraId="53AE35F7">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无组织</w:t>
                  </w:r>
                </w:p>
              </w:tc>
              <w:tc>
                <w:tcPr>
                  <w:tcW w:w="0" w:type="auto"/>
                  <w:vAlign w:val="center"/>
                </w:tcPr>
                <w:p w14:paraId="60525D5E">
                  <w:pPr>
                    <w:widowControl/>
                    <w:ind w:left="-105" w:leftChars="-50" w:right="-105" w:rightChars="-5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采取彩钢结构原料堆场，堆场四周设置喷雾喷水抑尘</w:t>
                  </w:r>
                </w:p>
              </w:tc>
              <w:tc>
                <w:tcPr>
                  <w:tcW w:w="0" w:type="auto"/>
                  <w:vAlign w:val="center"/>
                </w:tcPr>
                <w:p w14:paraId="0A76347D">
                  <w:pPr>
                    <w:widowControl/>
                    <w:jc w:val="left"/>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w:t>
                  </w:r>
                </w:p>
              </w:tc>
              <w:tc>
                <w:tcPr>
                  <w:tcW w:w="0" w:type="auto"/>
                  <w:vAlign w:val="center"/>
                </w:tcPr>
                <w:p w14:paraId="7C1AB025">
                  <w:pPr>
                    <w:widowControl/>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0" w:type="auto"/>
                  <w:vAlign w:val="center"/>
                </w:tcPr>
                <w:p w14:paraId="420A4CBD">
                  <w:pPr>
                    <w:widowControl/>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95%</w:t>
                  </w:r>
                </w:p>
              </w:tc>
              <w:tc>
                <w:tcPr>
                  <w:tcW w:w="0" w:type="auto"/>
                  <w:vAlign w:val="center"/>
                </w:tcPr>
                <w:p w14:paraId="0C110E0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sym w:font="Wingdings" w:char="F0FE"/>
                  </w:r>
                  <w:r>
                    <w:rPr>
                      <w:rFonts w:ascii="Times New Roman" w:hAnsi="Times New Roman" w:eastAsia="宋体" w:cs="Times New Roman"/>
                      <w:color w:val="000000" w:themeColor="text1"/>
                      <w:szCs w:val="21"/>
                      <w14:textFill>
                        <w14:solidFill>
                          <w14:schemeClr w14:val="tx1"/>
                        </w14:solidFill>
                      </w14:textFill>
                    </w:rPr>
                    <w:t xml:space="preserve"> 是</w:t>
                  </w:r>
                </w:p>
                <w:p w14:paraId="071EA898">
                  <w:pPr>
                    <w:widowControl/>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sym w:font="Wingdings" w:char="F0A8"/>
                  </w:r>
                  <w:r>
                    <w:rPr>
                      <w:rFonts w:ascii="Times New Roman" w:hAnsi="Times New Roman" w:eastAsia="宋体" w:cs="Times New Roman"/>
                      <w:color w:val="000000" w:themeColor="text1"/>
                      <w:szCs w:val="21"/>
                      <w14:textFill>
                        <w14:solidFill>
                          <w14:schemeClr w14:val="tx1"/>
                        </w14:solidFill>
                      </w14:textFill>
                    </w:rPr>
                    <w:t xml:space="preserve"> 否</w:t>
                  </w:r>
                </w:p>
              </w:tc>
              <w:tc>
                <w:tcPr>
                  <w:tcW w:w="318" w:type="pct"/>
                  <w:vAlign w:val="center"/>
                </w:tcPr>
                <w:p w14:paraId="21935BF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425" w:type="pct"/>
                  <w:vAlign w:val="center"/>
                </w:tcPr>
                <w:p w14:paraId="6CA75B7E">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0.0238</w:t>
                  </w:r>
                </w:p>
              </w:tc>
              <w:tc>
                <w:tcPr>
                  <w:tcW w:w="325" w:type="pct"/>
                  <w:vAlign w:val="center"/>
                </w:tcPr>
                <w:p w14:paraId="7445EAC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0.171</w:t>
                  </w:r>
                </w:p>
              </w:tc>
              <w:tc>
                <w:tcPr>
                  <w:tcW w:w="0" w:type="auto"/>
                  <w:vAlign w:val="center"/>
                </w:tcPr>
                <w:p w14:paraId="7CAAD996">
                  <w:pPr>
                    <w:widowControl/>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7200</w:t>
                  </w:r>
                </w:p>
              </w:tc>
            </w:tr>
            <w:tr w14:paraId="6D2495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 w:hRule="atLeast"/>
                <w:jc w:val="center"/>
              </w:trPr>
              <w:tc>
                <w:tcPr>
                  <w:tcW w:w="0" w:type="auto"/>
                  <w:vAlign w:val="center"/>
                </w:tcPr>
                <w:p w14:paraId="41D96977">
                  <w:pPr>
                    <w:widowControl/>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w:t>
                  </w:r>
                </w:p>
              </w:tc>
              <w:tc>
                <w:tcPr>
                  <w:tcW w:w="0" w:type="auto"/>
                  <w:vAlign w:val="center"/>
                </w:tcPr>
                <w:p w14:paraId="6541F7C3">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运输道路</w:t>
                  </w:r>
                </w:p>
              </w:tc>
              <w:tc>
                <w:tcPr>
                  <w:tcW w:w="0" w:type="auto"/>
                  <w:vAlign w:val="center"/>
                </w:tcPr>
                <w:p w14:paraId="0399D64A">
                  <w:pPr>
                    <w:widowControl/>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风力扬尘</w:t>
                  </w:r>
                </w:p>
              </w:tc>
              <w:tc>
                <w:tcPr>
                  <w:tcW w:w="234" w:type="pct"/>
                  <w:vAlign w:val="center"/>
                </w:tcPr>
                <w:p w14:paraId="3F8331EC">
                  <w:pPr>
                    <w:ind w:left="-50" w:right="-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437" w:type="pct"/>
                  <w:vAlign w:val="center"/>
                </w:tcPr>
                <w:p w14:paraId="5C12F33B">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0.464</w:t>
                  </w:r>
                </w:p>
              </w:tc>
              <w:tc>
                <w:tcPr>
                  <w:tcW w:w="265" w:type="pct"/>
                  <w:vAlign w:val="center"/>
                </w:tcPr>
                <w:p w14:paraId="041AEEB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1.67</w:t>
                  </w:r>
                </w:p>
              </w:tc>
              <w:tc>
                <w:tcPr>
                  <w:tcW w:w="0" w:type="auto"/>
                  <w:vAlign w:val="center"/>
                </w:tcPr>
                <w:p w14:paraId="07E46E2B">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无组织</w:t>
                  </w:r>
                </w:p>
              </w:tc>
              <w:tc>
                <w:tcPr>
                  <w:tcW w:w="0" w:type="auto"/>
                  <w:vAlign w:val="center"/>
                </w:tcPr>
                <w:p w14:paraId="0B39ECCA">
                  <w:pPr>
                    <w:widowControl/>
                    <w:ind w:left="-105" w:leftChars="-50" w:right="-105" w:rightChars="-5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运输道路硬化、车辆篷布遮盖、定期清扫、雾炮抑尘</w:t>
                  </w:r>
                </w:p>
              </w:tc>
              <w:tc>
                <w:tcPr>
                  <w:tcW w:w="0" w:type="auto"/>
                  <w:vAlign w:val="center"/>
                </w:tcPr>
                <w:p w14:paraId="61DFF613">
                  <w:pPr>
                    <w:widowControl/>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0" w:type="auto"/>
                  <w:vAlign w:val="center"/>
                </w:tcPr>
                <w:p w14:paraId="07D4F314">
                  <w:pPr>
                    <w:widowControl/>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0" w:type="auto"/>
                  <w:vAlign w:val="center"/>
                </w:tcPr>
                <w:p w14:paraId="1DDD3E8F">
                  <w:pPr>
                    <w:widowControl/>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90%</w:t>
                  </w:r>
                </w:p>
              </w:tc>
              <w:tc>
                <w:tcPr>
                  <w:tcW w:w="0" w:type="auto"/>
                  <w:vAlign w:val="center"/>
                </w:tcPr>
                <w:p w14:paraId="3DCFB5B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sym w:font="Wingdings" w:char="F0FE"/>
                  </w:r>
                  <w:r>
                    <w:rPr>
                      <w:rFonts w:ascii="Times New Roman" w:hAnsi="Times New Roman" w:eastAsia="宋体" w:cs="Times New Roman"/>
                      <w:color w:val="000000" w:themeColor="text1"/>
                      <w:szCs w:val="21"/>
                      <w14:textFill>
                        <w14:solidFill>
                          <w14:schemeClr w14:val="tx1"/>
                        </w14:solidFill>
                      </w14:textFill>
                    </w:rPr>
                    <w:t xml:space="preserve"> 是</w:t>
                  </w:r>
                </w:p>
                <w:p w14:paraId="1330E0C0">
                  <w:pPr>
                    <w:widowControl/>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sym w:font="Wingdings" w:char="F0A8"/>
                  </w:r>
                  <w:r>
                    <w:rPr>
                      <w:rFonts w:ascii="Times New Roman" w:hAnsi="Times New Roman" w:eastAsia="宋体" w:cs="Times New Roman"/>
                      <w:color w:val="000000" w:themeColor="text1"/>
                      <w:szCs w:val="21"/>
                      <w14:textFill>
                        <w14:solidFill>
                          <w14:schemeClr w14:val="tx1"/>
                        </w14:solidFill>
                      </w14:textFill>
                    </w:rPr>
                    <w:t xml:space="preserve"> 否</w:t>
                  </w:r>
                </w:p>
              </w:tc>
              <w:tc>
                <w:tcPr>
                  <w:tcW w:w="318" w:type="pct"/>
                  <w:vAlign w:val="center"/>
                </w:tcPr>
                <w:p w14:paraId="39BBA55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425" w:type="pct"/>
                  <w:vAlign w:val="center"/>
                </w:tcPr>
                <w:p w14:paraId="3A65C5CB">
                  <w:pPr>
                    <w:adjustRightInd w:val="0"/>
                    <w:jc w:val="center"/>
                    <w:textAlignment w:val="baseline"/>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0.046</w:t>
                  </w:r>
                </w:p>
              </w:tc>
              <w:tc>
                <w:tcPr>
                  <w:tcW w:w="325" w:type="pct"/>
                  <w:vAlign w:val="center"/>
                </w:tcPr>
                <w:p w14:paraId="2468E76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0.167</w:t>
                  </w:r>
                </w:p>
              </w:tc>
              <w:tc>
                <w:tcPr>
                  <w:tcW w:w="0" w:type="auto"/>
                  <w:vAlign w:val="center"/>
                </w:tcPr>
                <w:p w14:paraId="458D1FBD">
                  <w:pPr>
                    <w:widowControl/>
                    <w:jc w:val="left"/>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3600</w:t>
                  </w:r>
                </w:p>
              </w:tc>
            </w:tr>
          </w:tbl>
          <w:p w14:paraId="52994628">
            <w:pPr>
              <w:snapToGrid w:val="0"/>
              <w:spacing w:before="156" w:beforeLines="50"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p>
          <w:p w14:paraId="519C338F">
            <w:pPr>
              <w:pStyle w:val="2"/>
              <w:ind w:firstLine="492"/>
            </w:pPr>
          </w:p>
          <w:p w14:paraId="08A9D39E">
            <w:pPr>
              <w:pStyle w:val="6"/>
            </w:pPr>
          </w:p>
          <w:p w14:paraId="325EE187"/>
          <w:p w14:paraId="28FEA360">
            <w:pPr>
              <w:pStyle w:val="2"/>
              <w:ind w:firstLine="492"/>
            </w:pPr>
          </w:p>
          <w:p w14:paraId="1761C09B">
            <w:pPr>
              <w:pStyle w:val="6"/>
            </w:pPr>
          </w:p>
          <w:p w14:paraId="43AA3624"/>
          <w:p w14:paraId="02E20731"/>
          <w:p w14:paraId="27560CAC">
            <w:pPr>
              <w:rPr>
                <w:rFonts w:ascii="Times New Roman" w:hAnsi="Times New Roman" w:eastAsia="宋体" w:cs="Times New Roman"/>
                <w:b/>
                <w:color w:val="000000" w:themeColor="text1"/>
                <w:sz w:val="24"/>
                <w:szCs w:val="24"/>
                <w14:textFill>
                  <w14:solidFill>
                    <w14:schemeClr w14:val="tx1"/>
                  </w14:solidFill>
                </w14:textFill>
              </w:rPr>
            </w:pPr>
          </w:p>
          <w:p w14:paraId="0437EA8E">
            <w:pPr>
              <w:rPr>
                <w:rFonts w:ascii="Times New Roman" w:hAnsi="Times New Roman" w:eastAsia="宋体" w:cs="Times New Roman"/>
                <w:color w:val="000000" w:themeColor="text1"/>
                <w:sz w:val="24"/>
                <w:szCs w:val="24"/>
                <w14:textFill>
                  <w14:solidFill>
                    <w14:schemeClr w14:val="tx1"/>
                  </w14:solidFill>
                </w14:textFill>
              </w:rPr>
            </w:pPr>
          </w:p>
        </w:tc>
      </w:tr>
    </w:tbl>
    <w:p w14:paraId="3E87F617">
      <w:pPr>
        <w:jc w:val="center"/>
        <w:rPr>
          <w:rFonts w:ascii="Times New Roman" w:hAnsi="Times New Roman" w:eastAsia="宋体" w:cs="Times New Roman"/>
          <w:b/>
          <w:color w:val="000000" w:themeColor="text1"/>
          <w:sz w:val="24"/>
          <w:szCs w:val="24"/>
          <w14:textFill>
            <w14:solidFill>
              <w14:schemeClr w14:val="tx1"/>
            </w14:solidFill>
          </w14:textFill>
        </w:rPr>
      </w:pPr>
    </w:p>
    <w:p w14:paraId="7D3A143E">
      <w:pPr>
        <w:jc w:val="center"/>
        <w:rPr>
          <w:rFonts w:ascii="Times New Roman" w:hAnsi="Times New Roman" w:eastAsia="宋体" w:cs="Times New Roman"/>
          <w:b/>
          <w:color w:val="000000" w:themeColor="text1"/>
          <w:sz w:val="24"/>
          <w:szCs w:val="24"/>
          <w14:textFill>
            <w14:solidFill>
              <w14:schemeClr w14:val="tx1"/>
            </w14:solidFill>
          </w14:textFill>
        </w:rPr>
        <w:sectPr>
          <w:pgSz w:w="16838" w:h="11906" w:orient="landscape"/>
          <w:pgMar w:top="1361" w:right="1440" w:bottom="1361" w:left="1440" w:header="851" w:footer="992" w:gutter="0"/>
          <w:cols w:space="425" w:num="1"/>
          <w:docGrid w:type="lines" w:linePitch="312" w:charSpace="0"/>
        </w:sectPr>
      </w:pPr>
    </w:p>
    <w:tbl>
      <w:tblPr>
        <w:tblStyle w:val="25"/>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2"/>
        <w:gridCol w:w="8300"/>
      </w:tblGrid>
      <w:tr w14:paraId="3691EE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42" w:type="pct"/>
            <w:vAlign w:val="center"/>
          </w:tcPr>
          <w:p w14:paraId="0802EECE">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p>
        </w:tc>
        <w:tc>
          <w:tcPr>
            <w:tcW w:w="4858" w:type="pct"/>
            <w:vAlign w:val="center"/>
          </w:tcPr>
          <w:p w14:paraId="2C55CADB">
            <w:pPr>
              <w:adjustRightInd w:val="0"/>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4、非正常工况下废气排放情况汇总</w:t>
            </w:r>
          </w:p>
          <w:p w14:paraId="7433023D">
            <w:pPr>
              <w:adjustRightInd w:val="0"/>
              <w:snapToGrid w:val="0"/>
              <w:spacing w:line="360" w:lineRule="auto"/>
              <w:ind w:firstLine="480" w:firstLineChars="200"/>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本项目非正常排放主要出现在脱硫塔故障、除尘设施故障，导致废气非正常排放，非正常工况下废气排放情况如下：</w:t>
            </w:r>
          </w:p>
          <w:p w14:paraId="39824B5A">
            <w:pPr>
              <w:tabs>
                <w:tab w:val="left" w:pos="1350"/>
              </w:tabs>
              <w:autoSpaceDE w:val="0"/>
              <w:autoSpaceDN w:val="0"/>
              <w:adjustRightInd w:val="0"/>
              <w:snapToGrid w:val="0"/>
              <w:spacing w:line="320" w:lineRule="exact"/>
              <w:jc w:val="center"/>
              <w:rPr>
                <w:rFonts w:ascii="Times New Roman" w:hAnsi="Times New Roman" w:eastAsia="宋体" w:cs="Times New Roman"/>
                <w:b/>
                <w:color w:val="000000" w:themeColor="text1"/>
                <w:szCs w:val="21"/>
                <w:shd w:val="clear" w:color="auto" w:fill="FFFFFF"/>
                <w:lang w:bidi="ar"/>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 xml:space="preserve">表4-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表4-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8</w:t>
            </w:r>
            <w:r>
              <w:rPr>
                <w:rFonts w:ascii="Times New Roman" w:hAnsi="Times New Roman" w:eastAsia="宋体" w:cs="Times New Roman"/>
                <w:b/>
                <w:bCs/>
                <w:color w:val="000000" w:themeColor="text1"/>
                <w:szCs w:val="21"/>
                <w14:textFill>
                  <w14:solidFill>
                    <w14:schemeClr w14:val="tx1"/>
                  </w14:solidFill>
                </w14:textFill>
              </w:rPr>
              <w:fldChar w:fldCharType="end"/>
            </w:r>
            <w:r>
              <w:rPr>
                <w:rFonts w:ascii="Times New Roman" w:hAnsi="Times New Roman" w:eastAsia="宋体" w:cs="Times New Roman"/>
                <w:b/>
                <w:bCs/>
                <w:color w:val="000000" w:themeColor="text1"/>
                <w:szCs w:val="21"/>
                <w14:textFill>
                  <w14:solidFill>
                    <w14:schemeClr w14:val="tx1"/>
                  </w14:solidFill>
                </w14:textFill>
              </w:rPr>
              <w:t xml:space="preserve">   </w:t>
            </w:r>
            <w:r>
              <w:rPr>
                <w:rFonts w:ascii="Times New Roman" w:hAnsi="Times New Roman" w:eastAsia="宋体" w:cs="Times New Roman"/>
                <w:b/>
                <w:color w:val="000000" w:themeColor="text1"/>
                <w:szCs w:val="21"/>
                <w:shd w:val="clear" w:color="auto" w:fill="FFFFFF"/>
                <w14:textFill>
                  <w14:solidFill>
                    <w14:schemeClr w14:val="tx1"/>
                  </w14:solidFill>
                </w14:textFill>
              </w:rPr>
              <w:t>非正常排放量核算表</w:t>
            </w:r>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00"/>
              <w:gridCol w:w="761"/>
              <w:gridCol w:w="862"/>
              <w:gridCol w:w="727"/>
              <w:gridCol w:w="1126"/>
              <w:gridCol w:w="1164"/>
              <w:gridCol w:w="2634"/>
            </w:tblGrid>
            <w:tr w14:paraId="7DAFF2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496" w:type="pct"/>
                  <w:vAlign w:val="center"/>
                </w:tcPr>
                <w:p w14:paraId="79D4A716">
                  <w:pPr>
                    <w:adjustRightInd w:val="0"/>
                    <w:snapToGrid w:val="0"/>
                    <w:jc w:val="center"/>
                    <w:rPr>
                      <w:rFonts w:ascii="Times New Roman" w:hAnsi="Times New Roman" w:eastAsia="宋体" w:cs="Times New Roman"/>
                      <w:b/>
                      <w:color w:val="000000" w:themeColor="text1"/>
                      <w:szCs w:val="21"/>
                      <w:lang w:bidi="ar"/>
                      <w14:textFill>
                        <w14:solidFill>
                          <w14:schemeClr w14:val="tx1"/>
                        </w14:solidFill>
                      </w14:textFill>
                    </w:rPr>
                  </w:pPr>
                  <w:r>
                    <w:rPr>
                      <w:rFonts w:ascii="Times New Roman" w:hAnsi="Times New Roman" w:eastAsia="宋体" w:cs="Times New Roman"/>
                      <w:b/>
                      <w:color w:val="000000" w:themeColor="text1"/>
                      <w:szCs w:val="21"/>
                      <w:lang w:bidi="ar"/>
                      <w14:textFill>
                        <w14:solidFill>
                          <w14:schemeClr w14:val="tx1"/>
                        </w14:solidFill>
                      </w14:textFill>
                    </w:rPr>
                    <w:t>序号</w:t>
                  </w:r>
                </w:p>
              </w:tc>
              <w:tc>
                <w:tcPr>
                  <w:tcW w:w="471" w:type="pct"/>
                  <w:vAlign w:val="center"/>
                </w:tcPr>
                <w:p w14:paraId="2C1CB88D">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污染源</w:t>
                  </w:r>
                </w:p>
              </w:tc>
              <w:tc>
                <w:tcPr>
                  <w:tcW w:w="534" w:type="pct"/>
                  <w:vAlign w:val="center"/>
                </w:tcPr>
                <w:p w14:paraId="635F717B">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非正常排放原因</w:t>
                  </w:r>
                </w:p>
              </w:tc>
              <w:tc>
                <w:tcPr>
                  <w:tcW w:w="450" w:type="pct"/>
                  <w:vAlign w:val="center"/>
                </w:tcPr>
                <w:p w14:paraId="7A253745">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污染物</w:t>
                  </w:r>
                </w:p>
              </w:tc>
              <w:tc>
                <w:tcPr>
                  <w:tcW w:w="697" w:type="pct"/>
                  <w:vAlign w:val="center"/>
                </w:tcPr>
                <w:p w14:paraId="73DA57D4">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非正常排放浓度mg/m</w:t>
                  </w:r>
                  <w:r>
                    <w:rPr>
                      <w:rFonts w:ascii="Times New Roman" w:hAnsi="Times New Roman" w:eastAsia="宋体" w:cs="Times New Roman"/>
                      <w:b/>
                      <w:color w:val="000000" w:themeColor="text1"/>
                      <w:szCs w:val="21"/>
                      <w:vertAlign w:val="superscript"/>
                      <w14:textFill>
                        <w14:solidFill>
                          <w14:schemeClr w14:val="tx1"/>
                        </w14:solidFill>
                      </w14:textFill>
                    </w:rPr>
                    <w:t>3</w:t>
                  </w:r>
                </w:p>
              </w:tc>
              <w:tc>
                <w:tcPr>
                  <w:tcW w:w="721" w:type="pct"/>
                  <w:vAlign w:val="center"/>
                </w:tcPr>
                <w:p w14:paraId="2DEB6216">
                  <w:pPr>
                    <w:ind w:left="-105" w:leftChars="-50" w:right="-105" w:rightChars="-5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非正常排放速率kg/h</w:t>
                  </w:r>
                </w:p>
              </w:tc>
              <w:tc>
                <w:tcPr>
                  <w:tcW w:w="1631" w:type="pct"/>
                  <w:vAlign w:val="center"/>
                </w:tcPr>
                <w:p w14:paraId="7DBD5763">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应对措施</w:t>
                  </w:r>
                </w:p>
              </w:tc>
            </w:tr>
            <w:tr w14:paraId="7014EB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496" w:type="pct"/>
                  <w:vAlign w:val="center"/>
                </w:tcPr>
                <w:p w14:paraId="778FB4CD">
                  <w:pPr>
                    <w:adjustRightInd w:val="0"/>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DA001</w:t>
                  </w:r>
                </w:p>
              </w:tc>
              <w:tc>
                <w:tcPr>
                  <w:tcW w:w="471" w:type="pct"/>
                  <w:vAlign w:val="center"/>
                </w:tcPr>
                <w:p w14:paraId="6BE6146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原料制备车间</w:t>
                  </w:r>
                </w:p>
              </w:tc>
              <w:tc>
                <w:tcPr>
                  <w:tcW w:w="534" w:type="pct"/>
                  <w:vAlign w:val="center"/>
                </w:tcPr>
                <w:p w14:paraId="5B1EB7A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除尘装置故障</w:t>
                  </w:r>
                </w:p>
              </w:tc>
              <w:tc>
                <w:tcPr>
                  <w:tcW w:w="450" w:type="pct"/>
                  <w:vAlign w:val="center"/>
                </w:tcPr>
                <w:p w14:paraId="7146B5D1">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697" w:type="pct"/>
                  <w:vAlign w:val="center"/>
                </w:tcPr>
                <w:p w14:paraId="01C58D1A">
                  <w:pPr>
                    <w:autoSpaceDE w:val="0"/>
                    <w:autoSpaceDN w:val="0"/>
                    <w:ind w:left="-105" w:leftChars="-50" w:right="-105" w:rightChars="-50"/>
                    <w:jc w:val="center"/>
                    <w:rPr>
                      <w:rFonts w:ascii="Times New Roman" w:hAnsi="Times New Roman" w:eastAsia="宋体" w:cs="Times New Roman"/>
                      <w:color w:val="000000" w:themeColor="text1"/>
                      <w:sz w:val="22"/>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2692</w:t>
                  </w:r>
                </w:p>
              </w:tc>
              <w:tc>
                <w:tcPr>
                  <w:tcW w:w="721" w:type="pct"/>
                  <w:vAlign w:val="center"/>
                </w:tcPr>
                <w:p w14:paraId="2CB41A9C">
                  <w:pPr>
                    <w:ind w:left="-105" w:leftChars="-50" w:right="-105" w:rightChars="-50"/>
                    <w:jc w:val="center"/>
                    <w:rPr>
                      <w:rFonts w:ascii="Times New Roman" w:hAnsi="Times New Roman" w:eastAsia="宋体" w:cs="Times New Roman"/>
                      <w:color w:val="000000" w:themeColor="text1"/>
                      <w:sz w:val="22"/>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13.46</w:t>
                  </w:r>
                </w:p>
              </w:tc>
              <w:tc>
                <w:tcPr>
                  <w:tcW w:w="1631" w:type="pct"/>
                  <w:vMerge w:val="restart"/>
                  <w:vAlign w:val="center"/>
                </w:tcPr>
                <w:p w14:paraId="403F96A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加强废气处理系统的维护；废气处理装置发生故障时停止生产，至检修后恢复生产</w:t>
                  </w:r>
                </w:p>
              </w:tc>
            </w:tr>
            <w:tr w14:paraId="0B20C7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496" w:type="pct"/>
                  <w:vMerge w:val="restart"/>
                  <w:vAlign w:val="center"/>
                </w:tcPr>
                <w:p w14:paraId="4FE078E9">
                  <w:pPr>
                    <w:adjustRightInd w:val="0"/>
                    <w:snapToGrid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DA002</w:t>
                  </w:r>
                </w:p>
              </w:tc>
              <w:tc>
                <w:tcPr>
                  <w:tcW w:w="471" w:type="pct"/>
                  <w:vMerge w:val="restart"/>
                  <w:vAlign w:val="center"/>
                </w:tcPr>
                <w:p w14:paraId="523EC60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隧道窑</w:t>
                  </w:r>
                </w:p>
              </w:tc>
              <w:tc>
                <w:tcPr>
                  <w:tcW w:w="534" w:type="pct"/>
                  <w:vMerge w:val="restart"/>
                  <w:vAlign w:val="center"/>
                </w:tcPr>
                <w:p w14:paraId="7CB1EE2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脱硫塔加药装置故障</w:t>
                  </w:r>
                </w:p>
              </w:tc>
              <w:tc>
                <w:tcPr>
                  <w:tcW w:w="450" w:type="pct"/>
                  <w:vAlign w:val="center"/>
                </w:tcPr>
                <w:p w14:paraId="71335944">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697" w:type="pct"/>
                  <w:vAlign w:val="center"/>
                </w:tcPr>
                <w:p w14:paraId="54631B1D">
                  <w:pPr>
                    <w:autoSpaceDE w:val="0"/>
                    <w:autoSpaceDN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29.12</w:t>
                  </w:r>
                </w:p>
              </w:tc>
              <w:tc>
                <w:tcPr>
                  <w:tcW w:w="721" w:type="pct"/>
                  <w:vAlign w:val="center"/>
                </w:tcPr>
                <w:p w14:paraId="699ED3A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1.5432</w:t>
                  </w:r>
                </w:p>
              </w:tc>
              <w:tc>
                <w:tcPr>
                  <w:tcW w:w="1631" w:type="pct"/>
                  <w:vMerge w:val="continue"/>
                  <w:vAlign w:val="center"/>
                </w:tcPr>
                <w:p w14:paraId="60EE712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r>
            <w:tr w14:paraId="373880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496" w:type="pct"/>
                  <w:vMerge w:val="continue"/>
                  <w:vAlign w:val="center"/>
                </w:tcPr>
                <w:p w14:paraId="04C9304F">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71" w:type="pct"/>
                  <w:vMerge w:val="continue"/>
                  <w:vAlign w:val="center"/>
                </w:tcPr>
                <w:p w14:paraId="63BE91AD">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534" w:type="pct"/>
                  <w:vMerge w:val="continue"/>
                  <w:vAlign w:val="center"/>
                </w:tcPr>
                <w:p w14:paraId="11E9D5FA">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50" w:type="pct"/>
                  <w:vAlign w:val="center"/>
                </w:tcPr>
                <w:p w14:paraId="5ABEE0CB">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SO</w:t>
                  </w:r>
                  <w:r>
                    <w:rPr>
                      <w:rFonts w:ascii="Times New Roman" w:hAnsi="Times New Roman" w:eastAsia="宋体" w:cs="Times New Roman"/>
                      <w:color w:val="000000" w:themeColor="text1"/>
                      <w:szCs w:val="21"/>
                      <w:vertAlign w:val="subscript"/>
                      <w14:textFill>
                        <w14:solidFill>
                          <w14:schemeClr w14:val="tx1"/>
                        </w14:solidFill>
                      </w14:textFill>
                    </w:rPr>
                    <w:t>2</w:t>
                  </w:r>
                </w:p>
              </w:tc>
              <w:tc>
                <w:tcPr>
                  <w:tcW w:w="697" w:type="pct"/>
                  <w:vAlign w:val="center"/>
                </w:tcPr>
                <w:p w14:paraId="0EDA93FF">
                  <w:pPr>
                    <w:autoSpaceDE w:val="0"/>
                    <w:autoSpaceDN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115</w:t>
                  </w:r>
                </w:p>
              </w:tc>
              <w:tc>
                <w:tcPr>
                  <w:tcW w:w="721" w:type="pct"/>
                  <w:vAlign w:val="center"/>
                </w:tcPr>
                <w:p w14:paraId="08C3088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6.093</w:t>
                  </w:r>
                </w:p>
              </w:tc>
              <w:tc>
                <w:tcPr>
                  <w:tcW w:w="1631" w:type="pct"/>
                  <w:vMerge w:val="continue"/>
                  <w:vAlign w:val="center"/>
                </w:tcPr>
                <w:p w14:paraId="7C993225">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r>
            <w:tr w14:paraId="4925C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496" w:type="pct"/>
                  <w:vMerge w:val="continue"/>
                  <w:vAlign w:val="center"/>
                </w:tcPr>
                <w:p w14:paraId="18309172">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71" w:type="pct"/>
                  <w:vMerge w:val="continue"/>
                  <w:vAlign w:val="center"/>
                </w:tcPr>
                <w:p w14:paraId="1FC9249C">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534" w:type="pct"/>
                  <w:vMerge w:val="continue"/>
                  <w:vAlign w:val="center"/>
                </w:tcPr>
                <w:p w14:paraId="2FC7D295">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50" w:type="pct"/>
                  <w:vAlign w:val="center"/>
                </w:tcPr>
                <w:p w14:paraId="6893590F">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NOx</w:t>
                  </w:r>
                </w:p>
              </w:tc>
              <w:tc>
                <w:tcPr>
                  <w:tcW w:w="697" w:type="pct"/>
                  <w:vAlign w:val="center"/>
                </w:tcPr>
                <w:p w14:paraId="48048CDC">
                  <w:pPr>
                    <w:autoSpaceDE w:val="0"/>
                    <w:autoSpaceDN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24</w:t>
                  </w:r>
                </w:p>
              </w:tc>
              <w:tc>
                <w:tcPr>
                  <w:tcW w:w="721" w:type="pct"/>
                  <w:vAlign w:val="center"/>
                </w:tcPr>
                <w:p w14:paraId="2112B5F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1.2716</w:t>
                  </w:r>
                </w:p>
              </w:tc>
              <w:tc>
                <w:tcPr>
                  <w:tcW w:w="1631" w:type="pct"/>
                  <w:vMerge w:val="continue"/>
                  <w:vAlign w:val="center"/>
                </w:tcPr>
                <w:p w14:paraId="380B7B64">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r>
            <w:tr w14:paraId="0812AC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8" w:hRule="atLeast"/>
                <w:jc w:val="center"/>
              </w:trPr>
              <w:tc>
                <w:tcPr>
                  <w:tcW w:w="496" w:type="pct"/>
                  <w:vMerge w:val="continue"/>
                  <w:vAlign w:val="center"/>
                </w:tcPr>
                <w:p w14:paraId="57C25DFA">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71" w:type="pct"/>
                  <w:vMerge w:val="continue"/>
                  <w:vAlign w:val="center"/>
                </w:tcPr>
                <w:p w14:paraId="7EA01CB3">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534" w:type="pct"/>
                  <w:vMerge w:val="continue"/>
                  <w:vAlign w:val="center"/>
                </w:tcPr>
                <w:p w14:paraId="1E2D1A25">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50" w:type="pct"/>
                  <w:vAlign w:val="center"/>
                </w:tcPr>
                <w:p w14:paraId="69086EA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697" w:type="pct"/>
                  <w:vAlign w:val="center"/>
                </w:tcPr>
                <w:p w14:paraId="566046D2">
                  <w:pPr>
                    <w:autoSpaceDE w:val="0"/>
                    <w:autoSpaceDN w:val="0"/>
                    <w:ind w:left="-105" w:leftChars="-50" w:right="-105" w:rightChars="-50"/>
                    <w:jc w:val="center"/>
                    <w:rPr>
                      <w:rFonts w:ascii="Times New Roman" w:hAnsi="Times New Roman" w:eastAsia="宋体" w:cs="Times New Roman"/>
                      <w:color w:val="000000" w:themeColor="text1"/>
                      <w:sz w:val="22"/>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4.175</w:t>
                  </w:r>
                </w:p>
              </w:tc>
              <w:tc>
                <w:tcPr>
                  <w:tcW w:w="721" w:type="pct"/>
                  <w:vAlign w:val="center"/>
                </w:tcPr>
                <w:p w14:paraId="6AC0D383">
                  <w:pPr>
                    <w:ind w:left="-105" w:leftChars="-50" w:right="-105" w:rightChars="-50"/>
                    <w:jc w:val="center"/>
                    <w:rPr>
                      <w:rFonts w:ascii="Times New Roman" w:hAnsi="Times New Roman" w:eastAsia="宋体" w:cs="Times New Roman"/>
                      <w:color w:val="000000" w:themeColor="text1"/>
                      <w:sz w:val="22"/>
                      <w14:textFill>
                        <w14:solidFill>
                          <w14:schemeClr w14:val="tx1"/>
                        </w14:solidFill>
                      </w14:textFill>
                    </w:rPr>
                  </w:pPr>
                  <w:r>
                    <w:rPr>
                      <w:rFonts w:ascii="Times New Roman" w:hAnsi="Times New Roman" w:eastAsia="宋体" w:cs="Times New Roman"/>
                      <w:color w:val="000000" w:themeColor="text1"/>
                      <w:szCs w:val="21"/>
                      <w:lang w:bidi="ar"/>
                      <w14:textFill>
                        <w14:solidFill>
                          <w14:schemeClr w14:val="tx1"/>
                        </w14:solidFill>
                      </w14:textFill>
                    </w:rPr>
                    <w:t>0.225</w:t>
                  </w:r>
                </w:p>
              </w:tc>
              <w:tc>
                <w:tcPr>
                  <w:tcW w:w="1631" w:type="pct"/>
                  <w:vMerge w:val="continue"/>
                  <w:vAlign w:val="center"/>
                </w:tcPr>
                <w:p w14:paraId="66052FA0">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r>
            <w:tr w14:paraId="0BBE72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496" w:type="pct"/>
                  <w:vMerge w:val="continue"/>
                  <w:vAlign w:val="center"/>
                </w:tcPr>
                <w:p w14:paraId="11929CD0">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71" w:type="pct"/>
                  <w:vMerge w:val="continue"/>
                  <w:vAlign w:val="center"/>
                </w:tcPr>
                <w:p w14:paraId="2DDB958C">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534" w:type="pct"/>
                  <w:vMerge w:val="continue"/>
                  <w:vAlign w:val="center"/>
                </w:tcPr>
                <w:p w14:paraId="60CCE91A">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50" w:type="pct"/>
                  <w:vAlign w:val="center"/>
                </w:tcPr>
                <w:p w14:paraId="3CF01FA1">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14:textFill>
                        <w14:solidFill>
                          <w14:schemeClr w14:val="tx1"/>
                        </w14:solidFill>
                      </w14:textFill>
                    </w:rPr>
                    <w:t>二噁英</w:t>
                  </w:r>
                </w:p>
              </w:tc>
              <w:tc>
                <w:tcPr>
                  <w:tcW w:w="697" w:type="pct"/>
                  <w:vAlign w:val="center"/>
                </w:tcPr>
                <w:p w14:paraId="6D9B21F2">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14:textFill>
                        <w14:solidFill>
                          <w14:schemeClr w14:val="tx1"/>
                        </w14:solidFill>
                      </w14:textFill>
                    </w:rPr>
                    <w:t>0.18</w:t>
                  </w:r>
                  <w:r>
                    <w:rPr>
                      <w:rFonts w:ascii="Times New Roman" w:hAnsi="Times New Roman" w:eastAsia="宋体" w:cs="Times New Roman"/>
                      <w:szCs w:val="21"/>
                    </w:rPr>
                    <w:t xml:space="preserve"> ng/m</w:t>
                  </w:r>
                  <w:r>
                    <w:rPr>
                      <w:rFonts w:ascii="Times New Roman" w:hAnsi="Times New Roman" w:eastAsia="宋体" w:cs="Times New Roman"/>
                      <w:szCs w:val="21"/>
                      <w:vertAlign w:val="superscript"/>
                    </w:rPr>
                    <w:t>3</w:t>
                  </w:r>
                </w:p>
              </w:tc>
              <w:tc>
                <w:tcPr>
                  <w:tcW w:w="721" w:type="pct"/>
                  <w:vAlign w:val="center"/>
                </w:tcPr>
                <w:p w14:paraId="756FFACB">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szCs w:val="21"/>
                    </w:rPr>
                    <w:t>9.72</w:t>
                  </w:r>
                  <w:r>
                    <w:rPr>
                      <w:rFonts w:ascii="Times New Roman" w:hAnsi="Times New Roman" w:eastAsia="宋体" w:cs="Times New Roman"/>
                      <w:color w:val="000000" w:themeColor="text1"/>
                      <w:szCs w:val="21"/>
                      <w14:textFill>
                        <w14:solidFill>
                          <w14:schemeClr w14:val="tx1"/>
                        </w14:solidFill>
                      </w14:textFill>
                    </w:rPr>
                    <w:t xml:space="preserve"> ug/h</w:t>
                  </w:r>
                </w:p>
              </w:tc>
              <w:tc>
                <w:tcPr>
                  <w:tcW w:w="1631" w:type="pct"/>
                  <w:vMerge w:val="continue"/>
                  <w:vAlign w:val="center"/>
                </w:tcPr>
                <w:p w14:paraId="08428DAF">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r>
            <w:tr w14:paraId="22842A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496" w:type="pct"/>
                  <w:vMerge w:val="restart"/>
                  <w:vAlign w:val="center"/>
                </w:tcPr>
                <w:p w14:paraId="5F81B779">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DA003</w:t>
                  </w:r>
                </w:p>
              </w:tc>
              <w:tc>
                <w:tcPr>
                  <w:tcW w:w="471" w:type="pct"/>
                  <w:vMerge w:val="restart"/>
                  <w:vAlign w:val="center"/>
                </w:tcPr>
                <w:p w14:paraId="67D2EFFE">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烘干窑</w:t>
                  </w:r>
                </w:p>
              </w:tc>
              <w:tc>
                <w:tcPr>
                  <w:tcW w:w="534" w:type="pct"/>
                  <w:vMerge w:val="restart"/>
                  <w:vAlign w:val="center"/>
                </w:tcPr>
                <w:p w14:paraId="78EE449F">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脱硫塔加药装置故障</w:t>
                  </w:r>
                </w:p>
              </w:tc>
              <w:tc>
                <w:tcPr>
                  <w:tcW w:w="450" w:type="pct"/>
                  <w:vAlign w:val="center"/>
                </w:tcPr>
                <w:p w14:paraId="58710BD7">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颗粒物</w:t>
                  </w:r>
                </w:p>
              </w:tc>
              <w:tc>
                <w:tcPr>
                  <w:tcW w:w="697" w:type="pct"/>
                  <w:vAlign w:val="center"/>
                </w:tcPr>
                <w:p w14:paraId="529074F6">
                  <w:pPr>
                    <w:autoSpaceDE w:val="0"/>
                    <w:autoSpaceDN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25.6</w:t>
                  </w:r>
                </w:p>
              </w:tc>
              <w:tc>
                <w:tcPr>
                  <w:tcW w:w="721" w:type="pct"/>
                  <w:vAlign w:val="center"/>
                </w:tcPr>
                <w:p w14:paraId="606D7AA3">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1.315</w:t>
                  </w:r>
                </w:p>
              </w:tc>
              <w:tc>
                <w:tcPr>
                  <w:tcW w:w="1631" w:type="pct"/>
                  <w:vMerge w:val="continue"/>
                  <w:vAlign w:val="center"/>
                </w:tcPr>
                <w:p w14:paraId="7F638197">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r>
            <w:tr w14:paraId="6F8872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496" w:type="pct"/>
                  <w:vMerge w:val="continue"/>
                  <w:vAlign w:val="center"/>
                </w:tcPr>
                <w:p w14:paraId="02D71557">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71" w:type="pct"/>
                  <w:vMerge w:val="continue"/>
                  <w:vAlign w:val="center"/>
                </w:tcPr>
                <w:p w14:paraId="03A0AA61">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534" w:type="pct"/>
                  <w:vMerge w:val="continue"/>
                  <w:vAlign w:val="center"/>
                </w:tcPr>
                <w:p w14:paraId="16964589">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50" w:type="pct"/>
                  <w:vAlign w:val="center"/>
                </w:tcPr>
                <w:p w14:paraId="6941513E">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SO</w:t>
                  </w:r>
                  <w:r>
                    <w:rPr>
                      <w:rFonts w:ascii="Times New Roman" w:hAnsi="Times New Roman" w:eastAsia="宋体" w:cs="Times New Roman"/>
                      <w:color w:val="000000" w:themeColor="text1"/>
                      <w:szCs w:val="21"/>
                      <w:vertAlign w:val="subscript"/>
                      <w14:textFill>
                        <w14:solidFill>
                          <w14:schemeClr w14:val="tx1"/>
                        </w14:solidFill>
                      </w14:textFill>
                    </w:rPr>
                    <w:t>2</w:t>
                  </w:r>
                </w:p>
              </w:tc>
              <w:tc>
                <w:tcPr>
                  <w:tcW w:w="697" w:type="pct"/>
                  <w:vAlign w:val="center"/>
                </w:tcPr>
                <w:p w14:paraId="29EB780D">
                  <w:pPr>
                    <w:autoSpaceDE w:val="0"/>
                    <w:autoSpaceDN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116.3</w:t>
                  </w:r>
                </w:p>
              </w:tc>
              <w:tc>
                <w:tcPr>
                  <w:tcW w:w="721" w:type="pct"/>
                  <w:vAlign w:val="center"/>
                </w:tcPr>
                <w:p w14:paraId="67464F0C">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5.966</w:t>
                  </w:r>
                </w:p>
              </w:tc>
              <w:tc>
                <w:tcPr>
                  <w:tcW w:w="1631" w:type="pct"/>
                  <w:vMerge w:val="continue"/>
                  <w:vAlign w:val="center"/>
                </w:tcPr>
                <w:p w14:paraId="67DEF4B0">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r>
            <w:tr w14:paraId="3E79AA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496" w:type="pct"/>
                  <w:vMerge w:val="continue"/>
                  <w:vAlign w:val="center"/>
                </w:tcPr>
                <w:p w14:paraId="5271F289">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71" w:type="pct"/>
                  <w:vMerge w:val="continue"/>
                  <w:vAlign w:val="center"/>
                </w:tcPr>
                <w:p w14:paraId="665C3132">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534" w:type="pct"/>
                  <w:vMerge w:val="continue"/>
                  <w:vAlign w:val="center"/>
                </w:tcPr>
                <w:p w14:paraId="1BD63615">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50" w:type="pct"/>
                  <w:vAlign w:val="center"/>
                </w:tcPr>
                <w:p w14:paraId="42AF77EA">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NOx</w:t>
                  </w:r>
                </w:p>
              </w:tc>
              <w:tc>
                <w:tcPr>
                  <w:tcW w:w="697" w:type="pct"/>
                  <w:vAlign w:val="center"/>
                </w:tcPr>
                <w:p w14:paraId="784603AA">
                  <w:pPr>
                    <w:autoSpaceDE w:val="0"/>
                    <w:autoSpaceDN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24</w:t>
                  </w:r>
                </w:p>
              </w:tc>
              <w:tc>
                <w:tcPr>
                  <w:tcW w:w="721" w:type="pct"/>
                  <w:vAlign w:val="center"/>
                </w:tcPr>
                <w:p w14:paraId="4BDF4004">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1.2316</w:t>
                  </w:r>
                </w:p>
              </w:tc>
              <w:tc>
                <w:tcPr>
                  <w:tcW w:w="1631" w:type="pct"/>
                  <w:vMerge w:val="continue"/>
                  <w:vAlign w:val="center"/>
                </w:tcPr>
                <w:p w14:paraId="02343938">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r>
            <w:tr w14:paraId="6BCD06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496" w:type="pct"/>
                  <w:vMerge w:val="continue"/>
                  <w:vAlign w:val="center"/>
                </w:tcPr>
                <w:p w14:paraId="41749FE6">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71" w:type="pct"/>
                  <w:vMerge w:val="continue"/>
                  <w:vAlign w:val="center"/>
                </w:tcPr>
                <w:p w14:paraId="62443351">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534" w:type="pct"/>
                  <w:vMerge w:val="continue"/>
                  <w:vAlign w:val="center"/>
                </w:tcPr>
                <w:p w14:paraId="24FED231">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50" w:type="pct"/>
                  <w:vAlign w:val="center"/>
                </w:tcPr>
                <w:p w14:paraId="34F590F9">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697" w:type="pct"/>
                  <w:vAlign w:val="center"/>
                </w:tcPr>
                <w:p w14:paraId="0D3EED69">
                  <w:pPr>
                    <w:autoSpaceDE w:val="0"/>
                    <w:autoSpaceDN w:val="0"/>
                    <w:ind w:left="-105" w:leftChars="-50" w:right="-105" w:rightChars="-50"/>
                    <w:jc w:val="center"/>
                    <w:rPr>
                      <w:rFonts w:ascii="Times New Roman" w:hAnsi="Times New Roman" w:eastAsia="宋体" w:cs="Times New Roman"/>
                      <w:color w:val="000000" w:themeColor="text1"/>
                      <w:sz w:val="22"/>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2.2</w:t>
                  </w:r>
                </w:p>
              </w:tc>
              <w:tc>
                <w:tcPr>
                  <w:tcW w:w="721" w:type="pct"/>
                  <w:vAlign w:val="center"/>
                </w:tcPr>
                <w:p w14:paraId="5CA77DE3">
                  <w:pPr>
                    <w:ind w:left="-105" w:leftChars="-50" w:right="-105" w:rightChars="-50"/>
                    <w:jc w:val="center"/>
                    <w:rPr>
                      <w:rFonts w:ascii="Times New Roman" w:hAnsi="Times New Roman" w:eastAsia="宋体" w:cs="Times New Roman"/>
                      <w:color w:val="000000" w:themeColor="text1"/>
                      <w:sz w:val="22"/>
                      <w14:textFill>
                        <w14:solidFill>
                          <w14:schemeClr w14:val="tx1"/>
                        </w14:solidFill>
                      </w14:textFill>
                    </w:rPr>
                  </w:pPr>
                  <w:r>
                    <w:rPr>
                      <w:rFonts w:ascii="Times New Roman" w:hAnsi="Times New Roman" w:eastAsia="宋体" w:cs="Times New Roman"/>
                      <w:color w:val="000000" w:themeColor="text1"/>
                      <w:sz w:val="22"/>
                      <w14:textFill>
                        <w14:solidFill>
                          <w14:schemeClr w14:val="tx1"/>
                        </w14:solidFill>
                      </w14:textFill>
                    </w:rPr>
                    <w:t>0.1145</w:t>
                  </w:r>
                </w:p>
              </w:tc>
              <w:tc>
                <w:tcPr>
                  <w:tcW w:w="1631" w:type="pct"/>
                  <w:vMerge w:val="continue"/>
                  <w:vAlign w:val="center"/>
                </w:tcPr>
                <w:p w14:paraId="0886E01B">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r>
            <w:tr w14:paraId="07BA5F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496" w:type="pct"/>
                  <w:vMerge w:val="continue"/>
                  <w:vAlign w:val="center"/>
                </w:tcPr>
                <w:p w14:paraId="1601D193">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71" w:type="pct"/>
                  <w:vMerge w:val="continue"/>
                  <w:vAlign w:val="center"/>
                </w:tcPr>
                <w:p w14:paraId="778B654C">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534" w:type="pct"/>
                  <w:vMerge w:val="continue"/>
                  <w:vAlign w:val="center"/>
                </w:tcPr>
                <w:p w14:paraId="0B367E07">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450" w:type="pct"/>
                  <w:vAlign w:val="center"/>
                </w:tcPr>
                <w:p w14:paraId="0325DB5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14:textFill>
                        <w14:solidFill>
                          <w14:schemeClr w14:val="tx1"/>
                        </w14:solidFill>
                      </w14:textFill>
                    </w:rPr>
                    <w:t>二噁英</w:t>
                  </w:r>
                </w:p>
              </w:tc>
              <w:tc>
                <w:tcPr>
                  <w:tcW w:w="697" w:type="pct"/>
                  <w:vAlign w:val="center"/>
                </w:tcPr>
                <w:p w14:paraId="6489814B">
                  <w:pPr>
                    <w:autoSpaceDE w:val="0"/>
                    <w:autoSpaceDN w:val="0"/>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hint="eastAsia" w:ascii="Times New Roman" w:hAnsi="Times New Roman" w:eastAsia="宋体" w:cs="Times New Roman"/>
                      <w:color w:val="000000" w:themeColor="text1"/>
                      <w:szCs w:val="21"/>
                      <w14:textFill>
                        <w14:solidFill>
                          <w14:schemeClr w14:val="tx1"/>
                        </w14:solidFill>
                      </w14:textFill>
                    </w:rPr>
                    <w:t>0.18</w:t>
                  </w:r>
                  <w:r>
                    <w:rPr>
                      <w:rFonts w:ascii="Times New Roman" w:hAnsi="Times New Roman" w:eastAsia="宋体" w:cs="Times New Roman"/>
                      <w:szCs w:val="21"/>
                    </w:rPr>
                    <w:t xml:space="preserve"> ng/m</w:t>
                  </w:r>
                  <w:r>
                    <w:rPr>
                      <w:rFonts w:ascii="Times New Roman" w:hAnsi="Times New Roman" w:eastAsia="宋体" w:cs="Times New Roman"/>
                      <w:szCs w:val="21"/>
                      <w:vertAlign w:val="superscript"/>
                    </w:rPr>
                    <w:t>3</w:t>
                  </w:r>
                </w:p>
              </w:tc>
              <w:tc>
                <w:tcPr>
                  <w:tcW w:w="721" w:type="pct"/>
                  <w:vAlign w:val="center"/>
                </w:tcPr>
                <w:p w14:paraId="492A0915">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cs="Times New Roman"/>
                      <w:color w:val="000000"/>
                      <w:szCs w:val="21"/>
                    </w:rPr>
                    <w:t>9.36</w:t>
                  </w:r>
                  <w:r>
                    <w:rPr>
                      <w:rFonts w:ascii="Times New Roman" w:hAnsi="Times New Roman" w:eastAsia="宋体" w:cs="Times New Roman"/>
                      <w:color w:val="000000" w:themeColor="text1"/>
                      <w:szCs w:val="21"/>
                      <w14:textFill>
                        <w14:solidFill>
                          <w14:schemeClr w14:val="tx1"/>
                        </w14:solidFill>
                      </w14:textFill>
                    </w:rPr>
                    <w:t xml:space="preserve"> ug/h</w:t>
                  </w:r>
                </w:p>
              </w:tc>
              <w:tc>
                <w:tcPr>
                  <w:tcW w:w="1631" w:type="pct"/>
                  <w:vMerge w:val="continue"/>
                  <w:vAlign w:val="center"/>
                </w:tcPr>
                <w:p w14:paraId="57D04871">
                  <w:pPr>
                    <w:widowControl/>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r>
          </w:tbl>
          <w:p w14:paraId="4A378538">
            <w:pPr>
              <w:adjustRightInd w:val="0"/>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p>
          <w:p w14:paraId="444E5EF0">
            <w:pPr>
              <w:adjustRightInd w:val="0"/>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5、排放口设置情况及监测要求</w:t>
            </w:r>
          </w:p>
          <w:p w14:paraId="46F4D1D1">
            <w:pPr>
              <w:adjustRightInd w:val="0"/>
              <w:snapToGrid w:val="0"/>
              <w:spacing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（1）排放口设置情况</w:t>
            </w:r>
          </w:p>
          <w:p w14:paraId="2E41608D">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本项目废气排放口设置情况如下表所示。</w:t>
            </w:r>
          </w:p>
          <w:p w14:paraId="511CFAB8">
            <w:pPr>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bookmarkStart w:id="32" w:name="_Ref140503712"/>
            <w:r>
              <w:rPr>
                <w:rFonts w:ascii="Times New Roman" w:hAnsi="Times New Roman" w:eastAsia="宋体" w:cs="Times New Roman"/>
                <w:b/>
                <w:bCs/>
                <w:color w:val="000000" w:themeColor="text1"/>
                <w:szCs w:val="21"/>
                <w14:textFill>
                  <w14:solidFill>
                    <w14:schemeClr w14:val="tx1"/>
                  </w14:solidFill>
                </w14:textFill>
              </w:rPr>
              <w:t xml:space="preserve">表4-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表4-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9</w:t>
            </w:r>
            <w:r>
              <w:rPr>
                <w:rFonts w:ascii="Times New Roman" w:hAnsi="Times New Roman" w:eastAsia="宋体" w:cs="Times New Roman"/>
                <w:b/>
                <w:bCs/>
                <w:color w:val="000000" w:themeColor="text1"/>
                <w:szCs w:val="21"/>
                <w14:textFill>
                  <w14:solidFill>
                    <w14:schemeClr w14:val="tx1"/>
                  </w14:solidFill>
                </w14:textFill>
              </w:rPr>
              <w:fldChar w:fldCharType="end"/>
            </w:r>
            <w:bookmarkEnd w:id="32"/>
            <w:r>
              <w:rPr>
                <w:rFonts w:ascii="Times New Roman" w:hAnsi="Times New Roman" w:eastAsia="宋体" w:cs="Times New Roman"/>
                <w:b/>
                <w:bCs/>
                <w:color w:val="000000" w:themeColor="text1"/>
                <w:szCs w:val="21"/>
                <w14:textFill>
                  <w14:solidFill>
                    <w14:schemeClr w14:val="tx1"/>
                  </w14:solidFill>
                </w14:textFill>
              </w:rPr>
              <w:t xml:space="preserve">   </w:t>
            </w:r>
            <w:r>
              <w:rPr>
                <w:rFonts w:ascii="Times New Roman" w:hAnsi="Times New Roman" w:eastAsia="宋体" w:cs="Times New Roman"/>
                <w:b/>
                <w:color w:val="000000" w:themeColor="text1"/>
                <w:szCs w:val="21"/>
                <w14:textFill>
                  <w14:solidFill>
                    <w14:schemeClr w14:val="tx1"/>
                  </w14:solidFill>
                </w14:textFill>
              </w:rPr>
              <w:t>废气排放口设置情况一览表</w:t>
            </w:r>
          </w:p>
          <w:tbl>
            <w:tblPr>
              <w:tblStyle w:val="2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59"/>
              <w:gridCol w:w="996"/>
              <w:gridCol w:w="958"/>
              <w:gridCol w:w="958"/>
              <w:gridCol w:w="846"/>
              <w:gridCol w:w="964"/>
              <w:gridCol w:w="1793"/>
            </w:tblGrid>
            <w:tr w14:paraId="468679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04" w:type="pct"/>
                  <w:vMerge w:val="restart"/>
                  <w:vAlign w:val="center"/>
                </w:tcPr>
                <w:p w14:paraId="08B7EDBC">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排放口名称</w:t>
                  </w:r>
                </w:p>
              </w:tc>
              <w:tc>
                <w:tcPr>
                  <w:tcW w:w="655" w:type="pct"/>
                  <w:vMerge w:val="restart"/>
                  <w:vAlign w:val="center"/>
                </w:tcPr>
                <w:p w14:paraId="3BDFCD2B">
                  <w:pPr>
                    <w:adjustRightInd w:val="0"/>
                    <w:snapToGrid w:val="0"/>
                    <w:jc w:val="center"/>
                    <w:rPr>
                      <w:rFonts w:ascii="Times New Roman" w:hAnsi="Times New Roman" w:eastAsia="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排放口编号</w:t>
                  </w:r>
                </w:p>
              </w:tc>
              <w:tc>
                <w:tcPr>
                  <w:tcW w:w="2192" w:type="pct"/>
                  <w:gridSpan w:val="4"/>
                  <w:vAlign w:val="center"/>
                </w:tcPr>
                <w:p w14:paraId="1AF77688">
                  <w:pPr>
                    <w:adjustRightInd w:val="0"/>
                    <w:snapToGrid w:val="0"/>
                    <w:jc w:val="center"/>
                    <w:rPr>
                      <w:rFonts w:ascii="Times New Roman" w:hAnsi="Times New Roman" w:eastAsia="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排放口基本情况</w:t>
                  </w:r>
                </w:p>
              </w:tc>
              <w:tc>
                <w:tcPr>
                  <w:tcW w:w="1149" w:type="pct"/>
                  <w:vMerge w:val="restart"/>
                  <w:vAlign w:val="center"/>
                </w:tcPr>
                <w:p w14:paraId="3931801E">
                  <w:pPr>
                    <w:adjustRightInd w:val="0"/>
                    <w:snapToGrid w:val="0"/>
                    <w:jc w:val="center"/>
                    <w:rPr>
                      <w:rFonts w:ascii="Times New Roman" w:hAnsi="Times New Roman" w:eastAsia="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地理坐标</w:t>
                  </w:r>
                </w:p>
              </w:tc>
            </w:tr>
            <w:tr w14:paraId="458B56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04" w:type="pct"/>
                  <w:vMerge w:val="continue"/>
                  <w:vAlign w:val="center"/>
                </w:tcPr>
                <w:p w14:paraId="086D2C47">
                  <w:pPr>
                    <w:adjustRightInd w:val="0"/>
                    <w:snapToGrid w:val="0"/>
                    <w:jc w:val="center"/>
                    <w:rPr>
                      <w:rFonts w:ascii="Times New Roman" w:hAnsi="Times New Roman" w:eastAsia="Times New Roman" w:cs="Times New Roman"/>
                      <w:color w:val="000000" w:themeColor="text1"/>
                      <w:szCs w:val="21"/>
                      <w14:textFill>
                        <w14:solidFill>
                          <w14:schemeClr w14:val="tx1"/>
                        </w14:solidFill>
                      </w14:textFill>
                    </w:rPr>
                  </w:pPr>
                </w:p>
              </w:tc>
              <w:tc>
                <w:tcPr>
                  <w:tcW w:w="655" w:type="pct"/>
                  <w:vMerge w:val="continue"/>
                  <w:vAlign w:val="center"/>
                </w:tcPr>
                <w:p w14:paraId="31AF3FC6">
                  <w:pPr>
                    <w:adjustRightInd w:val="0"/>
                    <w:snapToGrid w:val="0"/>
                    <w:jc w:val="center"/>
                    <w:rPr>
                      <w:rFonts w:ascii="Times New Roman" w:hAnsi="Times New Roman" w:eastAsia="Times New Roman" w:cs="Times New Roman"/>
                      <w:color w:val="000000" w:themeColor="text1"/>
                      <w:szCs w:val="21"/>
                      <w14:textFill>
                        <w14:solidFill>
                          <w14:schemeClr w14:val="tx1"/>
                        </w14:solidFill>
                      </w14:textFill>
                    </w:rPr>
                  </w:pPr>
                </w:p>
              </w:tc>
              <w:tc>
                <w:tcPr>
                  <w:tcW w:w="631" w:type="pct"/>
                  <w:vAlign w:val="center"/>
                </w:tcPr>
                <w:p w14:paraId="2C602046">
                  <w:pPr>
                    <w:adjustRightInd w:val="0"/>
                    <w:snapToGrid w:val="0"/>
                    <w:jc w:val="center"/>
                    <w:rPr>
                      <w:rFonts w:ascii="Times New Roman" w:hAnsi="Times New Roman" w:eastAsia="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高度（m）</w:t>
                  </w:r>
                </w:p>
              </w:tc>
              <w:tc>
                <w:tcPr>
                  <w:tcW w:w="631" w:type="pct"/>
                  <w:vAlign w:val="center"/>
                </w:tcPr>
                <w:p w14:paraId="27491E94">
                  <w:pPr>
                    <w:adjustRightInd w:val="0"/>
                    <w:snapToGrid w:val="0"/>
                    <w:jc w:val="center"/>
                    <w:rPr>
                      <w:rFonts w:ascii="Times New Roman" w:hAnsi="Times New Roman" w:eastAsia="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内径（m）</w:t>
                  </w:r>
                </w:p>
              </w:tc>
              <w:tc>
                <w:tcPr>
                  <w:tcW w:w="296" w:type="pct"/>
                  <w:vAlign w:val="center"/>
                </w:tcPr>
                <w:p w14:paraId="410D9620">
                  <w:pPr>
                    <w:adjustRightInd w:val="0"/>
                    <w:snapToGrid w:val="0"/>
                    <w:jc w:val="center"/>
                    <w:rPr>
                      <w:rFonts w:ascii="Times New Roman" w:hAnsi="Times New Roman" w:eastAsia="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温度（</w:t>
                  </w:r>
                  <w:r>
                    <w:rPr>
                      <w:rFonts w:hint="eastAsia" w:ascii="宋体" w:hAnsi="宋体" w:eastAsia="宋体" w:cs="宋体"/>
                      <w:color w:val="000000" w:themeColor="text1"/>
                      <w:szCs w:val="21"/>
                      <w14:textFill>
                        <w14:solidFill>
                          <w14:schemeClr w14:val="tx1"/>
                        </w14:solidFill>
                      </w14:textFill>
                    </w:rPr>
                    <w:t>℃</w:t>
                  </w:r>
                  <w:r>
                    <w:rPr>
                      <w:rFonts w:ascii="Times New Roman" w:hAnsi="Times New Roman" w:eastAsia="宋体" w:cs="Times New Roman"/>
                      <w:color w:val="000000" w:themeColor="text1"/>
                      <w:szCs w:val="21"/>
                      <w14:textFill>
                        <w14:solidFill>
                          <w14:schemeClr w14:val="tx1"/>
                        </w14:solidFill>
                      </w14:textFill>
                    </w:rPr>
                    <w:t>）</w:t>
                  </w:r>
                </w:p>
              </w:tc>
              <w:tc>
                <w:tcPr>
                  <w:tcW w:w="635" w:type="pct"/>
                  <w:vAlign w:val="center"/>
                </w:tcPr>
                <w:p w14:paraId="1C276F39">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类型</w:t>
                  </w:r>
                </w:p>
              </w:tc>
              <w:tc>
                <w:tcPr>
                  <w:tcW w:w="1149" w:type="pct"/>
                  <w:vMerge w:val="continue"/>
                  <w:vAlign w:val="center"/>
                </w:tcPr>
                <w:p w14:paraId="75366DE6">
                  <w:pPr>
                    <w:adjustRightInd w:val="0"/>
                    <w:snapToGrid w:val="0"/>
                    <w:jc w:val="center"/>
                    <w:rPr>
                      <w:rFonts w:ascii="Times New Roman" w:hAnsi="Times New Roman" w:eastAsia="Times New Roman" w:cs="Times New Roman"/>
                      <w:color w:val="000000" w:themeColor="text1"/>
                      <w:szCs w:val="21"/>
                      <w14:textFill>
                        <w14:solidFill>
                          <w14:schemeClr w14:val="tx1"/>
                        </w14:solidFill>
                      </w14:textFill>
                    </w:rPr>
                  </w:pPr>
                </w:p>
              </w:tc>
            </w:tr>
            <w:tr w14:paraId="538475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04" w:type="pct"/>
                  <w:vAlign w:val="center"/>
                </w:tcPr>
                <w:p w14:paraId="799CD094">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原料制备车间除尘器排气筒</w:t>
                  </w:r>
                </w:p>
              </w:tc>
              <w:tc>
                <w:tcPr>
                  <w:tcW w:w="655" w:type="pct"/>
                  <w:vAlign w:val="center"/>
                </w:tcPr>
                <w:p w14:paraId="0517744F">
                  <w:pPr>
                    <w:adjustRightInd w:val="0"/>
                    <w:snapToGrid w:val="0"/>
                    <w:jc w:val="center"/>
                    <w:rPr>
                      <w:rFonts w:ascii="Times New Roman" w:hAnsi="Times New Roman" w:eastAsia="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DA001</w:t>
                  </w:r>
                </w:p>
              </w:tc>
              <w:tc>
                <w:tcPr>
                  <w:tcW w:w="631" w:type="pct"/>
                  <w:vAlign w:val="center"/>
                </w:tcPr>
                <w:p w14:paraId="328AA4C6">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15</w:t>
                  </w:r>
                </w:p>
              </w:tc>
              <w:tc>
                <w:tcPr>
                  <w:tcW w:w="631" w:type="pct"/>
                  <w:vAlign w:val="center"/>
                </w:tcPr>
                <w:p w14:paraId="36991559">
                  <w:pPr>
                    <w:adjustRightInd w:val="0"/>
                    <w:snapToGrid w:val="0"/>
                    <w:jc w:val="center"/>
                    <w:rPr>
                      <w:rFonts w:ascii="Times New Roman" w:hAnsi="Times New Roman" w:eastAsia="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0.3</w:t>
                  </w:r>
                </w:p>
              </w:tc>
              <w:tc>
                <w:tcPr>
                  <w:tcW w:w="296" w:type="pct"/>
                  <w:vAlign w:val="center"/>
                </w:tcPr>
                <w:p w14:paraId="386A4755">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20</w:t>
                  </w:r>
                </w:p>
              </w:tc>
              <w:tc>
                <w:tcPr>
                  <w:tcW w:w="635" w:type="pct"/>
                  <w:vAlign w:val="center"/>
                </w:tcPr>
                <w:p w14:paraId="31434E07">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立式排放口</w:t>
                  </w:r>
                </w:p>
              </w:tc>
              <w:tc>
                <w:tcPr>
                  <w:tcW w:w="1149" w:type="pct"/>
                  <w:vAlign w:val="center"/>
                </w:tcPr>
                <w:p w14:paraId="5FBF1823">
                  <w:pPr>
                    <w:adjustRightInd w:val="0"/>
                    <w:snapToGrid w:val="0"/>
                    <w:jc w:val="center"/>
                    <w:rPr>
                      <w:rFonts w:ascii="Times New Roman" w:hAnsi="Times New Roman" w:eastAsia="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经度：</w:t>
                  </w:r>
                  <w:r>
                    <w:rPr>
                      <w:rFonts w:ascii="Times New Roman" w:hAnsi="Times New Roman" w:eastAsia="Times New Roman" w:cs="Times New Roman"/>
                      <w:color w:val="000000" w:themeColor="text1"/>
                      <w:szCs w:val="21"/>
                      <w14:textFill>
                        <w14:solidFill>
                          <w14:schemeClr w14:val="tx1"/>
                        </w14:solidFill>
                      </w14:textFill>
                    </w:rPr>
                    <w:t>105.46387</w:t>
                  </w:r>
                </w:p>
                <w:p w14:paraId="49514BC4">
                  <w:pPr>
                    <w:adjustRightInd w:val="0"/>
                    <w:snapToGrid w:val="0"/>
                    <w:jc w:val="center"/>
                    <w:rPr>
                      <w:rFonts w:ascii="Times New Roman" w:hAnsi="Times New Roman" w:eastAsia="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纬度：</w:t>
                  </w:r>
                  <w:r>
                    <w:rPr>
                      <w:rFonts w:ascii="Times New Roman" w:hAnsi="Times New Roman" w:eastAsia="Times New Roman" w:cs="Times New Roman"/>
                      <w:color w:val="000000" w:themeColor="text1"/>
                      <w:szCs w:val="21"/>
                      <w14:textFill>
                        <w14:solidFill>
                          <w14:schemeClr w14:val="tx1"/>
                        </w14:solidFill>
                      </w14:textFill>
                    </w:rPr>
                    <w:t>30.50170</w:t>
                  </w:r>
                </w:p>
              </w:tc>
            </w:tr>
            <w:tr w14:paraId="4184ED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04" w:type="pct"/>
                  <w:vAlign w:val="center"/>
                </w:tcPr>
                <w:p w14:paraId="75346632">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1#隧道窑湿式脱硫塔排气筒</w:t>
                  </w:r>
                </w:p>
              </w:tc>
              <w:tc>
                <w:tcPr>
                  <w:tcW w:w="655" w:type="pct"/>
                  <w:vAlign w:val="center"/>
                </w:tcPr>
                <w:p w14:paraId="2149D1B8">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DA002</w:t>
                  </w:r>
                </w:p>
              </w:tc>
              <w:tc>
                <w:tcPr>
                  <w:tcW w:w="631" w:type="pct"/>
                  <w:vAlign w:val="center"/>
                </w:tcPr>
                <w:p w14:paraId="32BE2A63">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18</w:t>
                  </w:r>
                </w:p>
              </w:tc>
              <w:tc>
                <w:tcPr>
                  <w:tcW w:w="631" w:type="pct"/>
                  <w:vAlign w:val="center"/>
                </w:tcPr>
                <w:p w14:paraId="4A4CCDF5">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1.5</w:t>
                  </w:r>
                </w:p>
              </w:tc>
              <w:tc>
                <w:tcPr>
                  <w:tcW w:w="296" w:type="pct"/>
                  <w:vAlign w:val="center"/>
                </w:tcPr>
                <w:p w14:paraId="2495D23A">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50</w:t>
                  </w:r>
                </w:p>
              </w:tc>
              <w:tc>
                <w:tcPr>
                  <w:tcW w:w="635" w:type="pct"/>
                  <w:vAlign w:val="center"/>
                </w:tcPr>
                <w:p w14:paraId="390011A8">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立式排放口</w:t>
                  </w:r>
                </w:p>
              </w:tc>
              <w:tc>
                <w:tcPr>
                  <w:tcW w:w="1149" w:type="pct"/>
                  <w:vAlign w:val="center"/>
                </w:tcPr>
                <w:p w14:paraId="03532280">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经度：</w:t>
                  </w:r>
                  <w:r>
                    <w:rPr>
                      <w:rFonts w:ascii="Times New Roman" w:hAnsi="Times New Roman" w:eastAsia="Times New Roman" w:cs="Times New Roman"/>
                      <w:color w:val="000000" w:themeColor="text1"/>
                      <w:szCs w:val="21"/>
                      <w14:textFill>
                        <w14:solidFill>
                          <w14:schemeClr w14:val="tx1"/>
                        </w14:solidFill>
                      </w14:textFill>
                    </w:rPr>
                    <w:t>105.46415</w:t>
                  </w:r>
                </w:p>
                <w:p w14:paraId="7381AB19">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纬度：30.50122</w:t>
                  </w:r>
                </w:p>
              </w:tc>
            </w:tr>
            <w:tr w14:paraId="2C950D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04" w:type="pct"/>
                  <w:vAlign w:val="center"/>
                </w:tcPr>
                <w:p w14:paraId="2F53E201">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2#烘干车间湿式脱硫塔排气筒</w:t>
                  </w:r>
                </w:p>
              </w:tc>
              <w:tc>
                <w:tcPr>
                  <w:tcW w:w="655" w:type="pct"/>
                  <w:vAlign w:val="center"/>
                </w:tcPr>
                <w:p w14:paraId="68B7654A">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DA003</w:t>
                  </w:r>
                </w:p>
              </w:tc>
              <w:tc>
                <w:tcPr>
                  <w:tcW w:w="631" w:type="pct"/>
                  <w:vAlign w:val="center"/>
                </w:tcPr>
                <w:p w14:paraId="3A9FD060">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18</w:t>
                  </w:r>
                </w:p>
              </w:tc>
              <w:tc>
                <w:tcPr>
                  <w:tcW w:w="631" w:type="pct"/>
                  <w:vAlign w:val="center"/>
                </w:tcPr>
                <w:p w14:paraId="7D68F029">
                  <w:pPr>
                    <w:adjustRightInd w:val="0"/>
                    <w:snapToGrid w:val="0"/>
                    <w:jc w:val="center"/>
                    <w:rPr>
                      <w:rFonts w:ascii="Times New Roman" w:hAnsi="Times New Roman" w:eastAsia="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1.5</w:t>
                  </w:r>
                </w:p>
              </w:tc>
              <w:tc>
                <w:tcPr>
                  <w:tcW w:w="296" w:type="pct"/>
                  <w:vAlign w:val="center"/>
                </w:tcPr>
                <w:p w14:paraId="016CD881">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50</w:t>
                  </w:r>
                </w:p>
              </w:tc>
              <w:tc>
                <w:tcPr>
                  <w:tcW w:w="635" w:type="pct"/>
                  <w:vAlign w:val="center"/>
                </w:tcPr>
                <w:p w14:paraId="0DD26B08">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立式排放口</w:t>
                  </w:r>
                </w:p>
              </w:tc>
              <w:tc>
                <w:tcPr>
                  <w:tcW w:w="1149" w:type="pct"/>
                  <w:vAlign w:val="center"/>
                </w:tcPr>
                <w:p w14:paraId="6B190CB6">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经度：</w:t>
                  </w:r>
                  <w:r>
                    <w:rPr>
                      <w:rFonts w:ascii="Times New Roman" w:hAnsi="Times New Roman" w:eastAsia="Times New Roman" w:cs="Times New Roman"/>
                      <w:color w:val="000000" w:themeColor="text1"/>
                      <w:szCs w:val="21"/>
                      <w14:textFill>
                        <w14:solidFill>
                          <w14:schemeClr w14:val="tx1"/>
                        </w14:solidFill>
                      </w14:textFill>
                    </w:rPr>
                    <w:t>105.46422</w:t>
                  </w:r>
                </w:p>
                <w:p w14:paraId="138929E8">
                  <w:pPr>
                    <w:adjustRightInd w:val="0"/>
                    <w:snapToGrid w:val="0"/>
                    <w:jc w:val="center"/>
                    <w:rPr>
                      <w:rFonts w:ascii="Times New Roman" w:hAnsi="Times New Roman" w:eastAsia="Times New Roman"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纬度：30.50173</w:t>
                  </w:r>
                </w:p>
              </w:tc>
            </w:tr>
          </w:tbl>
          <w:p w14:paraId="0D311D49">
            <w:pPr>
              <w:adjustRightInd w:val="0"/>
              <w:snapToGrid w:val="0"/>
              <w:spacing w:before="156" w:beforeLines="50" w:line="360" w:lineRule="auto"/>
              <w:ind w:firstLine="482" w:firstLineChars="200"/>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（2）监测要求</w:t>
            </w:r>
          </w:p>
          <w:p w14:paraId="30566FF6">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根据本工程的污染特点，结合《排污单位自行监测技术指南总则》（HJ 819-2017）、《排污单位自行监测技术指南 砖瓦工业》（HJ 1254-2022）营运期废气监测计划如下表所示。</w:t>
            </w:r>
          </w:p>
          <w:p w14:paraId="225488E5">
            <w:pPr>
              <w:pStyle w:val="2"/>
              <w:ind w:firstLine="492"/>
            </w:pPr>
          </w:p>
          <w:p w14:paraId="06E6498F">
            <w:pPr>
              <w:adjustRightInd w:val="0"/>
              <w:snapToGrid w:val="0"/>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 xml:space="preserve">表4-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表4-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10</w:t>
            </w:r>
            <w:r>
              <w:rPr>
                <w:rFonts w:ascii="Times New Roman" w:hAnsi="Times New Roman" w:eastAsia="宋体" w:cs="Times New Roman"/>
                <w:b/>
                <w:bCs/>
                <w:color w:val="000000" w:themeColor="text1"/>
                <w:szCs w:val="21"/>
                <w14:textFill>
                  <w14:solidFill>
                    <w14:schemeClr w14:val="tx1"/>
                  </w14:solidFill>
                </w14:textFill>
              </w:rPr>
              <w:fldChar w:fldCharType="end"/>
            </w:r>
            <w:r>
              <w:rPr>
                <w:rFonts w:ascii="Times New Roman" w:hAnsi="Times New Roman" w:eastAsia="宋体" w:cs="Times New Roman"/>
                <w:b/>
                <w:bCs/>
                <w:color w:val="000000" w:themeColor="text1"/>
                <w:szCs w:val="21"/>
                <w14:textFill>
                  <w14:solidFill>
                    <w14:schemeClr w14:val="tx1"/>
                  </w14:solidFill>
                </w14:textFill>
              </w:rPr>
              <w:t xml:space="preserve">   </w:t>
            </w:r>
            <w:r>
              <w:rPr>
                <w:rFonts w:ascii="Times New Roman" w:hAnsi="Times New Roman" w:eastAsia="宋体" w:cs="Times New Roman"/>
                <w:b/>
                <w:color w:val="000000" w:themeColor="text1"/>
                <w:szCs w:val="21"/>
                <w14:textFill>
                  <w14:solidFill>
                    <w14:schemeClr w14:val="tx1"/>
                  </w14:solidFill>
                </w14:textFill>
              </w:rPr>
              <w:t>废气监测计划表</w:t>
            </w:r>
          </w:p>
          <w:tbl>
            <w:tblPr>
              <w:tblStyle w:val="2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71"/>
              <w:gridCol w:w="1560"/>
              <w:gridCol w:w="874"/>
              <w:gridCol w:w="1750"/>
              <w:gridCol w:w="1021"/>
              <w:gridCol w:w="2298"/>
            </w:tblGrid>
            <w:tr w14:paraId="637E67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2" w:hRule="atLeast"/>
              </w:trPr>
              <w:tc>
                <w:tcPr>
                  <w:tcW w:w="354" w:type="pct"/>
                  <w:vAlign w:val="center"/>
                </w:tcPr>
                <w:p w14:paraId="7040F266">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类别</w:t>
                  </w:r>
                </w:p>
              </w:tc>
              <w:tc>
                <w:tcPr>
                  <w:tcW w:w="966" w:type="pct"/>
                  <w:vAlign w:val="center"/>
                </w:tcPr>
                <w:p w14:paraId="681C88B1">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监测位置</w:t>
                  </w:r>
                </w:p>
              </w:tc>
              <w:tc>
                <w:tcPr>
                  <w:tcW w:w="541" w:type="pct"/>
                  <w:vAlign w:val="center"/>
                </w:tcPr>
                <w:p w14:paraId="61DF2BA7">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监测数量</w:t>
                  </w:r>
                </w:p>
              </w:tc>
              <w:tc>
                <w:tcPr>
                  <w:tcW w:w="1084" w:type="pct"/>
                  <w:vAlign w:val="center"/>
                </w:tcPr>
                <w:p w14:paraId="52E1F2C8">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监测项目</w:t>
                  </w:r>
                </w:p>
              </w:tc>
              <w:tc>
                <w:tcPr>
                  <w:tcW w:w="632" w:type="pct"/>
                  <w:vAlign w:val="center"/>
                </w:tcPr>
                <w:p w14:paraId="5E81C4CD">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监测</w:t>
                  </w:r>
                </w:p>
                <w:p w14:paraId="1AD366A8">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频率</w:t>
                  </w:r>
                </w:p>
              </w:tc>
              <w:tc>
                <w:tcPr>
                  <w:tcW w:w="1423" w:type="pct"/>
                </w:tcPr>
                <w:p w14:paraId="30B29CD1">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排放标准</w:t>
                  </w:r>
                </w:p>
              </w:tc>
            </w:tr>
            <w:tr w14:paraId="4E5F8F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7" w:hRule="atLeast"/>
              </w:trPr>
              <w:tc>
                <w:tcPr>
                  <w:tcW w:w="354" w:type="pct"/>
                  <w:vMerge w:val="restart"/>
                  <w:vAlign w:val="center"/>
                </w:tcPr>
                <w:p w14:paraId="27196F35">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有组织</w:t>
                  </w:r>
                </w:p>
              </w:tc>
              <w:tc>
                <w:tcPr>
                  <w:tcW w:w="966" w:type="pct"/>
                  <w:vAlign w:val="center"/>
                </w:tcPr>
                <w:p w14:paraId="0A8E302D">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原料制备车间除尘器排气筒</w:t>
                  </w:r>
                  <w:r>
                    <w:rPr>
                      <w:rFonts w:ascii="Times New Roman" w:hAnsi="Times New Roman" w:eastAsia="宋体" w:cs="Times New Roman"/>
                      <w:color w:val="000000" w:themeColor="text1"/>
                      <w:kern w:val="0"/>
                      <w:szCs w:val="21"/>
                      <w14:textFill>
                        <w14:solidFill>
                          <w14:schemeClr w14:val="tx1"/>
                        </w14:solidFill>
                      </w14:textFill>
                    </w:rPr>
                    <w:t>（DA001）</w:t>
                  </w:r>
                </w:p>
              </w:tc>
              <w:tc>
                <w:tcPr>
                  <w:tcW w:w="541" w:type="pct"/>
                  <w:vAlign w:val="center"/>
                </w:tcPr>
                <w:p w14:paraId="1A3D78B4">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Times New Roman" w:cs="Times New Roman"/>
                      <w:color w:val="000000" w:themeColor="text1"/>
                      <w:kern w:val="0"/>
                      <w:szCs w:val="21"/>
                      <w14:textFill>
                        <w14:solidFill>
                          <w14:schemeClr w14:val="tx1"/>
                        </w14:solidFill>
                      </w14:textFill>
                    </w:rPr>
                    <w:t>1</w:t>
                  </w:r>
                  <w:r>
                    <w:rPr>
                      <w:rFonts w:ascii="Times New Roman" w:hAnsi="Times New Roman" w:eastAsia="宋体" w:cs="Times New Roman"/>
                      <w:color w:val="000000" w:themeColor="text1"/>
                      <w:kern w:val="0"/>
                      <w:szCs w:val="21"/>
                      <w14:textFill>
                        <w14:solidFill>
                          <w14:schemeClr w14:val="tx1"/>
                        </w14:solidFill>
                      </w14:textFill>
                    </w:rPr>
                    <w:t>个</w:t>
                  </w:r>
                </w:p>
              </w:tc>
              <w:tc>
                <w:tcPr>
                  <w:tcW w:w="1084" w:type="pct"/>
                  <w:vAlign w:val="center"/>
                </w:tcPr>
                <w:p w14:paraId="0D314ED3">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颗粒物</w:t>
                  </w:r>
                </w:p>
              </w:tc>
              <w:tc>
                <w:tcPr>
                  <w:tcW w:w="632" w:type="pct"/>
                  <w:vAlign w:val="center"/>
                </w:tcPr>
                <w:p w14:paraId="2465B94F">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Times New Roman" w:cs="Times New Roman"/>
                      <w:color w:val="000000" w:themeColor="text1"/>
                      <w:kern w:val="0"/>
                      <w:szCs w:val="21"/>
                      <w14:textFill>
                        <w14:solidFill>
                          <w14:schemeClr w14:val="tx1"/>
                        </w14:solidFill>
                      </w14:textFill>
                    </w:rPr>
                    <w:t>1</w:t>
                  </w:r>
                  <w:r>
                    <w:rPr>
                      <w:rFonts w:ascii="Times New Roman" w:hAnsi="Times New Roman" w:eastAsia="宋体" w:cs="Times New Roman"/>
                      <w:color w:val="000000" w:themeColor="text1"/>
                      <w:kern w:val="0"/>
                      <w:szCs w:val="21"/>
                      <w14:textFill>
                        <w14:solidFill>
                          <w14:schemeClr w14:val="tx1"/>
                        </w14:solidFill>
                      </w14:textFill>
                    </w:rPr>
                    <w:t>年</w:t>
                  </w:r>
                  <w:r>
                    <w:rPr>
                      <w:rFonts w:ascii="Times New Roman" w:hAnsi="Times New Roman" w:eastAsia="Times New Roman" w:cs="Times New Roman"/>
                      <w:color w:val="000000" w:themeColor="text1"/>
                      <w:kern w:val="0"/>
                      <w:szCs w:val="21"/>
                      <w14:textFill>
                        <w14:solidFill>
                          <w14:schemeClr w14:val="tx1"/>
                        </w14:solidFill>
                      </w14:textFill>
                    </w:rPr>
                    <w:t>/</w:t>
                  </w:r>
                  <w:r>
                    <w:rPr>
                      <w:rFonts w:ascii="Times New Roman" w:hAnsi="Times New Roman" w:eastAsia="宋体" w:cs="Times New Roman"/>
                      <w:color w:val="000000" w:themeColor="text1"/>
                      <w:kern w:val="0"/>
                      <w:szCs w:val="21"/>
                      <w14:textFill>
                        <w14:solidFill>
                          <w14:schemeClr w14:val="tx1"/>
                        </w14:solidFill>
                      </w14:textFill>
                    </w:rPr>
                    <w:t>次</w:t>
                  </w:r>
                </w:p>
              </w:tc>
              <w:tc>
                <w:tcPr>
                  <w:tcW w:w="1423" w:type="pct"/>
                </w:tcPr>
                <w:p w14:paraId="79867C2F">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《砖瓦工业大气污染物排放标准》（GB29620-2013）标准限值要求</w:t>
                  </w:r>
                </w:p>
              </w:tc>
            </w:tr>
            <w:tr w14:paraId="4C72CC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trPr>
              <w:tc>
                <w:tcPr>
                  <w:tcW w:w="354" w:type="pct"/>
                  <w:vMerge w:val="continue"/>
                  <w:vAlign w:val="center"/>
                </w:tcPr>
                <w:p w14:paraId="587E2522">
                  <w:pPr>
                    <w:jc w:val="center"/>
                    <w:rPr>
                      <w:rFonts w:ascii="Times New Roman" w:hAnsi="Times New Roman" w:eastAsia="宋体" w:cs="Times New Roman"/>
                      <w:color w:val="000000" w:themeColor="text1"/>
                      <w:kern w:val="0"/>
                      <w:szCs w:val="21"/>
                      <w14:textFill>
                        <w14:solidFill>
                          <w14:schemeClr w14:val="tx1"/>
                        </w14:solidFill>
                      </w14:textFill>
                    </w:rPr>
                  </w:pPr>
                </w:p>
              </w:tc>
              <w:tc>
                <w:tcPr>
                  <w:tcW w:w="966" w:type="pct"/>
                  <w:vMerge w:val="restart"/>
                  <w:vAlign w:val="center"/>
                </w:tcPr>
                <w:p w14:paraId="06956CE0">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1#隧道窑湿式脱硫塔排气筒（DA002）</w:t>
                  </w:r>
                </w:p>
              </w:tc>
              <w:tc>
                <w:tcPr>
                  <w:tcW w:w="541" w:type="pct"/>
                  <w:vMerge w:val="restart"/>
                  <w:vAlign w:val="center"/>
                </w:tcPr>
                <w:p w14:paraId="28042FB4">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Times New Roman" w:cs="Times New Roman"/>
                      <w:color w:val="000000" w:themeColor="text1"/>
                      <w:kern w:val="0"/>
                      <w:szCs w:val="21"/>
                      <w14:textFill>
                        <w14:solidFill>
                          <w14:schemeClr w14:val="tx1"/>
                        </w14:solidFill>
                      </w14:textFill>
                    </w:rPr>
                    <w:t>1</w:t>
                  </w:r>
                  <w:r>
                    <w:rPr>
                      <w:rFonts w:ascii="Times New Roman" w:hAnsi="Times New Roman" w:eastAsia="宋体" w:cs="Times New Roman"/>
                      <w:color w:val="000000" w:themeColor="text1"/>
                      <w:kern w:val="0"/>
                      <w:szCs w:val="21"/>
                      <w14:textFill>
                        <w14:solidFill>
                          <w14:schemeClr w14:val="tx1"/>
                        </w14:solidFill>
                      </w14:textFill>
                    </w:rPr>
                    <w:t>个</w:t>
                  </w:r>
                </w:p>
              </w:tc>
              <w:tc>
                <w:tcPr>
                  <w:tcW w:w="1084" w:type="pct"/>
                  <w:vAlign w:val="center"/>
                </w:tcPr>
                <w:p w14:paraId="6AC4B01E">
                  <w:pPr>
                    <w:autoSpaceDE w:val="0"/>
                    <w:autoSpaceDN w:val="0"/>
                    <w:adjustRightIn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颗粒物、</w:t>
                  </w:r>
                  <w:r>
                    <w:rPr>
                      <w:rFonts w:ascii="Times New Roman" w:hAnsi="Times New Roman" w:eastAsia="宋体" w:cs="Times New Roman"/>
                      <w:color w:val="000000" w:themeColor="text1"/>
                      <w:kern w:val="0"/>
                      <w:szCs w:val="21"/>
                      <w:lang w:val="zh-CN"/>
                      <w14:textFill>
                        <w14:solidFill>
                          <w14:schemeClr w14:val="tx1"/>
                        </w14:solidFill>
                      </w14:textFill>
                    </w:rPr>
                    <w:t>二氧化硫、氮氧化物</w:t>
                  </w:r>
                </w:p>
              </w:tc>
              <w:tc>
                <w:tcPr>
                  <w:tcW w:w="632" w:type="pct"/>
                  <w:vAlign w:val="center"/>
                </w:tcPr>
                <w:p w14:paraId="5C245E84">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半年/次</w:t>
                  </w:r>
                </w:p>
              </w:tc>
              <w:tc>
                <w:tcPr>
                  <w:tcW w:w="1423" w:type="pct"/>
                  <w:vMerge w:val="restart"/>
                </w:tcPr>
                <w:p w14:paraId="5939C542">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《砖瓦工业大气污染物排放标准》（GB29620-2013）标准限值要求</w:t>
                  </w:r>
                </w:p>
              </w:tc>
            </w:tr>
            <w:tr w14:paraId="4EEE98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trPr>
              <w:tc>
                <w:tcPr>
                  <w:tcW w:w="354" w:type="pct"/>
                  <w:vMerge w:val="continue"/>
                  <w:vAlign w:val="center"/>
                </w:tcPr>
                <w:p w14:paraId="63F0A5BF">
                  <w:pPr>
                    <w:jc w:val="center"/>
                    <w:rPr>
                      <w:rFonts w:ascii="Times New Roman" w:hAnsi="Times New Roman" w:eastAsia="宋体" w:cs="Times New Roman"/>
                      <w:color w:val="000000" w:themeColor="text1"/>
                      <w:kern w:val="0"/>
                      <w:szCs w:val="21"/>
                      <w14:textFill>
                        <w14:solidFill>
                          <w14:schemeClr w14:val="tx1"/>
                        </w14:solidFill>
                      </w14:textFill>
                    </w:rPr>
                  </w:pPr>
                </w:p>
              </w:tc>
              <w:tc>
                <w:tcPr>
                  <w:tcW w:w="966" w:type="pct"/>
                  <w:vMerge w:val="continue"/>
                  <w:vAlign w:val="center"/>
                </w:tcPr>
                <w:p w14:paraId="255E2BC4">
                  <w:pPr>
                    <w:jc w:val="center"/>
                    <w:rPr>
                      <w:rFonts w:ascii="Times New Roman" w:hAnsi="Times New Roman" w:eastAsia="宋体" w:cs="Times New Roman"/>
                      <w:color w:val="000000" w:themeColor="text1"/>
                      <w:szCs w:val="21"/>
                      <w14:textFill>
                        <w14:solidFill>
                          <w14:schemeClr w14:val="tx1"/>
                        </w14:solidFill>
                      </w14:textFill>
                    </w:rPr>
                  </w:pPr>
                </w:p>
              </w:tc>
              <w:tc>
                <w:tcPr>
                  <w:tcW w:w="541" w:type="pct"/>
                  <w:vMerge w:val="continue"/>
                  <w:vAlign w:val="center"/>
                </w:tcPr>
                <w:p w14:paraId="798B6F71">
                  <w:pPr>
                    <w:jc w:val="center"/>
                    <w:rPr>
                      <w:rFonts w:ascii="Times New Roman" w:hAnsi="Times New Roman" w:eastAsia="Times New Roman" w:cs="Times New Roman"/>
                      <w:color w:val="000000" w:themeColor="text1"/>
                      <w:kern w:val="0"/>
                      <w:szCs w:val="21"/>
                      <w14:textFill>
                        <w14:solidFill>
                          <w14:schemeClr w14:val="tx1"/>
                        </w14:solidFill>
                      </w14:textFill>
                    </w:rPr>
                  </w:pPr>
                </w:p>
              </w:tc>
              <w:tc>
                <w:tcPr>
                  <w:tcW w:w="1084" w:type="pct"/>
                  <w:vAlign w:val="center"/>
                </w:tcPr>
                <w:p w14:paraId="2AC6E1ED">
                  <w:pPr>
                    <w:autoSpaceDE w:val="0"/>
                    <w:autoSpaceDN w:val="0"/>
                    <w:adjustRightIn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val="zh-CN"/>
                      <w14:textFill>
                        <w14:solidFill>
                          <w14:schemeClr w14:val="tx1"/>
                        </w14:solidFill>
                      </w14:textFill>
                    </w:rPr>
                    <w:t>氟化物</w:t>
                  </w:r>
                </w:p>
              </w:tc>
              <w:tc>
                <w:tcPr>
                  <w:tcW w:w="632" w:type="pct"/>
                  <w:vAlign w:val="center"/>
                </w:tcPr>
                <w:p w14:paraId="1A15147E">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Times New Roman" w:cs="Times New Roman"/>
                      <w:color w:val="000000" w:themeColor="text1"/>
                      <w:kern w:val="0"/>
                      <w:szCs w:val="21"/>
                      <w14:textFill>
                        <w14:solidFill>
                          <w14:schemeClr w14:val="tx1"/>
                        </w14:solidFill>
                      </w14:textFill>
                    </w:rPr>
                    <w:t>1</w:t>
                  </w:r>
                  <w:r>
                    <w:rPr>
                      <w:rFonts w:ascii="Times New Roman" w:hAnsi="Times New Roman" w:eastAsia="宋体" w:cs="Times New Roman"/>
                      <w:color w:val="000000" w:themeColor="text1"/>
                      <w:kern w:val="0"/>
                      <w:szCs w:val="21"/>
                      <w14:textFill>
                        <w14:solidFill>
                          <w14:schemeClr w14:val="tx1"/>
                        </w14:solidFill>
                      </w14:textFill>
                    </w:rPr>
                    <w:t>年</w:t>
                  </w:r>
                  <w:r>
                    <w:rPr>
                      <w:rFonts w:ascii="Times New Roman" w:hAnsi="Times New Roman" w:eastAsia="Times New Roman" w:cs="Times New Roman"/>
                      <w:color w:val="000000" w:themeColor="text1"/>
                      <w:kern w:val="0"/>
                      <w:szCs w:val="21"/>
                      <w14:textFill>
                        <w14:solidFill>
                          <w14:schemeClr w14:val="tx1"/>
                        </w14:solidFill>
                      </w14:textFill>
                    </w:rPr>
                    <w:t>/</w:t>
                  </w:r>
                  <w:r>
                    <w:rPr>
                      <w:rFonts w:ascii="Times New Roman" w:hAnsi="Times New Roman" w:eastAsia="宋体" w:cs="Times New Roman"/>
                      <w:color w:val="000000" w:themeColor="text1"/>
                      <w:kern w:val="0"/>
                      <w:szCs w:val="21"/>
                      <w14:textFill>
                        <w14:solidFill>
                          <w14:schemeClr w14:val="tx1"/>
                        </w14:solidFill>
                      </w14:textFill>
                    </w:rPr>
                    <w:t>次</w:t>
                  </w:r>
                </w:p>
              </w:tc>
              <w:tc>
                <w:tcPr>
                  <w:tcW w:w="1423" w:type="pct"/>
                  <w:vMerge w:val="continue"/>
                </w:tcPr>
                <w:p w14:paraId="563ED676">
                  <w:pPr>
                    <w:jc w:val="center"/>
                    <w:rPr>
                      <w:rFonts w:ascii="Times New Roman" w:hAnsi="Times New Roman" w:eastAsia="宋体" w:cs="Times New Roman"/>
                      <w:color w:val="000000" w:themeColor="text1"/>
                      <w:kern w:val="0"/>
                      <w:szCs w:val="21"/>
                      <w14:textFill>
                        <w14:solidFill>
                          <w14:schemeClr w14:val="tx1"/>
                        </w14:solidFill>
                      </w14:textFill>
                    </w:rPr>
                  </w:pPr>
                </w:p>
              </w:tc>
            </w:tr>
            <w:tr w14:paraId="1517B7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trPr>
              <w:tc>
                <w:tcPr>
                  <w:tcW w:w="354" w:type="pct"/>
                  <w:vMerge w:val="continue"/>
                  <w:vAlign w:val="center"/>
                </w:tcPr>
                <w:p w14:paraId="5964B46B">
                  <w:pPr>
                    <w:jc w:val="center"/>
                    <w:rPr>
                      <w:rFonts w:ascii="Times New Roman" w:hAnsi="Times New Roman" w:eastAsia="Times New Roman" w:cs="Times New Roman"/>
                      <w:color w:val="000000" w:themeColor="text1"/>
                      <w:kern w:val="0"/>
                      <w:szCs w:val="21"/>
                      <w14:textFill>
                        <w14:solidFill>
                          <w14:schemeClr w14:val="tx1"/>
                        </w14:solidFill>
                      </w14:textFill>
                    </w:rPr>
                  </w:pPr>
                </w:p>
              </w:tc>
              <w:tc>
                <w:tcPr>
                  <w:tcW w:w="966" w:type="pct"/>
                  <w:vMerge w:val="restart"/>
                  <w:vAlign w:val="center"/>
                </w:tcPr>
                <w:p w14:paraId="45FD5EF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2#烘干车间湿式脱硫塔排气筒（DA003）</w:t>
                  </w:r>
                </w:p>
              </w:tc>
              <w:tc>
                <w:tcPr>
                  <w:tcW w:w="541" w:type="pct"/>
                  <w:vMerge w:val="restart"/>
                  <w:vAlign w:val="center"/>
                </w:tcPr>
                <w:p w14:paraId="5ACC501C">
                  <w:pPr>
                    <w:jc w:val="center"/>
                    <w:rPr>
                      <w:rFonts w:ascii="Times New Roman" w:hAnsi="Times New Roman" w:cs="Times New Roman"/>
                      <w:color w:val="000000" w:themeColor="text1"/>
                      <w:kern w:val="0"/>
                      <w:szCs w:val="21"/>
                      <w14:textFill>
                        <w14:solidFill>
                          <w14:schemeClr w14:val="tx1"/>
                        </w14:solidFill>
                      </w14:textFill>
                    </w:rPr>
                  </w:pPr>
                  <w:r>
                    <w:rPr>
                      <w:rFonts w:ascii="Times New Roman" w:hAnsi="Times New Roman" w:cs="Times New Roman"/>
                      <w:color w:val="000000" w:themeColor="text1"/>
                      <w:kern w:val="0"/>
                      <w:szCs w:val="21"/>
                      <w14:textFill>
                        <w14:solidFill>
                          <w14:schemeClr w14:val="tx1"/>
                        </w14:solidFill>
                      </w14:textFill>
                    </w:rPr>
                    <w:t>1个</w:t>
                  </w:r>
                </w:p>
              </w:tc>
              <w:tc>
                <w:tcPr>
                  <w:tcW w:w="1084" w:type="pct"/>
                  <w:vAlign w:val="center"/>
                </w:tcPr>
                <w:p w14:paraId="64C9C9D8">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颗粒物、</w:t>
                  </w:r>
                  <w:r>
                    <w:rPr>
                      <w:rFonts w:ascii="Times New Roman" w:hAnsi="Times New Roman" w:eastAsia="宋体" w:cs="Times New Roman"/>
                      <w:color w:val="000000" w:themeColor="text1"/>
                      <w:kern w:val="0"/>
                      <w:szCs w:val="21"/>
                      <w:lang w:val="zh-CN"/>
                      <w14:textFill>
                        <w14:solidFill>
                          <w14:schemeClr w14:val="tx1"/>
                        </w14:solidFill>
                      </w14:textFill>
                    </w:rPr>
                    <w:t>二氧化硫、氮氧化物</w:t>
                  </w:r>
                </w:p>
              </w:tc>
              <w:tc>
                <w:tcPr>
                  <w:tcW w:w="632" w:type="pct"/>
                  <w:vAlign w:val="center"/>
                </w:tcPr>
                <w:p w14:paraId="575444DE">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半年/次</w:t>
                  </w:r>
                </w:p>
              </w:tc>
              <w:tc>
                <w:tcPr>
                  <w:tcW w:w="1423" w:type="pct"/>
                  <w:vMerge w:val="restart"/>
                </w:tcPr>
                <w:p w14:paraId="0E27E812">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《砖瓦工业大气污染物排放标准》（GB29620-2013）标准限值要求</w:t>
                  </w:r>
                </w:p>
              </w:tc>
            </w:tr>
            <w:tr w14:paraId="437B75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trPr>
              <w:tc>
                <w:tcPr>
                  <w:tcW w:w="354" w:type="pct"/>
                  <w:vMerge w:val="continue"/>
                  <w:vAlign w:val="center"/>
                </w:tcPr>
                <w:p w14:paraId="1E5AF632">
                  <w:pPr>
                    <w:jc w:val="center"/>
                    <w:rPr>
                      <w:rFonts w:ascii="Times New Roman" w:hAnsi="Times New Roman" w:eastAsia="Times New Roman" w:cs="Times New Roman"/>
                      <w:color w:val="000000" w:themeColor="text1"/>
                      <w:kern w:val="0"/>
                      <w:szCs w:val="21"/>
                      <w14:textFill>
                        <w14:solidFill>
                          <w14:schemeClr w14:val="tx1"/>
                        </w14:solidFill>
                      </w14:textFill>
                    </w:rPr>
                  </w:pPr>
                </w:p>
              </w:tc>
              <w:tc>
                <w:tcPr>
                  <w:tcW w:w="966" w:type="pct"/>
                  <w:vMerge w:val="continue"/>
                  <w:vAlign w:val="center"/>
                </w:tcPr>
                <w:p w14:paraId="103E276D">
                  <w:pPr>
                    <w:jc w:val="center"/>
                    <w:rPr>
                      <w:rFonts w:ascii="Times New Roman" w:hAnsi="Times New Roman" w:eastAsia="宋体" w:cs="Times New Roman"/>
                      <w:color w:val="000000" w:themeColor="text1"/>
                      <w:szCs w:val="21"/>
                      <w14:textFill>
                        <w14:solidFill>
                          <w14:schemeClr w14:val="tx1"/>
                        </w14:solidFill>
                      </w14:textFill>
                    </w:rPr>
                  </w:pPr>
                </w:p>
              </w:tc>
              <w:tc>
                <w:tcPr>
                  <w:tcW w:w="541" w:type="pct"/>
                  <w:vMerge w:val="continue"/>
                  <w:vAlign w:val="center"/>
                </w:tcPr>
                <w:p w14:paraId="26409225">
                  <w:pPr>
                    <w:jc w:val="center"/>
                    <w:rPr>
                      <w:rFonts w:ascii="Times New Roman" w:hAnsi="Times New Roman" w:cs="Times New Roman"/>
                      <w:color w:val="000000" w:themeColor="text1"/>
                      <w:kern w:val="0"/>
                      <w:szCs w:val="21"/>
                      <w14:textFill>
                        <w14:solidFill>
                          <w14:schemeClr w14:val="tx1"/>
                        </w14:solidFill>
                      </w14:textFill>
                    </w:rPr>
                  </w:pPr>
                </w:p>
              </w:tc>
              <w:tc>
                <w:tcPr>
                  <w:tcW w:w="1084" w:type="pct"/>
                  <w:vAlign w:val="center"/>
                </w:tcPr>
                <w:p w14:paraId="3B973A3E">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val="zh-CN"/>
                      <w14:textFill>
                        <w14:solidFill>
                          <w14:schemeClr w14:val="tx1"/>
                        </w14:solidFill>
                      </w14:textFill>
                    </w:rPr>
                    <w:t>氟化物</w:t>
                  </w:r>
                </w:p>
              </w:tc>
              <w:tc>
                <w:tcPr>
                  <w:tcW w:w="632" w:type="pct"/>
                  <w:vAlign w:val="center"/>
                </w:tcPr>
                <w:p w14:paraId="12CDB610">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Times New Roman" w:cs="Times New Roman"/>
                      <w:color w:val="000000" w:themeColor="text1"/>
                      <w:kern w:val="0"/>
                      <w:szCs w:val="21"/>
                      <w14:textFill>
                        <w14:solidFill>
                          <w14:schemeClr w14:val="tx1"/>
                        </w14:solidFill>
                      </w14:textFill>
                    </w:rPr>
                    <w:t>1</w:t>
                  </w:r>
                  <w:r>
                    <w:rPr>
                      <w:rFonts w:ascii="Times New Roman" w:hAnsi="Times New Roman" w:eastAsia="宋体" w:cs="Times New Roman"/>
                      <w:color w:val="000000" w:themeColor="text1"/>
                      <w:kern w:val="0"/>
                      <w:szCs w:val="21"/>
                      <w14:textFill>
                        <w14:solidFill>
                          <w14:schemeClr w14:val="tx1"/>
                        </w14:solidFill>
                      </w14:textFill>
                    </w:rPr>
                    <w:t>年</w:t>
                  </w:r>
                  <w:r>
                    <w:rPr>
                      <w:rFonts w:ascii="Times New Roman" w:hAnsi="Times New Roman" w:eastAsia="Times New Roman" w:cs="Times New Roman"/>
                      <w:color w:val="000000" w:themeColor="text1"/>
                      <w:kern w:val="0"/>
                      <w:szCs w:val="21"/>
                      <w14:textFill>
                        <w14:solidFill>
                          <w14:schemeClr w14:val="tx1"/>
                        </w14:solidFill>
                      </w14:textFill>
                    </w:rPr>
                    <w:t>/</w:t>
                  </w:r>
                  <w:r>
                    <w:rPr>
                      <w:rFonts w:ascii="Times New Roman" w:hAnsi="Times New Roman" w:eastAsia="宋体" w:cs="Times New Roman"/>
                      <w:color w:val="000000" w:themeColor="text1"/>
                      <w:kern w:val="0"/>
                      <w:szCs w:val="21"/>
                      <w14:textFill>
                        <w14:solidFill>
                          <w14:schemeClr w14:val="tx1"/>
                        </w14:solidFill>
                      </w14:textFill>
                    </w:rPr>
                    <w:t>次</w:t>
                  </w:r>
                </w:p>
              </w:tc>
              <w:tc>
                <w:tcPr>
                  <w:tcW w:w="1423" w:type="pct"/>
                  <w:vMerge w:val="continue"/>
                </w:tcPr>
                <w:p w14:paraId="121B4FAB">
                  <w:pPr>
                    <w:jc w:val="center"/>
                    <w:rPr>
                      <w:rFonts w:ascii="Times New Roman" w:hAnsi="Times New Roman" w:eastAsia="宋体" w:cs="Times New Roman"/>
                      <w:color w:val="000000" w:themeColor="text1"/>
                      <w:kern w:val="0"/>
                      <w:szCs w:val="21"/>
                      <w14:textFill>
                        <w14:solidFill>
                          <w14:schemeClr w14:val="tx1"/>
                        </w14:solidFill>
                      </w14:textFill>
                    </w:rPr>
                  </w:pPr>
                </w:p>
              </w:tc>
            </w:tr>
            <w:tr w14:paraId="15A728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7" w:hRule="atLeast"/>
              </w:trPr>
              <w:tc>
                <w:tcPr>
                  <w:tcW w:w="354" w:type="pct"/>
                  <w:vMerge w:val="restart"/>
                  <w:vAlign w:val="center"/>
                </w:tcPr>
                <w:p w14:paraId="61FE6561">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无组织</w:t>
                  </w:r>
                </w:p>
              </w:tc>
              <w:tc>
                <w:tcPr>
                  <w:tcW w:w="966" w:type="pct"/>
                  <w:vMerge w:val="restart"/>
                  <w:vAlign w:val="center"/>
                </w:tcPr>
                <w:p w14:paraId="32675967">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厂界下风向</w:t>
                  </w:r>
                </w:p>
              </w:tc>
              <w:tc>
                <w:tcPr>
                  <w:tcW w:w="541" w:type="pct"/>
                  <w:vMerge w:val="restart"/>
                  <w:vAlign w:val="center"/>
                </w:tcPr>
                <w:p w14:paraId="78D3D0CE">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Times New Roman" w:cs="Times New Roman"/>
                      <w:color w:val="000000" w:themeColor="text1"/>
                      <w:kern w:val="0"/>
                      <w:szCs w:val="21"/>
                      <w14:textFill>
                        <w14:solidFill>
                          <w14:schemeClr w14:val="tx1"/>
                        </w14:solidFill>
                      </w14:textFill>
                    </w:rPr>
                    <w:t>1</w:t>
                  </w:r>
                  <w:r>
                    <w:rPr>
                      <w:rFonts w:ascii="Times New Roman" w:hAnsi="Times New Roman" w:eastAsia="宋体" w:cs="Times New Roman"/>
                      <w:color w:val="000000" w:themeColor="text1"/>
                      <w:kern w:val="0"/>
                      <w:szCs w:val="21"/>
                      <w14:textFill>
                        <w14:solidFill>
                          <w14:schemeClr w14:val="tx1"/>
                        </w14:solidFill>
                      </w14:textFill>
                    </w:rPr>
                    <w:t>个</w:t>
                  </w:r>
                </w:p>
              </w:tc>
              <w:tc>
                <w:tcPr>
                  <w:tcW w:w="1084" w:type="pct"/>
                  <w:vAlign w:val="center"/>
                </w:tcPr>
                <w:p w14:paraId="46FEEE59">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颗粒物、</w:t>
                  </w:r>
                  <w:r>
                    <w:rPr>
                      <w:rFonts w:ascii="Times New Roman" w:hAnsi="Times New Roman" w:eastAsia="宋体" w:cs="Times New Roman"/>
                      <w:color w:val="000000" w:themeColor="text1"/>
                      <w:kern w:val="0"/>
                      <w:szCs w:val="21"/>
                      <w:lang w:val="zh-CN"/>
                      <w14:textFill>
                        <w14:solidFill>
                          <w14:schemeClr w14:val="tx1"/>
                        </w14:solidFill>
                      </w14:textFill>
                    </w:rPr>
                    <w:t>二氧化硫、氟化物</w:t>
                  </w:r>
                </w:p>
              </w:tc>
              <w:tc>
                <w:tcPr>
                  <w:tcW w:w="632" w:type="pct"/>
                  <w:vAlign w:val="center"/>
                </w:tcPr>
                <w:p w14:paraId="47415AED">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Times New Roman" w:cs="Times New Roman"/>
                      <w:color w:val="000000" w:themeColor="text1"/>
                      <w:kern w:val="0"/>
                      <w:szCs w:val="21"/>
                      <w14:textFill>
                        <w14:solidFill>
                          <w14:schemeClr w14:val="tx1"/>
                        </w14:solidFill>
                      </w14:textFill>
                    </w:rPr>
                    <w:t>1</w:t>
                  </w:r>
                  <w:r>
                    <w:rPr>
                      <w:rFonts w:ascii="Times New Roman" w:hAnsi="Times New Roman" w:eastAsia="宋体" w:cs="Times New Roman"/>
                      <w:color w:val="000000" w:themeColor="text1"/>
                      <w:kern w:val="0"/>
                      <w:szCs w:val="21"/>
                      <w14:textFill>
                        <w14:solidFill>
                          <w14:schemeClr w14:val="tx1"/>
                        </w14:solidFill>
                      </w14:textFill>
                    </w:rPr>
                    <w:t>年</w:t>
                  </w:r>
                  <w:r>
                    <w:rPr>
                      <w:rFonts w:ascii="Times New Roman" w:hAnsi="Times New Roman" w:eastAsia="Times New Roman" w:cs="Times New Roman"/>
                      <w:color w:val="000000" w:themeColor="text1"/>
                      <w:kern w:val="0"/>
                      <w:szCs w:val="21"/>
                      <w14:textFill>
                        <w14:solidFill>
                          <w14:schemeClr w14:val="tx1"/>
                        </w14:solidFill>
                      </w14:textFill>
                    </w:rPr>
                    <w:t>/</w:t>
                  </w:r>
                  <w:r>
                    <w:rPr>
                      <w:rFonts w:ascii="Times New Roman" w:hAnsi="Times New Roman" w:eastAsia="宋体" w:cs="Times New Roman"/>
                      <w:color w:val="000000" w:themeColor="text1"/>
                      <w:kern w:val="0"/>
                      <w:szCs w:val="21"/>
                      <w14:textFill>
                        <w14:solidFill>
                          <w14:schemeClr w14:val="tx1"/>
                        </w14:solidFill>
                      </w14:textFill>
                    </w:rPr>
                    <w:t>次</w:t>
                  </w:r>
                </w:p>
              </w:tc>
              <w:tc>
                <w:tcPr>
                  <w:tcW w:w="1423" w:type="pct"/>
                </w:tcPr>
                <w:p w14:paraId="1C4FAC84">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《砖瓦工业大气污染物排放标准》（GB29620-2013）标准限值要求</w:t>
                  </w:r>
                </w:p>
              </w:tc>
            </w:tr>
            <w:tr w14:paraId="4C59AB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rPr>
              <w:tc>
                <w:tcPr>
                  <w:tcW w:w="354" w:type="pct"/>
                  <w:vMerge w:val="continue"/>
                  <w:vAlign w:val="center"/>
                </w:tcPr>
                <w:p w14:paraId="6B2B63CE">
                  <w:pPr>
                    <w:jc w:val="center"/>
                    <w:rPr>
                      <w:rFonts w:ascii="Times New Roman" w:hAnsi="Times New Roman" w:eastAsia="宋体" w:cs="Times New Roman"/>
                      <w:color w:val="000000" w:themeColor="text1"/>
                      <w:kern w:val="0"/>
                      <w:szCs w:val="21"/>
                      <w14:textFill>
                        <w14:solidFill>
                          <w14:schemeClr w14:val="tx1"/>
                        </w14:solidFill>
                      </w14:textFill>
                    </w:rPr>
                  </w:pPr>
                </w:p>
              </w:tc>
              <w:tc>
                <w:tcPr>
                  <w:tcW w:w="966" w:type="pct"/>
                  <w:vMerge w:val="continue"/>
                  <w:vAlign w:val="center"/>
                </w:tcPr>
                <w:p w14:paraId="4B3787F2">
                  <w:pPr>
                    <w:jc w:val="center"/>
                    <w:rPr>
                      <w:rFonts w:ascii="Times New Roman" w:hAnsi="Times New Roman" w:eastAsia="宋体" w:cs="Times New Roman"/>
                      <w:color w:val="000000" w:themeColor="text1"/>
                      <w:kern w:val="0"/>
                      <w:szCs w:val="21"/>
                      <w14:textFill>
                        <w14:solidFill>
                          <w14:schemeClr w14:val="tx1"/>
                        </w14:solidFill>
                      </w14:textFill>
                    </w:rPr>
                  </w:pPr>
                </w:p>
              </w:tc>
              <w:tc>
                <w:tcPr>
                  <w:tcW w:w="541" w:type="pct"/>
                  <w:vMerge w:val="continue"/>
                  <w:vAlign w:val="center"/>
                </w:tcPr>
                <w:p w14:paraId="390A07DB">
                  <w:pPr>
                    <w:jc w:val="center"/>
                    <w:rPr>
                      <w:rFonts w:ascii="Times New Roman" w:hAnsi="Times New Roman" w:eastAsia="Times New Roman" w:cs="Times New Roman"/>
                      <w:color w:val="000000" w:themeColor="text1"/>
                      <w:kern w:val="0"/>
                      <w:szCs w:val="21"/>
                      <w14:textFill>
                        <w14:solidFill>
                          <w14:schemeClr w14:val="tx1"/>
                        </w14:solidFill>
                      </w14:textFill>
                    </w:rPr>
                  </w:pPr>
                </w:p>
              </w:tc>
              <w:tc>
                <w:tcPr>
                  <w:tcW w:w="1084" w:type="pct"/>
                  <w:vAlign w:val="center"/>
                </w:tcPr>
                <w:p w14:paraId="5A6BBA3E">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臭气浓度</w:t>
                  </w:r>
                </w:p>
              </w:tc>
              <w:tc>
                <w:tcPr>
                  <w:tcW w:w="632" w:type="pct"/>
                  <w:vAlign w:val="center"/>
                </w:tcPr>
                <w:p w14:paraId="7CF96882">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Times New Roman" w:cs="Times New Roman"/>
                      <w:color w:val="000000" w:themeColor="text1"/>
                      <w:kern w:val="0"/>
                      <w:szCs w:val="21"/>
                      <w14:textFill>
                        <w14:solidFill>
                          <w14:schemeClr w14:val="tx1"/>
                        </w14:solidFill>
                      </w14:textFill>
                    </w:rPr>
                    <w:t>1</w:t>
                  </w:r>
                  <w:r>
                    <w:rPr>
                      <w:rFonts w:ascii="Times New Roman" w:hAnsi="Times New Roman" w:eastAsia="宋体" w:cs="Times New Roman"/>
                      <w:color w:val="000000" w:themeColor="text1"/>
                      <w:kern w:val="0"/>
                      <w:szCs w:val="21"/>
                      <w14:textFill>
                        <w14:solidFill>
                          <w14:schemeClr w14:val="tx1"/>
                        </w14:solidFill>
                      </w14:textFill>
                    </w:rPr>
                    <w:t>年</w:t>
                  </w:r>
                  <w:r>
                    <w:rPr>
                      <w:rFonts w:ascii="Times New Roman" w:hAnsi="Times New Roman" w:eastAsia="Times New Roman" w:cs="Times New Roman"/>
                      <w:color w:val="000000" w:themeColor="text1"/>
                      <w:kern w:val="0"/>
                      <w:szCs w:val="21"/>
                      <w14:textFill>
                        <w14:solidFill>
                          <w14:schemeClr w14:val="tx1"/>
                        </w14:solidFill>
                      </w14:textFill>
                    </w:rPr>
                    <w:t>/</w:t>
                  </w:r>
                  <w:r>
                    <w:rPr>
                      <w:rFonts w:ascii="Times New Roman" w:hAnsi="Times New Roman" w:eastAsia="宋体" w:cs="Times New Roman"/>
                      <w:color w:val="000000" w:themeColor="text1"/>
                      <w:kern w:val="0"/>
                      <w:szCs w:val="21"/>
                      <w14:textFill>
                        <w14:solidFill>
                          <w14:schemeClr w14:val="tx1"/>
                        </w14:solidFill>
                      </w14:textFill>
                    </w:rPr>
                    <w:t>次</w:t>
                  </w:r>
                </w:p>
              </w:tc>
              <w:tc>
                <w:tcPr>
                  <w:tcW w:w="1423" w:type="pct"/>
                </w:tcPr>
                <w:p w14:paraId="5F010C14">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《恶臭污染物排放标准》（GB14554-93）</w:t>
                  </w:r>
                </w:p>
              </w:tc>
            </w:tr>
          </w:tbl>
          <w:p w14:paraId="12ECC4D0">
            <w:pPr>
              <w:adjustRightInd w:val="0"/>
              <w:snapToGrid w:val="0"/>
              <w:spacing w:before="156" w:beforeLines="50" w:line="360" w:lineRule="auto"/>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6、卫生防护距离</w:t>
            </w:r>
          </w:p>
          <w:p w14:paraId="01DD9BD5">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次技改后不会增加无组织废气排放，卫生防护距离沿用现有工程已划定结果，根据《遂宁市安居区横山机砖厂环境影响报告表》（报批本）（2017年9月），厂区现有项目生防护距离是以本项目无组织排放源原料堆场以及原料制备车间作为边界向外扩50m。</w:t>
            </w:r>
          </w:p>
          <w:p w14:paraId="097531D4">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根据调查，现有工程卫生防护距离覆盖范围内无居民、学校等环境敏感点，今后在本项目卫生防护距离覆盖范围内也不应修建居住区、学校、医院等环境敏感建筑物。</w:t>
            </w:r>
          </w:p>
          <w:p w14:paraId="37BF8DC8">
            <w:pPr>
              <w:adjustRightInd w:val="0"/>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7、废气影响分析</w:t>
            </w:r>
          </w:p>
          <w:p w14:paraId="2AC73A2E">
            <w:pPr>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破碎、筛分工序车间密闭，粉尘收集后进入布袋除尘器处理，最终经1根15m排气筒排放，排放废气满足《砖瓦工业大气污染物排放标准》（GB29620-2013）标准限值要求；隧道窑废气经双碱脱硫塔处理后，经18m排气筒排放，排放废气满足《砖瓦工业大气污染物排放标准》（GB29620-2013）标准限值要求；在原材料装卸、堆存等过程均洒水降尘。通过以上措施，项目产生的废气均可实现达标排放，对周围环境空气影响较小。</w:t>
            </w:r>
          </w:p>
          <w:p w14:paraId="5478A2D7">
            <w:pPr>
              <w:adjustRightInd w:val="0"/>
              <w:snapToGrid w:val="0"/>
              <w:spacing w:line="360" w:lineRule="auto"/>
              <w:rPr>
                <w:rFonts w:ascii="Times New Roman" w:hAnsi="Times New Roman" w:eastAsia="宋体" w:cs="Times New Roman"/>
                <w:b/>
                <w:color w:val="000000" w:themeColor="text1"/>
                <w:sz w:val="24"/>
                <w:szCs w:val="24"/>
                <w:lang w:bidi="ar"/>
                <w14:textFill>
                  <w14:solidFill>
                    <w14:schemeClr w14:val="tx1"/>
                  </w14:solidFill>
                </w14:textFill>
              </w:rPr>
            </w:pPr>
            <w:r>
              <w:rPr>
                <w:rFonts w:ascii="Times New Roman" w:hAnsi="Times New Roman" w:eastAsia="宋体" w:cs="Times New Roman"/>
                <w:b/>
                <w:color w:val="000000" w:themeColor="text1"/>
                <w:sz w:val="24"/>
                <w:szCs w:val="24"/>
                <w:lang w:bidi="ar"/>
                <w14:textFill>
                  <w14:solidFill>
                    <w14:schemeClr w14:val="tx1"/>
                  </w14:solidFill>
                </w14:textFill>
              </w:rPr>
              <w:t>二、废水源强及治理措施</w:t>
            </w:r>
          </w:p>
          <w:p w14:paraId="14C572BB">
            <w:pPr>
              <w:adjustRightInd w:val="0"/>
              <w:snapToGrid w:val="0"/>
              <w:spacing w:line="360" w:lineRule="auto"/>
              <w:rPr>
                <w:rFonts w:ascii="Times New Roman" w:hAnsi="Times New Roman" w:eastAsia="宋体" w:cs="Times New Roman"/>
                <w:b/>
                <w:color w:val="000000" w:themeColor="text1"/>
                <w:sz w:val="24"/>
                <w:szCs w:val="24"/>
                <w:lang w:bidi="ar"/>
                <w14:textFill>
                  <w14:solidFill>
                    <w14:schemeClr w14:val="tx1"/>
                  </w14:solidFill>
                </w14:textFill>
              </w:rPr>
            </w:pPr>
            <w:r>
              <w:rPr>
                <w:rFonts w:ascii="Times New Roman" w:hAnsi="Times New Roman" w:eastAsia="宋体" w:cs="Times New Roman"/>
                <w:b/>
                <w:color w:val="000000" w:themeColor="text1"/>
                <w:sz w:val="24"/>
                <w:szCs w:val="24"/>
                <w:lang w:bidi="ar"/>
                <w14:textFill>
                  <w14:solidFill>
                    <w14:schemeClr w14:val="tx1"/>
                  </w14:solidFill>
                </w14:textFill>
              </w:rPr>
              <w:t>1、原有工程废水产生排放情况</w:t>
            </w:r>
          </w:p>
          <w:p w14:paraId="104B54F1">
            <w:pPr>
              <w:adjustRightInd w:val="0"/>
              <w:snapToGrid w:val="0"/>
              <w:spacing w:line="360" w:lineRule="auto"/>
              <w:ind w:firstLine="480" w:firstLineChars="200"/>
              <w:rPr>
                <w:rFonts w:ascii="Times New Roman" w:hAnsi="Times New Roman" w:eastAsia="宋体" w:cs="Times New Roman"/>
                <w:bCs/>
                <w:color w:val="000000" w:themeColor="text1"/>
                <w:sz w:val="24"/>
                <w:szCs w:val="24"/>
                <w:lang w:bidi="ar"/>
                <w14:textFill>
                  <w14:solidFill>
                    <w14:schemeClr w14:val="tx1"/>
                  </w14:solidFill>
                </w14:textFill>
              </w:rPr>
            </w:pPr>
            <w:r>
              <w:rPr>
                <w:rFonts w:hint="eastAsia" w:ascii="Times New Roman" w:hAnsi="Times New Roman" w:eastAsia="宋体" w:cs="Times New Roman"/>
                <w:bCs/>
                <w:color w:val="000000" w:themeColor="text1"/>
                <w:sz w:val="24"/>
                <w:szCs w:val="24"/>
                <w:lang w:bidi="ar"/>
                <w14:textFill>
                  <w14:solidFill>
                    <w14:schemeClr w14:val="tx1"/>
                  </w14:solidFill>
                </w14:textFill>
              </w:rPr>
              <w:t>根据项目</w:t>
            </w:r>
            <w:r>
              <w:rPr>
                <w:rFonts w:ascii="Times New Roman" w:hAnsi="Times New Roman" w:eastAsia="宋体" w:cs="Times New Roman"/>
                <w:bCs/>
                <w:color w:val="000000" w:themeColor="text1"/>
                <w:sz w:val="24"/>
                <w:szCs w:val="24"/>
                <w:lang w:bidi="ar"/>
                <w14:textFill>
                  <w14:solidFill>
                    <w14:schemeClr w14:val="tx1"/>
                  </w14:solidFill>
                </w14:textFill>
              </w:rPr>
              <w:t>环评，原项目排水情况及水平衡如下。</w:t>
            </w:r>
          </w:p>
          <w:p w14:paraId="198F9204">
            <w:pPr>
              <w:adjustRightInd w:val="0"/>
              <w:snapToGrid w:val="0"/>
              <w:spacing w:line="360" w:lineRule="auto"/>
              <w:ind w:firstLine="482" w:firstLineChars="200"/>
              <w:rPr>
                <w:rFonts w:ascii="Times New Roman" w:hAnsi="Times New Roman" w:eastAsia="宋体" w:cs="Times New Roman"/>
                <w:b/>
                <w:color w:val="000000" w:themeColor="text1"/>
                <w:sz w:val="24"/>
                <w:szCs w:val="24"/>
                <w:lang w:bidi="ar"/>
                <w14:textFill>
                  <w14:solidFill>
                    <w14:schemeClr w14:val="tx1"/>
                  </w14:solidFill>
                </w14:textFill>
              </w:rPr>
            </w:pPr>
            <w:r>
              <w:rPr>
                <w:rFonts w:ascii="Times New Roman" w:hAnsi="Times New Roman" w:eastAsia="宋体" w:cs="Times New Roman"/>
                <w:b/>
                <w:color w:val="000000" w:themeColor="text1"/>
                <w:sz w:val="24"/>
                <w:szCs w:val="24"/>
                <w:lang w:bidi="ar"/>
                <w14:textFill>
                  <w14:solidFill>
                    <w14:schemeClr w14:val="tx1"/>
                  </w14:solidFill>
                </w14:textFill>
              </w:rPr>
              <w:t>（1）真空泵间接冷却水</w:t>
            </w:r>
          </w:p>
          <w:p w14:paraId="6D6B28C4">
            <w:pPr>
              <w:adjustRightInd w:val="0"/>
              <w:snapToGrid w:val="0"/>
              <w:spacing w:line="360" w:lineRule="auto"/>
              <w:ind w:firstLine="480" w:firstLineChars="200"/>
              <w:rPr>
                <w:rFonts w:ascii="Times New Roman" w:hAnsi="Times New Roman" w:eastAsia="宋体" w:cs="Times New Roman"/>
                <w:bCs/>
                <w:color w:val="000000" w:themeColor="text1"/>
                <w:sz w:val="24"/>
                <w:szCs w:val="24"/>
                <w:lang w:bidi="ar"/>
                <w14:textFill>
                  <w14:solidFill>
                    <w14:schemeClr w14:val="tx1"/>
                  </w14:solidFill>
                </w14:textFill>
              </w:rPr>
            </w:pPr>
            <w:r>
              <w:rPr>
                <w:rFonts w:ascii="Times New Roman" w:hAnsi="Times New Roman" w:eastAsia="宋体" w:cs="Times New Roman"/>
                <w:bCs/>
                <w:color w:val="000000" w:themeColor="text1"/>
                <w:sz w:val="24"/>
                <w:szCs w:val="24"/>
                <w:lang w:bidi="ar"/>
                <w14:textFill>
                  <w14:solidFill>
                    <w14:schemeClr w14:val="tx1"/>
                  </w14:solidFill>
                </w14:textFill>
              </w:rPr>
              <w:t>真空泵需进行间接水冷降温，配套设有循环水池一个，有效容积3.0m</w:t>
            </w:r>
            <w:r>
              <w:rPr>
                <w:rFonts w:ascii="Times New Roman" w:hAnsi="Times New Roman" w:eastAsia="宋体" w:cs="Times New Roman"/>
                <w:bCs/>
                <w:color w:val="000000" w:themeColor="text1"/>
                <w:sz w:val="24"/>
                <w:szCs w:val="24"/>
                <w:vertAlign w:val="superscript"/>
                <w:lang w:bidi="ar"/>
                <w14:textFill>
                  <w14:solidFill>
                    <w14:schemeClr w14:val="tx1"/>
                  </w14:solidFill>
                </w14:textFill>
              </w:rPr>
              <w:t>3</w:t>
            </w:r>
            <w:r>
              <w:rPr>
                <w:rFonts w:ascii="Times New Roman" w:hAnsi="Times New Roman" w:eastAsia="宋体" w:cs="Times New Roman"/>
                <w:bCs/>
                <w:color w:val="000000" w:themeColor="text1"/>
                <w:sz w:val="24"/>
                <w:szCs w:val="24"/>
                <w:lang w:bidi="ar"/>
                <w14:textFill>
                  <w14:solidFill>
                    <w14:schemeClr w14:val="tx1"/>
                  </w14:solidFill>
                </w14:textFill>
              </w:rPr>
              <w:t>，间接冷却水蒸发损耗，需定期进行补水</w:t>
            </w:r>
            <w:r>
              <w:rPr>
                <w:rFonts w:hint="eastAsia" w:ascii="Times New Roman" w:hAnsi="Times New Roman" w:eastAsia="宋体" w:cs="Times New Roman"/>
                <w:bCs/>
                <w:color w:val="000000" w:themeColor="text1"/>
                <w:sz w:val="24"/>
                <w:szCs w:val="24"/>
                <w:lang w:bidi="ar"/>
                <w14:textFill>
                  <w14:solidFill>
                    <w14:schemeClr w14:val="tx1"/>
                  </w14:solidFill>
                </w14:textFill>
              </w:rPr>
              <w:t>0.3</w:t>
            </w:r>
            <w:r>
              <w:rPr>
                <w:rFonts w:ascii="Times New Roman" w:hAnsi="Times New Roman" w:eastAsia="宋体" w:cs="Times New Roman"/>
                <w:bCs/>
                <w:color w:val="000000" w:themeColor="text1"/>
                <w:sz w:val="24"/>
                <w:szCs w:val="24"/>
                <w:lang w:bidi="ar"/>
                <w14:textFill>
                  <w14:solidFill>
                    <w14:schemeClr w14:val="tx1"/>
                  </w14:solidFill>
                </w14:textFill>
              </w:rPr>
              <w:t>m</w:t>
            </w:r>
            <w:r>
              <w:rPr>
                <w:rFonts w:ascii="Times New Roman" w:hAnsi="Times New Roman" w:eastAsia="宋体" w:cs="Times New Roman"/>
                <w:bCs/>
                <w:color w:val="000000" w:themeColor="text1"/>
                <w:sz w:val="24"/>
                <w:szCs w:val="24"/>
                <w:vertAlign w:val="superscript"/>
                <w:lang w:bidi="ar"/>
                <w14:textFill>
                  <w14:solidFill>
                    <w14:schemeClr w14:val="tx1"/>
                  </w14:solidFill>
                </w14:textFill>
              </w:rPr>
              <w:t>3</w:t>
            </w:r>
            <w:r>
              <w:rPr>
                <w:rFonts w:ascii="Times New Roman" w:hAnsi="Times New Roman" w:eastAsia="宋体" w:cs="Times New Roman"/>
                <w:bCs/>
                <w:color w:val="000000" w:themeColor="text1"/>
                <w:sz w:val="24"/>
                <w:szCs w:val="24"/>
                <w:lang w:bidi="ar"/>
                <w14:textFill>
                  <w14:solidFill>
                    <w14:schemeClr w14:val="tx1"/>
                  </w14:solidFill>
                </w14:textFill>
              </w:rPr>
              <w:t>/d，且不排水。</w:t>
            </w:r>
          </w:p>
          <w:p w14:paraId="365BE46A">
            <w:pPr>
              <w:adjustRightInd w:val="0"/>
              <w:snapToGrid w:val="0"/>
              <w:spacing w:line="360" w:lineRule="auto"/>
              <w:ind w:firstLine="482" w:firstLineChars="200"/>
              <w:rPr>
                <w:rFonts w:ascii="Times New Roman" w:hAnsi="Times New Roman" w:eastAsia="宋体" w:cs="Times New Roman"/>
                <w:b/>
                <w:color w:val="000000" w:themeColor="text1"/>
                <w:sz w:val="24"/>
                <w:szCs w:val="24"/>
                <w:lang w:bidi="ar"/>
                <w14:textFill>
                  <w14:solidFill>
                    <w14:schemeClr w14:val="tx1"/>
                  </w14:solidFill>
                </w14:textFill>
              </w:rPr>
            </w:pPr>
            <w:r>
              <w:rPr>
                <w:rFonts w:ascii="Times New Roman" w:hAnsi="Times New Roman" w:eastAsia="宋体" w:cs="Times New Roman"/>
                <w:b/>
                <w:color w:val="000000" w:themeColor="text1"/>
                <w:sz w:val="24"/>
                <w:szCs w:val="24"/>
                <w:lang w:bidi="ar"/>
                <w14:textFill>
                  <w14:solidFill>
                    <w14:schemeClr w14:val="tx1"/>
                  </w14:solidFill>
                </w14:textFill>
              </w:rPr>
              <w:t>（2）湿式脱硫塔废水</w:t>
            </w:r>
          </w:p>
          <w:p w14:paraId="6A907CD1">
            <w:pPr>
              <w:adjustRightInd w:val="0"/>
              <w:snapToGrid w:val="0"/>
              <w:spacing w:line="360" w:lineRule="auto"/>
              <w:ind w:firstLine="480" w:firstLineChars="200"/>
              <w:rPr>
                <w:rFonts w:ascii="Times New Roman" w:hAnsi="Times New Roman" w:eastAsia="宋体" w:cs="Times New Roman"/>
                <w:bCs/>
                <w:color w:val="000000" w:themeColor="text1"/>
                <w:sz w:val="24"/>
                <w:szCs w:val="24"/>
                <w:lang w:bidi="ar"/>
                <w14:textFill>
                  <w14:solidFill>
                    <w14:schemeClr w14:val="tx1"/>
                  </w14:solidFill>
                </w14:textFill>
              </w:rPr>
            </w:pPr>
            <w:r>
              <w:rPr>
                <w:rFonts w:ascii="Times New Roman" w:hAnsi="Times New Roman" w:eastAsia="宋体" w:cs="Times New Roman"/>
                <w:bCs/>
                <w:color w:val="000000" w:themeColor="text1"/>
                <w:sz w:val="24"/>
                <w:szCs w:val="24"/>
                <w:lang w:bidi="ar"/>
                <w14:textFill>
                  <w14:solidFill>
                    <w14:schemeClr w14:val="tx1"/>
                  </w14:solidFill>
                </w14:textFill>
              </w:rPr>
              <w:t>项目湿式脱硫塔循环水量为8.0m</w:t>
            </w:r>
            <w:r>
              <w:rPr>
                <w:rFonts w:ascii="Times New Roman" w:hAnsi="Times New Roman" w:eastAsia="宋体" w:cs="Times New Roman"/>
                <w:bCs/>
                <w:color w:val="000000" w:themeColor="text1"/>
                <w:sz w:val="24"/>
                <w:szCs w:val="24"/>
                <w:vertAlign w:val="superscript"/>
                <w:lang w:bidi="ar"/>
                <w14:textFill>
                  <w14:solidFill>
                    <w14:schemeClr w14:val="tx1"/>
                  </w14:solidFill>
                </w14:textFill>
              </w:rPr>
              <w:t>3</w:t>
            </w:r>
            <w:r>
              <w:rPr>
                <w:rFonts w:ascii="Times New Roman" w:hAnsi="Times New Roman" w:eastAsia="宋体" w:cs="Times New Roman"/>
                <w:bCs/>
                <w:color w:val="000000" w:themeColor="text1"/>
                <w:sz w:val="24"/>
                <w:szCs w:val="24"/>
                <w:lang w:bidi="ar"/>
                <w14:textFill>
                  <w14:solidFill>
                    <w14:schemeClr w14:val="tx1"/>
                  </w14:solidFill>
                </w14:textFill>
              </w:rPr>
              <w:t>，定期补充水量为1.6m</w:t>
            </w:r>
            <w:r>
              <w:rPr>
                <w:rFonts w:ascii="Times New Roman" w:hAnsi="Times New Roman" w:eastAsia="宋体" w:cs="Times New Roman"/>
                <w:bCs/>
                <w:color w:val="000000" w:themeColor="text1"/>
                <w:sz w:val="24"/>
                <w:szCs w:val="24"/>
                <w:vertAlign w:val="superscript"/>
                <w:lang w:bidi="ar"/>
                <w14:textFill>
                  <w14:solidFill>
                    <w14:schemeClr w14:val="tx1"/>
                  </w14:solidFill>
                </w14:textFill>
              </w:rPr>
              <w:t>3</w:t>
            </w:r>
            <w:r>
              <w:rPr>
                <w:rFonts w:ascii="Times New Roman" w:hAnsi="Times New Roman" w:eastAsia="宋体" w:cs="Times New Roman"/>
                <w:bCs/>
                <w:color w:val="000000" w:themeColor="text1"/>
                <w:sz w:val="24"/>
                <w:szCs w:val="24"/>
                <w:lang w:bidi="ar"/>
                <w14:textFill>
                  <w14:solidFill>
                    <w14:schemeClr w14:val="tx1"/>
                  </w14:solidFill>
                </w14:textFill>
              </w:rPr>
              <w:t>/d（480m</w:t>
            </w:r>
            <w:r>
              <w:rPr>
                <w:rFonts w:ascii="Times New Roman" w:hAnsi="Times New Roman" w:eastAsia="宋体" w:cs="Times New Roman"/>
                <w:bCs/>
                <w:color w:val="000000" w:themeColor="text1"/>
                <w:sz w:val="24"/>
                <w:szCs w:val="24"/>
                <w:vertAlign w:val="superscript"/>
                <w:lang w:bidi="ar"/>
                <w14:textFill>
                  <w14:solidFill>
                    <w14:schemeClr w14:val="tx1"/>
                  </w14:solidFill>
                </w14:textFill>
              </w:rPr>
              <w:t>3</w:t>
            </w:r>
            <w:r>
              <w:rPr>
                <w:rFonts w:ascii="Times New Roman" w:hAnsi="Times New Roman" w:eastAsia="宋体" w:cs="Times New Roman"/>
                <w:bCs/>
                <w:color w:val="000000" w:themeColor="text1"/>
                <w:sz w:val="24"/>
                <w:szCs w:val="24"/>
                <w:lang w:bidi="ar"/>
                <w14:textFill>
                  <w14:solidFill>
                    <w14:schemeClr w14:val="tx1"/>
                  </w14:solidFill>
                </w14:textFill>
              </w:rPr>
              <w:t>/a），其中蒸发耗散量为1.4m</w:t>
            </w:r>
            <w:r>
              <w:rPr>
                <w:rFonts w:ascii="Times New Roman" w:hAnsi="Times New Roman" w:eastAsia="宋体" w:cs="Times New Roman"/>
                <w:bCs/>
                <w:color w:val="000000" w:themeColor="text1"/>
                <w:sz w:val="24"/>
                <w:szCs w:val="24"/>
                <w:vertAlign w:val="superscript"/>
                <w:lang w:bidi="ar"/>
                <w14:textFill>
                  <w14:solidFill>
                    <w14:schemeClr w14:val="tx1"/>
                  </w14:solidFill>
                </w14:textFill>
              </w:rPr>
              <w:t>3</w:t>
            </w:r>
            <w:r>
              <w:rPr>
                <w:rFonts w:ascii="Times New Roman" w:hAnsi="Times New Roman" w:eastAsia="宋体" w:cs="Times New Roman"/>
                <w:bCs/>
                <w:color w:val="000000" w:themeColor="text1"/>
                <w:sz w:val="24"/>
                <w:szCs w:val="24"/>
                <w:lang w:bidi="ar"/>
                <w14:textFill>
                  <w14:solidFill>
                    <w14:schemeClr w14:val="tx1"/>
                  </w14:solidFill>
                </w14:textFill>
              </w:rPr>
              <w:t>/d（420m</w:t>
            </w:r>
            <w:r>
              <w:rPr>
                <w:rFonts w:ascii="Times New Roman" w:hAnsi="Times New Roman" w:eastAsia="宋体" w:cs="Times New Roman"/>
                <w:bCs/>
                <w:color w:val="000000" w:themeColor="text1"/>
                <w:sz w:val="24"/>
                <w:szCs w:val="24"/>
                <w:vertAlign w:val="superscript"/>
                <w:lang w:bidi="ar"/>
                <w14:textFill>
                  <w14:solidFill>
                    <w14:schemeClr w14:val="tx1"/>
                  </w14:solidFill>
                </w14:textFill>
              </w:rPr>
              <w:t>3</w:t>
            </w:r>
            <w:r>
              <w:rPr>
                <w:rFonts w:ascii="Times New Roman" w:hAnsi="Times New Roman" w:eastAsia="宋体" w:cs="Times New Roman"/>
                <w:bCs/>
                <w:color w:val="000000" w:themeColor="text1"/>
                <w:sz w:val="24"/>
                <w:szCs w:val="24"/>
                <w:lang w:bidi="ar"/>
                <w14:textFill>
                  <w14:solidFill>
                    <w14:schemeClr w14:val="tx1"/>
                  </w14:solidFill>
                </w14:textFill>
              </w:rPr>
              <w:t>/a），脱硫渣（包括硫酸钙结晶水）带走水分约0.2m</w:t>
            </w:r>
            <w:r>
              <w:rPr>
                <w:rFonts w:ascii="Times New Roman" w:hAnsi="Times New Roman" w:eastAsia="宋体" w:cs="Times New Roman"/>
                <w:bCs/>
                <w:color w:val="000000" w:themeColor="text1"/>
                <w:sz w:val="24"/>
                <w:szCs w:val="24"/>
                <w:vertAlign w:val="superscript"/>
                <w:lang w:bidi="ar"/>
                <w14:textFill>
                  <w14:solidFill>
                    <w14:schemeClr w14:val="tx1"/>
                  </w14:solidFill>
                </w14:textFill>
              </w:rPr>
              <w:t>3</w:t>
            </w:r>
            <w:r>
              <w:rPr>
                <w:rFonts w:ascii="Times New Roman" w:hAnsi="Times New Roman" w:eastAsia="宋体" w:cs="Times New Roman"/>
                <w:bCs/>
                <w:color w:val="000000" w:themeColor="text1"/>
                <w:sz w:val="24"/>
                <w:szCs w:val="24"/>
                <w:lang w:bidi="ar"/>
                <w14:textFill>
                  <w14:solidFill>
                    <w14:schemeClr w14:val="tx1"/>
                  </w14:solidFill>
                </w14:textFill>
              </w:rPr>
              <w:t>/d（60m</w:t>
            </w:r>
            <w:r>
              <w:rPr>
                <w:rFonts w:ascii="Times New Roman" w:hAnsi="Times New Roman" w:eastAsia="宋体" w:cs="Times New Roman"/>
                <w:bCs/>
                <w:color w:val="000000" w:themeColor="text1"/>
                <w:sz w:val="24"/>
                <w:szCs w:val="24"/>
                <w:vertAlign w:val="superscript"/>
                <w:lang w:bidi="ar"/>
                <w14:textFill>
                  <w14:solidFill>
                    <w14:schemeClr w14:val="tx1"/>
                  </w14:solidFill>
                </w14:textFill>
              </w:rPr>
              <w:t>3</w:t>
            </w:r>
            <w:r>
              <w:rPr>
                <w:rFonts w:ascii="Times New Roman" w:hAnsi="Times New Roman" w:eastAsia="宋体" w:cs="Times New Roman"/>
                <w:bCs/>
                <w:color w:val="000000" w:themeColor="text1"/>
                <w:sz w:val="24"/>
                <w:szCs w:val="24"/>
                <w:lang w:bidi="ar"/>
                <w14:textFill>
                  <w14:solidFill>
                    <w14:schemeClr w14:val="tx1"/>
                  </w14:solidFill>
                </w14:textFill>
              </w:rPr>
              <w:t>/a）。脱硫废水经三级沉淀池处理后，废水循环使用，不外排。</w:t>
            </w:r>
          </w:p>
          <w:p w14:paraId="46665659">
            <w:pPr>
              <w:adjustRightInd w:val="0"/>
              <w:snapToGrid w:val="0"/>
              <w:spacing w:line="360" w:lineRule="auto"/>
              <w:ind w:firstLine="482" w:firstLineChars="200"/>
              <w:rPr>
                <w:rFonts w:ascii="Times New Roman" w:hAnsi="Times New Roman" w:eastAsia="宋体" w:cs="Times New Roman"/>
                <w:b/>
                <w:color w:val="000000" w:themeColor="text1"/>
                <w:sz w:val="24"/>
                <w:szCs w:val="24"/>
                <w:lang w:bidi="ar"/>
                <w14:textFill>
                  <w14:solidFill>
                    <w14:schemeClr w14:val="tx1"/>
                  </w14:solidFill>
                </w14:textFill>
              </w:rPr>
            </w:pPr>
            <w:r>
              <w:rPr>
                <w:rFonts w:ascii="Times New Roman" w:hAnsi="Times New Roman" w:eastAsia="宋体" w:cs="Times New Roman"/>
                <w:b/>
                <w:color w:val="000000" w:themeColor="text1"/>
                <w:sz w:val="24"/>
                <w:szCs w:val="24"/>
                <w:lang w:bidi="ar"/>
                <w14:textFill>
                  <w14:solidFill>
                    <w14:schemeClr w14:val="tx1"/>
                  </w14:solidFill>
                </w14:textFill>
              </w:rPr>
              <w:t>（3）生活污水</w:t>
            </w:r>
          </w:p>
          <w:p w14:paraId="30CC584C">
            <w:pPr>
              <w:adjustRightInd w:val="0"/>
              <w:snapToGrid w:val="0"/>
              <w:spacing w:line="360" w:lineRule="auto"/>
              <w:ind w:firstLine="480" w:firstLineChars="200"/>
              <w:rPr>
                <w:rFonts w:ascii="Times New Roman" w:hAnsi="Times New Roman" w:eastAsia="宋体" w:cs="Times New Roman"/>
                <w:bCs/>
                <w:color w:val="000000" w:themeColor="text1"/>
                <w:sz w:val="24"/>
                <w:szCs w:val="24"/>
                <w:lang w:bidi="ar"/>
                <w14:textFill>
                  <w14:solidFill>
                    <w14:schemeClr w14:val="tx1"/>
                  </w14:solidFill>
                </w14:textFill>
              </w:rPr>
            </w:pPr>
            <w:r>
              <w:rPr>
                <w:rFonts w:ascii="Times New Roman" w:hAnsi="Times New Roman" w:eastAsia="宋体" w:cs="Times New Roman"/>
                <w:bCs/>
                <w:color w:val="000000" w:themeColor="text1"/>
                <w:sz w:val="24"/>
                <w:szCs w:val="24"/>
                <w:lang w:bidi="ar"/>
                <w14:textFill>
                  <w14:solidFill>
                    <w14:schemeClr w14:val="tx1"/>
                  </w14:solidFill>
                </w14:textFill>
              </w:rPr>
              <w:t>本项目不新增劳动定员，不新增生活用水。根据建设单位运行资料，员工生活用水量为3.0m</w:t>
            </w:r>
            <w:r>
              <w:rPr>
                <w:rFonts w:ascii="Times New Roman" w:hAnsi="Times New Roman" w:eastAsia="宋体" w:cs="Times New Roman"/>
                <w:bCs/>
                <w:color w:val="000000" w:themeColor="text1"/>
                <w:sz w:val="24"/>
                <w:szCs w:val="24"/>
                <w:vertAlign w:val="superscript"/>
                <w:lang w:bidi="ar"/>
                <w14:textFill>
                  <w14:solidFill>
                    <w14:schemeClr w14:val="tx1"/>
                  </w14:solidFill>
                </w14:textFill>
              </w:rPr>
              <w:t>3</w:t>
            </w:r>
            <w:r>
              <w:rPr>
                <w:rFonts w:ascii="Times New Roman" w:hAnsi="Times New Roman" w:eastAsia="宋体" w:cs="Times New Roman"/>
                <w:bCs/>
                <w:color w:val="000000" w:themeColor="text1"/>
                <w:sz w:val="24"/>
                <w:szCs w:val="24"/>
                <w:lang w:bidi="ar"/>
                <w14:textFill>
                  <w14:solidFill>
                    <w14:schemeClr w14:val="tx1"/>
                  </w14:solidFill>
                </w14:textFill>
              </w:rPr>
              <w:t>/d（合计900m</w:t>
            </w:r>
            <w:r>
              <w:rPr>
                <w:rFonts w:ascii="Times New Roman" w:hAnsi="Times New Roman" w:eastAsia="宋体" w:cs="Times New Roman"/>
                <w:bCs/>
                <w:color w:val="000000" w:themeColor="text1"/>
                <w:sz w:val="24"/>
                <w:szCs w:val="24"/>
                <w:vertAlign w:val="superscript"/>
                <w:lang w:bidi="ar"/>
                <w14:textFill>
                  <w14:solidFill>
                    <w14:schemeClr w14:val="tx1"/>
                  </w14:solidFill>
                </w14:textFill>
              </w:rPr>
              <w:t>3</w:t>
            </w:r>
            <w:r>
              <w:rPr>
                <w:rFonts w:ascii="Times New Roman" w:hAnsi="Times New Roman" w:eastAsia="宋体" w:cs="Times New Roman"/>
                <w:bCs/>
                <w:color w:val="000000" w:themeColor="text1"/>
                <w:sz w:val="24"/>
                <w:szCs w:val="24"/>
                <w:lang w:bidi="ar"/>
                <w14:textFill>
                  <w14:solidFill>
                    <w14:schemeClr w14:val="tx1"/>
                  </w14:solidFill>
                </w14:textFill>
              </w:rPr>
              <w:t>/a），排水率按0.8计，排水量为2.4m</w:t>
            </w:r>
            <w:r>
              <w:rPr>
                <w:rFonts w:ascii="Times New Roman" w:hAnsi="Times New Roman" w:eastAsia="宋体" w:cs="Times New Roman"/>
                <w:bCs/>
                <w:color w:val="000000" w:themeColor="text1"/>
                <w:sz w:val="24"/>
                <w:szCs w:val="24"/>
                <w:vertAlign w:val="superscript"/>
                <w:lang w:bidi="ar"/>
                <w14:textFill>
                  <w14:solidFill>
                    <w14:schemeClr w14:val="tx1"/>
                  </w14:solidFill>
                </w14:textFill>
              </w:rPr>
              <w:t>3</w:t>
            </w:r>
            <w:r>
              <w:rPr>
                <w:rFonts w:ascii="Times New Roman" w:hAnsi="Times New Roman" w:eastAsia="宋体" w:cs="Times New Roman"/>
                <w:bCs/>
                <w:color w:val="000000" w:themeColor="text1"/>
                <w:sz w:val="24"/>
                <w:szCs w:val="24"/>
                <w:lang w:bidi="ar"/>
                <w14:textFill>
                  <w14:solidFill>
                    <w14:schemeClr w14:val="tx1"/>
                  </w14:solidFill>
                </w14:textFill>
              </w:rPr>
              <w:t>/d（合计720m</w:t>
            </w:r>
            <w:r>
              <w:rPr>
                <w:rFonts w:ascii="Times New Roman" w:hAnsi="Times New Roman" w:eastAsia="宋体" w:cs="Times New Roman"/>
                <w:bCs/>
                <w:color w:val="000000" w:themeColor="text1"/>
                <w:sz w:val="24"/>
                <w:szCs w:val="24"/>
                <w:vertAlign w:val="superscript"/>
                <w:lang w:bidi="ar"/>
                <w14:textFill>
                  <w14:solidFill>
                    <w14:schemeClr w14:val="tx1"/>
                  </w14:solidFill>
                </w14:textFill>
              </w:rPr>
              <w:t>3</w:t>
            </w:r>
            <w:r>
              <w:rPr>
                <w:rFonts w:ascii="Times New Roman" w:hAnsi="Times New Roman" w:eastAsia="宋体" w:cs="Times New Roman"/>
                <w:bCs/>
                <w:color w:val="000000" w:themeColor="text1"/>
                <w:sz w:val="24"/>
                <w:szCs w:val="24"/>
                <w:lang w:bidi="ar"/>
                <w14:textFill>
                  <w14:solidFill>
                    <w14:schemeClr w14:val="tx1"/>
                  </w14:solidFill>
                </w14:textFill>
              </w:rPr>
              <w:t>/a），主要污染物为COD、BOD</w:t>
            </w:r>
            <w:r>
              <w:rPr>
                <w:rFonts w:ascii="Times New Roman" w:hAnsi="Times New Roman" w:eastAsia="宋体" w:cs="Times New Roman"/>
                <w:bCs/>
                <w:color w:val="000000" w:themeColor="text1"/>
                <w:sz w:val="24"/>
                <w:szCs w:val="24"/>
                <w:vertAlign w:val="subscript"/>
                <w:lang w:bidi="ar"/>
                <w14:textFill>
                  <w14:solidFill>
                    <w14:schemeClr w14:val="tx1"/>
                  </w14:solidFill>
                </w14:textFill>
              </w:rPr>
              <w:t>5</w:t>
            </w:r>
            <w:r>
              <w:rPr>
                <w:rFonts w:ascii="Times New Roman" w:hAnsi="Times New Roman" w:eastAsia="宋体" w:cs="Times New Roman"/>
                <w:bCs/>
                <w:color w:val="000000" w:themeColor="text1"/>
                <w:sz w:val="24"/>
                <w:szCs w:val="24"/>
                <w:lang w:bidi="ar"/>
                <w14:textFill>
                  <w14:solidFill>
                    <w14:schemeClr w14:val="tx1"/>
                  </w14:solidFill>
                </w14:textFill>
              </w:rPr>
              <w:t>、SS、NH</w:t>
            </w:r>
            <w:r>
              <w:rPr>
                <w:rFonts w:ascii="Times New Roman" w:hAnsi="Times New Roman" w:eastAsia="宋体" w:cs="Times New Roman"/>
                <w:bCs/>
                <w:color w:val="000000" w:themeColor="text1"/>
                <w:sz w:val="24"/>
                <w:szCs w:val="24"/>
                <w:vertAlign w:val="subscript"/>
                <w:lang w:bidi="ar"/>
                <w14:textFill>
                  <w14:solidFill>
                    <w14:schemeClr w14:val="tx1"/>
                  </w14:solidFill>
                </w14:textFill>
              </w:rPr>
              <w:t>3</w:t>
            </w:r>
            <w:r>
              <w:rPr>
                <w:rFonts w:ascii="Times New Roman" w:hAnsi="Times New Roman" w:eastAsia="宋体" w:cs="Times New Roman"/>
                <w:bCs/>
                <w:color w:val="000000" w:themeColor="text1"/>
                <w:sz w:val="24"/>
                <w:szCs w:val="24"/>
                <w:lang w:bidi="ar"/>
                <w14:textFill>
                  <w14:solidFill>
                    <w14:schemeClr w14:val="tx1"/>
                  </w14:solidFill>
                </w14:textFill>
              </w:rPr>
              <w:t>-N等。废水污染物浓度为COD 380mg/L、BOD5300mg/L、SS500mg/L、氨氮30mg/L。生活污水经1座预处理池处理后用作周边农田追肥，不外排。</w:t>
            </w:r>
          </w:p>
          <w:p w14:paraId="526F4AA2">
            <w:pPr>
              <w:adjustRightInd w:val="0"/>
              <w:snapToGrid w:val="0"/>
              <w:spacing w:line="360" w:lineRule="auto"/>
              <w:ind w:firstLine="480" w:firstLineChars="200"/>
              <w:rPr>
                <w:rFonts w:ascii="Times New Roman" w:hAnsi="Times New Roman" w:eastAsia="宋体" w:cs="Times New Roman"/>
                <w:bCs/>
                <w:color w:val="000000" w:themeColor="text1"/>
                <w:sz w:val="24"/>
                <w:szCs w:val="24"/>
                <w:lang w:bidi="ar"/>
                <w14:textFill>
                  <w14:solidFill>
                    <w14:schemeClr w14:val="tx1"/>
                  </w14:solidFill>
                </w14:textFill>
              </w:rPr>
            </w:pPr>
            <w:r>
              <w:rPr>
                <w:rFonts w:hint="eastAsia" w:ascii="Times New Roman" w:hAnsi="Times New Roman" w:eastAsia="宋体" w:cs="Times New Roman"/>
                <w:bCs/>
                <w:color w:val="000000" w:themeColor="text1"/>
                <w:sz w:val="24"/>
                <w:szCs w:val="24"/>
                <w:lang w:bidi="ar"/>
                <w14:textFill>
                  <w14:solidFill>
                    <w14:schemeClr w14:val="tx1"/>
                  </w14:solidFill>
                </w14:textFill>
              </w:rPr>
              <w:t>原项目</w:t>
            </w:r>
            <w:r>
              <w:rPr>
                <w:rFonts w:ascii="Times New Roman" w:hAnsi="Times New Roman" w:eastAsia="宋体" w:cs="Times New Roman"/>
                <w:bCs/>
                <w:color w:val="000000" w:themeColor="text1"/>
                <w:sz w:val="24"/>
                <w:szCs w:val="24"/>
                <w:lang w:bidi="ar"/>
                <w14:textFill>
                  <w14:solidFill>
                    <w14:schemeClr w14:val="tx1"/>
                  </w14:solidFill>
                </w14:textFill>
              </w:rPr>
              <w:t>水平衡如下图。</w:t>
            </w:r>
          </w:p>
          <w:p w14:paraId="0FDC89FD">
            <w:pPr>
              <w:pStyle w:val="2"/>
              <w:ind w:firstLine="492"/>
              <w:rPr>
                <w:lang w:bidi="ar"/>
              </w:rPr>
            </w:pPr>
          </w:p>
          <w:p w14:paraId="6610723D">
            <w:pPr>
              <w:pStyle w:val="6"/>
              <w:rPr>
                <w:lang w:bidi="ar"/>
              </w:rPr>
            </w:pPr>
          </w:p>
          <w:p w14:paraId="606EDD54">
            <w:pPr>
              <w:rPr>
                <w:lang w:bidi="ar"/>
              </w:rPr>
            </w:pPr>
          </w:p>
          <w:p w14:paraId="435ED5DC">
            <w:pPr>
              <w:pStyle w:val="2"/>
              <w:ind w:firstLine="492"/>
              <w:rPr>
                <w:lang w:bidi="ar"/>
              </w:rPr>
            </w:pPr>
          </w:p>
          <w:p w14:paraId="4F4D1F2C">
            <w:pPr>
              <w:pStyle w:val="6"/>
              <w:rPr>
                <w:lang w:bidi="ar"/>
              </w:rPr>
            </w:pPr>
          </w:p>
          <w:p w14:paraId="421BF6E0">
            <w:pPr>
              <w:rPr>
                <w:lang w:bidi="ar"/>
              </w:rPr>
            </w:pPr>
          </w:p>
          <w:p w14:paraId="0BE7123E">
            <w:pPr>
              <w:pStyle w:val="2"/>
              <w:ind w:firstLine="492"/>
              <w:rPr>
                <w:lang w:bidi="ar"/>
              </w:rPr>
            </w:pPr>
          </w:p>
          <w:p w14:paraId="5E847AE5">
            <w:pPr>
              <w:pStyle w:val="6"/>
              <w:rPr>
                <w:lang w:bidi="ar"/>
              </w:rPr>
            </w:pPr>
          </w:p>
          <w:p w14:paraId="3153C729">
            <w:pPr>
              <w:rPr>
                <w:lang w:bidi="ar"/>
              </w:rPr>
            </w:pPr>
          </w:p>
          <w:p w14:paraId="596B45D8">
            <w:pPr>
              <w:pStyle w:val="2"/>
              <w:ind w:firstLine="492"/>
              <w:rPr>
                <w:lang w:bidi="ar"/>
              </w:rPr>
            </w:pPr>
          </w:p>
          <w:p w14:paraId="5E25E8AE">
            <w:pPr>
              <w:pStyle w:val="6"/>
              <w:rPr>
                <w:lang w:bidi="ar"/>
              </w:rPr>
            </w:pPr>
          </w:p>
          <w:p w14:paraId="019F9467">
            <w:pPr>
              <w:pStyle w:val="6"/>
              <w:keepNext/>
            </w:pPr>
            <w:r>
              <w:object>
                <v:shape id="_x0000_i1028" o:spt="75" type="#_x0000_t75" style="height:280.5pt;width:389.45pt;" o:ole="t" filled="f" o:preferrelative="t" stroked="f" coordsize="21600,21600">
                  <v:path/>
                  <v:fill on="f" focussize="0,0"/>
                  <v:stroke on="f" joinstyle="miter"/>
                  <v:imagedata r:id="rId39" o:title=""/>
                  <o:lock v:ext="edit" aspectratio="t"/>
                  <w10:wrap type="none"/>
                  <w10:anchorlock/>
                </v:shape>
                <o:OLEObject Type="Embed" ProgID="Visio.Drawing.11" ShapeID="_x0000_i1028" DrawAspect="Content" ObjectID="_1468075728" r:id="rId38">
                  <o:LockedField>false</o:LockedField>
                </o:OLEObject>
              </w:object>
            </w:r>
          </w:p>
          <w:p w14:paraId="7B9BBBDC">
            <w:pPr>
              <w:jc w:val="center"/>
              <w:rPr>
                <w:rFonts w:ascii="Times New Roman" w:hAnsi="Times New Roman" w:eastAsia="宋体" w:cs="Times New Roman"/>
                <w:b/>
                <w:sz w:val="18"/>
                <w:szCs w:val="24"/>
              </w:rPr>
            </w:pPr>
            <w:r>
              <w:rPr>
                <w:rFonts w:hint="eastAsia" w:ascii="Times New Roman" w:hAnsi="Times New Roman" w:eastAsia="宋体" w:cs="Times New Roman"/>
                <w:b/>
                <w:sz w:val="18"/>
                <w:szCs w:val="24"/>
              </w:rPr>
              <w:t xml:space="preserve">图4- </w:t>
            </w:r>
            <w:r>
              <w:rPr>
                <w:rFonts w:ascii="Times New Roman" w:hAnsi="Times New Roman" w:eastAsia="宋体" w:cs="Times New Roman"/>
                <w:b/>
                <w:sz w:val="18"/>
                <w:szCs w:val="24"/>
              </w:rPr>
              <w:fldChar w:fldCharType="begin"/>
            </w:r>
            <w:r>
              <w:rPr>
                <w:rFonts w:ascii="Times New Roman" w:hAnsi="Times New Roman" w:eastAsia="宋体" w:cs="Times New Roman"/>
                <w:b/>
                <w:sz w:val="18"/>
                <w:szCs w:val="24"/>
              </w:rPr>
              <w:instrText xml:space="preserve"> </w:instrText>
            </w:r>
            <w:r>
              <w:rPr>
                <w:rFonts w:hint="eastAsia" w:ascii="Times New Roman" w:hAnsi="Times New Roman" w:eastAsia="宋体" w:cs="Times New Roman"/>
                <w:b/>
                <w:sz w:val="18"/>
                <w:szCs w:val="24"/>
              </w:rPr>
              <w:instrText xml:space="preserve">SEQ 图4- \* ARABIC</w:instrText>
            </w:r>
            <w:r>
              <w:rPr>
                <w:rFonts w:ascii="Times New Roman" w:hAnsi="Times New Roman" w:eastAsia="宋体" w:cs="Times New Roman"/>
                <w:b/>
                <w:sz w:val="18"/>
                <w:szCs w:val="24"/>
              </w:rPr>
              <w:instrText xml:space="preserve"> </w:instrText>
            </w:r>
            <w:r>
              <w:rPr>
                <w:rFonts w:ascii="Times New Roman" w:hAnsi="Times New Roman" w:eastAsia="宋体" w:cs="Times New Roman"/>
                <w:b/>
                <w:sz w:val="18"/>
                <w:szCs w:val="24"/>
              </w:rPr>
              <w:fldChar w:fldCharType="separate"/>
            </w:r>
            <w:r>
              <w:rPr>
                <w:rFonts w:ascii="Times New Roman" w:hAnsi="Times New Roman" w:eastAsia="宋体" w:cs="Times New Roman"/>
                <w:b/>
                <w:sz w:val="18"/>
                <w:szCs w:val="24"/>
              </w:rPr>
              <w:t>1</w:t>
            </w:r>
            <w:r>
              <w:rPr>
                <w:rFonts w:ascii="Times New Roman" w:hAnsi="Times New Roman" w:eastAsia="宋体" w:cs="Times New Roman"/>
                <w:b/>
                <w:sz w:val="18"/>
                <w:szCs w:val="24"/>
              </w:rPr>
              <w:fldChar w:fldCharType="end"/>
            </w:r>
            <w:r>
              <w:rPr>
                <w:rFonts w:ascii="Times New Roman" w:hAnsi="Times New Roman" w:eastAsia="宋体" w:cs="Times New Roman"/>
                <w:b/>
                <w:sz w:val="18"/>
                <w:szCs w:val="24"/>
              </w:rPr>
              <w:t xml:space="preserve">   </w:t>
            </w:r>
            <w:r>
              <w:rPr>
                <w:rFonts w:hint="eastAsia" w:ascii="Times New Roman" w:hAnsi="Times New Roman" w:eastAsia="宋体" w:cs="Times New Roman"/>
                <w:b/>
                <w:sz w:val="18"/>
                <w:szCs w:val="24"/>
              </w:rPr>
              <w:t>原项目水平衡</w:t>
            </w:r>
          </w:p>
          <w:p w14:paraId="748EAD79">
            <w:pPr>
              <w:adjustRightInd w:val="0"/>
              <w:snapToGrid w:val="0"/>
              <w:spacing w:line="360" w:lineRule="auto"/>
              <w:rPr>
                <w:rFonts w:ascii="Times New Roman" w:hAnsi="Times New Roman" w:eastAsia="宋体" w:cs="Times New Roman"/>
                <w:b/>
                <w:bCs/>
                <w:color w:val="000000" w:themeColor="text1"/>
                <w:sz w:val="24"/>
                <w:szCs w:val="24"/>
                <w:lang w:bidi="ar"/>
                <w14:textFill>
                  <w14:solidFill>
                    <w14:schemeClr w14:val="tx1"/>
                  </w14:solidFill>
                </w14:textFill>
              </w:rPr>
            </w:pPr>
            <w:r>
              <w:rPr>
                <w:rFonts w:ascii="Times New Roman" w:hAnsi="Times New Roman" w:eastAsia="宋体" w:cs="Times New Roman"/>
                <w:b/>
                <w:bCs/>
                <w:color w:val="000000" w:themeColor="text1"/>
                <w:sz w:val="24"/>
                <w:szCs w:val="24"/>
                <w:lang w:bidi="ar"/>
                <w14:textFill>
                  <w14:solidFill>
                    <w14:schemeClr w14:val="tx1"/>
                  </w14:solidFill>
                </w14:textFill>
              </w:rPr>
              <w:t>2、本次技改新增情况</w:t>
            </w:r>
          </w:p>
          <w:p w14:paraId="3ED12783">
            <w:pPr>
              <w:adjustRightInd w:val="0"/>
              <w:snapToGrid w:val="0"/>
              <w:spacing w:line="360" w:lineRule="auto"/>
              <w:ind w:firstLine="480"/>
              <w:rPr>
                <w:rFonts w:ascii="Times New Roman" w:hAnsi="Times New Roman" w:eastAsia="宋体" w:cs="Times New Roman"/>
                <w:bCs/>
                <w:color w:val="000000" w:themeColor="text1"/>
                <w:sz w:val="24"/>
                <w:szCs w:val="24"/>
                <w:lang w:bidi="ar"/>
                <w14:textFill>
                  <w14:solidFill>
                    <w14:schemeClr w14:val="tx1"/>
                  </w14:solidFill>
                </w14:textFill>
              </w:rPr>
            </w:pPr>
            <w:r>
              <w:rPr>
                <w:rFonts w:ascii="Times New Roman" w:hAnsi="Times New Roman" w:eastAsia="宋体" w:cs="Times New Roman"/>
                <w:bCs/>
                <w:color w:val="000000" w:themeColor="text1"/>
                <w:sz w:val="24"/>
                <w:szCs w:val="24"/>
                <w:lang w:bidi="ar"/>
                <w14:textFill>
                  <w14:solidFill>
                    <w14:schemeClr w14:val="tx1"/>
                  </w14:solidFill>
                </w14:textFill>
              </w:rPr>
              <w:t>本次技改后</w:t>
            </w:r>
            <w:r>
              <w:rPr>
                <w:rFonts w:hint="eastAsia" w:ascii="Times New Roman" w:hAnsi="Times New Roman" w:eastAsia="宋体" w:cs="Times New Roman"/>
                <w:bCs/>
                <w:color w:val="000000" w:themeColor="text1"/>
                <w:sz w:val="24"/>
                <w:szCs w:val="24"/>
                <w:lang w:bidi="ar"/>
                <w14:textFill>
                  <w14:solidFill>
                    <w14:schemeClr w14:val="tx1"/>
                  </w14:solidFill>
                </w14:textFill>
              </w:rPr>
              <w:t>水基钻井</w:t>
            </w:r>
            <w:r>
              <w:rPr>
                <w:rFonts w:ascii="Times New Roman" w:hAnsi="Times New Roman" w:eastAsia="宋体" w:cs="Times New Roman"/>
                <w:bCs/>
                <w:color w:val="000000" w:themeColor="text1"/>
                <w:sz w:val="24"/>
                <w:szCs w:val="24"/>
                <w:lang w:bidi="ar"/>
                <w14:textFill>
                  <w14:solidFill>
                    <w14:schemeClr w14:val="tx1"/>
                  </w14:solidFill>
                </w14:textFill>
              </w:rPr>
              <w:t>废弃物及一般工业固废</w:t>
            </w:r>
            <w:r>
              <w:rPr>
                <w:rFonts w:hint="eastAsia" w:ascii="Times New Roman" w:hAnsi="Times New Roman" w:eastAsia="宋体" w:cs="Times New Roman"/>
                <w:bCs/>
                <w:color w:val="000000" w:themeColor="text1"/>
                <w:sz w:val="24"/>
                <w:szCs w:val="24"/>
                <w:lang w:bidi="ar"/>
                <w14:textFill>
                  <w14:solidFill>
                    <w14:schemeClr w14:val="tx1"/>
                  </w14:solidFill>
                </w14:textFill>
              </w:rPr>
              <w:t>部分</w:t>
            </w:r>
            <w:r>
              <w:rPr>
                <w:rFonts w:ascii="Times New Roman" w:hAnsi="Times New Roman" w:eastAsia="宋体" w:cs="Times New Roman"/>
                <w:bCs/>
                <w:color w:val="000000" w:themeColor="text1"/>
                <w:sz w:val="24"/>
                <w:szCs w:val="24"/>
                <w:lang w:bidi="ar"/>
                <w14:textFill>
                  <w14:solidFill>
                    <w14:schemeClr w14:val="tx1"/>
                  </w14:solidFill>
                </w14:textFill>
              </w:rPr>
              <w:t>替代</w:t>
            </w:r>
            <w:r>
              <w:rPr>
                <w:rFonts w:hint="eastAsia" w:ascii="Times New Roman" w:hAnsi="Times New Roman" w:eastAsia="宋体" w:cs="Times New Roman"/>
                <w:bCs/>
                <w:color w:val="000000" w:themeColor="text1"/>
                <w:sz w:val="24"/>
                <w:szCs w:val="24"/>
                <w:lang w:bidi="ar"/>
                <w14:textFill>
                  <w14:solidFill>
                    <w14:schemeClr w14:val="tx1"/>
                  </w14:solidFill>
                </w14:textFill>
              </w:rPr>
              <w:t>页岩，</w:t>
            </w:r>
            <w:r>
              <w:rPr>
                <w:rFonts w:ascii="Times New Roman" w:hAnsi="Times New Roman" w:eastAsia="宋体" w:cs="Times New Roman"/>
                <w:bCs/>
                <w:color w:val="000000" w:themeColor="text1"/>
                <w:sz w:val="24"/>
                <w:szCs w:val="24"/>
                <w:lang w:bidi="ar"/>
                <w14:textFill>
                  <w14:solidFill>
                    <w14:schemeClr w14:val="tx1"/>
                  </w14:solidFill>
                </w14:textFill>
              </w:rPr>
              <w:t>替换</w:t>
            </w:r>
            <w:r>
              <w:rPr>
                <w:rFonts w:hint="eastAsia" w:ascii="Times New Roman" w:hAnsi="Times New Roman" w:eastAsia="宋体" w:cs="Times New Roman"/>
                <w:bCs/>
                <w:color w:val="000000" w:themeColor="text1"/>
                <w:sz w:val="24"/>
                <w:szCs w:val="24"/>
                <w:lang w:bidi="ar"/>
                <w14:textFill>
                  <w14:solidFill>
                    <w14:schemeClr w14:val="tx1"/>
                  </w14:solidFill>
                </w14:textFill>
              </w:rPr>
              <w:t>原料</w:t>
            </w:r>
            <w:r>
              <w:rPr>
                <w:rFonts w:ascii="Times New Roman" w:hAnsi="Times New Roman" w:eastAsia="宋体" w:cs="Times New Roman"/>
                <w:bCs/>
                <w:color w:val="000000" w:themeColor="text1"/>
                <w:sz w:val="24"/>
                <w:szCs w:val="24"/>
                <w:lang w:bidi="ar"/>
                <w14:textFill>
                  <w14:solidFill>
                    <w14:schemeClr w14:val="tx1"/>
                  </w14:solidFill>
                </w14:textFill>
              </w:rPr>
              <w:t>自身携带水分，可减少物料搅拌过程用水量，该部分用水随砖坯烧结蒸发损耗。技改后不新增劳动定员，因此不新增生活污水。</w:t>
            </w:r>
          </w:p>
          <w:p w14:paraId="72D461D7">
            <w:pPr>
              <w:adjustRightInd w:val="0"/>
              <w:snapToGrid w:val="0"/>
              <w:spacing w:line="360" w:lineRule="auto"/>
              <w:ind w:firstLine="480"/>
              <w:rPr>
                <w:rFonts w:ascii="Times New Roman" w:hAnsi="Times New Roman" w:eastAsia="宋体" w:cs="Times New Roman"/>
                <w:bCs/>
                <w:sz w:val="24"/>
                <w:szCs w:val="24"/>
                <w:lang w:bidi="ar"/>
              </w:rPr>
            </w:pPr>
            <w:r>
              <w:rPr>
                <w:rFonts w:ascii="Times New Roman" w:hAnsi="Times New Roman" w:eastAsia="宋体" w:cs="Times New Roman"/>
                <w:bCs/>
                <w:color w:val="000000" w:themeColor="text1"/>
                <w:sz w:val="24"/>
                <w:szCs w:val="24"/>
                <w:lang w:bidi="ar"/>
                <w14:textFill>
                  <w14:solidFill>
                    <w14:schemeClr w14:val="tx1"/>
                  </w14:solidFill>
                </w14:textFill>
              </w:rPr>
              <w:t>本项目一般固废贮存间车间采取负</w:t>
            </w:r>
            <w:bookmarkStart w:id="33" w:name="水平衡"/>
            <w:r>
              <w:rPr>
                <w:rFonts w:ascii="Times New Roman" w:hAnsi="Times New Roman" w:eastAsia="宋体" w:cs="Times New Roman"/>
                <w:bCs/>
                <w:color w:val="000000" w:themeColor="text1"/>
                <w:sz w:val="24"/>
                <w:szCs w:val="24"/>
                <w:lang w:bidi="ar"/>
                <w14:textFill>
                  <w14:solidFill>
                    <w14:schemeClr w14:val="tx1"/>
                  </w14:solidFill>
                </w14:textFill>
              </w:rPr>
              <w:t>压</w:t>
            </w:r>
            <w:bookmarkEnd w:id="33"/>
            <w:r>
              <w:rPr>
                <w:rFonts w:ascii="Times New Roman" w:hAnsi="Times New Roman" w:eastAsia="宋体" w:cs="Times New Roman"/>
                <w:bCs/>
                <w:color w:val="000000" w:themeColor="text1"/>
                <w:sz w:val="24"/>
                <w:szCs w:val="24"/>
                <w:lang w:bidi="ar"/>
                <w14:textFill>
                  <w14:solidFill>
                    <w14:schemeClr w14:val="tx1"/>
                  </w14:solidFill>
                </w14:textFill>
              </w:rPr>
              <w:t>机械抽风，废气经采取水喷淋吸收，一般固废贮存间异味主要为污水处理过程中未中和的酸碱在贮存过程挥发产生异味，异味气体采取酸碱吸收后循环利</w:t>
            </w:r>
            <w:r>
              <w:rPr>
                <w:rFonts w:ascii="Times New Roman" w:hAnsi="Times New Roman" w:eastAsia="宋体" w:cs="Times New Roman"/>
                <w:bCs/>
                <w:sz w:val="24"/>
                <w:szCs w:val="24"/>
                <w:lang w:bidi="ar"/>
              </w:rPr>
              <w:t>用，</w:t>
            </w:r>
            <w:r>
              <w:rPr>
                <w:rFonts w:hint="eastAsia" w:ascii="Times New Roman" w:hAnsi="Times New Roman" w:eastAsia="宋体" w:cs="Times New Roman"/>
                <w:bCs/>
                <w:sz w:val="24"/>
                <w:szCs w:val="24"/>
                <w:lang w:bidi="ar"/>
              </w:rPr>
              <w:t>循环水量3</w:t>
            </w:r>
            <w:r>
              <w:rPr>
                <w:rFonts w:ascii="Times New Roman" w:hAnsi="Times New Roman" w:eastAsia="宋体" w:cs="Times New Roman"/>
                <w:bCs/>
                <w:sz w:val="24"/>
                <w:szCs w:val="24"/>
                <w:lang w:bidi="ar"/>
              </w:rPr>
              <w:t>m</w:t>
            </w:r>
            <w:r>
              <w:rPr>
                <w:rFonts w:ascii="Times New Roman" w:hAnsi="Times New Roman" w:eastAsia="宋体" w:cs="Times New Roman"/>
                <w:bCs/>
                <w:sz w:val="24"/>
                <w:szCs w:val="24"/>
                <w:vertAlign w:val="superscript"/>
                <w:lang w:bidi="ar"/>
              </w:rPr>
              <w:t>3</w:t>
            </w:r>
            <w:r>
              <w:rPr>
                <w:rFonts w:ascii="Times New Roman" w:hAnsi="Times New Roman" w:eastAsia="宋体" w:cs="Times New Roman"/>
                <w:bCs/>
                <w:sz w:val="24"/>
                <w:szCs w:val="24"/>
                <w:lang w:bidi="ar"/>
              </w:rPr>
              <w:t>/d</w:t>
            </w:r>
            <w:r>
              <w:rPr>
                <w:rFonts w:hint="eastAsia" w:ascii="Times New Roman" w:hAnsi="Times New Roman" w:eastAsia="宋体" w:cs="Times New Roman"/>
                <w:bCs/>
                <w:sz w:val="24"/>
                <w:szCs w:val="24"/>
                <w:lang w:bidi="ar"/>
              </w:rPr>
              <w:t>，</w:t>
            </w:r>
            <w:r>
              <w:rPr>
                <w:rFonts w:ascii="Times New Roman" w:hAnsi="Times New Roman" w:eastAsia="宋体" w:cs="Times New Roman"/>
                <w:bCs/>
                <w:sz w:val="24"/>
                <w:szCs w:val="24"/>
                <w:lang w:bidi="ar"/>
              </w:rPr>
              <w:t>系统含水量</w:t>
            </w:r>
            <w:r>
              <w:rPr>
                <w:rFonts w:hint="eastAsia" w:ascii="Times New Roman" w:hAnsi="Times New Roman" w:eastAsia="宋体" w:cs="Times New Roman"/>
                <w:bCs/>
                <w:sz w:val="24"/>
                <w:szCs w:val="24"/>
                <w:lang w:bidi="ar"/>
              </w:rPr>
              <w:t>1</w:t>
            </w:r>
            <w:r>
              <w:rPr>
                <w:rFonts w:ascii="Times New Roman" w:hAnsi="Times New Roman" w:eastAsia="宋体" w:cs="Times New Roman"/>
                <w:bCs/>
                <w:sz w:val="24"/>
                <w:szCs w:val="24"/>
                <w:lang w:bidi="ar"/>
              </w:rPr>
              <w:t>m</w:t>
            </w:r>
            <w:r>
              <w:rPr>
                <w:rFonts w:ascii="Times New Roman" w:hAnsi="Times New Roman" w:eastAsia="宋体" w:cs="Times New Roman"/>
                <w:bCs/>
                <w:sz w:val="24"/>
                <w:szCs w:val="24"/>
                <w:vertAlign w:val="superscript"/>
                <w:lang w:bidi="ar"/>
              </w:rPr>
              <w:t>3</w:t>
            </w:r>
            <w:r>
              <w:rPr>
                <w:rFonts w:ascii="Times New Roman" w:hAnsi="Times New Roman" w:eastAsia="宋体" w:cs="Times New Roman"/>
                <w:bCs/>
                <w:sz w:val="24"/>
                <w:szCs w:val="24"/>
                <w:lang w:bidi="ar"/>
              </w:rPr>
              <w:t>，</w:t>
            </w:r>
            <w:r>
              <w:rPr>
                <w:rFonts w:hint="eastAsia" w:ascii="Times New Roman" w:hAnsi="Times New Roman" w:eastAsia="宋体" w:cs="Times New Roman"/>
                <w:bCs/>
                <w:sz w:val="24"/>
                <w:szCs w:val="24"/>
                <w:lang w:bidi="ar"/>
              </w:rPr>
              <w:t>每周更换</w:t>
            </w:r>
            <w:r>
              <w:rPr>
                <w:rFonts w:ascii="Times New Roman" w:hAnsi="Times New Roman" w:eastAsia="宋体" w:cs="Times New Roman"/>
                <w:bCs/>
                <w:sz w:val="24"/>
                <w:szCs w:val="24"/>
                <w:lang w:bidi="ar"/>
              </w:rPr>
              <w:t>一次，平均</w:t>
            </w:r>
            <w:r>
              <w:rPr>
                <w:rFonts w:hint="eastAsia" w:ascii="Times New Roman" w:hAnsi="Times New Roman" w:eastAsia="宋体" w:cs="Times New Roman"/>
                <w:bCs/>
                <w:sz w:val="24"/>
                <w:szCs w:val="24"/>
                <w:lang w:bidi="ar"/>
              </w:rPr>
              <w:t>每天更换0.14</w:t>
            </w:r>
            <w:r>
              <w:rPr>
                <w:rFonts w:ascii="Times New Roman" w:hAnsi="Times New Roman" w:eastAsia="宋体" w:cs="Times New Roman"/>
                <w:bCs/>
                <w:sz w:val="24"/>
                <w:szCs w:val="24"/>
                <w:lang w:bidi="ar"/>
              </w:rPr>
              <w:t>m</w:t>
            </w:r>
            <w:r>
              <w:rPr>
                <w:rFonts w:ascii="Times New Roman" w:hAnsi="Times New Roman" w:eastAsia="宋体" w:cs="Times New Roman"/>
                <w:bCs/>
                <w:sz w:val="24"/>
                <w:szCs w:val="24"/>
                <w:vertAlign w:val="superscript"/>
                <w:lang w:bidi="ar"/>
              </w:rPr>
              <w:t>3</w:t>
            </w:r>
            <w:r>
              <w:rPr>
                <w:rFonts w:ascii="Times New Roman" w:hAnsi="Times New Roman" w:eastAsia="宋体" w:cs="Times New Roman"/>
                <w:bCs/>
                <w:sz w:val="24"/>
                <w:szCs w:val="24"/>
                <w:lang w:bidi="ar"/>
              </w:rPr>
              <w:t>/d</w:t>
            </w:r>
            <w:r>
              <w:rPr>
                <w:rFonts w:hint="eastAsia" w:ascii="Times New Roman" w:hAnsi="Times New Roman" w:eastAsia="宋体" w:cs="Times New Roman"/>
                <w:bCs/>
                <w:sz w:val="24"/>
                <w:szCs w:val="24"/>
                <w:lang w:bidi="ar"/>
              </w:rPr>
              <w:t>，</w:t>
            </w:r>
            <w:r>
              <w:rPr>
                <w:rFonts w:ascii="Times New Roman" w:hAnsi="Times New Roman" w:eastAsia="宋体" w:cs="Times New Roman"/>
                <w:bCs/>
                <w:sz w:val="24"/>
                <w:szCs w:val="24"/>
                <w:lang w:bidi="ar"/>
              </w:rPr>
              <w:t>定期更换用作制砖用水。</w:t>
            </w:r>
          </w:p>
          <w:p w14:paraId="43FC3AF6">
            <w:pPr>
              <w:pStyle w:val="2"/>
              <w:ind w:firstLine="492"/>
              <w:rPr>
                <w:rFonts w:ascii="Times New Roman" w:eastAsia="宋体" w:cs="Times New Roman"/>
                <w:color w:val="FF0000"/>
              </w:rPr>
            </w:pPr>
            <w:r>
              <w:rPr>
                <w:rFonts w:ascii="Times New Roman" w:eastAsia="宋体" w:cs="Times New Roman"/>
                <w:bCs/>
                <w:color w:val="FF0000"/>
                <w:szCs w:val="24"/>
                <w:lang w:bidi="ar"/>
              </w:rPr>
              <w:t>一般固废堆放过程中产生渗滤液，经一般固废贮存间收集池收集后用于制砖拌和工序用水。</w:t>
            </w:r>
          </w:p>
          <w:p w14:paraId="5EEB0C9D">
            <w:pPr>
              <w:adjustRightInd w:val="0"/>
              <w:snapToGrid w:val="0"/>
              <w:spacing w:line="360" w:lineRule="auto"/>
              <w:ind w:firstLine="480"/>
              <w:rPr>
                <w:rFonts w:ascii="Times New Roman" w:hAnsi="Times New Roman" w:eastAsia="宋体" w:cs="Times New Roman"/>
                <w:bCs/>
                <w:color w:val="000000" w:themeColor="text1"/>
                <w:sz w:val="24"/>
                <w:szCs w:val="24"/>
                <w:lang w:bidi="ar"/>
                <w14:textFill>
                  <w14:solidFill>
                    <w14:schemeClr w14:val="tx1"/>
                  </w14:solidFill>
                </w14:textFill>
              </w:rPr>
            </w:pPr>
            <w:r>
              <w:rPr>
                <w:rFonts w:ascii="Times New Roman" w:hAnsi="Times New Roman" w:eastAsia="宋体" w:cs="Times New Roman"/>
                <w:bCs/>
                <w:color w:val="000000" w:themeColor="text1"/>
                <w:sz w:val="24"/>
                <w:szCs w:val="24"/>
                <w:lang w:bidi="ar"/>
                <w14:textFill>
                  <w14:solidFill>
                    <w14:schemeClr w14:val="tx1"/>
                  </w14:solidFill>
                </w14:textFill>
              </w:rPr>
              <w:t>因此本次技改后废水产生量不发生变化，污水处理设施依托现有工程已建设施。</w:t>
            </w:r>
          </w:p>
          <w:p w14:paraId="53C5BCBA">
            <w:pPr>
              <w:adjustRightInd w:val="0"/>
              <w:snapToGrid w:val="0"/>
              <w:spacing w:line="360" w:lineRule="auto"/>
              <w:ind w:firstLine="480"/>
              <w:rPr>
                <w:rFonts w:ascii="Segoe UI Symbol" w:hAnsi="Segoe UI Symbol" w:eastAsia="宋体" w:cs="Times New Roman"/>
                <w:bCs/>
                <w:color w:val="000000" w:themeColor="text1"/>
                <w:sz w:val="24"/>
                <w:szCs w:val="24"/>
                <w:lang w:bidi="ar"/>
                <w14:textFill>
                  <w14:solidFill>
                    <w14:schemeClr w14:val="tx1"/>
                  </w14:solidFill>
                </w14:textFill>
              </w:rPr>
            </w:pPr>
            <w:r>
              <w:rPr>
                <w:rFonts w:hint="eastAsia" w:ascii="Times New Roman" w:hAnsi="Times New Roman" w:eastAsia="宋体" w:cs="Times New Roman"/>
                <w:bCs/>
                <w:color w:val="000000" w:themeColor="text1"/>
                <w:sz w:val="24"/>
                <w:szCs w:val="24"/>
                <w:lang w:bidi="ar"/>
                <w14:textFill>
                  <w14:solidFill>
                    <w14:schemeClr w14:val="tx1"/>
                  </w14:solidFill>
                </w14:textFill>
              </w:rPr>
              <w:t>综上</w:t>
            </w:r>
            <w:r>
              <w:rPr>
                <w:rFonts w:ascii="Times New Roman" w:hAnsi="Times New Roman" w:eastAsia="宋体" w:cs="Times New Roman"/>
                <w:bCs/>
                <w:color w:val="000000" w:themeColor="text1"/>
                <w:sz w:val="24"/>
                <w:szCs w:val="24"/>
                <w:lang w:bidi="ar"/>
                <w14:textFill>
                  <w14:solidFill>
                    <w14:schemeClr w14:val="tx1"/>
                  </w14:solidFill>
                </w14:textFill>
              </w:rPr>
              <w:t>，</w:t>
            </w:r>
            <w:r>
              <w:rPr>
                <w:rFonts w:ascii="Segoe UI Symbol" w:hAnsi="Segoe UI Symbol" w:eastAsia="宋体" w:cs="Times New Roman"/>
                <w:bCs/>
                <w:color w:val="000000" w:themeColor="text1"/>
                <w:sz w:val="24"/>
                <w:szCs w:val="24"/>
                <w:lang w:bidi="ar"/>
                <w14:textFill>
                  <w14:solidFill>
                    <w14:schemeClr w14:val="tx1"/>
                  </w14:solidFill>
                </w14:textFill>
              </w:rPr>
              <w:t>项目</w:t>
            </w:r>
            <w:r>
              <w:rPr>
                <w:rFonts w:hint="eastAsia" w:ascii="Segoe UI Symbol" w:hAnsi="Segoe UI Symbol" w:eastAsia="宋体" w:cs="Times New Roman"/>
                <w:bCs/>
                <w:color w:val="000000" w:themeColor="text1"/>
                <w:sz w:val="24"/>
                <w:szCs w:val="24"/>
                <w:lang w:bidi="ar"/>
                <w14:textFill>
                  <w14:solidFill>
                    <w14:schemeClr w14:val="tx1"/>
                  </w14:solidFill>
                </w14:textFill>
              </w:rPr>
              <w:t>技改后</w:t>
            </w:r>
            <w:r>
              <w:rPr>
                <w:rFonts w:ascii="Segoe UI Symbol" w:hAnsi="Segoe UI Symbol" w:eastAsia="宋体" w:cs="Times New Roman"/>
                <w:bCs/>
                <w:color w:val="000000" w:themeColor="text1"/>
                <w:sz w:val="24"/>
                <w:szCs w:val="24"/>
                <w:lang w:bidi="ar"/>
                <w14:textFill>
                  <w14:solidFill>
                    <w14:schemeClr w14:val="tx1"/>
                  </w14:solidFill>
                </w14:textFill>
              </w:rPr>
              <w:t>，水平衡如下图</w:t>
            </w:r>
            <w:r>
              <w:rPr>
                <w:rFonts w:hint="eastAsia" w:ascii="Segoe UI Symbol" w:hAnsi="Segoe UI Symbol" w:eastAsia="宋体" w:cs="Times New Roman"/>
                <w:bCs/>
                <w:color w:val="000000" w:themeColor="text1"/>
                <w:sz w:val="24"/>
                <w:szCs w:val="24"/>
                <w:lang w:bidi="ar"/>
                <w14:textFill>
                  <w14:solidFill>
                    <w14:schemeClr w14:val="tx1"/>
                  </w14:solidFill>
                </w14:textFill>
              </w:rPr>
              <w:t>。</w:t>
            </w:r>
          </w:p>
          <w:p w14:paraId="1FD7B6B7">
            <w:pPr>
              <w:pStyle w:val="2"/>
              <w:ind w:firstLine="492"/>
              <w:rPr>
                <w:lang w:bidi="ar"/>
              </w:rPr>
            </w:pPr>
          </w:p>
          <w:p w14:paraId="3CC6B7B5">
            <w:pPr>
              <w:pStyle w:val="2"/>
              <w:ind w:firstLine="492"/>
              <w:rPr>
                <w:lang w:bidi="ar"/>
              </w:rPr>
            </w:pPr>
            <w:r>
              <w:object>
                <v:shape id="_x0000_i1029" o:spt="75" type="#_x0000_t75" style="height:467.7pt;width:417.6pt;" o:ole="t" filled="f" o:preferrelative="t" stroked="f" coordsize="21600,21600">
                  <v:path/>
                  <v:fill on="f" focussize="0,0"/>
                  <v:stroke on="f" joinstyle="miter"/>
                  <v:imagedata r:id="rId41" o:title=""/>
                  <o:lock v:ext="edit" aspectratio="t"/>
                  <w10:wrap type="none"/>
                  <w10:anchorlock/>
                </v:shape>
                <o:OLEObject Type="Embed" ProgID="Visio.Drawing.11" ShapeID="_x0000_i1029" DrawAspect="Content" ObjectID="_1468075729" r:id="rId40">
                  <o:LockedField>false</o:LockedField>
                </o:OLEObject>
              </w:object>
            </w:r>
          </w:p>
          <w:p w14:paraId="17895D1E">
            <w:pPr>
              <w:jc w:val="center"/>
              <w:rPr>
                <w:rFonts w:ascii="Times New Roman" w:hAnsi="Times New Roman" w:eastAsia="宋体" w:cs="Times New Roman"/>
                <w:b/>
                <w:sz w:val="18"/>
                <w:szCs w:val="24"/>
              </w:rPr>
            </w:pPr>
            <w:r>
              <w:rPr>
                <w:rFonts w:hint="eastAsia" w:ascii="Times New Roman" w:hAnsi="Times New Roman" w:eastAsia="宋体" w:cs="Times New Roman"/>
                <w:b/>
                <w:sz w:val="18"/>
                <w:szCs w:val="24"/>
              </w:rPr>
              <w:t xml:space="preserve">图4- </w:t>
            </w:r>
            <w:r>
              <w:rPr>
                <w:rFonts w:ascii="Times New Roman" w:hAnsi="Times New Roman" w:eastAsia="宋体" w:cs="Times New Roman"/>
                <w:b/>
                <w:sz w:val="18"/>
                <w:szCs w:val="24"/>
              </w:rPr>
              <w:fldChar w:fldCharType="begin"/>
            </w:r>
            <w:r>
              <w:rPr>
                <w:rFonts w:ascii="Times New Roman" w:hAnsi="Times New Roman" w:eastAsia="宋体" w:cs="Times New Roman"/>
                <w:b/>
                <w:sz w:val="18"/>
                <w:szCs w:val="24"/>
              </w:rPr>
              <w:instrText xml:space="preserve"> </w:instrText>
            </w:r>
            <w:r>
              <w:rPr>
                <w:rFonts w:hint="eastAsia" w:ascii="Times New Roman" w:hAnsi="Times New Roman" w:eastAsia="宋体" w:cs="Times New Roman"/>
                <w:b/>
                <w:sz w:val="18"/>
                <w:szCs w:val="24"/>
              </w:rPr>
              <w:instrText xml:space="preserve">SEQ 图4- \* ARABIC</w:instrText>
            </w:r>
            <w:r>
              <w:rPr>
                <w:rFonts w:ascii="Times New Roman" w:hAnsi="Times New Roman" w:eastAsia="宋体" w:cs="Times New Roman"/>
                <w:b/>
                <w:sz w:val="18"/>
                <w:szCs w:val="24"/>
              </w:rPr>
              <w:instrText xml:space="preserve"> </w:instrText>
            </w:r>
            <w:r>
              <w:rPr>
                <w:rFonts w:ascii="Times New Roman" w:hAnsi="Times New Roman" w:eastAsia="宋体" w:cs="Times New Roman"/>
                <w:b/>
                <w:sz w:val="18"/>
                <w:szCs w:val="24"/>
              </w:rPr>
              <w:fldChar w:fldCharType="separate"/>
            </w:r>
            <w:r>
              <w:rPr>
                <w:rFonts w:ascii="Times New Roman" w:hAnsi="Times New Roman" w:eastAsia="宋体" w:cs="Times New Roman"/>
                <w:b/>
                <w:sz w:val="18"/>
                <w:szCs w:val="24"/>
              </w:rPr>
              <w:t>2</w:t>
            </w:r>
            <w:r>
              <w:rPr>
                <w:rFonts w:ascii="Times New Roman" w:hAnsi="Times New Roman" w:eastAsia="宋体" w:cs="Times New Roman"/>
                <w:b/>
                <w:sz w:val="18"/>
                <w:szCs w:val="24"/>
              </w:rPr>
              <w:fldChar w:fldCharType="end"/>
            </w:r>
            <w:r>
              <w:rPr>
                <w:rFonts w:ascii="Times New Roman" w:hAnsi="Times New Roman" w:eastAsia="宋体" w:cs="Times New Roman"/>
                <w:b/>
                <w:sz w:val="18"/>
                <w:szCs w:val="24"/>
              </w:rPr>
              <w:t xml:space="preserve">   </w:t>
            </w:r>
            <w:r>
              <w:rPr>
                <w:rFonts w:hint="eastAsia" w:ascii="Times New Roman" w:hAnsi="Times New Roman" w:eastAsia="宋体" w:cs="Times New Roman"/>
                <w:b/>
                <w:sz w:val="18"/>
                <w:szCs w:val="24"/>
              </w:rPr>
              <w:t>技改后全厂水平衡</w:t>
            </w:r>
          </w:p>
          <w:p w14:paraId="47240241">
            <w:pPr>
              <w:adjustRightInd w:val="0"/>
              <w:snapToGrid w:val="0"/>
              <w:spacing w:line="360" w:lineRule="auto"/>
              <w:rPr>
                <w:rFonts w:ascii="Times New Roman" w:hAnsi="Times New Roman" w:eastAsia="宋体" w:cs="Times New Roman"/>
                <w:b/>
                <w:color w:val="000000" w:themeColor="text1"/>
                <w:sz w:val="24"/>
                <w:szCs w:val="24"/>
                <w:lang w:bidi="ar"/>
                <w14:textFill>
                  <w14:solidFill>
                    <w14:schemeClr w14:val="tx1"/>
                  </w14:solidFill>
                </w14:textFill>
              </w:rPr>
            </w:pPr>
            <w:r>
              <w:rPr>
                <w:rFonts w:ascii="Times New Roman" w:hAnsi="Times New Roman" w:eastAsia="宋体" w:cs="Times New Roman"/>
                <w:b/>
                <w:color w:val="000000" w:themeColor="text1"/>
                <w:sz w:val="24"/>
                <w:szCs w:val="24"/>
                <w:lang w:bidi="ar"/>
                <w14:textFill>
                  <w14:solidFill>
                    <w14:schemeClr w14:val="tx1"/>
                  </w14:solidFill>
                </w14:textFill>
              </w:rPr>
              <w:t>3、废水处理措施可行性分析</w:t>
            </w:r>
          </w:p>
          <w:p w14:paraId="3E34979D">
            <w:pPr>
              <w:adjustRightInd w:val="0"/>
              <w:snapToGrid w:val="0"/>
              <w:spacing w:line="360" w:lineRule="auto"/>
              <w:ind w:firstLine="480" w:firstLineChars="200"/>
              <w:rPr>
                <w:rFonts w:ascii="Times New Roman" w:hAnsi="Times New Roman" w:eastAsia="宋体" w:cs="Times New Roman"/>
                <w:bCs/>
                <w:color w:val="000000" w:themeColor="text1"/>
                <w:sz w:val="24"/>
                <w:szCs w:val="24"/>
                <w:lang w:bidi="ar"/>
                <w14:textFill>
                  <w14:solidFill>
                    <w14:schemeClr w14:val="tx1"/>
                  </w14:solidFill>
                </w14:textFill>
              </w:rPr>
            </w:pPr>
            <w:r>
              <w:rPr>
                <w:rFonts w:ascii="Times New Roman" w:hAnsi="Times New Roman" w:eastAsia="宋体" w:cs="Times New Roman"/>
                <w:bCs/>
                <w:color w:val="000000" w:themeColor="text1"/>
                <w:sz w:val="24"/>
                <w:szCs w:val="24"/>
                <w:lang w:bidi="ar"/>
                <w14:textFill>
                  <w14:solidFill>
                    <w14:schemeClr w14:val="tx1"/>
                  </w14:solidFill>
                </w14:textFill>
              </w:rPr>
              <w:t>本项目地处农村环境，用地周边无排水条件，现有厂区已建预处理池一个，处理能力为5.0m</w:t>
            </w:r>
            <w:r>
              <w:rPr>
                <w:rFonts w:ascii="Times New Roman" w:hAnsi="Times New Roman" w:eastAsia="宋体" w:cs="Times New Roman"/>
                <w:bCs/>
                <w:color w:val="000000" w:themeColor="text1"/>
                <w:sz w:val="24"/>
                <w:szCs w:val="24"/>
                <w:vertAlign w:val="superscript"/>
                <w:lang w:bidi="ar"/>
                <w14:textFill>
                  <w14:solidFill>
                    <w14:schemeClr w14:val="tx1"/>
                  </w14:solidFill>
                </w14:textFill>
              </w:rPr>
              <w:t>3</w:t>
            </w:r>
            <w:r>
              <w:rPr>
                <w:rFonts w:ascii="Times New Roman" w:hAnsi="Times New Roman" w:eastAsia="宋体" w:cs="Times New Roman"/>
                <w:bCs/>
                <w:color w:val="000000" w:themeColor="text1"/>
                <w:sz w:val="24"/>
                <w:szCs w:val="24"/>
                <w:lang w:bidi="ar"/>
                <w14:textFill>
                  <w14:solidFill>
                    <w14:schemeClr w14:val="tx1"/>
                  </w14:solidFill>
                </w14:textFill>
              </w:rPr>
              <w:t>/d，本项目不新增生活污水排放，现有预处理池基本能够满足项目生活废水处理要求，生活污水经处理后的可直接用作周边农田施肥，不外排。</w:t>
            </w:r>
          </w:p>
          <w:p w14:paraId="4B7D5AD7">
            <w:pPr>
              <w:adjustRightInd w:val="0"/>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lang w:bidi="ar"/>
                <w14:textFill>
                  <w14:solidFill>
                    <w14:schemeClr w14:val="tx1"/>
                  </w14:solidFill>
                </w14:textFill>
              </w:rPr>
              <w:t>三、噪声源强及防治措施</w:t>
            </w:r>
          </w:p>
          <w:p w14:paraId="2FC1A167">
            <w:pPr>
              <w:spacing w:line="360" w:lineRule="auto"/>
              <w:rPr>
                <w:rFonts w:ascii="Times New Roman" w:hAnsi="Times New Roman" w:eastAsia="宋体" w:cs="Times New Roman"/>
                <w:b/>
                <w:bCs/>
                <w:color w:val="000000" w:themeColor="text1"/>
                <w:sz w:val="24"/>
                <w:szCs w:val="24"/>
                <w:lang w:bidi="ar"/>
                <w14:textFill>
                  <w14:solidFill>
                    <w14:schemeClr w14:val="tx1"/>
                  </w14:solidFill>
                </w14:textFill>
              </w:rPr>
            </w:pPr>
            <w:r>
              <w:rPr>
                <w:rFonts w:ascii="Times New Roman" w:hAnsi="Times New Roman" w:eastAsia="宋体" w:cs="Times New Roman"/>
                <w:b/>
                <w:bCs/>
                <w:color w:val="000000" w:themeColor="text1"/>
                <w:sz w:val="24"/>
                <w:szCs w:val="24"/>
                <w:lang w:bidi="ar"/>
                <w14:textFill>
                  <w14:solidFill>
                    <w14:schemeClr w14:val="tx1"/>
                  </w14:solidFill>
                </w14:textFill>
              </w:rPr>
              <w:t>1、噪声源强</w:t>
            </w:r>
          </w:p>
          <w:p w14:paraId="104F861A">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lang w:bidi="ar"/>
                <w14:textFill>
                  <w14:solidFill>
                    <w14:schemeClr w14:val="tx1"/>
                  </w14:solidFill>
                </w14:textFill>
              </w:rPr>
              <w:t>本次技改不新增生产设备，因此无新增噪声源。</w:t>
            </w:r>
          </w:p>
          <w:p w14:paraId="6F999269">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lang w:bidi="ar"/>
                <w14:textFill>
                  <w14:solidFill>
                    <w14:schemeClr w14:val="tx1"/>
                  </w14:solidFill>
                </w14:textFill>
              </w:rPr>
              <w:t>项目营运过程主要噪声设备为颚式破碎机、粉碎机、双轴搅拌机、真空挤压机、切坯机、打包机、风机装载机、运输车辆等，源强在75~100</w:t>
            </w:r>
            <w:r>
              <w:rPr>
                <w:rFonts w:ascii="Times New Roman" w:hAnsi="Times New Roman" w:cs="Times New Roman"/>
                <w:color w:val="000000" w:themeColor="text1"/>
                <w14:textFill>
                  <w14:solidFill>
                    <w14:schemeClr w14:val="tx1"/>
                  </w14:solidFill>
                </w14:textFill>
              </w:rPr>
              <w:t xml:space="preserve"> </w:t>
            </w:r>
            <w:r>
              <w:rPr>
                <w:rFonts w:ascii="Times New Roman" w:hAnsi="Times New Roman" w:eastAsia="宋体" w:cs="Times New Roman"/>
                <w:color w:val="000000" w:themeColor="text1"/>
                <w:sz w:val="24"/>
                <w:szCs w:val="24"/>
                <w:lang w:bidi="ar"/>
                <w14:textFill>
                  <w14:solidFill>
                    <w14:schemeClr w14:val="tx1"/>
                  </w14:solidFill>
                </w14:textFill>
              </w:rPr>
              <w:t>dB(A)。</w:t>
            </w:r>
          </w:p>
          <w:p w14:paraId="3282ABEC">
            <w:pPr>
              <w:snapToGrid w:val="0"/>
              <w:spacing w:before="156" w:beforeLines="50" w:line="360" w:lineRule="auto"/>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2、治理措施</w:t>
            </w:r>
          </w:p>
          <w:p w14:paraId="2B3B7D10">
            <w:pPr>
              <w:snapToGrid w:val="0"/>
              <w:spacing w:line="360" w:lineRule="auto"/>
              <w:ind w:firstLine="48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本项目生产均在厂区内，产噪设备均采用低噪声环保型，同时合理布局并且安装减振垫。噪声源经房屋隔声后，源强可大大降低，对周边环境影响较小。为进一步减小噪声影响，对于上述噪声源拟采取以下措施：</w:t>
            </w:r>
          </w:p>
          <w:p w14:paraId="07407E41">
            <w:pPr>
              <w:snapToGrid w:val="0"/>
              <w:spacing w:line="360" w:lineRule="auto"/>
              <w:ind w:firstLine="48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①</w:t>
            </w:r>
            <w:r>
              <w:rPr>
                <w:rFonts w:ascii="Times New Roman" w:hAnsi="Times New Roman" w:eastAsia="宋体" w:cs="Times New Roman"/>
                <w:color w:val="000000" w:themeColor="text1"/>
                <w:sz w:val="24"/>
                <w:szCs w:val="24"/>
                <w14:textFill>
                  <w14:solidFill>
                    <w14:schemeClr w14:val="tx1"/>
                  </w14:solidFill>
                </w14:textFill>
              </w:rPr>
              <w:t>选用低噪声设备，在选型上使用国内外先进的低噪声设备；</w:t>
            </w:r>
          </w:p>
          <w:p w14:paraId="17F24021">
            <w:pPr>
              <w:snapToGrid w:val="0"/>
              <w:spacing w:line="360" w:lineRule="auto"/>
              <w:ind w:firstLine="48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②</w:t>
            </w:r>
            <w:r>
              <w:rPr>
                <w:rFonts w:ascii="Times New Roman" w:hAnsi="Times New Roman" w:eastAsia="宋体" w:cs="Times New Roman"/>
                <w:color w:val="000000" w:themeColor="text1"/>
                <w:sz w:val="24"/>
                <w:szCs w:val="24"/>
                <w14:textFill>
                  <w14:solidFill>
                    <w14:schemeClr w14:val="tx1"/>
                  </w14:solidFill>
                </w14:textFill>
              </w:rPr>
              <w:t>合理布置噪声源，将高噪声设备布设尽量远离厂界，充分利用距离衰减控制噪声对外界环境的影响；</w:t>
            </w:r>
          </w:p>
          <w:p w14:paraId="16FE2F41">
            <w:pPr>
              <w:snapToGrid w:val="0"/>
              <w:spacing w:line="360" w:lineRule="auto"/>
              <w:ind w:firstLine="48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③</w:t>
            </w:r>
            <w:r>
              <w:rPr>
                <w:rFonts w:ascii="Times New Roman" w:hAnsi="Times New Roman" w:eastAsia="宋体" w:cs="Times New Roman"/>
                <w:color w:val="000000" w:themeColor="text1"/>
                <w:sz w:val="24"/>
                <w:szCs w:val="24"/>
                <w14:textFill>
                  <w14:solidFill>
                    <w14:schemeClr w14:val="tx1"/>
                  </w14:solidFill>
                </w14:textFill>
              </w:rPr>
              <w:t>基座减振，高噪声设备在安装时采用台基、橡胶、弹簧、减震垫等措施减振；</w:t>
            </w:r>
          </w:p>
          <w:p w14:paraId="6285CDFF">
            <w:pPr>
              <w:snapToGrid w:val="0"/>
              <w:spacing w:line="360" w:lineRule="auto"/>
              <w:ind w:firstLine="48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④</w:t>
            </w:r>
            <w:r>
              <w:rPr>
                <w:rFonts w:ascii="Times New Roman" w:hAnsi="Times New Roman" w:eastAsia="宋体" w:cs="Times New Roman"/>
                <w:color w:val="000000" w:themeColor="text1"/>
                <w:sz w:val="24"/>
                <w:szCs w:val="24"/>
                <w14:textFill>
                  <w14:solidFill>
                    <w14:schemeClr w14:val="tx1"/>
                  </w14:solidFill>
                </w14:textFill>
              </w:rPr>
              <w:t>隔声消减，将噪声设备安装在封闭的房间内，并采用隔声效果较好的隔声门和隔声窗；</w:t>
            </w:r>
          </w:p>
          <w:p w14:paraId="4F259697">
            <w:pPr>
              <w:snapToGrid w:val="0"/>
              <w:spacing w:line="360" w:lineRule="auto"/>
              <w:ind w:firstLine="480"/>
              <w:rPr>
                <w:rFonts w:ascii="Times New Roman" w:hAnsi="Times New Roman" w:eastAsia="宋体" w:cs="Times New Roman"/>
                <w:bCs/>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⑤</w:t>
            </w:r>
            <w:r>
              <w:rPr>
                <w:rFonts w:ascii="Times New Roman" w:hAnsi="Times New Roman" w:eastAsia="宋体" w:cs="Times New Roman"/>
                <w:color w:val="000000" w:themeColor="text1"/>
                <w:sz w:val="24"/>
                <w:szCs w:val="24"/>
                <w14:textFill>
                  <w14:solidFill>
                    <w14:schemeClr w14:val="tx1"/>
                  </w14:solidFill>
                </w14:textFill>
              </w:rPr>
              <w:t>合理安排作业时间，矿区作业不在夜间（20:00~06:00）和午休时间（12:00~14:00）进行</w:t>
            </w:r>
            <w:r>
              <w:rPr>
                <w:rFonts w:ascii="Times New Roman" w:hAnsi="Times New Roman" w:eastAsia="宋体" w:cs="Times New Roman"/>
                <w:bCs/>
                <w:color w:val="000000" w:themeColor="text1"/>
                <w:sz w:val="24"/>
                <w:szCs w:val="24"/>
                <w14:textFill>
                  <w14:solidFill>
                    <w14:schemeClr w14:val="tx1"/>
                  </w14:solidFill>
                </w14:textFill>
              </w:rPr>
              <w:t>；</w:t>
            </w:r>
          </w:p>
          <w:p w14:paraId="3AFFFE23">
            <w:pPr>
              <w:snapToGrid w:val="0"/>
              <w:spacing w:line="360" w:lineRule="auto"/>
              <w:ind w:firstLine="480"/>
              <w:rPr>
                <w:rFonts w:ascii="Times New Roman" w:hAnsi="Times New Roman" w:eastAsia="宋体" w:cs="Times New Roman"/>
                <w:bCs/>
                <w:color w:val="000000" w:themeColor="text1"/>
                <w:sz w:val="24"/>
                <w:szCs w:val="24"/>
                <w14:textFill>
                  <w14:solidFill>
                    <w14:schemeClr w14:val="tx1"/>
                  </w14:solidFill>
                </w14:textFill>
              </w:rPr>
            </w:pPr>
            <w:r>
              <w:rPr>
                <w:rFonts w:hint="eastAsia" w:ascii="宋体" w:hAnsi="宋体" w:eastAsia="宋体" w:cs="宋体"/>
                <w:bCs/>
                <w:color w:val="000000" w:themeColor="text1"/>
                <w:sz w:val="24"/>
                <w:szCs w:val="24"/>
                <w14:textFill>
                  <w14:solidFill>
                    <w14:schemeClr w14:val="tx1"/>
                  </w14:solidFill>
                </w14:textFill>
              </w:rPr>
              <w:t>⑥</w:t>
            </w:r>
            <w:r>
              <w:rPr>
                <w:rFonts w:ascii="Times New Roman" w:hAnsi="Times New Roman" w:eastAsia="宋体" w:cs="Times New Roman"/>
                <w:bCs/>
                <w:color w:val="000000" w:themeColor="text1"/>
                <w:sz w:val="24"/>
                <w:szCs w:val="24"/>
                <w14:textFill>
                  <w14:solidFill>
                    <w14:schemeClr w14:val="tx1"/>
                  </w14:solidFill>
                </w14:textFill>
              </w:rPr>
              <w:t>加强运输车辆管理，限制车辆厂区内行驶速度不得超过15km/h，禁止鸣笛等。</w:t>
            </w:r>
          </w:p>
          <w:p w14:paraId="7DCD2891">
            <w:pPr>
              <w:pStyle w:val="2"/>
              <w:ind w:firstLine="492"/>
              <w:rPr>
                <w:rFonts w:ascii="Times New Roman" w:eastAsia="宋体" w:cs="Times New Roman"/>
              </w:rPr>
            </w:pPr>
            <w:r>
              <w:rPr>
                <w:rFonts w:hint="eastAsia" w:hAnsi="宋体" w:eastAsia="宋体" w:cs="宋体"/>
                <w:bCs/>
                <w:color w:val="000000" w:themeColor="text1"/>
                <w:szCs w:val="24"/>
                <w14:textFill>
                  <w14:solidFill>
                    <w14:schemeClr w14:val="tx1"/>
                  </w14:solidFill>
                </w14:textFill>
              </w:rPr>
              <w:t>⑦</w:t>
            </w:r>
            <w:r>
              <w:rPr>
                <w:rFonts w:ascii="Times New Roman" w:eastAsia="宋体" w:cs="Times New Roman"/>
                <w:bCs/>
                <w:color w:val="000000" w:themeColor="text1"/>
                <w:szCs w:val="24"/>
                <w14:textFill>
                  <w14:solidFill>
                    <w14:schemeClr w14:val="tx1"/>
                  </w14:solidFill>
                </w14:textFill>
              </w:rPr>
              <w:t>夜间（22:00-次日6:00）禁止场外原辅材料及产品运输。</w:t>
            </w:r>
          </w:p>
          <w:p w14:paraId="22C0B37F">
            <w:pPr>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3、厂界达标分析</w:t>
            </w:r>
          </w:p>
          <w:p w14:paraId="26342535">
            <w:pPr>
              <w:snapToGrid w:val="0"/>
              <w:spacing w:line="360" w:lineRule="auto"/>
              <w:ind w:firstLine="468" w:firstLineChars="195"/>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由于项目技改前后噪声源不发生变化，噪声产排放情况不发生明显变化。根据企业自主验收检测报告川国测检字(2021)第YS01160号，2021年1月14日、15日连续两天对厂界噪声检测结果，厂界噪声可达《工业企业厂界环境噪声排放标准》（GB12348-2008）中2类标准要求。</w:t>
            </w:r>
          </w:p>
          <w:p w14:paraId="5B1C33E0">
            <w:pPr>
              <w:snapToGrid w:val="0"/>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4、监测计划</w:t>
            </w:r>
          </w:p>
          <w:p w14:paraId="7C22F26C">
            <w:pPr>
              <w:adjustRightInd w:val="0"/>
              <w:snapToGrid w:val="0"/>
              <w:spacing w:line="360" w:lineRule="auto"/>
              <w:ind w:firstLine="422" w:firstLineChars="200"/>
              <w:jc w:val="center"/>
              <w:rPr>
                <w:rFonts w:ascii="Times New Roman" w:hAnsi="Times New Roman" w:eastAsia="宋体" w:cs="Times New Roman"/>
                <w:b/>
                <w:color w:val="000000" w:themeColor="text1"/>
                <w:szCs w:val="21"/>
                <w14:textFill>
                  <w14:solidFill>
                    <w14:schemeClr w14:val="tx1"/>
                  </w14:solidFill>
                </w14:textFill>
              </w:rPr>
            </w:pPr>
            <w:bookmarkStart w:id="34" w:name="_Ref140503737"/>
            <w:r>
              <w:rPr>
                <w:rFonts w:ascii="Times New Roman" w:hAnsi="Times New Roman" w:eastAsia="宋体" w:cs="Times New Roman"/>
                <w:b/>
                <w:bCs/>
                <w:color w:val="000000" w:themeColor="text1"/>
                <w:szCs w:val="21"/>
                <w14:textFill>
                  <w14:solidFill>
                    <w14:schemeClr w14:val="tx1"/>
                  </w14:solidFill>
                </w14:textFill>
              </w:rPr>
              <w:t xml:space="preserve">表4-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表4-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11</w:t>
            </w:r>
            <w:r>
              <w:rPr>
                <w:rFonts w:ascii="Times New Roman" w:hAnsi="Times New Roman" w:eastAsia="宋体" w:cs="Times New Roman"/>
                <w:b/>
                <w:bCs/>
                <w:color w:val="000000" w:themeColor="text1"/>
                <w:szCs w:val="21"/>
                <w14:textFill>
                  <w14:solidFill>
                    <w14:schemeClr w14:val="tx1"/>
                  </w14:solidFill>
                </w14:textFill>
              </w:rPr>
              <w:fldChar w:fldCharType="end"/>
            </w:r>
            <w:bookmarkEnd w:id="34"/>
            <w:r>
              <w:rPr>
                <w:rFonts w:ascii="Times New Roman" w:hAnsi="Times New Roman" w:eastAsia="宋体" w:cs="Times New Roman"/>
                <w:b/>
                <w:bCs/>
                <w:color w:val="000000" w:themeColor="text1"/>
                <w:szCs w:val="21"/>
                <w14:textFill>
                  <w14:solidFill>
                    <w14:schemeClr w14:val="tx1"/>
                  </w14:solidFill>
                </w14:textFill>
              </w:rPr>
              <w:t xml:space="preserve">   </w:t>
            </w:r>
            <w:r>
              <w:rPr>
                <w:rFonts w:ascii="Times New Roman" w:hAnsi="Times New Roman" w:eastAsia="宋体" w:cs="Times New Roman"/>
                <w:b/>
                <w:color w:val="000000" w:themeColor="text1"/>
                <w:szCs w:val="21"/>
                <w14:textFill>
                  <w14:solidFill>
                    <w14:schemeClr w14:val="tx1"/>
                  </w14:solidFill>
                </w14:textFill>
              </w:rPr>
              <w:t>噪声监测计划表</w:t>
            </w:r>
          </w:p>
          <w:tbl>
            <w:tblPr>
              <w:tblStyle w:val="24"/>
              <w:tblW w:w="494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93"/>
              <w:gridCol w:w="1650"/>
              <w:gridCol w:w="1538"/>
              <w:gridCol w:w="693"/>
              <w:gridCol w:w="3418"/>
            </w:tblGrid>
            <w:tr w14:paraId="7E0892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41" w:type="dxa"/>
                  <w:vAlign w:val="center"/>
                </w:tcPr>
                <w:p w14:paraId="5765E8EB">
                  <w:pPr>
                    <w:snapToGrid w:val="0"/>
                    <w:jc w:val="center"/>
                    <w:rPr>
                      <w:rFonts w:ascii="Times New Roman" w:hAnsi="Times New Roman" w:eastAsia="宋体" w:cs="Times New Roman"/>
                      <w:b/>
                      <w:bCs/>
                      <w:color w:val="000000" w:themeColor="text1"/>
                      <w:szCs w:val="21"/>
                      <w14:textFill>
                        <w14:solidFill>
                          <w14:schemeClr w14:val="tx1"/>
                        </w14:solidFill>
                      </w14:textFill>
                    </w:rPr>
                  </w:pPr>
                  <w:bookmarkStart w:id="35" w:name="_Toc480374977"/>
                  <w:r>
                    <w:rPr>
                      <w:rFonts w:ascii="Times New Roman" w:hAnsi="Times New Roman" w:eastAsia="宋体" w:cs="Times New Roman"/>
                      <w:b/>
                      <w:bCs/>
                      <w:color w:val="000000" w:themeColor="text1"/>
                      <w:szCs w:val="21"/>
                      <w14:textFill>
                        <w14:solidFill>
                          <w14:schemeClr w14:val="tx1"/>
                        </w14:solidFill>
                      </w14:textFill>
                    </w:rPr>
                    <w:t>监测项目</w:t>
                  </w:r>
                </w:p>
              </w:tc>
              <w:tc>
                <w:tcPr>
                  <w:tcW w:w="1804" w:type="dxa"/>
                  <w:vAlign w:val="center"/>
                </w:tcPr>
                <w:p w14:paraId="5A70E4E2">
                  <w:pPr>
                    <w:snapToGrid w:val="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监测点位</w:t>
                  </w:r>
                </w:p>
              </w:tc>
              <w:tc>
                <w:tcPr>
                  <w:tcW w:w="1703" w:type="dxa"/>
                  <w:vAlign w:val="center"/>
                </w:tcPr>
                <w:p w14:paraId="73DE6D28">
                  <w:pPr>
                    <w:snapToGrid w:val="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监测指标</w:t>
                  </w:r>
                </w:p>
              </w:tc>
              <w:tc>
                <w:tcPr>
                  <w:tcW w:w="742" w:type="dxa"/>
                  <w:vAlign w:val="center"/>
                </w:tcPr>
                <w:p w14:paraId="3E0CE129">
                  <w:pPr>
                    <w:snapToGrid w:val="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监测频次</w:t>
                  </w:r>
                </w:p>
              </w:tc>
              <w:tc>
                <w:tcPr>
                  <w:tcW w:w="3687" w:type="dxa"/>
                  <w:vAlign w:val="center"/>
                </w:tcPr>
                <w:p w14:paraId="0BDABBCA">
                  <w:pPr>
                    <w:snapToGrid w:val="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执行排放标准</w:t>
                  </w:r>
                </w:p>
              </w:tc>
            </w:tr>
            <w:tr w14:paraId="32691B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41" w:type="dxa"/>
                  <w:vAlign w:val="center"/>
                </w:tcPr>
                <w:p w14:paraId="68FC48A2">
                  <w:pPr>
                    <w:snapToGrid w:val="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噪声</w:t>
                  </w:r>
                </w:p>
              </w:tc>
              <w:tc>
                <w:tcPr>
                  <w:tcW w:w="1804" w:type="dxa"/>
                  <w:vAlign w:val="center"/>
                </w:tcPr>
                <w:p w14:paraId="69F4578D">
                  <w:pPr>
                    <w:snapToGrid w:val="0"/>
                    <w:ind w:left="97" w:right="76"/>
                    <w:jc w:val="center"/>
                    <w:rPr>
                      <w:rFonts w:ascii="Times New Roman" w:hAnsi="Times New Roman" w:eastAsia="宋体" w:cs="Times New Roman"/>
                      <w:bCs/>
                      <w:color w:val="000000" w:themeColor="text1"/>
                      <w:szCs w:val="21"/>
                      <w14:textFill>
                        <w14:solidFill>
                          <w14:schemeClr w14:val="tx1"/>
                        </w14:solidFill>
                      </w14:textFill>
                    </w:rPr>
                  </w:pPr>
                  <w:r>
                    <w:rPr>
                      <w:rFonts w:ascii="Times New Roman" w:hAnsi="Times New Roman" w:eastAsia="宋体" w:cs="Times New Roman"/>
                      <w:bCs/>
                      <w:color w:val="000000" w:themeColor="text1"/>
                      <w:szCs w:val="21"/>
                      <w14:textFill>
                        <w14:solidFill>
                          <w14:schemeClr w14:val="tx1"/>
                        </w14:solidFill>
                      </w14:textFill>
                    </w:rPr>
                    <w:t>东、西、南、北厂界外1m</w:t>
                  </w:r>
                </w:p>
              </w:tc>
              <w:tc>
                <w:tcPr>
                  <w:tcW w:w="1703" w:type="dxa"/>
                  <w:vAlign w:val="center"/>
                </w:tcPr>
                <w:p w14:paraId="15B1D31A">
                  <w:pPr>
                    <w:snapToGrid w:val="0"/>
                    <w:jc w:val="center"/>
                    <w:rPr>
                      <w:rFonts w:ascii="Times New Roman" w:hAnsi="Times New Roman" w:eastAsia="宋体" w:cs="Times New Roman"/>
                      <w:bCs/>
                      <w:color w:val="000000" w:themeColor="text1"/>
                      <w:szCs w:val="21"/>
                      <w14:textFill>
                        <w14:solidFill>
                          <w14:schemeClr w14:val="tx1"/>
                        </w14:solidFill>
                      </w14:textFill>
                    </w:rPr>
                  </w:pPr>
                  <w:r>
                    <w:rPr>
                      <w:rFonts w:ascii="Times New Roman" w:hAnsi="Times New Roman" w:eastAsia="宋体" w:cs="Times New Roman"/>
                      <w:bCs/>
                      <w:color w:val="000000" w:themeColor="text1"/>
                      <w:szCs w:val="21"/>
                      <w14:textFill>
                        <w14:solidFill>
                          <w14:schemeClr w14:val="tx1"/>
                        </w14:solidFill>
                      </w14:textFill>
                    </w:rPr>
                    <w:t>昼间、夜间等效连续A声级</w:t>
                  </w:r>
                </w:p>
              </w:tc>
              <w:tc>
                <w:tcPr>
                  <w:tcW w:w="742" w:type="dxa"/>
                  <w:vAlign w:val="center"/>
                </w:tcPr>
                <w:p w14:paraId="2D0C1BB5">
                  <w:pPr>
                    <w:snapToGrid w:val="0"/>
                    <w:jc w:val="center"/>
                    <w:rPr>
                      <w:rFonts w:ascii="Times New Roman" w:hAnsi="Times New Roman" w:eastAsia="宋体" w:cs="Times New Roman"/>
                      <w:bCs/>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1次/季度</w:t>
                  </w:r>
                </w:p>
              </w:tc>
              <w:tc>
                <w:tcPr>
                  <w:tcW w:w="3687" w:type="dxa"/>
                  <w:vAlign w:val="center"/>
                </w:tcPr>
                <w:p w14:paraId="0EC0FF4C">
                  <w:pPr>
                    <w:snapToGrid w:val="0"/>
                    <w:jc w:val="center"/>
                    <w:rPr>
                      <w:rFonts w:ascii="Times New Roman" w:hAnsi="Times New Roman" w:eastAsia="宋体" w:cs="Times New Roman"/>
                      <w:bCs/>
                      <w:color w:val="000000" w:themeColor="text1"/>
                      <w:szCs w:val="21"/>
                      <w14:textFill>
                        <w14:solidFill>
                          <w14:schemeClr w14:val="tx1"/>
                        </w14:solidFill>
                      </w14:textFill>
                    </w:rPr>
                  </w:pPr>
                  <w:r>
                    <w:rPr>
                      <w:rFonts w:ascii="Times New Roman" w:hAnsi="Times New Roman" w:eastAsia="宋体" w:cs="Times New Roman"/>
                      <w:bCs/>
                      <w:color w:val="000000" w:themeColor="text1"/>
                      <w:szCs w:val="21"/>
                      <w14:textFill>
                        <w14:solidFill>
                          <w14:schemeClr w14:val="tx1"/>
                        </w14:solidFill>
                      </w14:textFill>
                    </w:rPr>
                    <w:t>《工业企业厂界环境噪声排放标准》（GB12348-2008）2类标准</w:t>
                  </w:r>
                </w:p>
              </w:tc>
            </w:tr>
            <w:bookmarkEnd w:id="35"/>
          </w:tbl>
          <w:p w14:paraId="2CDE2A17">
            <w:pPr>
              <w:snapToGrid w:val="0"/>
              <w:spacing w:line="360" w:lineRule="auto"/>
              <w:ind w:firstLine="470" w:firstLineChars="195"/>
              <w:rPr>
                <w:rFonts w:ascii="Times New Roman" w:hAnsi="Times New Roman" w:eastAsia="宋体" w:cs="Times New Roman"/>
                <w:b/>
                <w:bCs/>
                <w:color w:val="000000" w:themeColor="text1"/>
                <w:sz w:val="24"/>
                <w:szCs w:val="24"/>
                <w14:textFill>
                  <w14:solidFill>
                    <w14:schemeClr w14:val="tx1"/>
                  </w14:solidFill>
                </w14:textFill>
              </w:rPr>
            </w:pPr>
          </w:p>
          <w:p w14:paraId="2F6DC751">
            <w:pPr>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四、固废产生及处置措施</w:t>
            </w:r>
          </w:p>
          <w:p w14:paraId="1E03A393">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本次技改不改变厂区制砖的主体工艺，仅用水基钻井废弃物、无机工业污泥等一般工业固废替代部分页岩，因此产生的固废与现有项目基本一致；同时，项目不涉及新增劳动定员，因此不新增工作人员生活垃圾。</w:t>
            </w:r>
          </w:p>
          <w:p w14:paraId="4767A7C7">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lang w:bidi="ar"/>
                <w14:textFill>
                  <w14:solidFill>
                    <w14:schemeClr w14:val="tx1"/>
                  </w14:solidFill>
                </w14:textFill>
              </w:rPr>
              <w:t>本项目运营期间的固体废物产生量以及处置措施详见下表。</w:t>
            </w:r>
          </w:p>
          <w:p w14:paraId="0E68E370">
            <w:pPr>
              <w:adjustRightInd w:val="0"/>
              <w:snapToGrid w:val="0"/>
              <w:spacing w:line="360" w:lineRule="auto"/>
              <w:ind w:firstLine="48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 xml:space="preserve">表4-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表4-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12</w:t>
            </w:r>
            <w:r>
              <w:rPr>
                <w:rFonts w:ascii="Times New Roman" w:hAnsi="Times New Roman" w:eastAsia="宋体" w:cs="Times New Roman"/>
                <w:b/>
                <w:bCs/>
                <w:color w:val="000000" w:themeColor="text1"/>
                <w:szCs w:val="21"/>
                <w14:textFill>
                  <w14:solidFill>
                    <w14:schemeClr w14:val="tx1"/>
                  </w14:solidFill>
                </w14:textFill>
              </w:rPr>
              <w:fldChar w:fldCharType="end"/>
            </w:r>
            <w:r>
              <w:rPr>
                <w:rFonts w:ascii="Times New Roman" w:hAnsi="Times New Roman" w:eastAsia="宋体" w:cs="Times New Roman"/>
                <w:b/>
                <w:bCs/>
                <w:color w:val="000000" w:themeColor="text1"/>
                <w:szCs w:val="21"/>
                <w14:textFill>
                  <w14:solidFill>
                    <w14:schemeClr w14:val="tx1"/>
                  </w14:solidFill>
                </w14:textFill>
              </w:rPr>
              <w:t xml:space="preserve">   技改后全厂固废产生及治理情况一览表</w:t>
            </w:r>
          </w:p>
          <w:tbl>
            <w:tblPr>
              <w:tblStyle w:val="24"/>
              <w:tblW w:w="849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31"/>
              <w:gridCol w:w="1874"/>
              <w:gridCol w:w="1121"/>
              <w:gridCol w:w="1419"/>
              <w:gridCol w:w="3350"/>
            </w:tblGrid>
            <w:tr w14:paraId="502422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30" w:type="pct"/>
                  <w:vAlign w:val="center"/>
                </w:tcPr>
                <w:p w14:paraId="54068BA5">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序号</w:t>
                  </w:r>
                </w:p>
              </w:tc>
              <w:tc>
                <w:tcPr>
                  <w:tcW w:w="1103" w:type="pct"/>
                  <w:vAlign w:val="center"/>
                </w:tcPr>
                <w:p w14:paraId="46CBB398">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名称</w:t>
                  </w:r>
                </w:p>
              </w:tc>
              <w:tc>
                <w:tcPr>
                  <w:tcW w:w="660" w:type="pct"/>
                  <w:vAlign w:val="center"/>
                </w:tcPr>
                <w:p w14:paraId="749E04DA">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属性</w:t>
                  </w:r>
                </w:p>
              </w:tc>
              <w:tc>
                <w:tcPr>
                  <w:tcW w:w="835" w:type="pct"/>
                  <w:vAlign w:val="center"/>
                </w:tcPr>
                <w:p w14:paraId="69A73E01">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产生量（t/a）</w:t>
                  </w:r>
                </w:p>
              </w:tc>
              <w:tc>
                <w:tcPr>
                  <w:tcW w:w="1972" w:type="pct"/>
                  <w:vAlign w:val="center"/>
                </w:tcPr>
                <w:p w14:paraId="3454A82C">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处置方式</w:t>
                  </w:r>
                </w:p>
              </w:tc>
            </w:tr>
            <w:tr w14:paraId="55C60A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30" w:type="pct"/>
                  <w:vAlign w:val="center"/>
                </w:tcPr>
                <w:p w14:paraId="5DDDE918">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1</w:t>
                  </w:r>
                </w:p>
              </w:tc>
              <w:tc>
                <w:tcPr>
                  <w:tcW w:w="1103" w:type="pct"/>
                  <w:vAlign w:val="center"/>
                </w:tcPr>
                <w:p w14:paraId="23F8EBCC">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挤出机边角料和废砖坯</w:t>
                  </w:r>
                </w:p>
              </w:tc>
              <w:tc>
                <w:tcPr>
                  <w:tcW w:w="660" w:type="pct"/>
                  <w:vMerge w:val="restart"/>
                  <w:vAlign w:val="center"/>
                </w:tcPr>
                <w:p w14:paraId="3FF6743F">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一般固废</w:t>
                  </w:r>
                </w:p>
              </w:tc>
              <w:tc>
                <w:tcPr>
                  <w:tcW w:w="835" w:type="pct"/>
                  <w:vAlign w:val="center"/>
                </w:tcPr>
                <w:p w14:paraId="6EF7009F">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7840</w:t>
                  </w:r>
                </w:p>
              </w:tc>
              <w:tc>
                <w:tcPr>
                  <w:tcW w:w="1972" w:type="pct"/>
                  <w:vAlign w:val="center"/>
                </w:tcPr>
                <w:p w14:paraId="23EC6094">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作为原料回用于生产</w:t>
                  </w:r>
                </w:p>
              </w:tc>
            </w:tr>
            <w:tr w14:paraId="23B771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30" w:type="pct"/>
                  <w:vAlign w:val="center"/>
                </w:tcPr>
                <w:p w14:paraId="44DB0B0C">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2</w:t>
                  </w:r>
                </w:p>
              </w:tc>
              <w:tc>
                <w:tcPr>
                  <w:tcW w:w="1103" w:type="pct"/>
                  <w:vAlign w:val="center"/>
                </w:tcPr>
                <w:p w14:paraId="4EB24048">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生产废砖</w:t>
                  </w:r>
                </w:p>
              </w:tc>
              <w:tc>
                <w:tcPr>
                  <w:tcW w:w="660" w:type="pct"/>
                  <w:vMerge w:val="continue"/>
                  <w:vAlign w:val="center"/>
                </w:tcPr>
                <w:p w14:paraId="6ECFFC18">
                  <w:pPr>
                    <w:jc w:val="center"/>
                    <w:rPr>
                      <w:rFonts w:ascii="Times New Roman" w:hAnsi="Times New Roman" w:eastAsia="Times New Roman" w:cs="Times New Roman"/>
                      <w:color w:val="000000" w:themeColor="text1"/>
                      <w:kern w:val="0"/>
                      <w:szCs w:val="21"/>
                      <w14:textFill>
                        <w14:solidFill>
                          <w14:schemeClr w14:val="tx1"/>
                        </w14:solidFill>
                      </w14:textFill>
                    </w:rPr>
                  </w:pPr>
                </w:p>
              </w:tc>
              <w:tc>
                <w:tcPr>
                  <w:tcW w:w="835" w:type="pct"/>
                  <w:vAlign w:val="center"/>
                </w:tcPr>
                <w:p w14:paraId="1F1A875F">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980</w:t>
                  </w:r>
                </w:p>
              </w:tc>
              <w:tc>
                <w:tcPr>
                  <w:tcW w:w="1972" w:type="pct"/>
                  <w:vAlign w:val="center"/>
                </w:tcPr>
                <w:p w14:paraId="2903B277">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作为原料回用于生产</w:t>
                  </w:r>
                </w:p>
              </w:tc>
            </w:tr>
            <w:tr w14:paraId="68D32A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30" w:type="pct"/>
                  <w:vAlign w:val="center"/>
                </w:tcPr>
                <w:p w14:paraId="09F2930F">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3</w:t>
                  </w:r>
                </w:p>
              </w:tc>
              <w:tc>
                <w:tcPr>
                  <w:tcW w:w="1103" w:type="pct"/>
                  <w:vAlign w:val="center"/>
                </w:tcPr>
                <w:p w14:paraId="34B81B47">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脱硫除尘石膏</w:t>
                  </w:r>
                </w:p>
              </w:tc>
              <w:tc>
                <w:tcPr>
                  <w:tcW w:w="660" w:type="pct"/>
                  <w:vMerge w:val="continue"/>
                  <w:vAlign w:val="center"/>
                </w:tcPr>
                <w:p w14:paraId="6C25935B">
                  <w:pPr>
                    <w:jc w:val="center"/>
                    <w:rPr>
                      <w:rFonts w:ascii="Times New Roman" w:hAnsi="Times New Roman" w:eastAsia="Times New Roman" w:cs="Times New Roman"/>
                      <w:color w:val="000000" w:themeColor="text1"/>
                      <w:kern w:val="0"/>
                      <w:szCs w:val="21"/>
                      <w14:textFill>
                        <w14:solidFill>
                          <w14:schemeClr w14:val="tx1"/>
                        </w14:solidFill>
                      </w14:textFill>
                    </w:rPr>
                  </w:pPr>
                </w:p>
              </w:tc>
              <w:tc>
                <w:tcPr>
                  <w:tcW w:w="835" w:type="pct"/>
                  <w:vAlign w:val="center"/>
                </w:tcPr>
                <w:p w14:paraId="3C983A5E">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63（干基）</w:t>
                  </w:r>
                </w:p>
              </w:tc>
              <w:tc>
                <w:tcPr>
                  <w:tcW w:w="1972" w:type="pct"/>
                  <w:vAlign w:val="center"/>
                </w:tcPr>
                <w:p w14:paraId="62B12FD4">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作为原料回用于生产</w:t>
                  </w:r>
                </w:p>
              </w:tc>
            </w:tr>
            <w:tr w14:paraId="5C417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30" w:type="pct"/>
                  <w:vAlign w:val="center"/>
                </w:tcPr>
                <w:p w14:paraId="7A1D1CDF">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4</w:t>
                  </w:r>
                </w:p>
              </w:tc>
              <w:tc>
                <w:tcPr>
                  <w:tcW w:w="1103" w:type="pct"/>
                  <w:vAlign w:val="center"/>
                </w:tcPr>
                <w:p w14:paraId="4B9175FB">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煤渣</w:t>
                  </w:r>
                </w:p>
              </w:tc>
              <w:tc>
                <w:tcPr>
                  <w:tcW w:w="660" w:type="pct"/>
                  <w:vMerge w:val="continue"/>
                  <w:vAlign w:val="center"/>
                </w:tcPr>
                <w:p w14:paraId="179AED13">
                  <w:pPr>
                    <w:jc w:val="center"/>
                    <w:rPr>
                      <w:rFonts w:ascii="Times New Roman" w:hAnsi="Times New Roman" w:eastAsia="Times New Roman" w:cs="Times New Roman"/>
                      <w:color w:val="000000" w:themeColor="text1"/>
                      <w:kern w:val="0"/>
                      <w:szCs w:val="21"/>
                      <w14:textFill>
                        <w14:solidFill>
                          <w14:schemeClr w14:val="tx1"/>
                        </w14:solidFill>
                      </w14:textFill>
                    </w:rPr>
                  </w:pPr>
                </w:p>
              </w:tc>
              <w:tc>
                <w:tcPr>
                  <w:tcW w:w="835" w:type="pct"/>
                  <w:vAlign w:val="center"/>
                </w:tcPr>
                <w:p w14:paraId="585BDFC8">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4</w:t>
                  </w:r>
                </w:p>
              </w:tc>
              <w:tc>
                <w:tcPr>
                  <w:tcW w:w="1972" w:type="pct"/>
                  <w:vAlign w:val="center"/>
                </w:tcPr>
                <w:p w14:paraId="7AE0287C">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作为原料回用于生产</w:t>
                  </w:r>
                </w:p>
              </w:tc>
            </w:tr>
            <w:tr w14:paraId="0F5EA7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30" w:type="pct"/>
                  <w:vAlign w:val="center"/>
                </w:tcPr>
                <w:p w14:paraId="7F081A3E">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5</w:t>
                  </w:r>
                </w:p>
              </w:tc>
              <w:tc>
                <w:tcPr>
                  <w:tcW w:w="1103" w:type="pct"/>
                  <w:vAlign w:val="center"/>
                </w:tcPr>
                <w:p w14:paraId="2FC30D82">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布袋除尘器除灰尘</w:t>
                  </w:r>
                </w:p>
              </w:tc>
              <w:tc>
                <w:tcPr>
                  <w:tcW w:w="660" w:type="pct"/>
                  <w:vMerge w:val="continue"/>
                  <w:vAlign w:val="center"/>
                </w:tcPr>
                <w:p w14:paraId="1504C28F">
                  <w:pPr>
                    <w:jc w:val="center"/>
                    <w:rPr>
                      <w:rFonts w:ascii="Times New Roman" w:hAnsi="Times New Roman" w:eastAsia="Times New Roman" w:cs="Times New Roman"/>
                      <w:color w:val="000000" w:themeColor="text1"/>
                      <w:kern w:val="0"/>
                      <w:szCs w:val="21"/>
                      <w14:textFill>
                        <w14:solidFill>
                          <w14:schemeClr w14:val="tx1"/>
                        </w14:solidFill>
                      </w14:textFill>
                    </w:rPr>
                  </w:pPr>
                </w:p>
              </w:tc>
              <w:tc>
                <w:tcPr>
                  <w:tcW w:w="835" w:type="pct"/>
                  <w:vAlign w:val="center"/>
                </w:tcPr>
                <w:p w14:paraId="0A7BB107">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26.17</w:t>
                  </w:r>
                </w:p>
              </w:tc>
              <w:tc>
                <w:tcPr>
                  <w:tcW w:w="1972" w:type="pct"/>
                  <w:vAlign w:val="center"/>
                </w:tcPr>
                <w:p w14:paraId="274AD6AF">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作为原料回用于生产</w:t>
                  </w:r>
                </w:p>
              </w:tc>
            </w:tr>
            <w:tr w14:paraId="0304AD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30" w:type="pct"/>
                  <w:vAlign w:val="center"/>
                </w:tcPr>
                <w:p w14:paraId="54F85F81">
                  <w:pPr>
                    <w:jc w:val="center"/>
                    <w:rPr>
                      <w:rFonts w:ascii="Times New Roman" w:hAnsi="Times New Roman" w:eastAsia="宋体" w:cs="Times New Roman"/>
                      <w:color w:val="000000" w:themeColor="text1"/>
                      <w:kern w:val="0"/>
                      <w:szCs w:val="21"/>
                      <w:lang w:bidi="ar"/>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6</w:t>
                  </w:r>
                </w:p>
              </w:tc>
              <w:tc>
                <w:tcPr>
                  <w:tcW w:w="1103" w:type="pct"/>
                  <w:vAlign w:val="center"/>
                </w:tcPr>
                <w:p w14:paraId="6FB086E6">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生活垃圾</w:t>
                  </w:r>
                </w:p>
              </w:tc>
              <w:tc>
                <w:tcPr>
                  <w:tcW w:w="660" w:type="pct"/>
                  <w:vMerge w:val="continue"/>
                  <w:vAlign w:val="center"/>
                </w:tcPr>
                <w:p w14:paraId="0563EB7B">
                  <w:pPr>
                    <w:jc w:val="center"/>
                    <w:rPr>
                      <w:rFonts w:ascii="Times New Roman" w:hAnsi="Times New Roman" w:eastAsia="宋体" w:cs="Times New Roman"/>
                      <w:color w:val="000000" w:themeColor="text1"/>
                      <w:kern w:val="0"/>
                      <w:szCs w:val="21"/>
                      <w14:textFill>
                        <w14:solidFill>
                          <w14:schemeClr w14:val="tx1"/>
                        </w14:solidFill>
                      </w14:textFill>
                    </w:rPr>
                  </w:pPr>
                </w:p>
              </w:tc>
              <w:tc>
                <w:tcPr>
                  <w:tcW w:w="835" w:type="pct"/>
                  <w:vAlign w:val="center"/>
                </w:tcPr>
                <w:p w14:paraId="107E75A6">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3</w:t>
                  </w:r>
                </w:p>
              </w:tc>
              <w:tc>
                <w:tcPr>
                  <w:tcW w:w="1972" w:type="pct"/>
                  <w:vAlign w:val="center"/>
                </w:tcPr>
                <w:p w14:paraId="68AB2053">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集中收集后，交由环卫部门清运处理</w:t>
                  </w:r>
                </w:p>
              </w:tc>
            </w:tr>
            <w:tr w14:paraId="3FDC19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30" w:type="pct"/>
                  <w:vAlign w:val="center"/>
                </w:tcPr>
                <w:p w14:paraId="2B563B58">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7</w:t>
                  </w:r>
                </w:p>
              </w:tc>
              <w:tc>
                <w:tcPr>
                  <w:tcW w:w="1103" w:type="pct"/>
                  <w:vAlign w:val="center"/>
                </w:tcPr>
                <w:p w14:paraId="6D27EB62">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废润滑油、废机油</w:t>
                  </w:r>
                </w:p>
              </w:tc>
              <w:tc>
                <w:tcPr>
                  <w:tcW w:w="660" w:type="pct"/>
                  <w:vMerge w:val="restart"/>
                  <w:vAlign w:val="center"/>
                </w:tcPr>
                <w:p w14:paraId="43150BBF">
                  <w:pPr>
                    <w:jc w:val="center"/>
                    <w:rPr>
                      <w:rFonts w:ascii="Times New Roman" w:hAnsi="Times New Roman" w:eastAsia="宋体" w:cs="Times New Roman"/>
                      <w:color w:val="000000" w:themeColor="text1"/>
                      <w:kern w:val="0"/>
                      <w:szCs w:val="21"/>
                      <w:lang w:bidi="ar"/>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危险废物</w:t>
                  </w:r>
                </w:p>
              </w:tc>
              <w:tc>
                <w:tcPr>
                  <w:tcW w:w="835" w:type="pct"/>
                  <w:vAlign w:val="center"/>
                </w:tcPr>
                <w:p w14:paraId="5821E0CC">
                  <w:pPr>
                    <w:jc w:val="center"/>
                    <w:rPr>
                      <w:rFonts w:ascii="Times New Roman" w:hAnsi="Times New Roman" w:eastAsia="宋体" w:cs="Times New Roman"/>
                      <w:color w:val="000000" w:themeColor="text1"/>
                      <w:kern w:val="0"/>
                      <w:szCs w:val="21"/>
                      <w:lang w:bidi="ar"/>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0.3</w:t>
                  </w:r>
                </w:p>
              </w:tc>
              <w:tc>
                <w:tcPr>
                  <w:tcW w:w="1972" w:type="pct"/>
                  <w:vMerge w:val="restart"/>
                  <w:vAlign w:val="center"/>
                </w:tcPr>
                <w:p w14:paraId="12F1CDC4">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单独设置收集桶集中收集暂存，委托具有相应危废资质的单位进行处理</w:t>
                  </w:r>
                </w:p>
              </w:tc>
            </w:tr>
            <w:tr w14:paraId="44F4B9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30" w:type="pct"/>
                  <w:vAlign w:val="center"/>
                </w:tcPr>
                <w:p w14:paraId="7129D089">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8</w:t>
                  </w:r>
                </w:p>
              </w:tc>
              <w:tc>
                <w:tcPr>
                  <w:tcW w:w="1103" w:type="pct"/>
                  <w:vAlign w:val="center"/>
                </w:tcPr>
                <w:p w14:paraId="6D5F2EEE">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废油桶</w:t>
                  </w:r>
                </w:p>
              </w:tc>
              <w:tc>
                <w:tcPr>
                  <w:tcW w:w="660" w:type="pct"/>
                  <w:vMerge w:val="continue"/>
                  <w:vAlign w:val="center"/>
                </w:tcPr>
                <w:p w14:paraId="34E51DAA">
                  <w:pPr>
                    <w:jc w:val="center"/>
                    <w:rPr>
                      <w:rFonts w:ascii="Times New Roman" w:hAnsi="Times New Roman" w:eastAsia="宋体" w:cs="Times New Roman"/>
                      <w:color w:val="000000" w:themeColor="text1"/>
                      <w:kern w:val="0"/>
                      <w:szCs w:val="21"/>
                      <w14:textFill>
                        <w14:solidFill>
                          <w14:schemeClr w14:val="tx1"/>
                        </w14:solidFill>
                      </w14:textFill>
                    </w:rPr>
                  </w:pPr>
                </w:p>
              </w:tc>
              <w:tc>
                <w:tcPr>
                  <w:tcW w:w="835" w:type="pct"/>
                  <w:vAlign w:val="center"/>
                </w:tcPr>
                <w:p w14:paraId="18E176C0">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Times New Roman" w:cs="Times New Roman"/>
                      <w:color w:val="000000" w:themeColor="text1"/>
                      <w:kern w:val="0"/>
                      <w:szCs w:val="21"/>
                      <w14:textFill>
                        <w14:solidFill>
                          <w14:schemeClr w14:val="tx1"/>
                        </w14:solidFill>
                      </w14:textFill>
                    </w:rPr>
                    <w:t>0.05t/a</w:t>
                  </w:r>
                </w:p>
              </w:tc>
              <w:tc>
                <w:tcPr>
                  <w:tcW w:w="1972" w:type="pct"/>
                  <w:vMerge w:val="continue"/>
                  <w:vAlign w:val="center"/>
                </w:tcPr>
                <w:p w14:paraId="6ACF0E2A">
                  <w:pPr>
                    <w:jc w:val="center"/>
                    <w:rPr>
                      <w:rFonts w:ascii="Times New Roman" w:hAnsi="Times New Roman" w:eastAsia="宋体" w:cs="Times New Roman"/>
                      <w:color w:val="000000" w:themeColor="text1"/>
                      <w:kern w:val="0"/>
                      <w:szCs w:val="21"/>
                      <w14:textFill>
                        <w14:solidFill>
                          <w14:schemeClr w14:val="tx1"/>
                        </w14:solidFill>
                      </w14:textFill>
                    </w:rPr>
                  </w:pPr>
                </w:p>
              </w:tc>
            </w:tr>
            <w:tr w14:paraId="5A4155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30" w:type="pct"/>
                  <w:vAlign w:val="center"/>
                </w:tcPr>
                <w:p w14:paraId="61B5F5B8">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9</w:t>
                  </w:r>
                </w:p>
              </w:tc>
              <w:tc>
                <w:tcPr>
                  <w:tcW w:w="1103" w:type="pct"/>
                  <w:vAlign w:val="center"/>
                </w:tcPr>
                <w:p w14:paraId="2A75C9C9">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含油抹布、废手套</w:t>
                  </w:r>
                </w:p>
              </w:tc>
              <w:tc>
                <w:tcPr>
                  <w:tcW w:w="660" w:type="pct"/>
                  <w:vMerge w:val="continue"/>
                  <w:vAlign w:val="center"/>
                </w:tcPr>
                <w:p w14:paraId="5F86C309">
                  <w:pPr>
                    <w:jc w:val="center"/>
                    <w:rPr>
                      <w:rFonts w:ascii="Times New Roman" w:hAnsi="Times New Roman" w:eastAsia="宋体" w:cs="Times New Roman"/>
                      <w:color w:val="000000" w:themeColor="text1"/>
                      <w:kern w:val="0"/>
                      <w:szCs w:val="21"/>
                      <w14:textFill>
                        <w14:solidFill>
                          <w14:schemeClr w14:val="tx1"/>
                        </w14:solidFill>
                      </w14:textFill>
                    </w:rPr>
                  </w:pPr>
                </w:p>
              </w:tc>
              <w:tc>
                <w:tcPr>
                  <w:tcW w:w="835" w:type="pct"/>
                  <w:vAlign w:val="center"/>
                </w:tcPr>
                <w:p w14:paraId="559EBE5F">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Times New Roman" w:cs="Times New Roman"/>
                      <w:color w:val="000000" w:themeColor="text1"/>
                      <w:kern w:val="0"/>
                      <w:szCs w:val="21"/>
                      <w14:textFill>
                        <w14:solidFill>
                          <w14:schemeClr w14:val="tx1"/>
                        </w14:solidFill>
                      </w14:textFill>
                    </w:rPr>
                    <w:t>0.05t/a</w:t>
                  </w:r>
                </w:p>
              </w:tc>
              <w:tc>
                <w:tcPr>
                  <w:tcW w:w="1972" w:type="pct"/>
                  <w:vMerge w:val="continue"/>
                  <w:vAlign w:val="center"/>
                </w:tcPr>
                <w:p w14:paraId="1898CA16">
                  <w:pPr>
                    <w:jc w:val="center"/>
                    <w:rPr>
                      <w:rFonts w:ascii="Times New Roman" w:hAnsi="Times New Roman" w:eastAsia="Times New Roman" w:cs="Times New Roman"/>
                      <w:color w:val="000000" w:themeColor="text1"/>
                      <w:kern w:val="0"/>
                      <w:szCs w:val="21"/>
                      <w14:textFill>
                        <w14:solidFill>
                          <w14:schemeClr w14:val="tx1"/>
                        </w14:solidFill>
                      </w14:textFill>
                    </w:rPr>
                  </w:pPr>
                </w:p>
              </w:tc>
            </w:tr>
          </w:tbl>
          <w:p w14:paraId="5045C2C8">
            <w:pPr>
              <w:adjustRightInd w:val="0"/>
              <w:snapToGrid w:val="0"/>
              <w:spacing w:line="360" w:lineRule="auto"/>
              <w:ind w:firstLine="482"/>
              <w:jc w:val="center"/>
              <w:rPr>
                <w:rFonts w:ascii="Times New Roman" w:hAnsi="Times New Roman" w:eastAsia="黑体" w:cs="Times New Roman"/>
                <w:bCs/>
                <w:color w:val="000000" w:themeColor="text1"/>
                <w:szCs w:val="21"/>
                <w14:textFill>
                  <w14:solidFill>
                    <w14:schemeClr w14:val="tx1"/>
                  </w14:solidFill>
                </w14:textFill>
              </w:rPr>
            </w:pPr>
          </w:p>
          <w:p w14:paraId="379FD29F">
            <w:pPr>
              <w:adjustRightInd w:val="0"/>
              <w:snapToGrid w:val="0"/>
              <w:spacing w:line="360" w:lineRule="auto"/>
              <w:ind w:firstLine="482"/>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 xml:space="preserve">表4-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表4-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13</w:t>
            </w:r>
            <w:r>
              <w:rPr>
                <w:rFonts w:ascii="Times New Roman" w:hAnsi="Times New Roman" w:eastAsia="宋体" w:cs="Times New Roman"/>
                <w:b/>
                <w:bCs/>
                <w:color w:val="000000" w:themeColor="text1"/>
                <w:szCs w:val="21"/>
                <w14:textFill>
                  <w14:solidFill>
                    <w14:schemeClr w14:val="tx1"/>
                  </w14:solidFill>
                </w14:textFill>
              </w:rPr>
              <w:fldChar w:fldCharType="end"/>
            </w:r>
            <w:r>
              <w:rPr>
                <w:rFonts w:ascii="Times New Roman" w:hAnsi="Times New Roman" w:eastAsia="宋体" w:cs="Times New Roman"/>
                <w:b/>
                <w:bCs/>
                <w:color w:val="000000" w:themeColor="text1"/>
                <w:szCs w:val="21"/>
                <w14:textFill>
                  <w14:solidFill>
                    <w14:schemeClr w14:val="tx1"/>
                  </w14:solidFill>
                </w14:textFill>
              </w:rPr>
              <w:t xml:space="preserve">   本项目危险废物汇总表</w:t>
            </w:r>
          </w:p>
          <w:tbl>
            <w:tblPr>
              <w:tblStyle w:val="24"/>
              <w:tblW w:w="837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636"/>
              <w:gridCol w:w="776"/>
              <w:gridCol w:w="1196"/>
              <w:gridCol w:w="793"/>
              <w:gridCol w:w="870"/>
              <w:gridCol w:w="481"/>
              <w:gridCol w:w="608"/>
              <w:gridCol w:w="611"/>
              <w:gridCol w:w="504"/>
              <w:gridCol w:w="578"/>
              <w:gridCol w:w="896"/>
            </w:tblGrid>
            <w:tr w14:paraId="74EC6F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2" w:hRule="atLeast"/>
                <w:jc w:val="center"/>
              </w:trPr>
              <w:tc>
                <w:tcPr>
                  <w:tcW w:w="256" w:type="pct"/>
                  <w:vAlign w:val="center"/>
                </w:tcPr>
                <w:p w14:paraId="39945468">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序号</w:t>
                  </w:r>
                </w:p>
              </w:tc>
              <w:tc>
                <w:tcPr>
                  <w:tcW w:w="408" w:type="pct"/>
                  <w:vAlign w:val="center"/>
                </w:tcPr>
                <w:p w14:paraId="29F92EC0">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危险废物名称</w:t>
                  </w:r>
                </w:p>
              </w:tc>
              <w:tc>
                <w:tcPr>
                  <w:tcW w:w="463" w:type="pct"/>
                  <w:vAlign w:val="center"/>
                </w:tcPr>
                <w:p w14:paraId="53F7FCA4">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危险废物类别</w:t>
                  </w:r>
                </w:p>
              </w:tc>
              <w:tc>
                <w:tcPr>
                  <w:tcW w:w="568" w:type="pct"/>
                  <w:vAlign w:val="center"/>
                </w:tcPr>
                <w:p w14:paraId="405D3590">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危险废物代码</w:t>
                  </w:r>
                </w:p>
              </w:tc>
              <w:tc>
                <w:tcPr>
                  <w:tcW w:w="492" w:type="pct"/>
                  <w:vAlign w:val="center"/>
                </w:tcPr>
                <w:p w14:paraId="2D2190FC">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产生量（吨/年）</w:t>
                  </w:r>
                </w:p>
              </w:tc>
              <w:tc>
                <w:tcPr>
                  <w:tcW w:w="536" w:type="pct"/>
                  <w:vAlign w:val="center"/>
                </w:tcPr>
                <w:p w14:paraId="42A10C19">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产生工序及装置</w:t>
                  </w:r>
                </w:p>
              </w:tc>
              <w:tc>
                <w:tcPr>
                  <w:tcW w:w="303" w:type="pct"/>
                  <w:vAlign w:val="center"/>
                </w:tcPr>
                <w:p w14:paraId="0589D1CE">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形态</w:t>
                  </w:r>
                </w:p>
              </w:tc>
              <w:tc>
                <w:tcPr>
                  <w:tcW w:w="379" w:type="pct"/>
                  <w:vAlign w:val="center"/>
                </w:tcPr>
                <w:p w14:paraId="6FCB6E1C">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主要成分</w:t>
                  </w:r>
                </w:p>
              </w:tc>
              <w:tc>
                <w:tcPr>
                  <w:tcW w:w="381" w:type="pct"/>
                  <w:vAlign w:val="center"/>
                </w:tcPr>
                <w:p w14:paraId="5A48DF06">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有害成分</w:t>
                  </w:r>
                </w:p>
              </w:tc>
              <w:tc>
                <w:tcPr>
                  <w:tcW w:w="317" w:type="pct"/>
                  <w:vAlign w:val="center"/>
                </w:tcPr>
                <w:p w14:paraId="321E21A2">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产废周期</w:t>
                  </w:r>
                </w:p>
              </w:tc>
              <w:tc>
                <w:tcPr>
                  <w:tcW w:w="345" w:type="pct"/>
                  <w:vAlign w:val="center"/>
                </w:tcPr>
                <w:p w14:paraId="1800A486">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危险</w:t>
                  </w:r>
                </w:p>
                <w:p w14:paraId="0806BC61">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特性</w:t>
                  </w:r>
                </w:p>
              </w:tc>
              <w:tc>
                <w:tcPr>
                  <w:tcW w:w="551" w:type="pct"/>
                  <w:vAlign w:val="center"/>
                </w:tcPr>
                <w:p w14:paraId="6002ED7F">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污染防治措施</w:t>
                  </w:r>
                </w:p>
              </w:tc>
            </w:tr>
            <w:tr w14:paraId="336CEF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56" w:type="pct"/>
                  <w:vAlign w:val="center"/>
                </w:tcPr>
                <w:p w14:paraId="0BD972EA">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w:t>
                  </w:r>
                </w:p>
              </w:tc>
              <w:tc>
                <w:tcPr>
                  <w:tcW w:w="408" w:type="pct"/>
                  <w:vAlign w:val="center"/>
                </w:tcPr>
                <w:p w14:paraId="56924E48">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废机油</w:t>
                  </w:r>
                </w:p>
              </w:tc>
              <w:tc>
                <w:tcPr>
                  <w:tcW w:w="463" w:type="pct"/>
                  <w:vAlign w:val="center"/>
                </w:tcPr>
                <w:p w14:paraId="6FD296A7">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HW08</w:t>
                  </w:r>
                </w:p>
              </w:tc>
              <w:tc>
                <w:tcPr>
                  <w:tcW w:w="568" w:type="pct"/>
                  <w:vAlign w:val="center"/>
                </w:tcPr>
                <w:p w14:paraId="435D1FBC">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900-218-08</w:t>
                  </w:r>
                </w:p>
              </w:tc>
              <w:tc>
                <w:tcPr>
                  <w:tcW w:w="492" w:type="pct"/>
                  <w:vAlign w:val="center"/>
                </w:tcPr>
                <w:p w14:paraId="6D3BFF4F">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0.3</w:t>
                  </w:r>
                </w:p>
              </w:tc>
              <w:tc>
                <w:tcPr>
                  <w:tcW w:w="536" w:type="pct"/>
                  <w:vAlign w:val="center"/>
                </w:tcPr>
                <w:p w14:paraId="2A11DEDA">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设备维修</w:t>
                  </w:r>
                </w:p>
              </w:tc>
              <w:tc>
                <w:tcPr>
                  <w:tcW w:w="303" w:type="pct"/>
                  <w:vAlign w:val="center"/>
                </w:tcPr>
                <w:p w14:paraId="79095A8D">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液体</w:t>
                  </w:r>
                </w:p>
              </w:tc>
              <w:tc>
                <w:tcPr>
                  <w:tcW w:w="379" w:type="pct"/>
                  <w:vAlign w:val="center"/>
                </w:tcPr>
                <w:p w14:paraId="79786881">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矿物油</w:t>
                  </w:r>
                </w:p>
              </w:tc>
              <w:tc>
                <w:tcPr>
                  <w:tcW w:w="381" w:type="pct"/>
                  <w:vAlign w:val="center"/>
                </w:tcPr>
                <w:p w14:paraId="76AA4E68">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废矿物油</w:t>
                  </w:r>
                </w:p>
              </w:tc>
              <w:tc>
                <w:tcPr>
                  <w:tcW w:w="317" w:type="pct"/>
                  <w:vAlign w:val="center"/>
                </w:tcPr>
                <w:p w14:paraId="1ABD84E8">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1年</w:t>
                  </w:r>
                </w:p>
              </w:tc>
              <w:tc>
                <w:tcPr>
                  <w:tcW w:w="345" w:type="pct"/>
                  <w:vAlign w:val="center"/>
                </w:tcPr>
                <w:p w14:paraId="7EAF0E3F">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T,I</w:t>
                  </w:r>
                </w:p>
              </w:tc>
              <w:tc>
                <w:tcPr>
                  <w:tcW w:w="551" w:type="pct"/>
                  <w:vMerge w:val="restart"/>
                  <w:vAlign w:val="center"/>
                </w:tcPr>
                <w:p w14:paraId="0586F06B">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暂存于危废暂存间，定期交由有危废资质的单位处置</w:t>
                  </w:r>
                </w:p>
              </w:tc>
            </w:tr>
            <w:tr w14:paraId="7E52B3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2" w:hRule="atLeast"/>
                <w:jc w:val="center"/>
              </w:trPr>
              <w:tc>
                <w:tcPr>
                  <w:tcW w:w="256" w:type="pct"/>
                  <w:vAlign w:val="center"/>
                </w:tcPr>
                <w:p w14:paraId="38929972">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w:t>
                  </w:r>
                </w:p>
              </w:tc>
              <w:tc>
                <w:tcPr>
                  <w:tcW w:w="408" w:type="pct"/>
                  <w:vAlign w:val="center"/>
                </w:tcPr>
                <w:p w14:paraId="0B13200A">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废油桶</w:t>
                  </w:r>
                </w:p>
              </w:tc>
              <w:tc>
                <w:tcPr>
                  <w:tcW w:w="463" w:type="pct"/>
                  <w:vAlign w:val="center"/>
                </w:tcPr>
                <w:p w14:paraId="6B5CF58E">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HW49</w:t>
                  </w:r>
                </w:p>
              </w:tc>
              <w:tc>
                <w:tcPr>
                  <w:tcW w:w="568" w:type="pct"/>
                  <w:vAlign w:val="center"/>
                </w:tcPr>
                <w:p w14:paraId="3176C4BC">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900-041-49</w:t>
                  </w:r>
                </w:p>
              </w:tc>
              <w:tc>
                <w:tcPr>
                  <w:tcW w:w="492" w:type="pct"/>
                  <w:vAlign w:val="center"/>
                </w:tcPr>
                <w:p w14:paraId="5F7254B8">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0.05</w:t>
                  </w:r>
                </w:p>
              </w:tc>
              <w:tc>
                <w:tcPr>
                  <w:tcW w:w="536" w:type="pct"/>
                  <w:vAlign w:val="center"/>
                </w:tcPr>
                <w:p w14:paraId="2AAB59E6">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切削液、机油包装容器</w:t>
                  </w:r>
                </w:p>
              </w:tc>
              <w:tc>
                <w:tcPr>
                  <w:tcW w:w="303" w:type="pct"/>
                  <w:vAlign w:val="center"/>
                </w:tcPr>
                <w:p w14:paraId="27BDD0CA">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固体</w:t>
                  </w:r>
                </w:p>
              </w:tc>
              <w:tc>
                <w:tcPr>
                  <w:tcW w:w="379" w:type="pct"/>
                  <w:vAlign w:val="center"/>
                </w:tcPr>
                <w:p w14:paraId="23C44972">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矿物油</w:t>
                  </w:r>
                </w:p>
              </w:tc>
              <w:tc>
                <w:tcPr>
                  <w:tcW w:w="381" w:type="pct"/>
                  <w:vAlign w:val="center"/>
                </w:tcPr>
                <w:p w14:paraId="15175545">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废矿物油</w:t>
                  </w:r>
                </w:p>
              </w:tc>
              <w:tc>
                <w:tcPr>
                  <w:tcW w:w="317" w:type="pct"/>
                  <w:vAlign w:val="center"/>
                </w:tcPr>
                <w:p w14:paraId="22119BD9">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1年</w:t>
                  </w:r>
                </w:p>
              </w:tc>
              <w:tc>
                <w:tcPr>
                  <w:tcW w:w="345" w:type="pct"/>
                  <w:vAlign w:val="center"/>
                </w:tcPr>
                <w:p w14:paraId="14E546B0">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T/In</w:t>
                  </w:r>
                </w:p>
              </w:tc>
              <w:tc>
                <w:tcPr>
                  <w:tcW w:w="551" w:type="pct"/>
                  <w:vMerge w:val="continue"/>
                  <w:vAlign w:val="center"/>
                </w:tcPr>
                <w:p w14:paraId="07F2AD85">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r>
            <w:tr w14:paraId="1CBA44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20" w:hRule="atLeast"/>
                <w:jc w:val="center"/>
              </w:trPr>
              <w:tc>
                <w:tcPr>
                  <w:tcW w:w="256" w:type="pct"/>
                  <w:vAlign w:val="center"/>
                </w:tcPr>
                <w:p w14:paraId="3BECA078">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w:t>
                  </w:r>
                </w:p>
              </w:tc>
              <w:tc>
                <w:tcPr>
                  <w:tcW w:w="408" w:type="pct"/>
                  <w:vAlign w:val="center"/>
                </w:tcPr>
                <w:p w14:paraId="16AA641C">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含油抹布、废手套</w:t>
                  </w:r>
                </w:p>
              </w:tc>
              <w:tc>
                <w:tcPr>
                  <w:tcW w:w="463" w:type="pct"/>
                  <w:vAlign w:val="center"/>
                </w:tcPr>
                <w:p w14:paraId="3AA11D55">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HW49</w:t>
                  </w:r>
                </w:p>
              </w:tc>
              <w:tc>
                <w:tcPr>
                  <w:tcW w:w="568" w:type="pct"/>
                  <w:vAlign w:val="center"/>
                </w:tcPr>
                <w:p w14:paraId="56FA2489">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900-041-49</w:t>
                  </w:r>
                </w:p>
              </w:tc>
              <w:tc>
                <w:tcPr>
                  <w:tcW w:w="492" w:type="pct"/>
                  <w:vAlign w:val="center"/>
                </w:tcPr>
                <w:p w14:paraId="10C5CB59">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0.05</w:t>
                  </w:r>
                </w:p>
              </w:tc>
              <w:tc>
                <w:tcPr>
                  <w:tcW w:w="536" w:type="pct"/>
                  <w:vAlign w:val="center"/>
                </w:tcPr>
                <w:p w14:paraId="7E6A8178">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设备维修</w:t>
                  </w:r>
                </w:p>
              </w:tc>
              <w:tc>
                <w:tcPr>
                  <w:tcW w:w="303" w:type="pct"/>
                  <w:vAlign w:val="center"/>
                </w:tcPr>
                <w:p w14:paraId="64729E52">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固体</w:t>
                  </w:r>
                </w:p>
              </w:tc>
              <w:tc>
                <w:tcPr>
                  <w:tcW w:w="379" w:type="pct"/>
                  <w:vAlign w:val="center"/>
                </w:tcPr>
                <w:p w14:paraId="06022255">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矿物油</w:t>
                  </w:r>
                </w:p>
              </w:tc>
              <w:tc>
                <w:tcPr>
                  <w:tcW w:w="381" w:type="pct"/>
                  <w:vAlign w:val="center"/>
                </w:tcPr>
                <w:p w14:paraId="3C6F914B">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废矿物油</w:t>
                  </w:r>
                </w:p>
              </w:tc>
              <w:tc>
                <w:tcPr>
                  <w:tcW w:w="317" w:type="pct"/>
                  <w:vAlign w:val="center"/>
                </w:tcPr>
                <w:p w14:paraId="26C67370">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1年</w:t>
                  </w:r>
                </w:p>
              </w:tc>
              <w:tc>
                <w:tcPr>
                  <w:tcW w:w="345" w:type="pct"/>
                  <w:vAlign w:val="center"/>
                </w:tcPr>
                <w:p w14:paraId="59B8AAAC">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T/In</w:t>
                  </w:r>
                </w:p>
              </w:tc>
              <w:tc>
                <w:tcPr>
                  <w:tcW w:w="551" w:type="pct"/>
                  <w:vMerge w:val="continue"/>
                  <w:vAlign w:val="center"/>
                </w:tcPr>
                <w:p w14:paraId="1F384BA0">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r>
          </w:tbl>
          <w:p w14:paraId="6CC658E1">
            <w:pPr>
              <w:adjustRightInd w:val="0"/>
              <w:snapToGrid w:val="0"/>
              <w:spacing w:line="360" w:lineRule="auto"/>
              <w:ind w:firstLine="482"/>
              <w:jc w:val="center"/>
              <w:rPr>
                <w:rFonts w:ascii="Times New Roman" w:hAnsi="Times New Roman" w:eastAsia="黑体" w:cs="Times New Roman"/>
                <w:bCs/>
                <w:color w:val="000000" w:themeColor="text1"/>
                <w:szCs w:val="21"/>
                <w14:textFill>
                  <w14:solidFill>
                    <w14:schemeClr w14:val="tx1"/>
                  </w14:solidFill>
                </w14:textFill>
              </w:rPr>
            </w:pPr>
          </w:p>
          <w:p w14:paraId="15048C1D">
            <w:pPr>
              <w:adjustRightInd w:val="0"/>
              <w:snapToGrid w:val="0"/>
              <w:spacing w:line="360" w:lineRule="auto"/>
              <w:ind w:firstLine="482"/>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 xml:space="preserve">表4-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表4-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14</w:t>
            </w:r>
            <w:r>
              <w:rPr>
                <w:rFonts w:ascii="Times New Roman" w:hAnsi="Times New Roman" w:eastAsia="宋体" w:cs="Times New Roman"/>
                <w:b/>
                <w:bCs/>
                <w:color w:val="000000" w:themeColor="text1"/>
                <w:szCs w:val="21"/>
                <w14:textFill>
                  <w14:solidFill>
                    <w14:schemeClr w14:val="tx1"/>
                  </w14:solidFill>
                </w14:textFill>
              </w:rPr>
              <w:fldChar w:fldCharType="end"/>
            </w:r>
            <w:r>
              <w:rPr>
                <w:rFonts w:ascii="Times New Roman" w:hAnsi="Times New Roman" w:eastAsia="宋体" w:cs="Times New Roman"/>
                <w:b/>
                <w:bCs/>
                <w:color w:val="000000" w:themeColor="text1"/>
                <w:szCs w:val="21"/>
                <w14:textFill>
                  <w14:solidFill>
                    <w14:schemeClr w14:val="tx1"/>
                  </w14:solidFill>
                </w14:textFill>
              </w:rPr>
              <w:t xml:space="preserve">    建设项目危险废物贮存场所（设施）基本情况样表</w:t>
            </w:r>
          </w:p>
          <w:tbl>
            <w:tblPr>
              <w:tblStyle w:val="24"/>
              <w:tblW w:w="842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61"/>
              <w:gridCol w:w="957"/>
              <w:gridCol w:w="1401"/>
              <w:gridCol w:w="957"/>
              <w:gridCol w:w="1232"/>
              <w:gridCol w:w="683"/>
              <w:gridCol w:w="684"/>
              <w:gridCol w:w="684"/>
              <w:gridCol w:w="684"/>
              <w:gridCol w:w="683"/>
            </w:tblGrid>
            <w:tr w14:paraId="06A9D4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1" w:hRule="atLeast"/>
              </w:trPr>
              <w:tc>
                <w:tcPr>
                  <w:tcW w:w="461" w:type="dxa"/>
                  <w:vAlign w:val="center"/>
                </w:tcPr>
                <w:p w14:paraId="0A4D20F5">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序号</w:t>
                  </w:r>
                </w:p>
              </w:tc>
              <w:tc>
                <w:tcPr>
                  <w:tcW w:w="957" w:type="dxa"/>
                  <w:vAlign w:val="center"/>
                </w:tcPr>
                <w:p w14:paraId="5403B1DE">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贮存场所（设施）名称</w:t>
                  </w:r>
                </w:p>
              </w:tc>
              <w:tc>
                <w:tcPr>
                  <w:tcW w:w="1401" w:type="dxa"/>
                  <w:vAlign w:val="center"/>
                </w:tcPr>
                <w:p w14:paraId="55AFD7D1">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危险废物名称</w:t>
                  </w:r>
                </w:p>
              </w:tc>
              <w:tc>
                <w:tcPr>
                  <w:tcW w:w="957" w:type="dxa"/>
                  <w:vAlign w:val="center"/>
                </w:tcPr>
                <w:p w14:paraId="37E6B56B">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危险废物类别</w:t>
                  </w:r>
                </w:p>
              </w:tc>
              <w:tc>
                <w:tcPr>
                  <w:tcW w:w="1232" w:type="dxa"/>
                  <w:vAlign w:val="center"/>
                </w:tcPr>
                <w:p w14:paraId="297C15CD">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危险废物代码</w:t>
                  </w:r>
                </w:p>
              </w:tc>
              <w:tc>
                <w:tcPr>
                  <w:tcW w:w="683" w:type="dxa"/>
                  <w:vAlign w:val="center"/>
                </w:tcPr>
                <w:p w14:paraId="55EE33D9">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位置</w:t>
                  </w:r>
                </w:p>
              </w:tc>
              <w:tc>
                <w:tcPr>
                  <w:tcW w:w="684" w:type="dxa"/>
                  <w:vAlign w:val="center"/>
                </w:tcPr>
                <w:p w14:paraId="39B7E378">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占地面积</w:t>
                  </w:r>
                </w:p>
              </w:tc>
              <w:tc>
                <w:tcPr>
                  <w:tcW w:w="684" w:type="dxa"/>
                  <w:vAlign w:val="center"/>
                </w:tcPr>
                <w:p w14:paraId="2E7B9727">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贮存方式</w:t>
                  </w:r>
                </w:p>
              </w:tc>
              <w:tc>
                <w:tcPr>
                  <w:tcW w:w="684" w:type="dxa"/>
                  <w:vAlign w:val="center"/>
                </w:tcPr>
                <w:p w14:paraId="1CA85A7B">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贮存</w:t>
                  </w:r>
                </w:p>
                <w:p w14:paraId="3B02A0B9">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能力</w:t>
                  </w:r>
                </w:p>
              </w:tc>
              <w:tc>
                <w:tcPr>
                  <w:tcW w:w="683" w:type="dxa"/>
                  <w:vAlign w:val="center"/>
                </w:tcPr>
                <w:p w14:paraId="423CE0DA">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贮存</w:t>
                  </w:r>
                </w:p>
                <w:p w14:paraId="5C148E73">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周期</w:t>
                  </w:r>
                </w:p>
              </w:tc>
            </w:tr>
            <w:tr w14:paraId="52D7FF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trPr>
              <w:tc>
                <w:tcPr>
                  <w:tcW w:w="461" w:type="dxa"/>
                  <w:vAlign w:val="center"/>
                </w:tcPr>
                <w:p w14:paraId="0A4BFFB9">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w:t>
                  </w:r>
                </w:p>
              </w:tc>
              <w:tc>
                <w:tcPr>
                  <w:tcW w:w="957" w:type="dxa"/>
                  <w:vMerge w:val="restart"/>
                  <w:vAlign w:val="center"/>
                </w:tcPr>
                <w:p w14:paraId="04798D49">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危废暂存间</w:t>
                  </w:r>
                </w:p>
              </w:tc>
              <w:tc>
                <w:tcPr>
                  <w:tcW w:w="1401" w:type="dxa"/>
                  <w:vAlign w:val="center"/>
                </w:tcPr>
                <w:p w14:paraId="4C840556">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废矿物油</w:t>
                  </w:r>
                </w:p>
              </w:tc>
              <w:tc>
                <w:tcPr>
                  <w:tcW w:w="957" w:type="dxa"/>
                  <w:vAlign w:val="center"/>
                </w:tcPr>
                <w:p w14:paraId="38747C64">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HW08</w:t>
                  </w:r>
                </w:p>
              </w:tc>
              <w:tc>
                <w:tcPr>
                  <w:tcW w:w="1232" w:type="dxa"/>
                  <w:vAlign w:val="center"/>
                </w:tcPr>
                <w:p w14:paraId="4A5D5EED">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900-218-08</w:t>
                  </w:r>
                </w:p>
              </w:tc>
              <w:tc>
                <w:tcPr>
                  <w:tcW w:w="683" w:type="dxa"/>
                  <w:vMerge w:val="restart"/>
                  <w:vAlign w:val="center"/>
                </w:tcPr>
                <w:p w14:paraId="208DACF0">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隧道窑西侧</w:t>
                  </w:r>
                </w:p>
              </w:tc>
              <w:tc>
                <w:tcPr>
                  <w:tcW w:w="684" w:type="dxa"/>
                  <w:vMerge w:val="restart"/>
                  <w:vAlign w:val="center"/>
                </w:tcPr>
                <w:p w14:paraId="7F7C64F1">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Times New Roman" w:cs="Times New Roman"/>
                      <w:color w:val="000000" w:themeColor="text1"/>
                      <w:kern w:val="0"/>
                      <w:szCs w:val="21"/>
                      <w14:textFill>
                        <w14:solidFill>
                          <w14:schemeClr w14:val="tx1"/>
                        </w14:solidFill>
                      </w14:textFill>
                    </w:rPr>
                    <w:t>10m</w:t>
                  </w:r>
                  <w:r>
                    <w:rPr>
                      <w:rFonts w:ascii="Times New Roman" w:hAnsi="Times New Roman" w:eastAsia="Times New Roman" w:cs="Times New Roman"/>
                      <w:color w:val="000000" w:themeColor="text1"/>
                      <w:kern w:val="0"/>
                      <w:szCs w:val="21"/>
                      <w:vertAlign w:val="superscript"/>
                      <w14:textFill>
                        <w14:solidFill>
                          <w14:schemeClr w14:val="tx1"/>
                        </w14:solidFill>
                      </w14:textFill>
                    </w:rPr>
                    <w:t>2</w:t>
                  </w:r>
                </w:p>
              </w:tc>
              <w:tc>
                <w:tcPr>
                  <w:tcW w:w="684" w:type="dxa"/>
                  <w:vAlign w:val="center"/>
                </w:tcPr>
                <w:p w14:paraId="0DAEA156">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桶装</w:t>
                  </w:r>
                </w:p>
              </w:tc>
              <w:tc>
                <w:tcPr>
                  <w:tcW w:w="684" w:type="dxa"/>
                  <w:vMerge w:val="restart"/>
                  <w:vAlign w:val="center"/>
                </w:tcPr>
                <w:p w14:paraId="3FAC8D62">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20个废油桶</w:t>
                  </w:r>
                </w:p>
              </w:tc>
              <w:tc>
                <w:tcPr>
                  <w:tcW w:w="683" w:type="dxa"/>
                  <w:vAlign w:val="center"/>
                </w:tcPr>
                <w:p w14:paraId="1F331CE7">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1年</w:t>
                  </w:r>
                </w:p>
              </w:tc>
            </w:tr>
            <w:tr w14:paraId="52281B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trPr>
              <w:tc>
                <w:tcPr>
                  <w:tcW w:w="461" w:type="dxa"/>
                  <w:vAlign w:val="center"/>
                </w:tcPr>
                <w:p w14:paraId="29FA991D">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w:t>
                  </w:r>
                </w:p>
              </w:tc>
              <w:tc>
                <w:tcPr>
                  <w:tcW w:w="957" w:type="dxa"/>
                  <w:vMerge w:val="continue"/>
                  <w:vAlign w:val="center"/>
                </w:tcPr>
                <w:p w14:paraId="1349F727">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401" w:type="dxa"/>
                  <w:vAlign w:val="center"/>
                </w:tcPr>
                <w:p w14:paraId="45A31EAC">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废油桶</w:t>
                  </w:r>
                </w:p>
              </w:tc>
              <w:tc>
                <w:tcPr>
                  <w:tcW w:w="957" w:type="dxa"/>
                  <w:vAlign w:val="center"/>
                </w:tcPr>
                <w:p w14:paraId="355D4ADA">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HW49</w:t>
                  </w:r>
                </w:p>
              </w:tc>
              <w:tc>
                <w:tcPr>
                  <w:tcW w:w="1232" w:type="dxa"/>
                  <w:vAlign w:val="center"/>
                </w:tcPr>
                <w:p w14:paraId="0BA64F37">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900-041-49</w:t>
                  </w:r>
                </w:p>
              </w:tc>
              <w:tc>
                <w:tcPr>
                  <w:tcW w:w="683" w:type="dxa"/>
                  <w:vMerge w:val="continue"/>
                  <w:vAlign w:val="center"/>
                </w:tcPr>
                <w:p w14:paraId="5BEC0233">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684" w:type="dxa"/>
                  <w:vMerge w:val="continue"/>
                  <w:vAlign w:val="center"/>
                </w:tcPr>
                <w:p w14:paraId="2E2D2643">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684" w:type="dxa"/>
                  <w:vAlign w:val="center"/>
                </w:tcPr>
                <w:p w14:paraId="55A6B76D">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桶装</w:t>
                  </w:r>
                </w:p>
              </w:tc>
              <w:tc>
                <w:tcPr>
                  <w:tcW w:w="684" w:type="dxa"/>
                  <w:vMerge w:val="continue"/>
                  <w:vAlign w:val="center"/>
                </w:tcPr>
                <w:p w14:paraId="1AE2DE9C">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683" w:type="dxa"/>
                  <w:vAlign w:val="center"/>
                </w:tcPr>
                <w:p w14:paraId="5D2114D4">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1年</w:t>
                  </w:r>
                </w:p>
              </w:tc>
            </w:tr>
            <w:tr w14:paraId="56DAD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9" w:hRule="atLeast"/>
              </w:trPr>
              <w:tc>
                <w:tcPr>
                  <w:tcW w:w="461" w:type="dxa"/>
                  <w:vAlign w:val="center"/>
                </w:tcPr>
                <w:p w14:paraId="483380BA">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3</w:t>
                  </w:r>
                </w:p>
              </w:tc>
              <w:tc>
                <w:tcPr>
                  <w:tcW w:w="957" w:type="dxa"/>
                  <w:vMerge w:val="continue"/>
                  <w:vAlign w:val="center"/>
                </w:tcPr>
                <w:p w14:paraId="583B1483">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1401" w:type="dxa"/>
                  <w:vAlign w:val="center"/>
                </w:tcPr>
                <w:p w14:paraId="0BCAE1F2">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含油抹布、废手套</w:t>
                  </w:r>
                </w:p>
              </w:tc>
              <w:tc>
                <w:tcPr>
                  <w:tcW w:w="957" w:type="dxa"/>
                  <w:vAlign w:val="center"/>
                </w:tcPr>
                <w:p w14:paraId="4E313F22">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HW49</w:t>
                  </w:r>
                </w:p>
              </w:tc>
              <w:tc>
                <w:tcPr>
                  <w:tcW w:w="1232" w:type="dxa"/>
                  <w:vAlign w:val="center"/>
                </w:tcPr>
                <w:p w14:paraId="32F6E2DA">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900-041-49</w:t>
                  </w:r>
                </w:p>
              </w:tc>
              <w:tc>
                <w:tcPr>
                  <w:tcW w:w="683" w:type="dxa"/>
                  <w:vMerge w:val="continue"/>
                  <w:vAlign w:val="center"/>
                </w:tcPr>
                <w:p w14:paraId="68EB53DC">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684" w:type="dxa"/>
                  <w:vMerge w:val="continue"/>
                  <w:vAlign w:val="center"/>
                </w:tcPr>
                <w:p w14:paraId="5FE1BBCF">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684" w:type="dxa"/>
                  <w:vAlign w:val="center"/>
                </w:tcPr>
                <w:p w14:paraId="791A830F">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桶装</w:t>
                  </w:r>
                </w:p>
              </w:tc>
              <w:tc>
                <w:tcPr>
                  <w:tcW w:w="684" w:type="dxa"/>
                  <w:vMerge w:val="continue"/>
                  <w:vAlign w:val="center"/>
                </w:tcPr>
                <w:p w14:paraId="5DB7029B">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p>
              </w:tc>
              <w:tc>
                <w:tcPr>
                  <w:tcW w:w="683" w:type="dxa"/>
                  <w:vAlign w:val="center"/>
                </w:tcPr>
                <w:p w14:paraId="7015621D">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1年</w:t>
                  </w:r>
                </w:p>
              </w:tc>
            </w:tr>
          </w:tbl>
          <w:p w14:paraId="3C6D2005">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危废暂存间已采取措施：在厂区内隧道窑西侧设置危废暂存间，并进行相应的防渗处理，产生的危险废物收集后暂存于危废暂存间，并定期交由有资质的单位处置。</w:t>
            </w:r>
          </w:p>
          <w:p w14:paraId="48CDCE50">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此外，评价对</w:t>
            </w:r>
            <w:r>
              <w:rPr>
                <w:rFonts w:ascii="Times New Roman" w:hAnsi="Times New Roman" w:eastAsia="宋体" w:cs="Times New Roman"/>
                <w:b/>
                <w:color w:val="000000" w:themeColor="text1"/>
                <w:sz w:val="24"/>
                <w:szCs w:val="24"/>
                <w14:textFill>
                  <w14:solidFill>
                    <w14:schemeClr w14:val="tx1"/>
                  </w14:solidFill>
                </w14:textFill>
              </w:rPr>
              <w:t>危废暂存、运输、处置要求提出如下要求：</w:t>
            </w:r>
          </w:p>
          <w:p w14:paraId="7AAD0F23">
            <w:pPr>
              <w:adjustRightInd w:val="0"/>
              <w:snapToGrid w:val="0"/>
              <w:spacing w:line="360" w:lineRule="auto"/>
              <w:ind w:firstLine="482"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储存：</w:t>
            </w:r>
            <w:r>
              <w:rPr>
                <w:rFonts w:ascii="Times New Roman" w:hAnsi="Times New Roman" w:eastAsia="宋体" w:cs="Times New Roman"/>
                <w:color w:val="000000" w:themeColor="text1"/>
                <w:sz w:val="24"/>
                <w:szCs w:val="24"/>
                <w14:textFill>
                  <w14:solidFill>
                    <w14:schemeClr w14:val="tx1"/>
                  </w14:solidFill>
                </w14:textFill>
              </w:rPr>
              <w:t>在固体废物储存过程中，严禁将危险废物随意露天堆放，危废暂存间设置按照《危险废物贮存污染物控制标准》（GB18597-2001）及2013年修改单进行防雨防渗防漏处理，将危废对周边环境的影响降到最小，应遵循的设置要求如下：</w:t>
            </w:r>
          </w:p>
          <w:p w14:paraId="482365D9">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①</w:t>
            </w:r>
            <w:r>
              <w:rPr>
                <w:rFonts w:ascii="Times New Roman" w:hAnsi="Times New Roman" w:eastAsia="宋体" w:cs="Times New Roman"/>
                <w:color w:val="000000" w:themeColor="text1"/>
                <w:sz w:val="24"/>
                <w:szCs w:val="24"/>
                <w14:textFill>
                  <w14:solidFill>
                    <w14:schemeClr w14:val="tx1"/>
                  </w14:solidFill>
                </w14:textFill>
              </w:rPr>
              <w:t>应建有堵截泄漏的裙脚，地面与裙脚要用坚固防渗的材料建造。应有隔离设施、报警装置和防风、防晒、防雨设施；</w:t>
            </w:r>
          </w:p>
          <w:p w14:paraId="50E3F8B3">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②</w:t>
            </w:r>
            <w:r>
              <w:rPr>
                <w:rFonts w:ascii="Times New Roman" w:hAnsi="Times New Roman" w:eastAsia="宋体" w:cs="Times New Roman"/>
                <w:color w:val="000000" w:themeColor="text1"/>
                <w:sz w:val="24"/>
                <w:szCs w:val="24"/>
                <w14:textFill>
                  <w14:solidFill>
                    <w14:schemeClr w14:val="tx1"/>
                  </w14:solidFill>
                </w14:textFill>
              </w:rPr>
              <w:t>做好防风挡雨措施；地面做好防腐、防渗措施：用防渗混凝土硬化地坪+2mm高密度聚乙烯或等效防渗层进行防渗，等效黏土防渗层Mb≥6m，防渗系数K≤1.0×10</w:t>
            </w:r>
            <w:r>
              <w:rPr>
                <w:rFonts w:ascii="Times New Roman" w:hAnsi="Times New Roman" w:eastAsia="宋体" w:cs="Times New Roman"/>
                <w:color w:val="000000" w:themeColor="text1"/>
                <w:sz w:val="24"/>
                <w:szCs w:val="24"/>
                <w:vertAlign w:val="superscript"/>
                <w14:textFill>
                  <w14:solidFill>
                    <w14:schemeClr w14:val="tx1"/>
                  </w14:solidFill>
                </w14:textFill>
              </w:rPr>
              <w:t>-10</w:t>
            </w:r>
            <w:r>
              <w:rPr>
                <w:rFonts w:ascii="Times New Roman" w:hAnsi="Times New Roman" w:eastAsia="宋体" w:cs="Times New Roman"/>
                <w:color w:val="000000" w:themeColor="text1"/>
                <w:sz w:val="24"/>
                <w:szCs w:val="24"/>
                <w14:textFill>
                  <w14:solidFill>
                    <w14:schemeClr w14:val="tx1"/>
                  </w14:solidFill>
                </w14:textFill>
              </w:rPr>
              <w:t>cm/s；设置墁坡、围堰；</w:t>
            </w:r>
          </w:p>
          <w:p w14:paraId="30E48C11">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③</w:t>
            </w:r>
            <w:r>
              <w:rPr>
                <w:rFonts w:ascii="Times New Roman" w:hAnsi="Times New Roman" w:eastAsia="宋体" w:cs="Times New Roman"/>
                <w:color w:val="000000" w:themeColor="text1"/>
                <w:sz w:val="24"/>
                <w:szCs w:val="24"/>
                <w14:textFill>
                  <w14:solidFill>
                    <w14:schemeClr w14:val="tx1"/>
                  </w14:solidFill>
                </w14:textFill>
              </w:rPr>
              <w:t>须有泄漏液体收集装置及气体导出口和气体净化装置；</w:t>
            </w:r>
          </w:p>
          <w:p w14:paraId="043B52BF">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④</w:t>
            </w:r>
            <w:r>
              <w:rPr>
                <w:rFonts w:ascii="Times New Roman" w:hAnsi="Times New Roman" w:eastAsia="宋体" w:cs="Times New Roman"/>
                <w:color w:val="000000" w:themeColor="text1"/>
                <w:sz w:val="24"/>
                <w:szCs w:val="24"/>
                <w14:textFill>
                  <w14:solidFill>
                    <w14:schemeClr w14:val="tx1"/>
                  </w14:solidFill>
                </w14:textFill>
              </w:rPr>
              <w:t>用于存放液体、半固体危险废物的地方，还须有耐腐蚀的硬化地面，地面无裂隙；</w:t>
            </w:r>
          </w:p>
          <w:p w14:paraId="627D06B1">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⑤</w:t>
            </w:r>
            <w:r>
              <w:rPr>
                <w:rFonts w:ascii="Times New Roman" w:hAnsi="Times New Roman" w:eastAsia="宋体" w:cs="Times New Roman"/>
                <w:color w:val="000000" w:themeColor="text1"/>
                <w:sz w:val="24"/>
                <w:szCs w:val="24"/>
                <w14:textFill>
                  <w14:solidFill>
                    <w14:schemeClr w14:val="tx1"/>
                  </w14:solidFill>
                </w14:textFill>
              </w:rPr>
              <w:t>设置“危险废物暂存间”和危险废物标志的牌子；</w:t>
            </w:r>
          </w:p>
          <w:p w14:paraId="1F0DB9DA">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⑥</w:t>
            </w:r>
            <w:r>
              <w:rPr>
                <w:rFonts w:ascii="Times New Roman" w:hAnsi="Times New Roman" w:eastAsia="宋体" w:cs="Times New Roman"/>
                <w:color w:val="000000" w:themeColor="text1"/>
                <w:sz w:val="24"/>
                <w:szCs w:val="24"/>
                <w14:textFill>
                  <w14:solidFill>
                    <w14:schemeClr w14:val="tx1"/>
                  </w14:solidFill>
                </w14:textFill>
              </w:rPr>
              <w:t>危废暂存点应设计建造径流疏导系统（地沟或围堰），防止外界雨水径流影响。</w:t>
            </w:r>
          </w:p>
          <w:p w14:paraId="4DA61B32">
            <w:pPr>
              <w:adjustRightInd w:val="0"/>
              <w:snapToGrid w:val="0"/>
              <w:spacing w:line="360" w:lineRule="auto"/>
              <w:ind w:firstLine="482"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运输：</w:t>
            </w:r>
            <w:r>
              <w:rPr>
                <w:rFonts w:ascii="Times New Roman" w:hAnsi="Times New Roman" w:eastAsia="宋体" w:cs="Times New Roman"/>
                <w:color w:val="000000" w:themeColor="text1"/>
                <w:sz w:val="24"/>
                <w:szCs w:val="24"/>
                <w14:textFill>
                  <w14:solidFill>
                    <w14:schemeClr w14:val="tx1"/>
                  </w14:solidFill>
                </w14:textFill>
              </w:rPr>
              <w:t>危险废物运输过程中，必须配备随车人员在途中经常检查，危险废物如有丢失、被盗，应立即报告当地交通运输、生态环境主管部门，并由交通运输主管部门会同公安部门和生态环境部门查处。</w:t>
            </w:r>
          </w:p>
          <w:p w14:paraId="28CD1309">
            <w:pPr>
              <w:adjustRightInd w:val="0"/>
              <w:snapToGrid w:val="0"/>
              <w:spacing w:line="360" w:lineRule="auto"/>
              <w:ind w:firstLine="482"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处置：</w:t>
            </w:r>
            <w:r>
              <w:rPr>
                <w:rFonts w:ascii="Times New Roman" w:hAnsi="Times New Roman" w:eastAsia="宋体" w:cs="Times New Roman"/>
                <w:color w:val="000000" w:themeColor="text1"/>
                <w:sz w:val="24"/>
                <w:szCs w:val="24"/>
                <w14:textFill>
                  <w14:solidFill>
                    <w14:schemeClr w14:val="tx1"/>
                  </w14:solidFill>
                </w14:textFill>
              </w:rPr>
              <w:t>目前危废协议已过期，评价要求应尽快重新签订危废处置协议，应委托具有相应资质的运输单位和利用处置经营单位，依法委托运输、利用处置危险废物。在委托时，应详细核实运输单位、车辆、驾驶员及押运员的资质，并根据废物特性，选择运输工具，严防二次污染；应详细核实经营单位资质，严禁委托不具资质或资质不符的单位处置。转移前，产生单位应制定转移计划，向县级生态环境部门报备并领取联单；转移后，应按照转移实际，做到一转移一联单，并及时向县级环保部门提交转移联单，联单保存应在五年以上。有条件的地区，鼓励探索联单电子化的管理模式。</w:t>
            </w:r>
          </w:p>
          <w:p w14:paraId="6E68BD48">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项综上所述，建设单位在严格执行环评要求提出的措施的前提下，本项目产生固废去向明确，均能得到妥善处置，不会造成二次污染。</w:t>
            </w:r>
          </w:p>
          <w:p w14:paraId="2AC3C681">
            <w:pPr>
              <w:adjustRightInd w:val="0"/>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五、地下水、土壤</w:t>
            </w:r>
          </w:p>
          <w:p w14:paraId="247ED4AD">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（1）潜在污染源及其影响途径</w:t>
            </w:r>
          </w:p>
          <w:p w14:paraId="11DB70B6">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项目生产过程中对地下水和土壤的潜在污染源及影响途径如下所示。</w:t>
            </w:r>
          </w:p>
          <w:p w14:paraId="19F659AA">
            <w:pPr>
              <w:adjustRightInd w:val="0"/>
              <w:snapToGrid w:val="0"/>
              <w:ind w:firstLine="482"/>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 xml:space="preserve">表4-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表4-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15</w:t>
            </w:r>
            <w:r>
              <w:rPr>
                <w:rFonts w:ascii="Times New Roman" w:hAnsi="Times New Roman" w:eastAsia="宋体" w:cs="Times New Roman"/>
                <w:b/>
                <w:bCs/>
                <w:color w:val="000000" w:themeColor="text1"/>
                <w:szCs w:val="21"/>
                <w14:textFill>
                  <w14:solidFill>
                    <w14:schemeClr w14:val="tx1"/>
                  </w14:solidFill>
                </w14:textFill>
              </w:rPr>
              <w:fldChar w:fldCharType="end"/>
            </w:r>
            <w:r>
              <w:rPr>
                <w:rFonts w:ascii="Times New Roman" w:hAnsi="Times New Roman" w:eastAsia="宋体" w:cs="Times New Roman"/>
                <w:b/>
                <w:bCs/>
                <w:color w:val="000000" w:themeColor="text1"/>
                <w:szCs w:val="21"/>
                <w14:textFill>
                  <w14:solidFill>
                    <w14:schemeClr w14:val="tx1"/>
                  </w14:solidFill>
                </w14:textFill>
              </w:rPr>
              <w:t xml:space="preserve">   地下水、土壤潜在污染源及其影响途径一览表</w:t>
            </w:r>
          </w:p>
          <w:tbl>
            <w:tblPr>
              <w:tblStyle w:val="2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49"/>
              <w:gridCol w:w="2313"/>
              <w:gridCol w:w="4512"/>
            </w:tblGrid>
            <w:tr w14:paraId="589FE3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00" w:type="dxa"/>
                  <w:vAlign w:val="center"/>
                </w:tcPr>
                <w:p w14:paraId="1EEFDE27">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区域</w:t>
                  </w:r>
                </w:p>
              </w:tc>
              <w:tc>
                <w:tcPr>
                  <w:tcW w:w="2430" w:type="dxa"/>
                  <w:vAlign w:val="center"/>
                </w:tcPr>
                <w:p w14:paraId="17E22AB2">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潜在污染源</w:t>
                  </w:r>
                </w:p>
              </w:tc>
              <w:tc>
                <w:tcPr>
                  <w:tcW w:w="4764" w:type="dxa"/>
                  <w:vAlign w:val="center"/>
                </w:tcPr>
                <w:p w14:paraId="21C944E3">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影响途径</w:t>
                  </w:r>
                </w:p>
              </w:tc>
            </w:tr>
            <w:tr w14:paraId="0FB153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00" w:type="dxa"/>
                  <w:vAlign w:val="center"/>
                </w:tcPr>
                <w:p w14:paraId="2CE537DD">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生产区域</w:t>
                  </w:r>
                </w:p>
              </w:tc>
              <w:tc>
                <w:tcPr>
                  <w:tcW w:w="2430" w:type="dxa"/>
                  <w:vAlign w:val="center"/>
                </w:tcPr>
                <w:p w14:paraId="6009112F">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机油</w:t>
                  </w:r>
                </w:p>
              </w:tc>
              <w:tc>
                <w:tcPr>
                  <w:tcW w:w="4764" w:type="dxa"/>
                  <w:vAlign w:val="center"/>
                </w:tcPr>
                <w:p w14:paraId="78B9E27C">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因机油泄漏而发生垂直下渗或通过地面径流影响到土壤和地下水</w:t>
                  </w:r>
                </w:p>
              </w:tc>
            </w:tr>
            <w:tr w14:paraId="65851E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00" w:type="dxa"/>
                  <w:vAlign w:val="center"/>
                </w:tcPr>
                <w:p w14:paraId="4469FD45">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危废暂存间</w:t>
                  </w:r>
                </w:p>
              </w:tc>
              <w:tc>
                <w:tcPr>
                  <w:tcW w:w="2430" w:type="dxa"/>
                  <w:vAlign w:val="center"/>
                </w:tcPr>
                <w:p w14:paraId="133B1499">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废矿物油</w:t>
                  </w:r>
                </w:p>
              </w:tc>
              <w:tc>
                <w:tcPr>
                  <w:tcW w:w="4764" w:type="dxa"/>
                  <w:vAlign w:val="center"/>
                </w:tcPr>
                <w:p w14:paraId="2568446F">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因危险废物泄漏而发生垂直下渗或通过地面径流影响到土壤和地下水</w:t>
                  </w:r>
                </w:p>
              </w:tc>
            </w:tr>
            <w:tr w14:paraId="00E6D8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300" w:type="dxa"/>
                  <w:vAlign w:val="center"/>
                </w:tcPr>
                <w:p w14:paraId="79A2374B">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一般工业固废贮存间</w:t>
                  </w:r>
                </w:p>
              </w:tc>
              <w:tc>
                <w:tcPr>
                  <w:tcW w:w="2430" w:type="dxa"/>
                  <w:vAlign w:val="center"/>
                </w:tcPr>
                <w:p w14:paraId="4BD16DB2">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渗滤水</w:t>
                  </w:r>
                </w:p>
              </w:tc>
              <w:tc>
                <w:tcPr>
                  <w:tcW w:w="4764" w:type="dxa"/>
                  <w:vAlign w:val="center"/>
                </w:tcPr>
                <w:p w14:paraId="61D654C6">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渗滤水垂直下渗或通过地面径流影响到土壤和地下水</w:t>
                  </w:r>
                </w:p>
              </w:tc>
            </w:tr>
          </w:tbl>
          <w:p w14:paraId="12B86044">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（2）防护措施</w:t>
            </w:r>
          </w:p>
          <w:p w14:paraId="4EB2E5C5">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项目拟采用的分区保护措施如下表。</w:t>
            </w:r>
          </w:p>
          <w:p w14:paraId="342FA274">
            <w:pPr>
              <w:adjustRightInd w:val="0"/>
              <w:snapToGrid w:val="0"/>
              <w:ind w:firstLine="482"/>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 xml:space="preserve">表4-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表4-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16</w:t>
            </w:r>
            <w:r>
              <w:rPr>
                <w:rFonts w:ascii="Times New Roman" w:hAnsi="Times New Roman" w:eastAsia="宋体" w:cs="Times New Roman"/>
                <w:b/>
                <w:bCs/>
                <w:color w:val="000000" w:themeColor="text1"/>
                <w:szCs w:val="21"/>
                <w14:textFill>
                  <w14:solidFill>
                    <w14:schemeClr w14:val="tx1"/>
                  </w14:solidFill>
                </w14:textFill>
              </w:rPr>
              <w:fldChar w:fldCharType="end"/>
            </w:r>
            <w:r>
              <w:rPr>
                <w:rFonts w:ascii="Times New Roman" w:hAnsi="Times New Roman" w:eastAsia="宋体" w:cs="Times New Roman"/>
                <w:b/>
                <w:bCs/>
                <w:color w:val="000000" w:themeColor="text1"/>
                <w:szCs w:val="21"/>
                <w14:textFill>
                  <w14:solidFill>
                    <w14:schemeClr w14:val="tx1"/>
                  </w14:solidFill>
                </w14:textFill>
              </w:rPr>
              <w:t xml:space="preserve">   地下水、土壤分区防护措施一览表</w:t>
            </w:r>
          </w:p>
          <w:tbl>
            <w:tblPr>
              <w:tblStyle w:val="2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03"/>
              <w:gridCol w:w="650"/>
              <w:gridCol w:w="1161"/>
              <w:gridCol w:w="3137"/>
              <w:gridCol w:w="2623"/>
            </w:tblGrid>
            <w:tr w14:paraId="132B22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511" w:type="dxa"/>
                  <w:vAlign w:val="center"/>
                </w:tcPr>
                <w:p w14:paraId="32B0A076">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序号</w:t>
                  </w:r>
                </w:p>
              </w:tc>
              <w:tc>
                <w:tcPr>
                  <w:tcW w:w="1889" w:type="dxa"/>
                  <w:gridSpan w:val="2"/>
                  <w:vAlign w:val="center"/>
                </w:tcPr>
                <w:p w14:paraId="592EAD8A">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区域</w:t>
                  </w:r>
                </w:p>
              </w:tc>
              <w:tc>
                <w:tcPr>
                  <w:tcW w:w="3270" w:type="dxa"/>
                  <w:vAlign w:val="center"/>
                </w:tcPr>
                <w:p w14:paraId="18F70EC8">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已采取的防渗措施</w:t>
                  </w:r>
                </w:p>
              </w:tc>
              <w:tc>
                <w:tcPr>
                  <w:tcW w:w="2725" w:type="dxa"/>
                  <w:vAlign w:val="center"/>
                </w:tcPr>
                <w:p w14:paraId="182F2E47">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整改或新增要求</w:t>
                  </w:r>
                </w:p>
              </w:tc>
            </w:tr>
            <w:tr w14:paraId="4553B2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511" w:type="dxa"/>
                  <w:vAlign w:val="center"/>
                </w:tcPr>
                <w:p w14:paraId="0BE619E2">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Times New Roman" w:cs="Times New Roman"/>
                      <w:color w:val="000000" w:themeColor="text1"/>
                      <w:kern w:val="0"/>
                      <w:szCs w:val="21"/>
                      <w14:textFill>
                        <w14:solidFill>
                          <w14:schemeClr w14:val="tx1"/>
                        </w14:solidFill>
                      </w14:textFill>
                    </w:rPr>
                    <w:t>1</w:t>
                  </w:r>
                </w:p>
              </w:tc>
              <w:tc>
                <w:tcPr>
                  <w:tcW w:w="673" w:type="dxa"/>
                  <w:vMerge w:val="restart"/>
                  <w:vAlign w:val="center"/>
                </w:tcPr>
                <w:p w14:paraId="45675DE0">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重点防渗区</w:t>
                  </w:r>
                </w:p>
              </w:tc>
              <w:tc>
                <w:tcPr>
                  <w:tcW w:w="1215" w:type="dxa"/>
                  <w:vAlign w:val="center"/>
                </w:tcPr>
                <w:p w14:paraId="380649F7">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危废暂存间</w:t>
                  </w:r>
                </w:p>
              </w:tc>
              <w:tc>
                <w:tcPr>
                  <w:tcW w:w="3270" w:type="dxa"/>
                  <w:vAlign w:val="center"/>
                </w:tcPr>
                <w:p w14:paraId="6268B074">
                  <w:pPr>
                    <w:jc w:val="center"/>
                    <w:rPr>
                      <w:rFonts w:ascii="Times New Roman" w:hAnsi="Times New Roman" w:eastAsia="Times New Roman"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做好防风挡雨措施；地面做好防腐、防渗措施：用防渗混凝土硬化地坪</w:t>
                  </w:r>
                  <w:r>
                    <w:rPr>
                      <w:rFonts w:ascii="Times New Roman" w:hAnsi="Times New Roman" w:eastAsia="Times New Roman" w:cs="Times New Roman"/>
                      <w:color w:val="000000" w:themeColor="text1"/>
                      <w:kern w:val="0"/>
                      <w:szCs w:val="21"/>
                      <w14:textFill>
                        <w14:solidFill>
                          <w14:schemeClr w14:val="tx1"/>
                        </w14:solidFill>
                      </w14:textFill>
                    </w:rPr>
                    <w:t>+2mm</w:t>
                  </w:r>
                  <w:r>
                    <w:rPr>
                      <w:rFonts w:ascii="Times New Roman" w:hAnsi="Times New Roman" w:eastAsia="宋体" w:cs="Times New Roman"/>
                      <w:color w:val="000000" w:themeColor="text1"/>
                      <w:kern w:val="0"/>
                      <w:szCs w:val="21"/>
                      <w14:textFill>
                        <w14:solidFill>
                          <w14:schemeClr w14:val="tx1"/>
                        </w14:solidFill>
                      </w14:textFill>
                    </w:rPr>
                    <w:t>高密度聚乙烯或等效防渗层进行防渗，等效黏土防渗层Mb≥6m，防渗系数K</w:t>
                  </w:r>
                  <w:r>
                    <w:rPr>
                      <w:rFonts w:ascii="Times New Roman" w:hAnsi="Times New Roman" w:eastAsia="Times New Roman" w:cs="Times New Roman"/>
                      <w:color w:val="000000" w:themeColor="text1"/>
                      <w:kern w:val="0"/>
                      <w:szCs w:val="21"/>
                      <w14:textFill>
                        <w14:solidFill>
                          <w14:schemeClr w14:val="tx1"/>
                        </w14:solidFill>
                      </w14:textFill>
                    </w:rPr>
                    <w:t>≤1.0×10</w:t>
                  </w:r>
                  <w:r>
                    <w:rPr>
                      <w:rFonts w:ascii="Times New Roman" w:hAnsi="Times New Roman" w:eastAsia="Times New Roman" w:cs="Times New Roman"/>
                      <w:color w:val="000000" w:themeColor="text1"/>
                      <w:kern w:val="0"/>
                      <w:szCs w:val="21"/>
                      <w:vertAlign w:val="superscript"/>
                      <w14:textFill>
                        <w14:solidFill>
                          <w14:schemeClr w14:val="tx1"/>
                        </w14:solidFill>
                      </w14:textFill>
                    </w:rPr>
                    <w:t>-10</w:t>
                  </w:r>
                  <w:r>
                    <w:rPr>
                      <w:rFonts w:ascii="Times New Roman" w:hAnsi="Times New Roman" w:eastAsia="Times New Roman" w:cs="Times New Roman"/>
                      <w:color w:val="000000" w:themeColor="text1"/>
                      <w:kern w:val="0"/>
                      <w:szCs w:val="21"/>
                      <w14:textFill>
                        <w14:solidFill>
                          <w14:schemeClr w14:val="tx1"/>
                        </w14:solidFill>
                      </w14:textFill>
                    </w:rPr>
                    <w:t>cm/s</w:t>
                  </w:r>
                  <w:r>
                    <w:rPr>
                      <w:rFonts w:ascii="Times New Roman" w:hAnsi="Times New Roman" w:eastAsia="宋体" w:cs="Times New Roman"/>
                      <w:color w:val="000000" w:themeColor="text1"/>
                      <w:kern w:val="0"/>
                      <w:szCs w:val="21"/>
                      <w14:textFill>
                        <w14:solidFill>
                          <w14:schemeClr w14:val="tx1"/>
                        </w14:solidFill>
                      </w14:textFill>
                    </w:rPr>
                    <w:t>；设置墁坡、围堰。符合《危险废物贮存污染控制标准》</w:t>
                  </w:r>
                  <w:r>
                    <w:rPr>
                      <w:rFonts w:ascii="Times New Roman" w:hAnsi="Times New Roman" w:eastAsia="Times New Roman" w:cs="Times New Roman"/>
                      <w:color w:val="000000" w:themeColor="text1"/>
                      <w:kern w:val="0"/>
                      <w:szCs w:val="21"/>
                      <w14:textFill>
                        <w14:solidFill>
                          <w14:schemeClr w14:val="tx1"/>
                        </w14:solidFill>
                      </w14:textFill>
                    </w:rPr>
                    <w:t>(GB18597-2001)</w:t>
                  </w:r>
                  <w:r>
                    <w:rPr>
                      <w:rFonts w:ascii="Times New Roman" w:hAnsi="Times New Roman" w:eastAsia="宋体" w:cs="Times New Roman"/>
                      <w:color w:val="000000" w:themeColor="text1"/>
                      <w:kern w:val="0"/>
                      <w:szCs w:val="21"/>
                      <w14:textFill>
                        <w14:solidFill>
                          <w14:schemeClr w14:val="tx1"/>
                        </w14:solidFill>
                      </w14:textFill>
                    </w:rPr>
                    <w:t>及</w:t>
                  </w:r>
                  <w:r>
                    <w:rPr>
                      <w:rFonts w:ascii="Times New Roman" w:hAnsi="Times New Roman" w:eastAsia="Times New Roman" w:cs="Times New Roman"/>
                      <w:color w:val="000000" w:themeColor="text1"/>
                      <w:kern w:val="0"/>
                      <w:szCs w:val="21"/>
                      <w14:textFill>
                        <w14:solidFill>
                          <w14:schemeClr w14:val="tx1"/>
                        </w14:solidFill>
                      </w14:textFill>
                    </w:rPr>
                    <w:t>2013</w:t>
                  </w:r>
                  <w:r>
                    <w:rPr>
                      <w:rFonts w:ascii="Times New Roman" w:hAnsi="Times New Roman" w:eastAsia="宋体" w:cs="Times New Roman"/>
                      <w:color w:val="000000" w:themeColor="text1"/>
                      <w:kern w:val="0"/>
                      <w:szCs w:val="21"/>
                      <w14:textFill>
                        <w14:solidFill>
                          <w14:schemeClr w14:val="tx1"/>
                        </w14:solidFill>
                      </w14:textFill>
                    </w:rPr>
                    <w:t>年修订单的要求。</w:t>
                  </w:r>
                </w:p>
              </w:tc>
              <w:tc>
                <w:tcPr>
                  <w:tcW w:w="2725" w:type="dxa"/>
                  <w:vAlign w:val="center"/>
                </w:tcPr>
                <w:p w14:paraId="3410F04F">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无</w:t>
                  </w:r>
                </w:p>
              </w:tc>
            </w:tr>
            <w:tr w14:paraId="30C9D6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511" w:type="dxa"/>
                  <w:vAlign w:val="center"/>
                </w:tcPr>
                <w:p w14:paraId="460B21FA">
                  <w:pPr>
                    <w:jc w:val="center"/>
                    <w:rPr>
                      <w:rFonts w:ascii="Times New Roman" w:hAnsi="Times New Roman" w:cs="Times New Roman"/>
                      <w:color w:val="000000" w:themeColor="text1"/>
                      <w:kern w:val="0"/>
                      <w:szCs w:val="21"/>
                      <w14:textFill>
                        <w14:solidFill>
                          <w14:schemeClr w14:val="tx1"/>
                        </w14:solidFill>
                      </w14:textFill>
                    </w:rPr>
                  </w:pPr>
                  <w:r>
                    <w:rPr>
                      <w:rFonts w:ascii="Times New Roman" w:hAnsi="Times New Roman" w:cs="Times New Roman"/>
                      <w:color w:val="000000" w:themeColor="text1"/>
                      <w:kern w:val="0"/>
                      <w:szCs w:val="21"/>
                      <w14:textFill>
                        <w14:solidFill>
                          <w14:schemeClr w14:val="tx1"/>
                        </w14:solidFill>
                      </w14:textFill>
                    </w:rPr>
                    <w:t>2</w:t>
                  </w:r>
                </w:p>
              </w:tc>
              <w:tc>
                <w:tcPr>
                  <w:tcW w:w="673" w:type="dxa"/>
                  <w:vMerge w:val="continue"/>
                  <w:vAlign w:val="center"/>
                </w:tcPr>
                <w:p w14:paraId="69890525">
                  <w:pPr>
                    <w:jc w:val="center"/>
                    <w:rPr>
                      <w:rFonts w:ascii="Times New Roman" w:hAnsi="Times New Roman" w:eastAsia="宋体" w:cs="Times New Roman"/>
                      <w:color w:val="000000" w:themeColor="text1"/>
                      <w:kern w:val="0"/>
                      <w:szCs w:val="21"/>
                      <w14:textFill>
                        <w14:solidFill>
                          <w14:schemeClr w14:val="tx1"/>
                        </w14:solidFill>
                      </w14:textFill>
                    </w:rPr>
                  </w:pPr>
                </w:p>
              </w:tc>
              <w:tc>
                <w:tcPr>
                  <w:tcW w:w="1215" w:type="dxa"/>
                  <w:vAlign w:val="center"/>
                </w:tcPr>
                <w:p w14:paraId="0E33A7C3">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脱硫塔沉淀池</w:t>
                  </w:r>
                </w:p>
              </w:tc>
              <w:tc>
                <w:tcPr>
                  <w:tcW w:w="3270" w:type="dxa"/>
                  <w:vAlign w:val="center"/>
                </w:tcPr>
                <w:p w14:paraId="34509832">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用防渗混凝土硬化地坪</w:t>
                  </w:r>
                  <w:r>
                    <w:rPr>
                      <w:rFonts w:ascii="Times New Roman" w:hAnsi="Times New Roman" w:eastAsia="Times New Roman" w:cs="Times New Roman"/>
                      <w:color w:val="000000" w:themeColor="text1"/>
                      <w:kern w:val="0"/>
                      <w:szCs w:val="21"/>
                      <w14:textFill>
                        <w14:solidFill>
                          <w14:schemeClr w14:val="tx1"/>
                        </w14:solidFill>
                      </w14:textFill>
                    </w:rPr>
                    <w:t>+2mm</w:t>
                  </w:r>
                  <w:r>
                    <w:rPr>
                      <w:rFonts w:ascii="Times New Roman" w:hAnsi="Times New Roman" w:eastAsia="宋体" w:cs="Times New Roman"/>
                      <w:color w:val="000000" w:themeColor="text1"/>
                      <w:kern w:val="0"/>
                      <w:szCs w:val="21"/>
                      <w14:textFill>
                        <w14:solidFill>
                          <w14:schemeClr w14:val="tx1"/>
                        </w14:solidFill>
                      </w14:textFill>
                    </w:rPr>
                    <w:t>高密度聚乙烯或等效防渗层进行防渗，防渗系数</w:t>
                  </w:r>
                  <w:r>
                    <w:rPr>
                      <w:rFonts w:ascii="Times New Roman" w:hAnsi="Times New Roman" w:eastAsia="Times New Roman" w:cs="Times New Roman"/>
                      <w:color w:val="000000" w:themeColor="text1"/>
                      <w:kern w:val="0"/>
                      <w:szCs w:val="21"/>
                      <w14:textFill>
                        <w14:solidFill>
                          <w14:schemeClr w14:val="tx1"/>
                        </w14:solidFill>
                      </w14:textFill>
                    </w:rPr>
                    <w:t>≤1.0×10</w:t>
                  </w:r>
                  <w:r>
                    <w:rPr>
                      <w:rFonts w:ascii="Times New Roman" w:hAnsi="Times New Roman" w:eastAsia="Times New Roman" w:cs="Times New Roman"/>
                      <w:color w:val="000000" w:themeColor="text1"/>
                      <w:kern w:val="0"/>
                      <w:szCs w:val="21"/>
                      <w:vertAlign w:val="superscript"/>
                      <w14:textFill>
                        <w14:solidFill>
                          <w14:schemeClr w14:val="tx1"/>
                        </w14:solidFill>
                      </w14:textFill>
                    </w:rPr>
                    <w:t>-10</w:t>
                  </w:r>
                  <w:r>
                    <w:rPr>
                      <w:rFonts w:ascii="Times New Roman" w:hAnsi="Times New Roman" w:eastAsia="Times New Roman" w:cs="Times New Roman"/>
                      <w:color w:val="000000" w:themeColor="text1"/>
                      <w:kern w:val="0"/>
                      <w:szCs w:val="21"/>
                      <w14:textFill>
                        <w14:solidFill>
                          <w14:schemeClr w14:val="tx1"/>
                        </w14:solidFill>
                      </w14:textFill>
                    </w:rPr>
                    <w:t>cm/s</w:t>
                  </w:r>
                  <w:r>
                    <w:rPr>
                      <w:rFonts w:ascii="Times New Roman" w:hAnsi="Times New Roman" w:eastAsia="宋体" w:cs="Times New Roman"/>
                      <w:color w:val="000000" w:themeColor="text1"/>
                      <w:kern w:val="0"/>
                      <w:szCs w:val="21"/>
                      <w14:textFill>
                        <w14:solidFill>
                          <w14:schemeClr w14:val="tx1"/>
                        </w14:solidFill>
                      </w14:textFill>
                    </w:rPr>
                    <w:t>；等效黏土防渗层Mb≥6m，防渗系数K≤1×10</w:t>
                  </w:r>
                  <w:r>
                    <w:rPr>
                      <w:rFonts w:ascii="Times New Roman" w:hAnsi="Times New Roman" w:eastAsia="宋体" w:cs="Times New Roman"/>
                      <w:color w:val="000000" w:themeColor="text1"/>
                      <w:kern w:val="0"/>
                      <w:szCs w:val="21"/>
                      <w:vertAlign w:val="superscript"/>
                      <w14:textFill>
                        <w14:solidFill>
                          <w14:schemeClr w14:val="tx1"/>
                        </w14:solidFill>
                      </w14:textFill>
                    </w:rPr>
                    <w:t>-7</w:t>
                  </w:r>
                  <w:r>
                    <w:rPr>
                      <w:rFonts w:ascii="Times New Roman" w:hAnsi="Times New Roman" w:eastAsia="宋体" w:cs="Times New Roman"/>
                      <w:color w:val="000000" w:themeColor="text1"/>
                      <w:kern w:val="0"/>
                      <w:szCs w:val="21"/>
                      <w14:textFill>
                        <w14:solidFill>
                          <w14:schemeClr w14:val="tx1"/>
                        </w14:solidFill>
                      </w14:textFill>
                    </w:rPr>
                    <w:t>cm/s。</w:t>
                  </w:r>
                </w:p>
              </w:tc>
              <w:tc>
                <w:tcPr>
                  <w:tcW w:w="2725" w:type="dxa"/>
                  <w:vAlign w:val="center"/>
                </w:tcPr>
                <w:p w14:paraId="06B95898">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无</w:t>
                  </w:r>
                </w:p>
              </w:tc>
            </w:tr>
            <w:tr w14:paraId="2E4688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511" w:type="dxa"/>
                  <w:vAlign w:val="center"/>
                </w:tcPr>
                <w:p w14:paraId="435C11E9">
                  <w:pPr>
                    <w:jc w:val="center"/>
                    <w:rPr>
                      <w:rFonts w:ascii="Times New Roman" w:hAnsi="Times New Roman" w:cs="Times New Roman"/>
                      <w:color w:val="000000" w:themeColor="text1"/>
                      <w:kern w:val="0"/>
                      <w:szCs w:val="21"/>
                      <w14:textFill>
                        <w14:solidFill>
                          <w14:schemeClr w14:val="tx1"/>
                        </w14:solidFill>
                      </w14:textFill>
                    </w:rPr>
                  </w:pPr>
                  <w:r>
                    <w:rPr>
                      <w:rFonts w:ascii="Times New Roman" w:hAnsi="Times New Roman" w:cs="Times New Roman"/>
                      <w:color w:val="000000" w:themeColor="text1"/>
                      <w:kern w:val="0"/>
                      <w:szCs w:val="21"/>
                      <w14:textFill>
                        <w14:solidFill>
                          <w14:schemeClr w14:val="tx1"/>
                        </w14:solidFill>
                      </w14:textFill>
                    </w:rPr>
                    <w:t>3</w:t>
                  </w:r>
                </w:p>
              </w:tc>
              <w:tc>
                <w:tcPr>
                  <w:tcW w:w="673" w:type="dxa"/>
                  <w:vMerge w:val="continue"/>
                  <w:vAlign w:val="center"/>
                </w:tcPr>
                <w:p w14:paraId="688A0A50">
                  <w:pPr>
                    <w:jc w:val="center"/>
                    <w:rPr>
                      <w:rFonts w:ascii="Times New Roman" w:hAnsi="Times New Roman" w:eastAsia="宋体" w:cs="Times New Roman"/>
                      <w:color w:val="000000" w:themeColor="text1"/>
                      <w:kern w:val="0"/>
                      <w:szCs w:val="21"/>
                      <w14:textFill>
                        <w14:solidFill>
                          <w14:schemeClr w14:val="tx1"/>
                        </w14:solidFill>
                      </w14:textFill>
                    </w:rPr>
                  </w:pPr>
                </w:p>
              </w:tc>
              <w:tc>
                <w:tcPr>
                  <w:tcW w:w="1215" w:type="dxa"/>
                  <w:vAlign w:val="center"/>
                </w:tcPr>
                <w:p w14:paraId="2F411998">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一般工业固废贮存间、导流沟、渗滤液收集池</w:t>
                  </w:r>
                </w:p>
              </w:tc>
              <w:tc>
                <w:tcPr>
                  <w:tcW w:w="3270" w:type="dxa"/>
                  <w:vAlign w:val="center"/>
                </w:tcPr>
                <w:p w14:paraId="3AC4A5BD">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2725" w:type="dxa"/>
                  <w:vAlign w:val="center"/>
                </w:tcPr>
                <w:p w14:paraId="21BCB35C">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评价要求素土夯实，用防渗混凝土硬化地坪</w:t>
                  </w:r>
                  <w:r>
                    <w:rPr>
                      <w:rFonts w:ascii="Times New Roman" w:hAnsi="Times New Roman" w:eastAsia="Times New Roman" w:cs="Times New Roman"/>
                      <w:color w:val="000000" w:themeColor="text1"/>
                      <w:kern w:val="0"/>
                      <w:szCs w:val="21"/>
                      <w14:textFill>
                        <w14:solidFill>
                          <w14:schemeClr w14:val="tx1"/>
                        </w14:solidFill>
                      </w14:textFill>
                    </w:rPr>
                    <w:t>+2mm</w:t>
                  </w:r>
                  <w:r>
                    <w:rPr>
                      <w:rFonts w:ascii="Times New Roman" w:hAnsi="Times New Roman" w:eastAsia="宋体" w:cs="Times New Roman"/>
                      <w:color w:val="000000" w:themeColor="text1"/>
                      <w:kern w:val="0"/>
                      <w:szCs w:val="21"/>
                      <w14:textFill>
                        <w14:solidFill>
                          <w14:schemeClr w14:val="tx1"/>
                        </w14:solidFill>
                      </w14:textFill>
                    </w:rPr>
                    <w:t>高密度聚乙烯或等效防渗层进行防渗，等效黏土防渗层Mb≥6m，防渗系数K≤1×10</w:t>
                  </w:r>
                  <w:r>
                    <w:rPr>
                      <w:rFonts w:ascii="Times New Roman" w:hAnsi="Times New Roman" w:eastAsia="宋体" w:cs="Times New Roman"/>
                      <w:color w:val="000000" w:themeColor="text1"/>
                      <w:kern w:val="0"/>
                      <w:szCs w:val="21"/>
                      <w:vertAlign w:val="superscript"/>
                      <w14:textFill>
                        <w14:solidFill>
                          <w14:schemeClr w14:val="tx1"/>
                        </w14:solidFill>
                      </w14:textFill>
                    </w:rPr>
                    <w:t>-7</w:t>
                  </w:r>
                  <w:r>
                    <w:rPr>
                      <w:rFonts w:ascii="Times New Roman" w:hAnsi="Times New Roman" w:eastAsia="宋体" w:cs="Times New Roman"/>
                      <w:color w:val="000000" w:themeColor="text1"/>
                      <w:kern w:val="0"/>
                      <w:szCs w:val="21"/>
                      <w14:textFill>
                        <w14:solidFill>
                          <w14:schemeClr w14:val="tx1"/>
                        </w14:solidFill>
                      </w14:textFill>
                    </w:rPr>
                    <w:t>cm/s。车间四周要求设置收集沟、渗滤液收集池、围堰，并对其进行防渗。</w:t>
                  </w:r>
                </w:p>
              </w:tc>
            </w:tr>
            <w:tr w14:paraId="60D40E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511" w:type="dxa"/>
                  <w:vAlign w:val="center"/>
                </w:tcPr>
                <w:p w14:paraId="2795E117">
                  <w:pPr>
                    <w:jc w:val="center"/>
                    <w:rPr>
                      <w:rFonts w:ascii="Times New Roman" w:hAnsi="Times New Roman" w:cs="Times New Roman"/>
                      <w:color w:val="000000" w:themeColor="text1"/>
                      <w:kern w:val="0"/>
                      <w:szCs w:val="21"/>
                      <w14:textFill>
                        <w14:solidFill>
                          <w14:schemeClr w14:val="tx1"/>
                        </w14:solidFill>
                      </w14:textFill>
                    </w:rPr>
                  </w:pPr>
                  <w:r>
                    <w:rPr>
                      <w:rFonts w:ascii="Times New Roman" w:hAnsi="Times New Roman" w:cs="Times New Roman"/>
                      <w:color w:val="000000" w:themeColor="text1"/>
                      <w:kern w:val="0"/>
                      <w:szCs w:val="21"/>
                      <w14:textFill>
                        <w14:solidFill>
                          <w14:schemeClr w14:val="tx1"/>
                        </w14:solidFill>
                      </w14:textFill>
                    </w:rPr>
                    <w:t>4</w:t>
                  </w:r>
                </w:p>
              </w:tc>
              <w:tc>
                <w:tcPr>
                  <w:tcW w:w="673" w:type="dxa"/>
                  <w:vMerge w:val="restart"/>
                  <w:vAlign w:val="center"/>
                </w:tcPr>
                <w:p w14:paraId="07973F1A">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一般防渗区</w:t>
                  </w:r>
                </w:p>
              </w:tc>
              <w:tc>
                <w:tcPr>
                  <w:tcW w:w="1215" w:type="dxa"/>
                  <w:vAlign w:val="center"/>
                </w:tcPr>
                <w:p w14:paraId="3A4ACD5C">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维修车间</w:t>
                  </w:r>
                </w:p>
              </w:tc>
              <w:tc>
                <w:tcPr>
                  <w:tcW w:w="3270" w:type="dxa"/>
                  <w:vAlign w:val="center"/>
                </w:tcPr>
                <w:p w14:paraId="5D9F556F">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szCs w:val="24"/>
                      <w14:textFill>
                        <w14:solidFill>
                          <w14:schemeClr w14:val="tx1"/>
                        </w14:solidFill>
                      </w14:textFill>
                    </w:rPr>
                    <w:t>采取简单硬化，且地面出现破损，不满足一般防渗要求。</w:t>
                  </w:r>
                </w:p>
              </w:tc>
              <w:tc>
                <w:tcPr>
                  <w:tcW w:w="2725" w:type="dxa"/>
                  <w:vAlign w:val="center"/>
                </w:tcPr>
                <w:p w14:paraId="64FDE77D">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评价要求地面铺设防渗混凝土，等效黏土防渗层Mb≥1.5m，防渗系数K≤1×10</w:t>
                  </w:r>
                  <w:r>
                    <w:rPr>
                      <w:rFonts w:ascii="Times New Roman" w:hAnsi="Times New Roman" w:eastAsia="宋体" w:cs="Times New Roman"/>
                      <w:color w:val="000000" w:themeColor="text1"/>
                      <w:kern w:val="0"/>
                      <w:szCs w:val="21"/>
                      <w:vertAlign w:val="superscript"/>
                      <w14:textFill>
                        <w14:solidFill>
                          <w14:schemeClr w14:val="tx1"/>
                        </w14:solidFill>
                      </w14:textFill>
                    </w:rPr>
                    <w:t>-7</w:t>
                  </w:r>
                  <w:r>
                    <w:rPr>
                      <w:rFonts w:ascii="Times New Roman" w:hAnsi="Times New Roman" w:eastAsia="宋体" w:cs="Times New Roman"/>
                      <w:color w:val="000000" w:themeColor="text1"/>
                      <w:kern w:val="0"/>
                      <w:szCs w:val="21"/>
                      <w14:textFill>
                        <w14:solidFill>
                          <w14:schemeClr w14:val="tx1"/>
                        </w14:solidFill>
                      </w14:textFill>
                    </w:rPr>
                    <w:t>cm/s</w:t>
                  </w:r>
                </w:p>
              </w:tc>
            </w:tr>
            <w:tr w14:paraId="14AC55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511" w:type="dxa"/>
                  <w:vAlign w:val="center"/>
                </w:tcPr>
                <w:p w14:paraId="43454158">
                  <w:pPr>
                    <w:jc w:val="center"/>
                    <w:rPr>
                      <w:rFonts w:ascii="Times New Roman" w:hAnsi="Times New Roman" w:cs="Times New Roman"/>
                      <w:color w:val="000000" w:themeColor="text1"/>
                      <w:kern w:val="0"/>
                      <w:szCs w:val="21"/>
                      <w14:textFill>
                        <w14:solidFill>
                          <w14:schemeClr w14:val="tx1"/>
                        </w14:solidFill>
                      </w14:textFill>
                    </w:rPr>
                  </w:pPr>
                  <w:r>
                    <w:rPr>
                      <w:rFonts w:ascii="Times New Roman" w:hAnsi="Times New Roman" w:cs="Times New Roman"/>
                      <w:color w:val="000000" w:themeColor="text1"/>
                      <w:kern w:val="0"/>
                      <w:szCs w:val="21"/>
                      <w14:textFill>
                        <w14:solidFill>
                          <w14:schemeClr w14:val="tx1"/>
                        </w14:solidFill>
                      </w14:textFill>
                    </w:rPr>
                    <w:t>5</w:t>
                  </w:r>
                </w:p>
              </w:tc>
              <w:tc>
                <w:tcPr>
                  <w:tcW w:w="673" w:type="dxa"/>
                  <w:vMerge w:val="continue"/>
                  <w:vAlign w:val="center"/>
                </w:tcPr>
                <w:p w14:paraId="6DFA6076">
                  <w:pPr>
                    <w:jc w:val="center"/>
                    <w:rPr>
                      <w:rFonts w:ascii="Times New Roman" w:hAnsi="Times New Roman" w:eastAsia="宋体" w:cs="Times New Roman"/>
                      <w:color w:val="000000" w:themeColor="text1"/>
                      <w:kern w:val="0"/>
                      <w:szCs w:val="21"/>
                      <w14:textFill>
                        <w14:solidFill>
                          <w14:schemeClr w14:val="tx1"/>
                        </w14:solidFill>
                      </w14:textFill>
                    </w:rPr>
                  </w:pPr>
                </w:p>
              </w:tc>
              <w:tc>
                <w:tcPr>
                  <w:tcW w:w="1215" w:type="dxa"/>
                  <w:vAlign w:val="center"/>
                </w:tcPr>
                <w:p w14:paraId="3BBCEB12">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隧道窑、制砖车间、制砖车间、预处理池</w:t>
                  </w:r>
                </w:p>
              </w:tc>
              <w:tc>
                <w:tcPr>
                  <w:tcW w:w="3270" w:type="dxa"/>
                  <w:vAlign w:val="center"/>
                </w:tcPr>
                <w:p w14:paraId="5B027EEB">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已采取防渗混凝土硬化</w:t>
                  </w:r>
                </w:p>
              </w:tc>
              <w:tc>
                <w:tcPr>
                  <w:tcW w:w="2725" w:type="dxa"/>
                  <w:vAlign w:val="center"/>
                </w:tcPr>
                <w:p w14:paraId="09584817">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无</w:t>
                  </w:r>
                </w:p>
              </w:tc>
            </w:tr>
            <w:tr w14:paraId="44A524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511" w:type="dxa"/>
                  <w:vAlign w:val="center"/>
                </w:tcPr>
                <w:p w14:paraId="68A1AF81">
                  <w:pPr>
                    <w:jc w:val="center"/>
                    <w:rPr>
                      <w:rFonts w:ascii="Times New Roman" w:hAnsi="Times New Roman" w:cs="Times New Roman"/>
                      <w:color w:val="000000" w:themeColor="text1"/>
                      <w:kern w:val="0"/>
                      <w:szCs w:val="21"/>
                      <w14:textFill>
                        <w14:solidFill>
                          <w14:schemeClr w14:val="tx1"/>
                        </w14:solidFill>
                      </w14:textFill>
                    </w:rPr>
                  </w:pPr>
                  <w:r>
                    <w:rPr>
                      <w:rFonts w:ascii="Times New Roman" w:hAnsi="Times New Roman" w:cs="Times New Roman"/>
                      <w:color w:val="000000" w:themeColor="text1"/>
                      <w:kern w:val="0"/>
                      <w:szCs w:val="21"/>
                      <w14:textFill>
                        <w14:solidFill>
                          <w14:schemeClr w14:val="tx1"/>
                        </w14:solidFill>
                      </w14:textFill>
                    </w:rPr>
                    <w:t>6</w:t>
                  </w:r>
                </w:p>
              </w:tc>
              <w:tc>
                <w:tcPr>
                  <w:tcW w:w="673" w:type="dxa"/>
                  <w:vMerge w:val="continue"/>
                  <w:vAlign w:val="center"/>
                </w:tcPr>
                <w:p w14:paraId="1682DFAA">
                  <w:pPr>
                    <w:jc w:val="center"/>
                    <w:rPr>
                      <w:rFonts w:ascii="Times New Roman" w:hAnsi="Times New Roman" w:eastAsia="宋体" w:cs="Times New Roman"/>
                      <w:color w:val="000000" w:themeColor="text1"/>
                      <w:kern w:val="0"/>
                      <w:szCs w:val="21"/>
                      <w14:textFill>
                        <w14:solidFill>
                          <w14:schemeClr w14:val="tx1"/>
                        </w14:solidFill>
                      </w14:textFill>
                    </w:rPr>
                  </w:pPr>
                </w:p>
              </w:tc>
              <w:tc>
                <w:tcPr>
                  <w:tcW w:w="1215" w:type="dxa"/>
                  <w:vAlign w:val="center"/>
                </w:tcPr>
                <w:p w14:paraId="7AEEE6BD">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雨水池</w:t>
                  </w:r>
                </w:p>
              </w:tc>
              <w:tc>
                <w:tcPr>
                  <w:tcW w:w="3270" w:type="dxa"/>
                  <w:vAlign w:val="center"/>
                </w:tcPr>
                <w:p w14:paraId="2EC11E4F">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w:t>
                  </w:r>
                </w:p>
              </w:tc>
              <w:tc>
                <w:tcPr>
                  <w:tcW w:w="2725" w:type="dxa"/>
                  <w:vAlign w:val="center"/>
                </w:tcPr>
                <w:p w14:paraId="347F112C">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评价要求池底、池壁铺设防渗混凝土，等效黏土防渗层Mb≥1.5m，防渗系数K≤1×10</w:t>
                  </w:r>
                  <w:r>
                    <w:rPr>
                      <w:rFonts w:ascii="Times New Roman" w:hAnsi="Times New Roman" w:eastAsia="宋体" w:cs="Times New Roman"/>
                      <w:color w:val="000000" w:themeColor="text1"/>
                      <w:kern w:val="0"/>
                      <w:szCs w:val="21"/>
                      <w:vertAlign w:val="superscript"/>
                      <w14:textFill>
                        <w14:solidFill>
                          <w14:schemeClr w14:val="tx1"/>
                        </w14:solidFill>
                      </w14:textFill>
                    </w:rPr>
                    <w:t>-7</w:t>
                  </w:r>
                  <w:r>
                    <w:rPr>
                      <w:rFonts w:ascii="Times New Roman" w:hAnsi="Times New Roman" w:eastAsia="宋体" w:cs="Times New Roman"/>
                      <w:color w:val="000000" w:themeColor="text1"/>
                      <w:kern w:val="0"/>
                      <w:szCs w:val="21"/>
                      <w14:textFill>
                        <w14:solidFill>
                          <w14:schemeClr w14:val="tx1"/>
                        </w14:solidFill>
                      </w14:textFill>
                    </w:rPr>
                    <w:t>cm/s</w:t>
                  </w:r>
                </w:p>
              </w:tc>
            </w:tr>
            <w:tr w14:paraId="72D60C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511" w:type="dxa"/>
                  <w:vAlign w:val="center"/>
                </w:tcPr>
                <w:p w14:paraId="1983C6FE">
                  <w:pPr>
                    <w:jc w:val="center"/>
                    <w:rPr>
                      <w:rFonts w:ascii="Times New Roman" w:hAnsi="Times New Roman" w:cs="Times New Roman"/>
                      <w:color w:val="000000" w:themeColor="text1"/>
                      <w:kern w:val="0"/>
                      <w:szCs w:val="21"/>
                      <w14:textFill>
                        <w14:solidFill>
                          <w14:schemeClr w14:val="tx1"/>
                        </w14:solidFill>
                      </w14:textFill>
                    </w:rPr>
                  </w:pPr>
                  <w:r>
                    <w:rPr>
                      <w:rFonts w:ascii="Times New Roman" w:hAnsi="Times New Roman" w:cs="Times New Roman"/>
                      <w:color w:val="000000" w:themeColor="text1"/>
                      <w:kern w:val="0"/>
                      <w:szCs w:val="21"/>
                      <w14:textFill>
                        <w14:solidFill>
                          <w14:schemeClr w14:val="tx1"/>
                        </w14:solidFill>
                      </w14:textFill>
                    </w:rPr>
                    <w:t>7</w:t>
                  </w:r>
                </w:p>
              </w:tc>
              <w:tc>
                <w:tcPr>
                  <w:tcW w:w="673" w:type="dxa"/>
                  <w:vAlign w:val="center"/>
                </w:tcPr>
                <w:p w14:paraId="1253EA50">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简单防渗区</w:t>
                  </w:r>
                </w:p>
              </w:tc>
              <w:tc>
                <w:tcPr>
                  <w:tcW w:w="1215" w:type="dxa"/>
                  <w:vAlign w:val="center"/>
                </w:tcPr>
                <w:p w14:paraId="2B64AD4E">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原料堆场、办公楼、倒班房、成品堆场</w:t>
                  </w:r>
                </w:p>
              </w:tc>
              <w:tc>
                <w:tcPr>
                  <w:tcW w:w="3270" w:type="dxa"/>
                  <w:vAlign w:val="center"/>
                </w:tcPr>
                <w:p w14:paraId="254E9ABE">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已进行一般地面硬化</w:t>
                  </w:r>
                </w:p>
              </w:tc>
              <w:tc>
                <w:tcPr>
                  <w:tcW w:w="2725" w:type="dxa"/>
                  <w:vAlign w:val="center"/>
                </w:tcPr>
                <w:p w14:paraId="631453CF">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无</w:t>
                  </w:r>
                </w:p>
              </w:tc>
            </w:tr>
          </w:tbl>
          <w:p w14:paraId="2BD4ED9A">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（3）影响分析</w:t>
            </w:r>
          </w:p>
          <w:p w14:paraId="6F330090">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综上所述，采取分区防护措施后，对地下水、土壤有影响的各个环节均能得到良好控制，故本项目对地下水和土壤的影响较小。</w:t>
            </w:r>
          </w:p>
          <w:p w14:paraId="3A28DE34">
            <w:pPr>
              <w:adjustRightInd w:val="0"/>
              <w:snapToGrid w:val="0"/>
              <w:spacing w:line="360" w:lineRule="auto"/>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六、环境风险</w:t>
            </w:r>
          </w:p>
          <w:p w14:paraId="0DDBD8E6">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（1）风险调查</w:t>
            </w:r>
          </w:p>
          <w:p w14:paraId="76051FD3">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根据《建设项目环境风险评价技术导则》（HJ169-2018）附录B及《危险化学品重大危险源辨识》（GB18218-2018），对本项目原辅材料、产品及生产过程中排放的污染物进行危险性识别。本项目原材料为页岩、水基钻井废弃物、无机工业污泥等均为一般工业固废，脱硫工艺采用双碱脱硫法，设备采用机油进行维护保养。其中机油属于《建设项目环境风险评价技术导则》（HJ169-2018）附录B中重点关注的“油类物质（矿物油类，如石油、汽油、柴油等；生物柴油等）”。</w:t>
            </w:r>
          </w:p>
          <w:p w14:paraId="6EC438CF">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（2）风险调查</w:t>
            </w:r>
          </w:p>
          <w:p w14:paraId="554B9E86">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计算所涉及的每种污染物危险物质在厂界内的最大存在总量与其在《建设项目环境风险评价技术导则》（HJ169-2018）附录B中对应临界量的比值Q。当只涉及一种危险物质时，计算该物质的总量与其临界量比值，即为Q；当存在多种危险物质时，则按下式计算总量与其临界量比值（Q）：</w:t>
            </w:r>
          </w:p>
          <w:p w14:paraId="258DF824">
            <w:pPr>
              <w:adjustRightInd w:val="0"/>
              <w:snapToGrid w:val="0"/>
              <w:spacing w:line="360" w:lineRule="auto"/>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Q=q</w:t>
            </w:r>
            <w:r>
              <w:rPr>
                <w:rFonts w:ascii="Times New Roman" w:hAnsi="Times New Roman" w:eastAsia="宋体" w:cs="Times New Roman"/>
                <w:color w:val="000000" w:themeColor="text1"/>
                <w:sz w:val="24"/>
                <w:szCs w:val="24"/>
                <w:vertAlign w:val="subscript"/>
                <w14:textFill>
                  <w14:solidFill>
                    <w14:schemeClr w14:val="tx1"/>
                  </w14:solidFill>
                </w14:textFill>
              </w:rPr>
              <w:t>1</w:t>
            </w:r>
            <w:r>
              <w:rPr>
                <w:rFonts w:ascii="Times New Roman" w:hAnsi="Times New Roman" w:eastAsia="宋体" w:cs="Times New Roman"/>
                <w:color w:val="000000" w:themeColor="text1"/>
                <w:sz w:val="24"/>
                <w:szCs w:val="24"/>
                <w14:textFill>
                  <w14:solidFill>
                    <w14:schemeClr w14:val="tx1"/>
                  </w14:solidFill>
                </w14:textFill>
              </w:rPr>
              <w:t>/Q</w:t>
            </w:r>
            <w:r>
              <w:rPr>
                <w:rFonts w:ascii="Times New Roman" w:hAnsi="Times New Roman" w:eastAsia="宋体" w:cs="Times New Roman"/>
                <w:color w:val="000000" w:themeColor="text1"/>
                <w:sz w:val="24"/>
                <w:szCs w:val="24"/>
                <w:vertAlign w:val="subscript"/>
                <w14:textFill>
                  <w14:solidFill>
                    <w14:schemeClr w14:val="tx1"/>
                  </w14:solidFill>
                </w14:textFill>
              </w:rPr>
              <w:t>1</w:t>
            </w:r>
            <w:r>
              <w:rPr>
                <w:rFonts w:ascii="Times New Roman" w:hAnsi="Times New Roman" w:eastAsia="宋体" w:cs="Times New Roman"/>
                <w:color w:val="000000" w:themeColor="text1"/>
                <w:sz w:val="24"/>
                <w:szCs w:val="24"/>
                <w14:textFill>
                  <w14:solidFill>
                    <w14:schemeClr w14:val="tx1"/>
                  </w14:solidFill>
                </w14:textFill>
              </w:rPr>
              <w:t>+ q</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/Q</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 q</w:t>
            </w:r>
            <w:r>
              <w:rPr>
                <w:rFonts w:ascii="Times New Roman" w:hAnsi="Times New Roman" w:eastAsia="宋体" w:cs="Times New Roman"/>
                <w:color w:val="000000" w:themeColor="text1"/>
                <w:sz w:val="24"/>
                <w:szCs w:val="24"/>
                <w:vertAlign w:val="subscript"/>
                <w14:textFill>
                  <w14:solidFill>
                    <w14:schemeClr w14:val="tx1"/>
                  </w14:solidFill>
                </w14:textFill>
              </w:rPr>
              <w:t>n</w:t>
            </w:r>
            <w:r>
              <w:rPr>
                <w:rFonts w:ascii="Times New Roman" w:hAnsi="Times New Roman" w:eastAsia="宋体" w:cs="Times New Roman"/>
                <w:color w:val="000000" w:themeColor="text1"/>
                <w:sz w:val="24"/>
                <w:szCs w:val="24"/>
                <w14:textFill>
                  <w14:solidFill>
                    <w14:schemeClr w14:val="tx1"/>
                  </w14:solidFill>
                </w14:textFill>
              </w:rPr>
              <w:t>/Q</w:t>
            </w:r>
            <w:r>
              <w:rPr>
                <w:rFonts w:ascii="Times New Roman" w:hAnsi="Times New Roman" w:eastAsia="宋体" w:cs="Times New Roman"/>
                <w:color w:val="000000" w:themeColor="text1"/>
                <w:sz w:val="24"/>
                <w:szCs w:val="24"/>
                <w:vertAlign w:val="subscript"/>
                <w14:textFill>
                  <w14:solidFill>
                    <w14:schemeClr w14:val="tx1"/>
                  </w14:solidFill>
                </w14:textFill>
              </w:rPr>
              <w:t>n</w:t>
            </w:r>
          </w:p>
          <w:p w14:paraId="70F9B277">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式中：q</w:t>
            </w:r>
            <w:r>
              <w:rPr>
                <w:rFonts w:ascii="Times New Roman" w:hAnsi="Times New Roman" w:eastAsia="宋体" w:cs="Times New Roman"/>
                <w:color w:val="000000" w:themeColor="text1"/>
                <w:sz w:val="24"/>
                <w:szCs w:val="24"/>
                <w:vertAlign w:val="subscript"/>
                <w14:textFill>
                  <w14:solidFill>
                    <w14:schemeClr w14:val="tx1"/>
                  </w14:solidFill>
                </w14:textFill>
              </w:rPr>
              <w:t>1</w:t>
            </w:r>
            <w:r>
              <w:rPr>
                <w:rFonts w:ascii="Times New Roman" w:hAnsi="Times New Roman" w:eastAsia="宋体" w:cs="Times New Roman"/>
                <w:color w:val="000000" w:themeColor="text1"/>
                <w:sz w:val="24"/>
                <w:szCs w:val="24"/>
                <w14:textFill>
                  <w14:solidFill>
                    <w14:schemeClr w14:val="tx1"/>
                  </w14:solidFill>
                </w14:textFill>
              </w:rPr>
              <w:t>，q</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，…，q</w:t>
            </w:r>
            <w:r>
              <w:rPr>
                <w:rFonts w:ascii="Times New Roman" w:hAnsi="Times New Roman" w:eastAsia="宋体" w:cs="Times New Roman"/>
                <w:color w:val="000000" w:themeColor="text1"/>
                <w:sz w:val="24"/>
                <w:szCs w:val="24"/>
                <w:vertAlign w:val="subscript"/>
                <w14:textFill>
                  <w14:solidFill>
                    <w14:schemeClr w14:val="tx1"/>
                  </w14:solidFill>
                </w14:textFill>
              </w:rPr>
              <w:t>n</w:t>
            </w:r>
            <w:r>
              <w:rPr>
                <w:rFonts w:ascii="Times New Roman" w:hAnsi="Times New Roman" w:eastAsia="宋体" w:cs="Times New Roman"/>
                <w:color w:val="000000" w:themeColor="text1"/>
                <w:sz w:val="24"/>
                <w:szCs w:val="24"/>
                <w14:textFill>
                  <w14:solidFill>
                    <w14:schemeClr w14:val="tx1"/>
                  </w14:solidFill>
                </w14:textFill>
              </w:rPr>
              <w:t>----每种危险物质的最大存在总量，t；</w:t>
            </w:r>
          </w:p>
          <w:p w14:paraId="21FA6323">
            <w:pPr>
              <w:adjustRightInd w:val="0"/>
              <w:snapToGrid w:val="0"/>
              <w:spacing w:line="360" w:lineRule="auto"/>
              <w:ind w:firstLine="1200" w:firstLineChars="5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Q</w:t>
            </w:r>
            <w:r>
              <w:rPr>
                <w:rFonts w:ascii="Times New Roman" w:hAnsi="Times New Roman" w:eastAsia="宋体" w:cs="Times New Roman"/>
                <w:color w:val="000000" w:themeColor="text1"/>
                <w:sz w:val="24"/>
                <w:szCs w:val="24"/>
                <w:vertAlign w:val="subscript"/>
                <w14:textFill>
                  <w14:solidFill>
                    <w14:schemeClr w14:val="tx1"/>
                  </w14:solidFill>
                </w14:textFill>
              </w:rPr>
              <w:t>1</w:t>
            </w:r>
            <w:r>
              <w:rPr>
                <w:rFonts w:ascii="Times New Roman" w:hAnsi="Times New Roman" w:eastAsia="宋体" w:cs="Times New Roman"/>
                <w:color w:val="000000" w:themeColor="text1"/>
                <w:sz w:val="24"/>
                <w:szCs w:val="24"/>
                <w14:textFill>
                  <w14:solidFill>
                    <w14:schemeClr w14:val="tx1"/>
                  </w14:solidFill>
                </w14:textFill>
              </w:rPr>
              <w:t>，Q</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，…，Q</w:t>
            </w:r>
            <w:r>
              <w:rPr>
                <w:rFonts w:ascii="Times New Roman" w:hAnsi="Times New Roman" w:eastAsia="宋体" w:cs="Times New Roman"/>
                <w:color w:val="000000" w:themeColor="text1"/>
                <w:sz w:val="24"/>
                <w:szCs w:val="24"/>
                <w:vertAlign w:val="subscript"/>
                <w14:textFill>
                  <w14:solidFill>
                    <w14:schemeClr w14:val="tx1"/>
                  </w14:solidFill>
                </w14:textFill>
              </w:rPr>
              <w:t>n</w:t>
            </w:r>
            <w:r>
              <w:rPr>
                <w:rFonts w:ascii="Times New Roman" w:hAnsi="Times New Roman" w:eastAsia="宋体" w:cs="Times New Roman"/>
                <w:color w:val="000000" w:themeColor="text1"/>
                <w:sz w:val="24"/>
                <w:szCs w:val="24"/>
                <w14:textFill>
                  <w14:solidFill>
                    <w14:schemeClr w14:val="tx1"/>
                  </w14:solidFill>
                </w14:textFill>
              </w:rPr>
              <w:t>----每种危险物质的临界量，t。</w:t>
            </w:r>
          </w:p>
          <w:p w14:paraId="51845EC8">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当Q＜1时，该项目环境风险潜势为</w:t>
            </w:r>
            <w:r>
              <w:rPr>
                <w:rFonts w:hint="eastAsia" w:ascii="宋体" w:hAnsi="宋体" w:eastAsia="宋体" w:cs="宋体"/>
                <w:color w:val="000000" w:themeColor="text1"/>
                <w:sz w:val="24"/>
                <w:szCs w:val="24"/>
                <w14:textFill>
                  <w14:solidFill>
                    <w14:schemeClr w14:val="tx1"/>
                  </w14:solidFill>
                </w14:textFill>
              </w:rPr>
              <w:t>Ⅰ</w:t>
            </w:r>
            <w:r>
              <w:rPr>
                <w:rFonts w:ascii="Times New Roman" w:hAnsi="Times New Roman" w:eastAsia="宋体" w:cs="Times New Roman"/>
                <w:color w:val="000000" w:themeColor="text1"/>
                <w:sz w:val="24"/>
                <w:szCs w:val="24"/>
                <w14:textFill>
                  <w14:solidFill>
                    <w14:schemeClr w14:val="tx1"/>
                  </w14:solidFill>
                </w14:textFill>
              </w:rPr>
              <w:t>。当Q＞1时，将Q值划分为：</w:t>
            </w:r>
          </w:p>
          <w:p w14:paraId="0F2BBDE7">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1≤Q＜10；10≤Q＜100；Q≥100。</w:t>
            </w:r>
          </w:p>
          <w:p w14:paraId="21320E3B">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本项目机油年用量200L，约182kg，临界量为2500t。本项目Q=182/2500/1000=0.00008＜1，因此，项目环境风险潜势为I，无需进行环境风险评价专项分析。</w:t>
            </w:r>
          </w:p>
          <w:p w14:paraId="04027FE4">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（3）环境风险分析</w:t>
            </w:r>
          </w:p>
          <w:p w14:paraId="6C00C475">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本项目风险事故主要是机油及废机油由于管理不善或者人员操作不当导致</w:t>
            </w:r>
            <w:r>
              <w:rPr>
                <w:rFonts w:hint="eastAsia" w:ascii="Times New Roman" w:hAnsi="Times New Roman" w:eastAsia="宋体" w:cs="Times New Roman"/>
                <w:color w:val="000000" w:themeColor="text1"/>
                <w:sz w:val="24"/>
                <w:szCs w:val="24"/>
                <w:lang w:eastAsia="zh-CN"/>
                <w14:textFill>
                  <w14:solidFill>
                    <w14:schemeClr w14:val="tx1"/>
                  </w14:solidFill>
                </w14:textFill>
              </w:rPr>
              <w:t>泄漏</w:t>
            </w:r>
            <w:r>
              <w:rPr>
                <w:rFonts w:ascii="Times New Roman" w:hAnsi="Times New Roman" w:eastAsia="宋体" w:cs="Times New Roman"/>
                <w:color w:val="000000" w:themeColor="text1"/>
                <w:sz w:val="24"/>
                <w:szCs w:val="24"/>
                <w14:textFill>
                  <w14:solidFill>
                    <w14:schemeClr w14:val="tx1"/>
                  </w14:solidFill>
                </w14:textFill>
              </w:rPr>
              <w:t>事故。少量油品泄漏可能造成局部土壤污染；若</w:t>
            </w:r>
            <w:r>
              <w:rPr>
                <w:rFonts w:hint="eastAsia" w:ascii="Times New Roman" w:hAnsi="Times New Roman" w:eastAsia="宋体" w:cs="Times New Roman"/>
                <w:color w:val="000000" w:themeColor="text1"/>
                <w:sz w:val="24"/>
                <w:szCs w:val="24"/>
                <w:lang w:eastAsia="zh-CN"/>
                <w14:textFill>
                  <w14:solidFill>
                    <w14:schemeClr w14:val="tx1"/>
                  </w14:solidFill>
                </w14:textFill>
              </w:rPr>
              <w:t>泄漏</w:t>
            </w:r>
            <w:r>
              <w:rPr>
                <w:rFonts w:ascii="Times New Roman" w:hAnsi="Times New Roman" w:eastAsia="宋体" w:cs="Times New Roman"/>
                <w:color w:val="000000" w:themeColor="text1"/>
                <w:sz w:val="24"/>
                <w:szCs w:val="24"/>
                <w14:textFill>
                  <w14:solidFill>
                    <w14:schemeClr w14:val="tx1"/>
                  </w14:solidFill>
                </w14:textFill>
              </w:rPr>
              <w:t>机油在遇明火的情况下，引发火灾事故，并会产生伴生／次生污染从而污染大气环境。项目一般工业固废贮存间污泥渗滤液下渗导致土壤、地下水污染。</w:t>
            </w:r>
          </w:p>
          <w:p w14:paraId="4A64BD4E">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（4）风险防范措施</w:t>
            </w:r>
          </w:p>
          <w:p w14:paraId="450FEF42">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尽管环境风险的客观存在无法改变，但通过科学的设计、施工、操作和管理，可将风险事故发生的可能性和危害性降低到最小程度，真正做到防患于未然，达到预防事故发生的目的。</w:t>
            </w:r>
          </w:p>
          <w:p w14:paraId="230BE890">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①</w:t>
            </w:r>
            <w:r>
              <w:rPr>
                <w:rFonts w:ascii="Times New Roman" w:hAnsi="Times New Roman" w:eastAsia="宋体" w:cs="Times New Roman"/>
                <w:color w:val="000000" w:themeColor="text1"/>
                <w:sz w:val="24"/>
                <w:szCs w:val="24"/>
                <w14:textFill>
                  <w14:solidFill>
                    <w14:schemeClr w14:val="tx1"/>
                  </w14:solidFill>
                </w14:textFill>
              </w:rPr>
              <w:t>严格按照《建筑设计防火规范》合理布置总图。落实各项消防设施，预留消防通道。生产装置之间，装置内各工序、设备间距满足防火规范要求。</w:t>
            </w:r>
          </w:p>
          <w:p w14:paraId="670D95B2">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②</w:t>
            </w:r>
            <w:r>
              <w:rPr>
                <w:rFonts w:ascii="Times New Roman" w:hAnsi="Times New Roman" w:eastAsia="宋体" w:cs="Times New Roman"/>
                <w:color w:val="000000" w:themeColor="text1"/>
                <w:sz w:val="24"/>
                <w:szCs w:val="24"/>
                <w14:textFill>
                  <w14:solidFill>
                    <w14:schemeClr w14:val="tx1"/>
                  </w14:solidFill>
                </w14:textFill>
              </w:rPr>
              <w:t>按消防要求设置相应的消防应急物资，项目负责消防安全的人员必须保证消防水系统正常有效，按消防要求配备灭火器。消防器材不准随意挪动、乱用，并要定期检查，灭火器要按时换药。</w:t>
            </w:r>
          </w:p>
          <w:p w14:paraId="04EF9BBB">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③</w:t>
            </w:r>
            <w:r>
              <w:rPr>
                <w:rFonts w:ascii="Times New Roman" w:hAnsi="Times New Roman" w:eastAsia="宋体" w:cs="Times New Roman"/>
                <w:color w:val="000000" w:themeColor="text1"/>
                <w:sz w:val="24"/>
                <w:szCs w:val="24"/>
                <w14:textFill>
                  <w14:solidFill>
                    <w14:schemeClr w14:val="tx1"/>
                  </w14:solidFill>
                </w14:textFill>
              </w:rPr>
              <w:t>加强设备电源线路的维护，避免电器火花产生及静电的集聚。出现火灾时及时将可燃物品搬离，远离火源。</w:t>
            </w:r>
          </w:p>
          <w:p w14:paraId="3A6E31F4">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④</w:t>
            </w:r>
            <w:r>
              <w:rPr>
                <w:rFonts w:ascii="Times New Roman" w:hAnsi="Times New Roman" w:eastAsia="宋体" w:cs="Times New Roman"/>
                <w:color w:val="000000" w:themeColor="text1"/>
                <w:sz w:val="24"/>
                <w:szCs w:val="24"/>
                <w14:textFill>
                  <w14:solidFill>
                    <w14:schemeClr w14:val="tx1"/>
                  </w14:solidFill>
                </w14:textFill>
              </w:rPr>
              <w:t>项目机油应单独存放且存放区域地面应进行防渗处理，建立严格的入库管理制度，入库时严格检验物品质量、数量、包装等情况，入库后采取适当的防护措施，注意机油是否有</w:t>
            </w:r>
            <w:r>
              <w:rPr>
                <w:rFonts w:hint="eastAsia" w:ascii="Times New Roman" w:hAnsi="Times New Roman" w:eastAsia="宋体" w:cs="Times New Roman"/>
                <w:color w:val="000000" w:themeColor="text1"/>
                <w:sz w:val="24"/>
                <w:szCs w:val="24"/>
                <w:lang w:eastAsia="zh-CN"/>
                <w14:textFill>
                  <w14:solidFill>
                    <w14:schemeClr w14:val="tx1"/>
                  </w14:solidFill>
                </w14:textFill>
              </w:rPr>
              <w:t>泄漏</w:t>
            </w:r>
            <w:r>
              <w:rPr>
                <w:rFonts w:ascii="Times New Roman" w:hAnsi="Times New Roman" w:eastAsia="宋体" w:cs="Times New Roman"/>
                <w:color w:val="000000" w:themeColor="text1"/>
                <w:sz w:val="24"/>
                <w:szCs w:val="24"/>
                <w14:textFill>
                  <w14:solidFill>
                    <w14:schemeClr w14:val="tx1"/>
                  </w14:solidFill>
                </w14:textFill>
              </w:rPr>
              <w:t>；远离热源和明火源。设立防火安全警示、标志。</w:t>
            </w:r>
          </w:p>
          <w:p w14:paraId="4E152BE3">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⑤</w:t>
            </w:r>
            <w:r>
              <w:rPr>
                <w:rFonts w:ascii="Times New Roman" w:hAnsi="Times New Roman" w:eastAsia="宋体" w:cs="Times New Roman"/>
                <w:color w:val="000000" w:themeColor="text1"/>
                <w:sz w:val="24"/>
                <w:szCs w:val="24"/>
                <w14:textFill>
                  <w14:solidFill>
                    <w14:schemeClr w14:val="tx1"/>
                  </w14:solidFill>
                </w14:textFill>
              </w:rPr>
              <w:t>危险废物暂存间必须要密闭建设，门口内侧设立围堰，地面及裙脚进行重点防渗处理。设置空桶作为备用收容设施。临时贮存时间不得过长，及时交由危废资质单位外运处置。</w:t>
            </w:r>
          </w:p>
          <w:p w14:paraId="2522DE24">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⑥</w:t>
            </w:r>
            <w:r>
              <w:rPr>
                <w:rFonts w:ascii="Times New Roman" w:hAnsi="Times New Roman" w:eastAsia="宋体" w:cs="Times New Roman"/>
                <w:color w:val="000000" w:themeColor="text1"/>
                <w:sz w:val="24"/>
                <w:szCs w:val="24"/>
                <w14:textFill>
                  <w14:solidFill>
                    <w14:schemeClr w14:val="tx1"/>
                  </w14:solidFill>
                </w14:textFill>
              </w:rPr>
              <w:t>一般工业固废贮存间四周设置导流沟以及1个1m</w:t>
            </w:r>
            <w:r>
              <w:rPr>
                <w:rFonts w:ascii="Times New Roman" w:hAnsi="Times New Roman" w:eastAsia="宋体" w:cs="Times New Roman"/>
                <w:color w:val="000000" w:themeColor="text1"/>
                <w:sz w:val="24"/>
                <w:szCs w:val="24"/>
                <w:vertAlign w:val="super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的渗滤液收集池，采取重点防渗措施，</w:t>
            </w:r>
            <w:r>
              <w:rPr>
                <w:rFonts w:ascii="Times New Roman" w:hAnsi="Times New Roman" w:eastAsia="宋体" w:cs="Times New Roman"/>
                <w:color w:val="000000" w:themeColor="text1"/>
                <w:kern w:val="0"/>
                <w:sz w:val="24"/>
                <w:szCs w:val="24"/>
                <w14:textFill>
                  <w14:solidFill>
                    <w14:schemeClr w14:val="tx1"/>
                  </w14:solidFill>
                </w14:textFill>
              </w:rPr>
              <w:t>要求素土夯实，用防渗混凝土硬化地坪</w:t>
            </w:r>
            <w:r>
              <w:rPr>
                <w:rFonts w:ascii="Times New Roman" w:hAnsi="Times New Roman" w:eastAsia="Times New Roman" w:cs="Times New Roman"/>
                <w:color w:val="000000" w:themeColor="text1"/>
                <w:kern w:val="0"/>
                <w:sz w:val="24"/>
                <w:szCs w:val="24"/>
                <w14:textFill>
                  <w14:solidFill>
                    <w14:schemeClr w14:val="tx1"/>
                  </w14:solidFill>
                </w14:textFill>
              </w:rPr>
              <w:t>+2mm</w:t>
            </w:r>
            <w:r>
              <w:rPr>
                <w:rFonts w:ascii="Times New Roman" w:hAnsi="Times New Roman" w:eastAsia="宋体" w:cs="Times New Roman"/>
                <w:color w:val="000000" w:themeColor="text1"/>
                <w:kern w:val="0"/>
                <w:sz w:val="24"/>
                <w:szCs w:val="24"/>
                <w14:textFill>
                  <w14:solidFill>
                    <w14:schemeClr w14:val="tx1"/>
                  </w14:solidFill>
                </w14:textFill>
              </w:rPr>
              <w:t>高密度聚乙烯或等效防渗层进行防渗，等效黏土防渗层Mb≥6m，防渗系数K≤1×10</w:t>
            </w:r>
            <w:r>
              <w:rPr>
                <w:rFonts w:ascii="Times New Roman" w:hAnsi="Times New Roman" w:eastAsia="宋体" w:cs="Times New Roman"/>
                <w:color w:val="000000" w:themeColor="text1"/>
                <w:kern w:val="0"/>
                <w:sz w:val="24"/>
                <w:szCs w:val="24"/>
                <w:vertAlign w:val="superscript"/>
                <w14:textFill>
                  <w14:solidFill>
                    <w14:schemeClr w14:val="tx1"/>
                  </w14:solidFill>
                </w14:textFill>
              </w:rPr>
              <w:t>-7</w:t>
            </w:r>
            <w:r>
              <w:rPr>
                <w:rFonts w:ascii="Times New Roman" w:hAnsi="Times New Roman" w:eastAsia="宋体" w:cs="Times New Roman"/>
                <w:color w:val="000000" w:themeColor="text1"/>
                <w:kern w:val="0"/>
                <w:sz w:val="24"/>
                <w:szCs w:val="24"/>
                <w14:textFill>
                  <w14:solidFill>
                    <w14:schemeClr w14:val="tx1"/>
                  </w14:solidFill>
                </w14:textFill>
              </w:rPr>
              <w:t>cm/s，满足防扬撒、防渗漏、防腐蚀要求。</w:t>
            </w:r>
          </w:p>
          <w:p w14:paraId="1D1ADA52">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⑦</w:t>
            </w:r>
            <w:r>
              <w:rPr>
                <w:rFonts w:ascii="Times New Roman" w:hAnsi="Times New Roman" w:eastAsia="宋体" w:cs="Times New Roman"/>
                <w:color w:val="000000" w:themeColor="text1"/>
                <w:sz w:val="24"/>
                <w:szCs w:val="24"/>
                <w14:textFill>
                  <w14:solidFill>
                    <w14:schemeClr w14:val="tx1"/>
                  </w14:solidFill>
                </w14:textFill>
              </w:rPr>
              <w:t>建立健全安全检查制度、环境管理体系，定期对各项生产和环保设施进行安全检查，及时整改安全隐患，防止事故发生。</w:t>
            </w:r>
          </w:p>
          <w:p w14:paraId="6C217C80">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lang w:eastAsia="ja-JP"/>
                <w14:textFill>
                  <w14:solidFill>
                    <w14:schemeClr w14:val="tx1"/>
                  </w14:solidFill>
                </w14:textFill>
              </w:rPr>
              <w:t>⑧</w:t>
            </w:r>
            <w:r>
              <w:rPr>
                <w:rFonts w:ascii="Times New Roman" w:hAnsi="Times New Roman" w:eastAsia="宋体" w:cs="Times New Roman"/>
                <w:color w:val="000000" w:themeColor="text1"/>
                <w:sz w:val="24"/>
                <w:szCs w:val="24"/>
                <w14:textFill>
                  <w14:solidFill>
                    <w14:schemeClr w14:val="tx1"/>
                  </w14:solidFill>
                </w14:textFill>
              </w:rPr>
              <w:t>对职工要加强职业培训和安全环保教育。培养职工要有高度的安全生产责任心，并且要熟悉相应的业务，有熟练的操作技能。</w:t>
            </w:r>
          </w:p>
          <w:p w14:paraId="4973B2EE">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（5）事故应急处置</w:t>
            </w:r>
          </w:p>
          <w:p w14:paraId="72C9643A">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事故的应急预案是根据工程风险源风险分析，制定的防止事故发生和减少事故发生后的损失的计划。企业应制定风险应急预案，并加强演练。</w:t>
            </w:r>
          </w:p>
          <w:p w14:paraId="45D8F183">
            <w:pPr>
              <w:numPr>
                <w:ilvl w:val="0"/>
                <w:numId w:val="7"/>
              </w:numPr>
              <w:adjustRightInd w:val="0"/>
              <w:snapToGrid w:val="0"/>
              <w:spacing w:line="360" w:lineRule="auto"/>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泄漏应急处理</w:t>
            </w:r>
          </w:p>
          <w:p w14:paraId="0AEF1106">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①</w:t>
            </w:r>
            <w:r>
              <w:rPr>
                <w:rFonts w:ascii="Times New Roman" w:hAnsi="Times New Roman" w:eastAsia="宋体" w:cs="Times New Roman"/>
                <w:color w:val="000000" w:themeColor="text1"/>
                <w:sz w:val="24"/>
                <w:szCs w:val="24"/>
                <w14:textFill>
                  <w14:solidFill>
                    <w14:schemeClr w14:val="tx1"/>
                  </w14:solidFill>
                </w14:textFill>
              </w:rPr>
              <w:t>事故现场，严禁火种，切断电源，迅速撤离泄漏污染区人员至安全区，并进行隔离，严格限制出入，加强通风。</w:t>
            </w:r>
          </w:p>
          <w:p w14:paraId="4E9A3D09">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②</w:t>
            </w:r>
            <w:r>
              <w:rPr>
                <w:rFonts w:ascii="Times New Roman" w:hAnsi="Times New Roman" w:eastAsia="宋体" w:cs="Times New Roman"/>
                <w:color w:val="000000" w:themeColor="text1"/>
                <w:sz w:val="24"/>
                <w:szCs w:val="24"/>
                <w14:textFill>
                  <w14:solidFill>
                    <w14:schemeClr w14:val="tx1"/>
                  </w14:solidFill>
                </w14:textFill>
              </w:rPr>
              <w:t>应急处理人员须配备必要的个人防护器具（如自给式呼吸器、防静电防护服、护目镜、防护靴、防护手套等），严禁单独行动，要有监护人，必须时作水枪、水炮掩护。</w:t>
            </w:r>
          </w:p>
          <w:p w14:paraId="07FA39BF">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③</w:t>
            </w:r>
            <w:r>
              <w:rPr>
                <w:rFonts w:ascii="Times New Roman" w:hAnsi="Times New Roman" w:eastAsia="宋体" w:cs="Times New Roman"/>
                <w:color w:val="000000" w:themeColor="text1"/>
                <w:sz w:val="24"/>
                <w:szCs w:val="24"/>
                <w14:textFill>
                  <w14:solidFill>
                    <w14:schemeClr w14:val="tx1"/>
                  </w14:solidFill>
                </w14:textFill>
              </w:rPr>
              <w:t>项目危险物料不得超量储存，发生泄漏时，尽可能将</w:t>
            </w:r>
            <w:r>
              <w:rPr>
                <w:rFonts w:hint="eastAsia" w:ascii="Times New Roman" w:hAnsi="Times New Roman" w:eastAsia="宋体" w:cs="Times New Roman"/>
                <w:color w:val="000000" w:themeColor="text1"/>
                <w:sz w:val="24"/>
                <w:szCs w:val="24"/>
                <w:lang w:eastAsia="zh-CN"/>
                <w14:textFill>
                  <w14:solidFill>
                    <w14:schemeClr w14:val="tx1"/>
                  </w14:solidFill>
                </w14:textFill>
              </w:rPr>
              <w:t>泄漏</w:t>
            </w:r>
            <w:r>
              <w:rPr>
                <w:rFonts w:ascii="Times New Roman" w:hAnsi="Times New Roman" w:eastAsia="宋体" w:cs="Times New Roman"/>
                <w:color w:val="000000" w:themeColor="text1"/>
                <w:sz w:val="24"/>
                <w:szCs w:val="24"/>
                <w14:textFill>
                  <w14:solidFill>
                    <w14:schemeClr w14:val="tx1"/>
                  </w14:solidFill>
                </w14:textFill>
              </w:rPr>
              <w:t>物料收集到有盖容器内，用砂土或其它惰性材料吸收残液，也可用不燃性分散剂制成的乳液或肥皂水、洗涤剂洗刷，对使用过的洗液及使用过的吸附物必须有效收集，交由有相应处理资质的单位按照相关法律法规进行处置。</w:t>
            </w:r>
          </w:p>
          <w:p w14:paraId="5FD2BDD0">
            <w:pPr>
              <w:numPr>
                <w:ilvl w:val="0"/>
                <w:numId w:val="8"/>
              </w:numPr>
              <w:adjustRightInd w:val="0"/>
              <w:snapToGrid w:val="0"/>
              <w:spacing w:line="360" w:lineRule="auto"/>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着火应急处理</w:t>
            </w:r>
          </w:p>
          <w:p w14:paraId="101A8ECA">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本项目涉及的易燃物质主要为机油，若发生火灾，宜采用如下应急灭火方法：</w:t>
            </w:r>
            <w:r>
              <w:rPr>
                <w:rFonts w:hint="eastAsia" w:ascii="宋体" w:hAnsi="宋体" w:eastAsia="宋体" w:cs="宋体"/>
                <w:color w:val="000000" w:themeColor="text1"/>
                <w:sz w:val="24"/>
                <w:szCs w:val="24"/>
                <w14:textFill>
                  <w14:solidFill>
                    <w14:schemeClr w14:val="tx1"/>
                  </w14:solidFill>
                </w14:textFill>
              </w:rPr>
              <w:t>①</w:t>
            </w:r>
            <w:r>
              <w:rPr>
                <w:rFonts w:ascii="Times New Roman" w:hAnsi="Times New Roman" w:eastAsia="宋体" w:cs="Times New Roman"/>
                <w:color w:val="000000" w:themeColor="text1"/>
                <w:sz w:val="24"/>
                <w:szCs w:val="24"/>
                <w14:textFill>
                  <w14:solidFill>
                    <w14:schemeClr w14:val="tx1"/>
                  </w14:solidFill>
                </w14:textFill>
              </w:rPr>
              <w:t>尽可能将容器从火场移至空旷处。喷水保持火场容器冷却，直至灭火结束。</w:t>
            </w:r>
          </w:p>
          <w:p w14:paraId="7FB69744">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处在火场中的容器若已变色或压力增大产生声音，必须马上撤离。根据物料情况，使用适用的灭火剂：抗溶性泡沫、干粉、二氧化碳、砂土。</w:t>
            </w:r>
          </w:p>
          <w:p w14:paraId="65AB24F0">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②</w:t>
            </w:r>
            <w:r>
              <w:rPr>
                <w:rFonts w:ascii="Times New Roman" w:hAnsi="Times New Roman" w:eastAsia="宋体" w:cs="Times New Roman"/>
                <w:color w:val="000000" w:themeColor="text1"/>
                <w:sz w:val="24"/>
                <w:szCs w:val="24"/>
                <w14:textFill>
                  <w14:solidFill>
                    <w14:schemeClr w14:val="tx1"/>
                  </w14:solidFill>
                </w14:textFill>
              </w:rPr>
              <w:t>切断火势蔓延的途径，冷却和疏散受火势威胁的密闭容器和可燃物，控制燃烧范围，并积极抢救受伤和被困人员。</w:t>
            </w:r>
          </w:p>
          <w:p w14:paraId="785DE0C9">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③</w:t>
            </w:r>
            <w:r>
              <w:rPr>
                <w:rFonts w:ascii="Times New Roman" w:hAnsi="Times New Roman" w:eastAsia="宋体" w:cs="Times New Roman"/>
                <w:color w:val="000000" w:themeColor="text1"/>
                <w:sz w:val="24"/>
                <w:szCs w:val="24"/>
                <w14:textFill>
                  <w14:solidFill>
                    <w14:schemeClr w14:val="tx1"/>
                  </w14:solidFill>
                </w14:textFill>
              </w:rPr>
              <w:t>通知环保、安全等相关部门人员，启动应急救护程序。</w:t>
            </w:r>
          </w:p>
          <w:p w14:paraId="68C7336B">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④</w:t>
            </w:r>
            <w:r>
              <w:rPr>
                <w:rFonts w:ascii="Times New Roman" w:hAnsi="Times New Roman" w:eastAsia="宋体" w:cs="Times New Roman"/>
                <w:color w:val="000000" w:themeColor="text1"/>
                <w:sz w:val="24"/>
                <w:szCs w:val="24"/>
                <w14:textFill>
                  <w14:solidFill>
                    <w14:schemeClr w14:val="tx1"/>
                  </w14:solidFill>
                </w14:textFill>
              </w:rPr>
              <w:t>组织救援小组，封锁现场，疏散人员。</w:t>
            </w:r>
          </w:p>
          <w:p w14:paraId="2046382C">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⑤</w:t>
            </w:r>
            <w:r>
              <w:rPr>
                <w:rFonts w:ascii="Times New Roman" w:hAnsi="Times New Roman" w:eastAsia="宋体" w:cs="Times New Roman"/>
                <w:color w:val="000000" w:themeColor="text1"/>
                <w:sz w:val="24"/>
                <w:szCs w:val="24"/>
                <w14:textFill>
                  <w14:solidFill>
                    <w14:schemeClr w14:val="tx1"/>
                  </w14:solidFill>
                </w14:textFill>
              </w:rPr>
              <w:t>灭火工作结束后，对现场进行恢复清理，对环境可能受到污染范围内的空气、水样、土壤进行取样监测，判定污染影响程度和采取必要的处理。</w:t>
            </w:r>
          </w:p>
          <w:p w14:paraId="77C1F0FD">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⑥</w:t>
            </w:r>
            <w:r>
              <w:rPr>
                <w:rFonts w:ascii="Times New Roman" w:hAnsi="Times New Roman" w:eastAsia="宋体" w:cs="Times New Roman"/>
                <w:color w:val="000000" w:themeColor="text1"/>
                <w:sz w:val="24"/>
                <w:szCs w:val="24"/>
                <w14:textFill>
                  <w14:solidFill>
                    <w14:schemeClr w14:val="tx1"/>
                  </w14:solidFill>
                </w14:textFill>
              </w:rPr>
              <w:t>调查和鉴定事故原因，提出事故评估报告，补充和修改事故防范措施和应急方案。</w:t>
            </w:r>
          </w:p>
          <w:p w14:paraId="6E6DCE23">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（6）环境风险评价结论</w:t>
            </w:r>
          </w:p>
          <w:p w14:paraId="4CDB209D">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在各环境风险防范措施落实到位的情况下，项目可最大限度地降低环境风险，一旦意外事件发生，也能最大限度地减少环境污染危害和</w:t>
            </w:r>
            <w:r>
              <w:rPr>
                <w:rFonts w:hint="eastAsia" w:ascii="Times New Roman" w:hAnsi="Times New Roman" w:eastAsia="宋体" w:cs="Times New Roman"/>
                <w:color w:val="000000" w:themeColor="text1"/>
                <w:sz w:val="24"/>
                <w:szCs w:val="24"/>
                <w:lang w:eastAsia="zh-CN"/>
                <w14:textFill>
                  <w14:solidFill>
                    <w14:schemeClr w14:val="tx1"/>
                  </w14:solidFill>
                </w14:textFill>
              </w:rPr>
              <w:t>人民生命财产</w:t>
            </w:r>
            <w:r>
              <w:rPr>
                <w:rFonts w:ascii="Times New Roman" w:hAnsi="Times New Roman" w:eastAsia="宋体" w:cs="Times New Roman"/>
                <w:color w:val="000000" w:themeColor="text1"/>
                <w:sz w:val="24"/>
                <w:szCs w:val="24"/>
                <w14:textFill>
                  <w14:solidFill>
                    <w14:schemeClr w14:val="tx1"/>
                  </w14:solidFill>
                </w14:textFill>
              </w:rPr>
              <w:t>的损失。</w:t>
            </w:r>
          </w:p>
          <w:p w14:paraId="49C4762E">
            <w:pPr>
              <w:widowControl/>
              <w:spacing w:line="360" w:lineRule="auto"/>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kern w:val="0"/>
                <w:sz w:val="24"/>
                <w:szCs w:val="24"/>
                <w14:textFill>
                  <w14:solidFill>
                    <w14:schemeClr w14:val="tx1"/>
                  </w14:solidFill>
                </w14:textFill>
              </w:rPr>
              <w:t>七、</w:t>
            </w:r>
            <w:r>
              <w:rPr>
                <w:rFonts w:ascii="Times New Roman" w:hAnsi="Times New Roman" w:eastAsia="宋体" w:cs="Times New Roman"/>
                <w:b/>
                <w:color w:val="000000" w:themeColor="text1"/>
                <w:kern w:val="0"/>
                <w:sz w:val="24"/>
                <w:szCs w:val="24"/>
                <w14:textFill>
                  <w14:solidFill>
                    <w14:schemeClr w14:val="tx1"/>
                  </w14:solidFill>
                </w14:textFill>
              </w:rPr>
              <w:t>项目环保措施及投资清单</w:t>
            </w:r>
          </w:p>
          <w:p w14:paraId="648F47DE">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本项目总投资200万元，环保投资15万元，占工程总投资的7.5%，其环保措施及投资额基本合理。项目环保投资及其建设内容见下表。</w:t>
            </w:r>
          </w:p>
          <w:p w14:paraId="680C2C81">
            <w:pPr>
              <w:jc w:val="center"/>
              <w:rPr>
                <w:rFonts w:ascii="Times New Roman" w:hAnsi="Times New Roman" w:eastAsia="宋体" w:cs="Times New Roman"/>
                <w:b/>
                <w:color w:val="000000" w:themeColor="text1"/>
                <w:szCs w:val="24"/>
                <w14:textFill>
                  <w14:solidFill>
                    <w14:schemeClr w14:val="tx1"/>
                  </w14:solidFill>
                </w14:textFill>
              </w:rPr>
            </w:pPr>
            <w:bookmarkStart w:id="36" w:name="_Hlk78382387"/>
            <w:r>
              <w:rPr>
                <w:rFonts w:ascii="Times New Roman" w:hAnsi="Times New Roman" w:eastAsia="宋体" w:cs="Times New Roman"/>
                <w:b/>
                <w:bCs/>
                <w:color w:val="000000" w:themeColor="text1"/>
                <w:szCs w:val="21"/>
                <w14:textFill>
                  <w14:solidFill>
                    <w14:schemeClr w14:val="tx1"/>
                  </w14:solidFill>
                </w14:textFill>
              </w:rPr>
              <w:t xml:space="preserve">表4-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表4-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17</w:t>
            </w:r>
            <w:r>
              <w:rPr>
                <w:rFonts w:ascii="Times New Roman" w:hAnsi="Times New Roman" w:eastAsia="宋体" w:cs="Times New Roman"/>
                <w:b/>
                <w:bCs/>
                <w:color w:val="000000" w:themeColor="text1"/>
                <w:szCs w:val="21"/>
                <w14:textFill>
                  <w14:solidFill>
                    <w14:schemeClr w14:val="tx1"/>
                  </w14:solidFill>
                </w14:textFill>
              </w:rPr>
              <w:fldChar w:fldCharType="end"/>
            </w:r>
            <w:r>
              <w:rPr>
                <w:rFonts w:ascii="Times New Roman" w:hAnsi="Times New Roman" w:eastAsia="宋体" w:cs="Times New Roman"/>
                <w:b/>
                <w:bCs/>
                <w:color w:val="000000" w:themeColor="text1"/>
                <w:szCs w:val="21"/>
                <w14:textFill>
                  <w14:solidFill>
                    <w14:schemeClr w14:val="tx1"/>
                  </w14:solidFill>
                </w14:textFill>
              </w:rPr>
              <w:t xml:space="preserve">   </w:t>
            </w:r>
            <w:r>
              <w:rPr>
                <w:rFonts w:ascii="Times New Roman" w:hAnsi="Times New Roman" w:eastAsia="宋体" w:cs="Times New Roman"/>
                <w:b/>
                <w:color w:val="000000" w:themeColor="text1"/>
                <w:szCs w:val="24"/>
                <w14:textFill>
                  <w14:solidFill>
                    <w14:schemeClr w14:val="tx1"/>
                  </w14:solidFill>
                </w14:textFill>
              </w:rPr>
              <w:t>项目环保投资及其建设内容</w:t>
            </w:r>
          </w:p>
          <w:tbl>
            <w:tblPr>
              <w:tblStyle w:val="24"/>
              <w:tblW w:w="85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6"/>
              <w:gridCol w:w="1207"/>
              <w:gridCol w:w="4517"/>
              <w:gridCol w:w="912"/>
              <w:gridCol w:w="777"/>
            </w:tblGrid>
            <w:tr w14:paraId="7264A2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7" w:hRule="atLeast"/>
                <w:jc w:val="center"/>
              </w:trPr>
              <w:tc>
                <w:tcPr>
                  <w:tcW w:w="1106" w:type="dxa"/>
                  <w:vAlign w:val="center"/>
                </w:tcPr>
                <w:p w14:paraId="72CA0287">
                  <w:pPr>
                    <w:spacing w:line="320" w:lineRule="exact"/>
                    <w:ind w:left="-42" w:leftChars="-20" w:right="-42" w:rightChars="-2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项目</w:t>
                  </w:r>
                </w:p>
              </w:tc>
              <w:tc>
                <w:tcPr>
                  <w:tcW w:w="5724" w:type="dxa"/>
                  <w:gridSpan w:val="2"/>
                  <w:vAlign w:val="center"/>
                </w:tcPr>
                <w:p w14:paraId="6299789F">
                  <w:pPr>
                    <w:spacing w:line="320" w:lineRule="exact"/>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环保建设内容</w:t>
                  </w:r>
                </w:p>
              </w:tc>
              <w:tc>
                <w:tcPr>
                  <w:tcW w:w="912" w:type="dxa"/>
                  <w:tcMar>
                    <w:top w:w="0" w:type="dxa"/>
                    <w:left w:w="0" w:type="dxa"/>
                    <w:bottom w:w="0" w:type="dxa"/>
                    <w:right w:w="0" w:type="dxa"/>
                  </w:tcMar>
                  <w:vAlign w:val="center"/>
                </w:tcPr>
                <w:p w14:paraId="794CC78D">
                  <w:pPr>
                    <w:spacing w:line="320" w:lineRule="exact"/>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投资估算</w:t>
                  </w:r>
                </w:p>
                <w:p w14:paraId="3A00CC86">
                  <w:pPr>
                    <w:spacing w:line="320" w:lineRule="exact"/>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（万元）</w:t>
                  </w:r>
                </w:p>
              </w:tc>
              <w:tc>
                <w:tcPr>
                  <w:tcW w:w="777" w:type="dxa"/>
                  <w:vAlign w:val="center"/>
                </w:tcPr>
                <w:p w14:paraId="444EBC8D">
                  <w:pPr>
                    <w:spacing w:line="320" w:lineRule="exact"/>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备注</w:t>
                  </w:r>
                </w:p>
              </w:tc>
            </w:tr>
            <w:tr w14:paraId="7DBEE2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7" w:hRule="atLeast"/>
                <w:jc w:val="center"/>
              </w:trPr>
              <w:tc>
                <w:tcPr>
                  <w:tcW w:w="1106" w:type="dxa"/>
                  <w:vMerge w:val="restart"/>
                  <w:vAlign w:val="center"/>
                </w:tcPr>
                <w:p w14:paraId="1D8EB02C">
                  <w:pPr>
                    <w:spacing w:line="320" w:lineRule="exact"/>
                    <w:ind w:left="-42" w:leftChars="-20" w:right="-42" w:rightChars="-2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废气</w:t>
                  </w:r>
                </w:p>
              </w:tc>
              <w:tc>
                <w:tcPr>
                  <w:tcW w:w="1207" w:type="dxa"/>
                  <w:vAlign w:val="center"/>
                </w:tcPr>
                <w:p w14:paraId="661C52D0">
                  <w:pPr>
                    <w:spacing w:line="320" w:lineRule="exact"/>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原料制备车间粉尘</w:t>
                  </w:r>
                </w:p>
              </w:tc>
              <w:tc>
                <w:tcPr>
                  <w:tcW w:w="4517" w:type="dxa"/>
                  <w:vAlign w:val="center"/>
                </w:tcPr>
                <w:p w14:paraId="6E0318AA">
                  <w:pP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原料制备车间破碎机已经设置独立房间、粉料胶带输送机已经设置封闭廊道，以上设备均设负压风机集气，最终进入一套布袋除尘器进行处理，之后经15m排气筒（DA001）外排。</w:t>
                  </w:r>
                </w:p>
              </w:tc>
              <w:tc>
                <w:tcPr>
                  <w:tcW w:w="912" w:type="dxa"/>
                  <w:tcMar>
                    <w:top w:w="0" w:type="dxa"/>
                    <w:left w:w="0" w:type="dxa"/>
                    <w:bottom w:w="0" w:type="dxa"/>
                    <w:right w:w="0" w:type="dxa"/>
                  </w:tcMar>
                  <w:vAlign w:val="center"/>
                </w:tcPr>
                <w:p w14:paraId="719B309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777" w:type="dxa"/>
                  <w:vAlign w:val="center"/>
                </w:tcPr>
                <w:p w14:paraId="04D1EA8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利旧</w:t>
                  </w:r>
                </w:p>
              </w:tc>
            </w:tr>
            <w:tr w14:paraId="581F2A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7" w:hRule="atLeast"/>
                <w:jc w:val="center"/>
              </w:trPr>
              <w:tc>
                <w:tcPr>
                  <w:tcW w:w="1106" w:type="dxa"/>
                  <w:vMerge w:val="continue"/>
                  <w:vAlign w:val="center"/>
                </w:tcPr>
                <w:p w14:paraId="54CA17C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207" w:type="dxa"/>
                  <w:vAlign w:val="center"/>
                </w:tcPr>
                <w:p w14:paraId="5691CE96">
                  <w:pPr>
                    <w:spacing w:line="320" w:lineRule="exact"/>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隧道窑、烘干窑废气</w:t>
                  </w:r>
                </w:p>
              </w:tc>
              <w:tc>
                <w:tcPr>
                  <w:tcW w:w="4517" w:type="dxa"/>
                  <w:vAlign w:val="center"/>
                </w:tcPr>
                <w:p w14:paraId="679D1F67">
                  <w:pP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隧道窑窑炉烟气经干燥区砖坯吸附后，进入一套湿式脱硫塔处理后经18m排气筒（DA002）外排，烘干车间新增一套湿式脱硫塔，废气经湿式脱硫塔处理后经18m排气筒（DA003）外排。</w:t>
                  </w:r>
                </w:p>
              </w:tc>
              <w:tc>
                <w:tcPr>
                  <w:tcW w:w="912" w:type="dxa"/>
                  <w:tcMar>
                    <w:top w:w="0" w:type="dxa"/>
                    <w:left w:w="0" w:type="dxa"/>
                    <w:bottom w:w="0" w:type="dxa"/>
                    <w:right w:w="0" w:type="dxa"/>
                  </w:tcMar>
                  <w:vAlign w:val="center"/>
                </w:tcPr>
                <w:p w14:paraId="7BD1804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777" w:type="dxa"/>
                  <w:vAlign w:val="center"/>
                </w:tcPr>
                <w:p w14:paraId="4F06B650">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利旧</w:t>
                  </w:r>
                </w:p>
              </w:tc>
            </w:tr>
            <w:tr w14:paraId="142A4E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7" w:hRule="atLeast"/>
                <w:jc w:val="center"/>
              </w:trPr>
              <w:tc>
                <w:tcPr>
                  <w:tcW w:w="1106" w:type="dxa"/>
                  <w:vMerge w:val="continue"/>
                  <w:vAlign w:val="center"/>
                </w:tcPr>
                <w:p w14:paraId="68B049E4">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207" w:type="dxa"/>
                  <w:vAlign w:val="center"/>
                </w:tcPr>
                <w:p w14:paraId="12653573">
                  <w:pPr>
                    <w:spacing w:line="320" w:lineRule="exact"/>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一般固废贮存间异味</w:t>
                  </w:r>
                </w:p>
              </w:tc>
              <w:tc>
                <w:tcPr>
                  <w:tcW w:w="4517" w:type="dxa"/>
                  <w:vAlign w:val="center"/>
                </w:tcPr>
                <w:p w14:paraId="3D557D06">
                  <w:pP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一般固废贮存间车间采取负压机械抽风，废气经采取水喷淋吸收。</w:t>
                  </w:r>
                </w:p>
              </w:tc>
              <w:tc>
                <w:tcPr>
                  <w:tcW w:w="912" w:type="dxa"/>
                  <w:tcMar>
                    <w:top w:w="0" w:type="dxa"/>
                    <w:left w:w="0" w:type="dxa"/>
                    <w:bottom w:w="0" w:type="dxa"/>
                    <w:right w:w="0" w:type="dxa"/>
                  </w:tcMar>
                  <w:vAlign w:val="center"/>
                </w:tcPr>
                <w:p w14:paraId="0254DB0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5.0</w:t>
                  </w:r>
                </w:p>
              </w:tc>
              <w:tc>
                <w:tcPr>
                  <w:tcW w:w="777" w:type="dxa"/>
                  <w:vAlign w:val="center"/>
                </w:tcPr>
                <w:p w14:paraId="418CEE5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新建</w:t>
                  </w:r>
                </w:p>
              </w:tc>
            </w:tr>
            <w:tr w14:paraId="56E0B3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7" w:hRule="atLeast"/>
                <w:jc w:val="center"/>
              </w:trPr>
              <w:tc>
                <w:tcPr>
                  <w:tcW w:w="1106" w:type="dxa"/>
                  <w:vMerge w:val="continue"/>
                  <w:vAlign w:val="center"/>
                </w:tcPr>
                <w:p w14:paraId="5E394E55">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207" w:type="dxa"/>
                  <w:vAlign w:val="center"/>
                </w:tcPr>
                <w:p w14:paraId="2F63571D">
                  <w:pPr>
                    <w:spacing w:line="320" w:lineRule="exact"/>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原料堆存粉尘</w:t>
                  </w:r>
                </w:p>
              </w:tc>
              <w:tc>
                <w:tcPr>
                  <w:tcW w:w="4517" w:type="dxa"/>
                  <w:vAlign w:val="center"/>
                </w:tcPr>
                <w:p w14:paraId="710235C4">
                  <w:pP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采取彩钢结构原料堆场，堆场四周设置喷雾喷水抑尘。</w:t>
                  </w:r>
                </w:p>
              </w:tc>
              <w:tc>
                <w:tcPr>
                  <w:tcW w:w="912" w:type="dxa"/>
                  <w:tcMar>
                    <w:top w:w="0" w:type="dxa"/>
                    <w:left w:w="0" w:type="dxa"/>
                    <w:bottom w:w="0" w:type="dxa"/>
                    <w:right w:w="0" w:type="dxa"/>
                  </w:tcMar>
                  <w:vAlign w:val="center"/>
                </w:tcPr>
                <w:p w14:paraId="1F2869B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777" w:type="dxa"/>
                  <w:vAlign w:val="center"/>
                </w:tcPr>
                <w:p w14:paraId="5634C9F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利旧</w:t>
                  </w:r>
                </w:p>
              </w:tc>
            </w:tr>
            <w:tr w14:paraId="39C462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7" w:hRule="atLeast"/>
                <w:jc w:val="center"/>
              </w:trPr>
              <w:tc>
                <w:tcPr>
                  <w:tcW w:w="1106" w:type="dxa"/>
                  <w:vMerge w:val="continue"/>
                  <w:vAlign w:val="center"/>
                </w:tcPr>
                <w:p w14:paraId="6E1781EA">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207" w:type="dxa"/>
                  <w:vAlign w:val="center"/>
                </w:tcPr>
                <w:p w14:paraId="06CC6BF1">
                  <w:pPr>
                    <w:spacing w:line="320" w:lineRule="exact"/>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物料运输扬尘</w:t>
                  </w:r>
                </w:p>
              </w:tc>
              <w:tc>
                <w:tcPr>
                  <w:tcW w:w="4517" w:type="dxa"/>
                  <w:vAlign w:val="center"/>
                </w:tcPr>
                <w:p w14:paraId="64196C8E">
                  <w:pP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运输道路硬化、车辆篷布遮盖、定期清扫、雾炮抑尘</w:t>
                  </w:r>
                </w:p>
              </w:tc>
              <w:tc>
                <w:tcPr>
                  <w:tcW w:w="912" w:type="dxa"/>
                  <w:tcMar>
                    <w:top w:w="0" w:type="dxa"/>
                    <w:left w:w="0" w:type="dxa"/>
                    <w:bottom w:w="0" w:type="dxa"/>
                    <w:right w:w="0" w:type="dxa"/>
                  </w:tcMar>
                  <w:vAlign w:val="center"/>
                </w:tcPr>
                <w:p w14:paraId="23A9180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777" w:type="dxa"/>
                  <w:vAlign w:val="center"/>
                </w:tcPr>
                <w:p w14:paraId="2294491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利旧</w:t>
                  </w:r>
                </w:p>
              </w:tc>
            </w:tr>
            <w:tr w14:paraId="0A2733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7" w:hRule="atLeast"/>
                <w:jc w:val="center"/>
              </w:trPr>
              <w:tc>
                <w:tcPr>
                  <w:tcW w:w="1106" w:type="dxa"/>
                  <w:vMerge w:val="restart"/>
                  <w:vAlign w:val="center"/>
                </w:tcPr>
                <w:p w14:paraId="37F35AC0">
                  <w:pPr>
                    <w:spacing w:line="320" w:lineRule="exact"/>
                    <w:ind w:left="-42" w:leftChars="-20" w:right="-42" w:rightChars="-2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废水</w:t>
                  </w:r>
                </w:p>
              </w:tc>
              <w:tc>
                <w:tcPr>
                  <w:tcW w:w="1207" w:type="dxa"/>
                  <w:vAlign w:val="center"/>
                </w:tcPr>
                <w:p w14:paraId="1254AAD7">
                  <w:pPr>
                    <w:spacing w:line="320" w:lineRule="exact"/>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生活污水</w:t>
                  </w:r>
                </w:p>
              </w:tc>
              <w:tc>
                <w:tcPr>
                  <w:tcW w:w="4517" w:type="dxa"/>
                  <w:vAlign w:val="center"/>
                </w:tcPr>
                <w:p w14:paraId="748CB4F4">
                  <w:pPr>
                    <w:adjustRightInd w:val="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依托已建容积为3m</w:t>
                  </w:r>
                  <w:r>
                    <w:rPr>
                      <w:rFonts w:ascii="Times New Roman" w:hAnsi="Times New Roman" w:eastAsia="宋体" w:cs="Times New Roman"/>
                      <w:snapToGrid w:val="0"/>
                      <w:color w:val="000000" w:themeColor="text1"/>
                      <w:kern w:val="0"/>
                      <w:szCs w:val="21"/>
                      <w:vertAlign w:val="superscript"/>
                      <w14:textFill>
                        <w14:solidFill>
                          <w14:schemeClr w14:val="tx1"/>
                        </w14:solidFill>
                      </w14:textFill>
                    </w:rPr>
                    <w:t>3</w:t>
                  </w:r>
                  <w:r>
                    <w:rPr>
                      <w:rFonts w:ascii="Times New Roman" w:hAnsi="Times New Roman" w:eastAsia="宋体" w:cs="Times New Roman"/>
                      <w:snapToGrid w:val="0"/>
                      <w:color w:val="000000" w:themeColor="text1"/>
                      <w:kern w:val="0"/>
                      <w:szCs w:val="21"/>
                      <w14:textFill>
                        <w14:solidFill>
                          <w14:schemeClr w14:val="tx1"/>
                        </w14:solidFill>
                      </w14:textFill>
                    </w:rPr>
                    <w:t>预处理池一座处理后，用作农肥。</w:t>
                  </w:r>
                </w:p>
              </w:tc>
              <w:tc>
                <w:tcPr>
                  <w:tcW w:w="912" w:type="dxa"/>
                  <w:tcMar>
                    <w:top w:w="0" w:type="dxa"/>
                    <w:left w:w="0" w:type="dxa"/>
                    <w:bottom w:w="0" w:type="dxa"/>
                    <w:right w:w="0" w:type="dxa"/>
                  </w:tcMar>
                  <w:vAlign w:val="center"/>
                </w:tcPr>
                <w:p w14:paraId="18FE609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777" w:type="dxa"/>
                  <w:vAlign w:val="center"/>
                </w:tcPr>
                <w:p w14:paraId="22CF194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利旧</w:t>
                  </w:r>
                </w:p>
              </w:tc>
            </w:tr>
            <w:tr w14:paraId="77FD33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7" w:hRule="atLeast"/>
                <w:jc w:val="center"/>
              </w:trPr>
              <w:tc>
                <w:tcPr>
                  <w:tcW w:w="1106" w:type="dxa"/>
                  <w:vMerge w:val="continue"/>
                  <w:vAlign w:val="center"/>
                </w:tcPr>
                <w:p w14:paraId="169A63A9">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207" w:type="dxa"/>
                  <w:vAlign w:val="center"/>
                </w:tcPr>
                <w:p w14:paraId="5E7571E8">
                  <w:pPr>
                    <w:spacing w:line="320" w:lineRule="exact"/>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湿式脱硫塔废水</w:t>
                  </w:r>
                </w:p>
              </w:tc>
              <w:tc>
                <w:tcPr>
                  <w:tcW w:w="4517" w:type="dxa"/>
                  <w:vAlign w:val="center"/>
                </w:tcPr>
                <w:p w14:paraId="4E0B116E">
                  <w:pPr>
                    <w:adjustRightInd w:val="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湿式脱硫塔废水采用沉淀池进行沉淀后，上清液循环使用，不外排。</w:t>
                  </w:r>
                </w:p>
              </w:tc>
              <w:tc>
                <w:tcPr>
                  <w:tcW w:w="912" w:type="dxa"/>
                  <w:tcMar>
                    <w:top w:w="0" w:type="dxa"/>
                    <w:left w:w="0" w:type="dxa"/>
                    <w:bottom w:w="0" w:type="dxa"/>
                    <w:right w:w="0" w:type="dxa"/>
                  </w:tcMar>
                  <w:vAlign w:val="center"/>
                </w:tcPr>
                <w:p w14:paraId="43B76635">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777" w:type="dxa"/>
                  <w:vAlign w:val="center"/>
                </w:tcPr>
                <w:p w14:paraId="5B01F24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利旧</w:t>
                  </w:r>
                </w:p>
              </w:tc>
            </w:tr>
            <w:tr w14:paraId="454544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7" w:hRule="atLeast"/>
                <w:jc w:val="center"/>
              </w:trPr>
              <w:tc>
                <w:tcPr>
                  <w:tcW w:w="1106" w:type="dxa"/>
                  <w:vMerge w:val="continue"/>
                  <w:vAlign w:val="center"/>
                </w:tcPr>
                <w:p w14:paraId="51A10729">
                  <w:pPr>
                    <w:spacing w:line="320" w:lineRule="exact"/>
                    <w:ind w:left="-42" w:leftChars="-20" w:right="-42" w:rightChars="-20"/>
                    <w:jc w:val="center"/>
                    <w:rPr>
                      <w:rFonts w:ascii="Times New Roman" w:hAnsi="Times New Roman" w:eastAsia="宋体" w:cs="Times New Roman"/>
                      <w:color w:val="000000" w:themeColor="text1"/>
                      <w:szCs w:val="21"/>
                      <w14:textFill>
                        <w14:solidFill>
                          <w14:schemeClr w14:val="tx1"/>
                        </w14:solidFill>
                      </w14:textFill>
                    </w:rPr>
                  </w:pPr>
                </w:p>
              </w:tc>
              <w:tc>
                <w:tcPr>
                  <w:tcW w:w="1207" w:type="dxa"/>
                  <w:vAlign w:val="center"/>
                </w:tcPr>
                <w:p w14:paraId="50B527A6">
                  <w:pPr>
                    <w:spacing w:line="320" w:lineRule="exact"/>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真空泵间接冷却水</w:t>
                  </w:r>
                </w:p>
              </w:tc>
              <w:tc>
                <w:tcPr>
                  <w:tcW w:w="4517" w:type="dxa"/>
                  <w:vAlign w:val="center"/>
                </w:tcPr>
                <w:p w14:paraId="2FB45C2C">
                  <w:pP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真空泵间接冷却水循环使用，不外排。</w:t>
                  </w:r>
                </w:p>
              </w:tc>
              <w:tc>
                <w:tcPr>
                  <w:tcW w:w="912" w:type="dxa"/>
                  <w:tcMar>
                    <w:top w:w="0" w:type="dxa"/>
                    <w:left w:w="0" w:type="dxa"/>
                    <w:bottom w:w="0" w:type="dxa"/>
                    <w:right w:w="0" w:type="dxa"/>
                  </w:tcMar>
                  <w:vAlign w:val="center"/>
                </w:tcPr>
                <w:p w14:paraId="24439B0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777" w:type="dxa"/>
                  <w:vAlign w:val="center"/>
                </w:tcPr>
                <w:p w14:paraId="69EF6CF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利旧</w:t>
                  </w:r>
                </w:p>
              </w:tc>
            </w:tr>
            <w:tr w14:paraId="76D9BC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7" w:hRule="atLeast"/>
                <w:jc w:val="center"/>
              </w:trPr>
              <w:tc>
                <w:tcPr>
                  <w:tcW w:w="1106" w:type="dxa"/>
                  <w:vMerge w:val="restart"/>
                  <w:vAlign w:val="center"/>
                </w:tcPr>
                <w:p w14:paraId="44DD22B8">
                  <w:pPr>
                    <w:spacing w:line="320" w:lineRule="exact"/>
                    <w:ind w:left="-42" w:leftChars="-20" w:right="-42" w:rightChars="-2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噪声</w:t>
                  </w:r>
                </w:p>
              </w:tc>
              <w:tc>
                <w:tcPr>
                  <w:tcW w:w="1207" w:type="dxa"/>
                  <w:vAlign w:val="center"/>
                </w:tcPr>
                <w:p w14:paraId="712C07A8">
                  <w:pPr>
                    <w:spacing w:line="320" w:lineRule="exact"/>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设备噪声</w:t>
                  </w:r>
                </w:p>
              </w:tc>
              <w:tc>
                <w:tcPr>
                  <w:tcW w:w="4517" w:type="dxa"/>
                  <w:vAlign w:val="center"/>
                </w:tcPr>
                <w:p w14:paraId="4B7649CB">
                  <w:pPr>
                    <w:autoSpaceDE w:val="0"/>
                    <w:autoSpaceDN w:val="0"/>
                    <w:adjustRightInd w:val="0"/>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选用低噪声设备，合理布置，基座减振，合理安排作业时间。</w:t>
                  </w:r>
                </w:p>
              </w:tc>
              <w:tc>
                <w:tcPr>
                  <w:tcW w:w="912" w:type="dxa"/>
                  <w:tcMar>
                    <w:top w:w="0" w:type="dxa"/>
                    <w:left w:w="0" w:type="dxa"/>
                    <w:bottom w:w="0" w:type="dxa"/>
                    <w:right w:w="0" w:type="dxa"/>
                  </w:tcMar>
                  <w:vAlign w:val="center"/>
                </w:tcPr>
                <w:p w14:paraId="43F8D6A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777" w:type="dxa"/>
                  <w:vAlign w:val="center"/>
                </w:tcPr>
                <w:p w14:paraId="51C3247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利旧</w:t>
                  </w:r>
                </w:p>
              </w:tc>
            </w:tr>
            <w:tr w14:paraId="76A821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7" w:hRule="atLeast"/>
                <w:jc w:val="center"/>
              </w:trPr>
              <w:tc>
                <w:tcPr>
                  <w:tcW w:w="1106" w:type="dxa"/>
                  <w:vMerge w:val="continue"/>
                  <w:vAlign w:val="center"/>
                </w:tcPr>
                <w:p w14:paraId="247A0D75">
                  <w:pPr>
                    <w:spacing w:line="320" w:lineRule="exact"/>
                    <w:ind w:left="-42" w:leftChars="-20" w:right="-42" w:rightChars="-20"/>
                    <w:jc w:val="center"/>
                    <w:rPr>
                      <w:rFonts w:ascii="Times New Roman" w:hAnsi="Times New Roman" w:eastAsia="宋体" w:cs="Times New Roman"/>
                      <w:color w:val="000000" w:themeColor="text1"/>
                      <w:szCs w:val="21"/>
                      <w14:textFill>
                        <w14:solidFill>
                          <w14:schemeClr w14:val="tx1"/>
                        </w14:solidFill>
                      </w14:textFill>
                    </w:rPr>
                  </w:pPr>
                </w:p>
              </w:tc>
              <w:tc>
                <w:tcPr>
                  <w:tcW w:w="1207" w:type="dxa"/>
                  <w:vAlign w:val="center"/>
                </w:tcPr>
                <w:p w14:paraId="3B336143">
                  <w:pPr>
                    <w:spacing w:line="320" w:lineRule="exact"/>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车辆噪声</w:t>
                  </w:r>
                </w:p>
              </w:tc>
              <w:tc>
                <w:tcPr>
                  <w:tcW w:w="4517" w:type="dxa"/>
                  <w:vAlign w:val="center"/>
                </w:tcPr>
                <w:p w14:paraId="64DCCA71">
                  <w:pPr>
                    <w:autoSpaceDE w:val="0"/>
                    <w:autoSpaceDN w:val="0"/>
                    <w:adjustRightInd w:val="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Cs w:val="24"/>
                      <w14:textFill>
                        <w14:solidFill>
                          <w14:schemeClr w14:val="tx1"/>
                        </w14:solidFill>
                      </w14:textFill>
                    </w:rPr>
                    <w:t>合理安排作业时间，加强运输车辆管理，限速禁鸣。</w:t>
                  </w:r>
                </w:p>
              </w:tc>
              <w:tc>
                <w:tcPr>
                  <w:tcW w:w="912" w:type="dxa"/>
                  <w:tcMar>
                    <w:top w:w="0" w:type="dxa"/>
                    <w:left w:w="0" w:type="dxa"/>
                    <w:bottom w:w="0" w:type="dxa"/>
                    <w:right w:w="0" w:type="dxa"/>
                  </w:tcMar>
                  <w:vAlign w:val="center"/>
                </w:tcPr>
                <w:p w14:paraId="5DBB719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777" w:type="dxa"/>
                  <w:vAlign w:val="center"/>
                </w:tcPr>
                <w:p w14:paraId="7B501AB6">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利旧</w:t>
                  </w:r>
                </w:p>
              </w:tc>
            </w:tr>
            <w:tr w14:paraId="11261C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7" w:hRule="atLeast"/>
                <w:jc w:val="center"/>
              </w:trPr>
              <w:tc>
                <w:tcPr>
                  <w:tcW w:w="1106" w:type="dxa"/>
                  <w:vMerge w:val="restart"/>
                  <w:vAlign w:val="center"/>
                </w:tcPr>
                <w:p w14:paraId="5BDD3DB7">
                  <w:pPr>
                    <w:spacing w:line="320" w:lineRule="exact"/>
                    <w:ind w:left="-42" w:leftChars="-20" w:right="-42" w:rightChars="-2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固废</w:t>
                  </w:r>
                </w:p>
              </w:tc>
              <w:tc>
                <w:tcPr>
                  <w:tcW w:w="1207" w:type="dxa"/>
                  <w:vAlign w:val="center"/>
                </w:tcPr>
                <w:p w14:paraId="7ACA5123">
                  <w:pPr>
                    <w:spacing w:line="320" w:lineRule="exact"/>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一般固废</w:t>
                  </w:r>
                </w:p>
              </w:tc>
              <w:tc>
                <w:tcPr>
                  <w:tcW w:w="4517" w:type="dxa"/>
                  <w:vAlign w:val="center"/>
                </w:tcPr>
                <w:p w14:paraId="4250EC65">
                  <w:pPr>
                    <w:widowControl/>
                    <w:jc w:val="left"/>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作为原料回用于生产</w:t>
                  </w:r>
                </w:p>
              </w:tc>
              <w:tc>
                <w:tcPr>
                  <w:tcW w:w="912" w:type="dxa"/>
                  <w:tcMar>
                    <w:top w:w="0" w:type="dxa"/>
                    <w:left w:w="0" w:type="dxa"/>
                    <w:bottom w:w="0" w:type="dxa"/>
                    <w:right w:w="0" w:type="dxa"/>
                  </w:tcMar>
                  <w:vAlign w:val="center"/>
                </w:tcPr>
                <w:p w14:paraId="40FF2B7B">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777" w:type="dxa"/>
                  <w:vAlign w:val="center"/>
                </w:tcPr>
                <w:p w14:paraId="46A9FD0E">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利旧</w:t>
                  </w:r>
                </w:p>
              </w:tc>
            </w:tr>
            <w:tr w14:paraId="282C0C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7" w:hRule="atLeast"/>
                <w:jc w:val="center"/>
              </w:trPr>
              <w:tc>
                <w:tcPr>
                  <w:tcW w:w="1106" w:type="dxa"/>
                  <w:vMerge w:val="continue"/>
                  <w:vAlign w:val="center"/>
                </w:tcPr>
                <w:p w14:paraId="5117B7E0">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207" w:type="dxa"/>
                  <w:vAlign w:val="center"/>
                </w:tcPr>
                <w:p w14:paraId="7A3C0B0C">
                  <w:pPr>
                    <w:spacing w:line="320" w:lineRule="exact"/>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生活垃圾</w:t>
                  </w:r>
                </w:p>
              </w:tc>
              <w:tc>
                <w:tcPr>
                  <w:tcW w:w="4517" w:type="dxa"/>
                  <w:vAlign w:val="center"/>
                </w:tcPr>
                <w:p w14:paraId="0AD6B4C2">
                  <w:pPr>
                    <w:rPr>
                      <w:rFonts w:ascii="Times New Roman" w:hAnsi="Times New Roman" w:eastAsia="宋体" w:cs="Times New Roman"/>
                      <w:bCs/>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集中收集后，交由环卫部门清运处理</w:t>
                  </w:r>
                </w:p>
              </w:tc>
              <w:tc>
                <w:tcPr>
                  <w:tcW w:w="912" w:type="dxa"/>
                  <w:tcMar>
                    <w:top w:w="0" w:type="dxa"/>
                    <w:left w:w="0" w:type="dxa"/>
                    <w:bottom w:w="0" w:type="dxa"/>
                    <w:right w:w="0" w:type="dxa"/>
                  </w:tcMar>
                  <w:vAlign w:val="center"/>
                </w:tcPr>
                <w:p w14:paraId="695DEC96">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777" w:type="dxa"/>
                  <w:vAlign w:val="center"/>
                </w:tcPr>
                <w:p w14:paraId="4520C115">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利旧</w:t>
                  </w:r>
                </w:p>
              </w:tc>
            </w:tr>
            <w:tr w14:paraId="462D9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7" w:hRule="atLeast"/>
                <w:jc w:val="center"/>
              </w:trPr>
              <w:tc>
                <w:tcPr>
                  <w:tcW w:w="1106" w:type="dxa"/>
                  <w:vMerge w:val="continue"/>
                  <w:vAlign w:val="center"/>
                </w:tcPr>
                <w:p w14:paraId="02CB7098">
                  <w:pPr>
                    <w:widowControl/>
                    <w:jc w:val="left"/>
                    <w:rPr>
                      <w:rFonts w:ascii="Times New Roman" w:hAnsi="Times New Roman" w:eastAsia="宋体" w:cs="Times New Roman"/>
                      <w:color w:val="000000" w:themeColor="text1"/>
                      <w:szCs w:val="21"/>
                      <w14:textFill>
                        <w14:solidFill>
                          <w14:schemeClr w14:val="tx1"/>
                        </w14:solidFill>
                      </w14:textFill>
                    </w:rPr>
                  </w:pPr>
                </w:p>
              </w:tc>
              <w:tc>
                <w:tcPr>
                  <w:tcW w:w="1207" w:type="dxa"/>
                  <w:vAlign w:val="center"/>
                </w:tcPr>
                <w:p w14:paraId="768D7F41">
                  <w:pPr>
                    <w:spacing w:line="320" w:lineRule="exact"/>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危险废物</w:t>
                  </w:r>
                </w:p>
              </w:tc>
              <w:tc>
                <w:tcPr>
                  <w:tcW w:w="4517" w:type="dxa"/>
                  <w:vAlign w:val="center"/>
                </w:tcPr>
                <w:p w14:paraId="7DD1A7F3">
                  <w:pP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单独设置收集桶集中收集暂存，委托具有相应危废资质的单位进行处理，重新签订危废协议，建立危废管理台账。</w:t>
                  </w:r>
                </w:p>
              </w:tc>
              <w:tc>
                <w:tcPr>
                  <w:tcW w:w="912" w:type="dxa"/>
                  <w:tcMar>
                    <w:top w:w="0" w:type="dxa"/>
                    <w:left w:w="0" w:type="dxa"/>
                    <w:bottom w:w="0" w:type="dxa"/>
                    <w:right w:w="0" w:type="dxa"/>
                  </w:tcMar>
                  <w:vAlign w:val="center"/>
                </w:tcPr>
                <w:p w14:paraId="35B4F1E9">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2.0</w:t>
                  </w:r>
                </w:p>
              </w:tc>
              <w:tc>
                <w:tcPr>
                  <w:tcW w:w="777" w:type="dxa"/>
                  <w:vAlign w:val="center"/>
                </w:tcPr>
                <w:p w14:paraId="17BB7A38">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以新带老</w:t>
                  </w:r>
                </w:p>
              </w:tc>
            </w:tr>
            <w:tr w14:paraId="2D8607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7" w:hRule="atLeast"/>
                <w:jc w:val="center"/>
              </w:trPr>
              <w:tc>
                <w:tcPr>
                  <w:tcW w:w="1106" w:type="dxa"/>
                  <w:vMerge w:val="restart"/>
                  <w:vAlign w:val="center"/>
                </w:tcPr>
                <w:p w14:paraId="27F360D2">
                  <w:pPr>
                    <w:spacing w:line="320" w:lineRule="exact"/>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地下水</w:t>
                  </w:r>
                </w:p>
              </w:tc>
              <w:tc>
                <w:tcPr>
                  <w:tcW w:w="1207" w:type="dxa"/>
                  <w:vAlign w:val="center"/>
                </w:tcPr>
                <w:p w14:paraId="4A6F3BDA">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一般工业固废贮存间</w:t>
                  </w:r>
                </w:p>
              </w:tc>
              <w:tc>
                <w:tcPr>
                  <w:tcW w:w="4517" w:type="dxa"/>
                  <w:vAlign w:val="center"/>
                </w:tcPr>
                <w:p w14:paraId="37570D9F">
                  <w:pP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评价要求素土夯实，用防渗混凝土硬化地坪</w:t>
                  </w:r>
                  <w:r>
                    <w:rPr>
                      <w:rFonts w:ascii="Times New Roman" w:hAnsi="Times New Roman" w:eastAsia="Times New Roman" w:cs="Times New Roman"/>
                      <w:color w:val="000000" w:themeColor="text1"/>
                      <w:kern w:val="0"/>
                      <w:szCs w:val="21"/>
                      <w14:textFill>
                        <w14:solidFill>
                          <w14:schemeClr w14:val="tx1"/>
                        </w14:solidFill>
                      </w14:textFill>
                    </w:rPr>
                    <w:t>+2mm</w:t>
                  </w:r>
                  <w:r>
                    <w:rPr>
                      <w:rFonts w:ascii="Times New Roman" w:hAnsi="Times New Roman" w:eastAsia="宋体" w:cs="Times New Roman"/>
                      <w:color w:val="000000" w:themeColor="text1"/>
                      <w:kern w:val="0"/>
                      <w:szCs w:val="21"/>
                      <w14:textFill>
                        <w14:solidFill>
                          <w14:schemeClr w14:val="tx1"/>
                        </w14:solidFill>
                      </w14:textFill>
                    </w:rPr>
                    <w:t>高密度聚乙烯进行防渗，等效黏土防渗层Mb≥6m，防渗系数K≤1×10</w:t>
                  </w:r>
                  <w:r>
                    <w:rPr>
                      <w:rFonts w:ascii="Times New Roman" w:hAnsi="Times New Roman" w:eastAsia="宋体" w:cs="Times New Roman"/>
                      <w:color w:val="000000" w:themeColor="text1"/>
                      <w:kern w:val="0"/>
                      <w:szCs w:val="21"/>
                      <w:vertAlign w:val="superscript"/>
                      <w14:textFill>
                        <w14:solidFill>
                          <w14:schemeClr w14:val="tx1"/>
                        </w14:solidFill>
                      </w14:textFill>
                    </w:rPr>
                    <w:t>-7</w:t>
                  </w:r>
                  <w:r>
                    <w:rPr>
                      <w:rFonts w:ascii="Times New Roman" w:hAnsi="Times New Roman" w:eastAsia="宋体" w:cs="Times New Roman"/>
                      <w:color w:val="000000" w:themeColor="text1"/>
                      <w:kern w:val="0"/>
                      <w:szCs w:val="21"/>
                      <w14:textFill>
                        <w14:solidFill>
                          <w14:schemeClr w14:val="tx1"/>
                        </w14:solidFill>
                      </w14:textFill>
                    </w:rPr>
                    <w:t>cm/s。车间四周要求设置收集沟、收集池、围堰，并对其进行防渗。</w:t>
                  </w:r>
                </w:p>
              </w:tc>
              <w:tc>
                <w:tcPr>
                  <w:tcW w:w="912" w:type="dxa"/>
                  <w:tcMar>
                    <w:top w:w="0" w:type="dxa"/>
                    <w:left w:w="0" w:type="dxa"/>
                    <w:bottom w:w="0" w:type="dxa"/>
                    <w:right w:w="0" w:type="dxa"/>
                  </w:tcMar>
                  <w:vAlign w:val="center"/>
                </w:tcPr>
                <w:p w14:paraId="14828EC7">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5.0</w:t>
                  </w:r>
                </w:p>
              </w:tc>
              <w:tc>
                <w:tcPr>
                  <w:tcW w:w="777" w:type="dxa"/>
                  <w:vAlign w:val="center"/>
                </w:tcPr>
                <w:p w14:paraId="1F90159D">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新建</w:t>
                  </w:r>
                </w:p>
              </w:tc>
            </w:tr>
            <w:tr w14:paraId="569372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7" w:hRule="atLeast"/>
                <w:jc w:val="center"/>
              </w:trPr>
              <w:tc>
                <w:tcPr>
                  <w:tcW w:w="1106" w:type="dxa"/>
                  <w:vMerge w:val="continue"/>
                  <w:vAlign w:val="center"/>
                </w:tcPr>
                <w:p w14:paraId="687E1261">
                  <w:pPr>
                    <w:spacing w:line="320" w:lineRule="exact"/>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1207" w:type="dxa"/>
                  <w:vAlign w:val="center"/>
                </w:tcPr>
                <w:p w14:paraId="29D7D71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维修车间</w:t>
                  </w:r>
                </w:p>
              </w:tc>
              <w:tc>
                <w:tcPr>
                  <w:tcW w:w="4517" w:type="dxa"/>
                  <w:vAlign w:val="center"/>
                </w:tcPr>
                <w:p w14:paraId="2679ED8B">
                  <w:pP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评价要求地面铺设防渗混凝土，等效黏土防渗层Mb≥1.5m，防渗系数K≤1×10</w:t>
                  </w:r>
                  <w:r>
                    <w:rPr>
                      <w:rFonts w:ascii="Times New Roman" w:hAnsi="Times New Roman" w:eastAsia="宋体" w:cs="Times New Roman"/>
                      <w:color w:val="000000" w:themeColor="text1"/>
                      <w:kern w:val="0"/>
                      <w:szCs w:val="21"/>
                      <w:vertAlign w:val="superscript"/>
                      <w14:textFill>
                        <w14:solidFill>
                          <w14:schemeClr w14:val="tx1"/>
                        </w14:solidFill>
                      </w14:textFill>
                    </w:rPr>
                    <w:t>-7</w:t>
                  </w:r>
                  <w:r>
                    <w:rPr>
                      <w:rFonts w:ascii="Times New Roman" w:hAnsi="Times New Roman" w:eastAsia="宋体" w:cs="Times New Roman"/>
                      <w:color w:val="000000" w:themeColor="text1"/>
                      <w:kern w:val="0"/>
                      <w:szCs w:val="21"/>
                      <w14:textFill>
                        <w14:solidFill>
                          <w14:schemeClr w14:val="tx1"/>
                        </w14:solidFill>
                      </w14:textFill>
                    </w:rPr>
                    <w:t>cm/s</w:t>
                  </w:r>
                </w:p>
              </w:tc>
              <w:tc>
                <w:tcPr>
                  <w:tcW w:w="912" w:type="dxa"/>
                  <w:tcMar>
                    <w:top w:w="0" w:type="dxa"/>
                    <w:left w:w="0" w:type="dxa"/>
                    <w:bottom w:w="0" w:type="dxa"/>
                    <w:right w:w="0" w:type="dxa"/>
                  </w:tcMar>
                  <w:vAlign w:val="center"/>
                </w:tcPr>
                <w:p w14:paraId="0752F219">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1.0</w:t>
                  </w:r>
                </w:p>
              </w:tc>
              <w:tc>
                <w:tcPr>
                  <w:tcW w:w="777" w:type="dxa"/>
                  <w:vAlign w:val="center"/>
                </w:tcPr>
                <w:p w14:paraId="12E036F8">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以新带老</w:t>
                  </w:r>
                </w:p>
              </w:tc>
            </w:tr>
            <w:tr w14:paraId="5F59C0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7" w:hRule="atLeast"/>
                <w:jc w:val="center"/>
              </w:trPr>
              <w:tc>
                <w:tcPr>
                  <w:tcW w:w="1106" w:type="dxa"/>
                  <w:vMerge w:val="continue"/>
                  <w:vAlign w:val="center"/>
                </w:tcPr>
                <w:p w14:paraId="32DEA266">
                  <w:pPr>
                    <w:spacing w:line="320" w:lineRule="exact"/>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p>
              </w:tc>
              <w:tc>
                <w:tcPr>
                  <w:tcW w:w="1207" w:type="dxa"/>
                  <w:vAlign w:val="center"/>
                </w:tcPr>
                <w:p w14:paraId="16F9433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雨水池</w:t>
                  </w:r>
                </w:p>
              </w:tc>
              <w:tc>
                <w:tcPr>
                  <w:tcW w:w="4517" w:type="dxa"/>
                  <w:vAlign w:val="center"/>
                </w:tcPr>
                <w:p w14:paraId="629B4E26">
                  <w:pP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评价要求池底、池壁铺设防渗混凝土，等效黏土防渗层Mb≥1.5m，防渗系数K≤1×10</w:t>
                  </w:r>
                  <w:r>
                    <w:rPr>
                      <w:rFonts w:ascii="Times New Roman" w:hAnsi="Times New Roman" w:eastAsia="宋体" w:cs="Times New Roman"/>
                      <w:color w:val="000000" w:themeColor="text1"/>
                      <w:kern w:val="0"/>
                      <w:szCs w:val="21"/>
                      <w:vertAlign w:val="superscript"/>
                      <w14:textFill>
                        <w14:solidFill>
                          <w14:schemeClr w14:val="tx1"/>
                        </w14:solidFill>
                      </w14:textFill>
                    </w:rPr>
                    <w:t>-7</w:t>
                  </w:r>
                  <w:r>
                    <w:rPr>
                      <w:rFonts w:ascii="Times New Roman" w:hAnsi="Times New Roman" w:eastAsia="宋体" w:cs="Times New Roman"/>
                      <w:color w:val="000000" w:themeColor="text1"/>
                      <w:kern w:val="0"/>
                      <w:szCs w:val="21"/>
                      <w14:textFill>
                        <w14:solidFill>
                          <w14:schemeClr w14:val="tx1"/>
                        </w14:solidFill>
                      </w14:textFill>
                    </w:rPr>
                    <w:t>cm/s</w:t>
                  </w:r>
                </w:p>
              </w:tc>
              <w:tc>
                <w:tcPr>
                  <w:tcW w:w="912" w:type="dxa"/>
                  <w:tcMar>
                    <w:top w:w="0" w:type="dxa"/>
                    <w:left w:w="0" w:type="dxa"/>
                    <w:bottom w:w="0" w:type="dxa"/>
                    <w:right w:w="0" w:type="dxa"/>
                  </w:tcMar>
                  <w:vAlign w:val="center"/>
                </w:tcPr>
                <w:p w14:paraId="36DC216F">
                  <w:pPr>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2.0</w:t>
                  </w:r>
                </w:p>
              </w:tc>
              <w:tc>
                <w:tcPr>
                  <w:tcW w:w="777" w:type="dxa"/>
                  <w:vAlign w:val="center"/>
                </w:tcPr>
                <w:p w14:paraId="26A79D62">
                  <w:pPr>
                    <w:ind w:left="-105" w:leftChars="-50" w:right="-105" w:right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新建</w:t>
                  </w:r>
                </w:p>
              </w:tc>
            </w:tr>
            <w:tr w14:paraId="10D3C2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37" w:hRule="atLeast"/>
                <w:jc w:val="center"/>
              </w:trPr>
              <w:tc>
                <w:tcPr>
                  <w:tcW w:w="1106" w:type="dxa"/>
                  <w:vAlign w:val="center"/>
                </w:tcPr>
                <w:p w14:paraId="467519F1">
                  <w:pPr>
                    <w:spacing w:line="320" w:lineRule="exact"/>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合计</w:t>
                  </w:r>
                </w:p>
              </w:tc>
              <w:tc>
                <w:tcPr>
                  <w:tcW w:w="5724" w:type="dxa"/>
                  <w:gridSpan w:val="2"/>
                  <w:vAlign w:val="center"/>
                </w:tcPr>
                <w:p w14:paraId="4A839DE7">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c>
                <w:tcPr>
                  <w:tcW w:w="912" w:type="dxa"/>
                  <w:tcMar>
                    <w:top w:w="0" w:type="dxa"/>
                    <w:left w:w="0" w:type="dxa"/>
                    <w:bottom w:w="0" w:type="dxa"/>
                    <w:right w:w="0" w:type="dxa"/>
                  </w:tcMar>
                  <w:vAlign w:val="center"/>
                </w:tcPr>
                <w:p w14:paraId="5F19500F">
                  <w:pPr>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15</w:t>
                  </w:r>
                </w:p>
              </w:tc>
              <w:tc>
                <w:tcPr>
                  <w:tcW w:w="777" w:type="dxa"/>
                  <w:vAlign w:val="center"/>
                </w:tcPr>
                <w:p w14:paraId="08C9FC0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w:t>
                  </w:r>
                </w:p>
              </w:tc>
            </w:tr>
            <w:bookmarkEnd w:id="36"/>
          </w:tbl>
          <w:p w14:paraId="459A11C3">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以上投资均为估列，具体投资以建设单位实际投资为准。</w:t>
            </w:r>
          </w:p>
          <w:p w14:paraId="219977E7">
            <w:pPr>
              <w:adjustRightInd w:val="0"/>
              <w:spacing w:line="360" w:lineRule="auto"/>
              <w:jc w:val="left"/>
              <w:rPr>
                <w:rFonts w:ascii="Times New Roman" w:hAnsi="Times New Roman" w:eastAsia="宋体" w:cs="Times New Roman"/>
                <w:b/>
                <w:color w:val="000000" w:themeColor="text1"/>
                <w:kern w:val="0"/>
                <w:sz w:val="24"/>
                <w:szCs w:val="24"/>
                <w14:textFill>
                  <w14:solidFill>
                    <w14:schemeClr w14:val="tx1"/>
                  </w14:solidFill>
                </w14:textFill>
              </w:rPr>
            </w:pPr>
            <w:r>
              <w:rPr>
                <w:rFonts w:ascii="Times New Roman" w:hAnsi="Times New Roman" w:eastAsia="宋体" w:cs="Times New Roman"/>
                <w:b/>
                <w:color w:val="000000" w:themeColor="text1"/>
                <w:kern w:val="0"/>
                <w:sz w:val="24"/>
                <w:szCs w:val="24"/>
                <w14:textFill>
                  <w14:solidFill>
                    <w14:schemeClr w14:val="tx1"/>
                  </w14:solidFill>
                </w14:textFill>
              </w:rPr>
              <w:t>八、“三本账”分析</w:t>
            </w:r>
          </w:p>
          <w:p w14:paraId="7AD127E4">
            <w:pPr>
              <w:adjustRightInd w:val="0"/>
              <w:spacing w:line="360" w:lineRule="auto"/>
              <w:ind w:firstLine="465"/>
              <w:jc w:val="left"/>
              <w:rPr>
                <w:rFonts w:ascii="Times New Roman" w:hAnsi="Times New Roman" w:eastAsia="宋体" w:cs="Times New Roman"/>
                <w:color w:val="000000" w:themeColor="text1"/>
                <w:kern w:val="0"/>
                <w:sz w:val="24"/>
                <w:szCs w:val="24"/>
                <w14:textFill>
                  <w14:solidFill>
                    <w14:schemeClr w14:val="tx1"/>
                  </w14:solidFill>
                </w14:textFill>
              </w:rPr>
            </w:pPr>
            <w:r>
              <w:rPr>
                <w:rFonts w:ascii="Times New Roman" w:hAnsi="Times New Roman" w:eastAsia="宋体" w:cs="Times New Roman"/>
                <w:color w:val="000000" w:themeColor="text1"/>
                <w:kern w:val="0"/>
                <w:sz w:val="24"/>
                <w:szCs w:val="24"/>
                <w14:textFill>
                  <w14:solidFill>
                    <w14:schemeClr w14:val="tx1"/>
                  </w14:solidFill>
                </w14:textFill>
              </w:rPr>
              <w:t>改建前后厂区主要污染物排放“三本账”</w:t>
            </w:r>
            <w:r>
              <w:rPr>
                <w:rFonts w:hint="eastAsia" w:ascii="Times New Roman" w:hAnsi="Times New Roman" w:eastAsia="宋体" w:cs="Times New Roman"/>
                <w:color w:val="000000" w:themeColor="text1"/>
                <w:kern w:val="0"/>
                <w:sz w:val="24"/>
                <w:szCs w:val="24"/>
                <w14:textFill>
                  <w14:solidFill>
                    <w14:schemeClr w14:val="tx1"/>
                  </w14:solidFill>
                </w14:textFill>
              </w:rPr>
              <w:t>见下表</w:t>
            </w:r>
            <w:r>
              <w:rPr>
                <w:rFonts w:ascii="Times New Roman" w:hAnsi="Times New Roman" w:eastAsia="宋体" w:cs="Times New Roman"/>
                <w:color w:val="000000" w:themeColor="text1"/>
                <w:kern w:val="0"/>
                <w:sz w:val="24"/>
                <w:szCs w:val="24"/>
                <w14:textFill>
                  <w14:solidFill>
                    <w14:schemeClr w14:val="tx1"/>
                  </w14:solidFill>
                </w14:textFill>
              </w:rPr>
              <w:t>。</w:t>
            </w:r>
          </w:p>
          <w:p w14:paraId="1CC7C747">
            <w:pPr>
              <w:pStyle w:val="2"/>
              <w:ind w:firstLine="492"/>
            </w:pPr>
          </w:p>
          <w:p w14:paraId="030159B5">
            <w:pPr>
              <w:pStyle w:val="6"/>
            </w:pPr>
          </w:p>
          <w:p w14:paraId="047BA138"/>
          <w:p w14:paraId="561D5CF1">
            <w:pPr>
              <w:tabs>
                <w:tab w:val="left" w:pos="1350"/>
              </w:tabs>
              <w:autoSpaceDE w:val="0"/>
              <w:autoSpaceDN w:val="0"/>
              <w:adjustRightInd w:val="0"/>
              <w:snapToGrid w:val="0"/>
              <w:spacing w:before="93" w:beforeLines="30" w:line="312" w:lineRule="atLeast"/>
              <w:jc w:val="center"/>
              <w:rPr>
                <w:rFonts w:ascii="Times New Roman" w:hAnsi="Times New Roman" w:eastAsia="宋体" w:cs="Times New Roman"/>
                <w:b/>
                <w:bCs/>
                <w:color w:val="000000" w:themeColor="text1"/>
                <w:sz w:val="18"/>
                <w:szCs w:val="21"/>
                <w:shd w:val="clear" w:color="auto" w:fill="FFFFFF"/>
                <w14:textFill>
                  <w14:solidFill>
                    <w14:schemeClr w14:val="tx1"/>
                  </w14:solidFill>
                </w14:textFill>
              </w:rPr>
            </w:pPr>
            <w:bookmarkStart w:id="37" w:name="_Ref143681395"/>
            <w:r>
              <w:rPr>
                <w:rFonts w:ascii="Times New Roman" w:hAnsi="Times New Roman" w:eastAsia="宋体" w:cs="Times New Roman"/>
                <w:b/>
                <w:bCs/>
                <w:color w:val="000000" w:themeColor="text1"/>
                <w:szCs w:val="21"/>
                <w14:textFill>
                  <w14:solidFill>
                    <w14:schemeClr w14:val="tx1"/>
                  </w14:solidFill>
                </w14:textFill>
              </w:rPr>
              <w:t xml:space="preserve">表4- </w:t>
            </w:r>
            <w:r>
              <w:rPr>
                <w:rFonts w:ascii="Times New Roman" w:hAnsi="Times New Roman" w:eastAsia="宋体" w:cs="Times New Roman"/>
                <w:b/>
                <w:bCs/>
                <w:color w:val="000000" w:themeColor="text1"/>
                <w:szCs w:val="21"/>
                <w14:textFill>
                  <w14:solidFill>
                    <w14:schemeClr w14:val="tx1"/>
                  </w14:solidFill>
                </w14:textFill>
              </w:rPr>
              <w:fldChar w:fldCharType="begin"/>
            </w:r>
            <w:r>
              <w:rPr>
                <w:rFonts w:ascii="Times New Roman" w:hAnsi="Times New Roman" w:eastAsia="宋体" w:cs="Times New Roman"/>
                <w:b/>
                <w:bCs/>
                <w:color w:val="000000" w:themeColor="text1"/>
                <w:szCs w:val="21"/>
                <w14:textFill>
                  <w14:solidFill>
                    <w14:schemeClr w14:val="tx1"/>
                  </w14:solidFill>
                </w14:textFill>
              </w:rPr>
              <w:instrText xml:space="preserve"> SEQ 表4- \* ARABIC </w:instrText>
            </w:r>
            <w:r>
              <w:rPr>
                <w:rFonts w:ascii="Times New Roman" w:hAnsi="Times New Roman" w:eastAsia="宋体" w:cs="Times New Roman"/>
                <w:b/>
                <w:bCs/>
                <w:color w:val="000000" w:themeColor="text1"/>
                <w:szCs w:val="21"/>
                <w14:textFill>
                  <w14:solidFill>
                    <w14:schemeClr w14:val="tx1"/>
                  </w14:solidFill>
                </w14:textFill>
              </w:rPr>
              <w:fldChar w:fldCharType="separate"/>
            </w:r>
            <w:r>
              <w:rPr>
                <w:rFonts w:ascii="Times New Roman" w:hAnsi="Times New Roman" w:eastAsia="宋体" w:cs="Times New Roman"/>
                <w:b/>
                <w:bCs/>
                <w:color w:val="000000" w:themeColor="text1"/>
                <w:szCs w:val="21"/>
                <w14:textFill>
                  <w14:solidFill>
                    <w14:schemeClr w14:val="tx1"/>
                  </w14:solidFill>
                </w14:textFill>
              </w:rPr>
              <w:t>18</w:t>
            </w:r>
            <w:r>
              <w:rPr>
                <w:rFonts w:ascii="Times New Roman" w:hAnsi="Times New Roman" w:eastAsia="宋体" w:cs="Times New Roman"/>
                <w:b/>
                <w:bCs/>
                <w:color w:val="000000" w:themeColor="text1"/>
                <w:szCs w:val="21"/>
                <w14:textFill>
                  <w14:solidFill>
                    <w14:schemeClr w14:val="tx1"/>
                  </w14:solidFill>
                </w14:textFill>
              </w:rPr>
              <w:fldChar w:fldCharType="end"/>
            </w:r>
            <w:bookmarkEnd w:id="37"/>
            <w:r>
              <w:rPr>
                <w:rFonts w:ascii="Times New Roman" w:hAnsi="Times New Roman" w:eastAsia="宋体" w:cs="Times New Roman"/>
                <w:b/>
                <w:bCs/>
                <w:color w:val="000000" w:themeColor="text1"/>
                <w:szCs w:val="21"/>
                <w14:textFill>
                  <w14:solidFill>
                    <w14:schemeClr w14:val="tx1"/>
                  </w14:solidFill>
                </w14:textFill>
              </w:rPr>
              <w:t xml:space="preserve">   </w:t>
            </w:r>
            <w:r>
              <w:rPr>
                <w:rFonts w:ascii="Times New Roman" w:hAnsi="Times New Roman" w:eastAsia="宋体" w:cs="Times New Roman"/>
                <w:b/>
                <w:color w:val="000000" w:themeColor="text1"/>
                <w:kern w:val="0"/>
                <w:szCs w:val="21"/>
                <w14:textFill>
                  <w14:solidFill>
                    <w14:schemeClr w14:val="tx1"/>
                  </w14:solidFill>
                </w14:textFill>
              </w:rPr>
              <w:t>项目改建前后全厂主要污染物“三本账”</w:t>
            </w:r>
          </w:p>
          <w:tbl>
            <w:tblPr>
              <w:tblStyle w:val="24"/>
              <w:tblW w:w="83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95"/>
              <w:gridCol w:w="1631"/>
              <w:gridCol w:w="1434"/>
              <w:gridCol w:w="1124"/>
              <w:gridCol w:w="1002"/>
              <w:gridCol w:w="1319"/>
              <w:gridCol w:w="1145"/>
            </w:tblGrid>
            <w:tr w14:paraId="396768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 w:hRule="atLeast"/>
                <w:jc w:val="center"/>
              </w:trPr>
              <w:tc>
                <w:tcPr>
                  <w:tcW w:w="731" w:type="dxa"/>
                  <w:tcBorders>
                    <w:top w:val="single" w:color="auto" w:sz="4" w:space="0"/>
                    <w:left w:val="single" w:color="auto" w:sz="4" w:space="0"/>
                    <w:bottom w:val="single" w:color="auto" w:sz="4" w:space="0"/>
                    <w:right w:val="single" w:color="auto" w:sz="4" w:space="0"/>
                  </w:tcBorders>
                  <w:vAlign w:val="center"/>
                </w:tcPr>
                <w:p w14:paraId="457EF953">
                  <w:pPr>
                    <w:topLinePunct/>
                    <w:adjustRightInd w:val="0"/>
                    <w:snapToGrid w:val="0"/>
                    <w:ind w:left="-42" w:leftChars="-20" w:right="-42" w:rightChars="-20"/>
                    <w:jc w:val="center"/>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种类</w:t>
                  </w:r>
                </w:p>
              </w:tc>
              <w:tc>
                <w:tcPr>
                  <w:tcW w:w="1744" w:type="dxa"/>
                  <w:tcBorders>
                    <w:top w:val="single" w:color="auto" w:sz="4" w:space="0"/>
                    <w:left w:val="single" w:color="auto" w:sz="4" w:space="0"/>
                    <w:bottom w:val="single" w:color="auto" w:sz="4" w:space="0"/>
                    <w:right w:val="single" w:color="auto" w:sz="4" w:space="0"/>
                  </w:tcBorders>
                  <w:vAlign w:val="center"/>
                </w:tcPr>
                <w:p w14:paraId="381B05AD">
                  <w:pPr>
                    <w:topLinePunct/>
                    <w:adjustRightInd w:val="0"/>
                    <w:snapToGrid w:val="0"/>
                    <w:ind w:left="-42" w:leftChars="-20" w:right="-42" w:rightChars="-20"/>
                    <w:jc w:val="center"/>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污染物名称</w:t>
                  </w:r>
                </w:p>
              </w:tc>
              <w:tc>
                <w:tcPr>
                  <w:tcW w:w="1455" w:type="dxa"/>
                  <w:tcBorders>
                    <w:top w:val="single" w:color="auto" w:sz="4" w:space="0"/>
                    <w:left w:val="single" w:color="auto" w:sz="4" w:space="0"/>
                    <w:bottom w:val="single" w:color="auto" w:sz="4" w:space="0"/>
                    <w:right w:val="single" w:color="auto" w:sz="4" w:space="0"/>
                  </w:tcBorders>
                  <w:vAlign w:val="center"/>
                </w:tcPr>
                <w:p w14:paraId="1CB319B1">
                  <w:pPr>
                    <w:topLinePunct/>
                    <w:adjustRightInd w:val="0"/>
                    <w:snapToGrid w:val="0"/>
                    <w:ind w:left="-42" w:leftChars="-20" w:right="-42" w:rightChars="-20"/>
                    <w:jc w:val="center"/>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原有排放量（t/a）</w:t>
                  </w:r>
                </w:p>
              </w:tc>
              <w:tc>
                <w:tcPr>
                  <w:tcW w:w="1170" w:type="dxa"/>
                  <w:tcBorders>
                    <w:top w:val="single" w:color="auto" w:sz="4" w:space="0"/>
                    <w:left w:val="single" w:color="auto" w:sz="4" w:space="0"/>
                    <w:bottom w:val="single" w:color="auto" w:sz="4" w:space="0"/>
                    <w:right w:val="single" w:color="auto" w:sz="4" w:space="0"/>
                  </w:tcBorders>
                  <w:vAlign w:val="center"/>
                </w:tcPr>
                <w:p w14:paraId="0B5FAA26">
                  <w:pPr>
                    <w:topLinePunct/>
                    <w:adjustRightInd w:val="0"/>
                    <w:snapToGrid w:val="0"/>
                    <w:ind w:left="-42" w:leftChars="-20" w:right="-42" w:rightChars="-20"/>
                    <w:jc w:val="center"/>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本项目新增排放量（t/a）</w:t>
                  </w:r>
                </w:p>
              </w:tc>
              <w:tc>
                <w:tcPr>
                  <w:tcW w:w="1026" w:type="dxa"/>
                  <w:tcBorders>
                    <w:top w:val="single" w:color="auto" w:sz="4" w:space="0"/>
                    <w:left w:val="single" w:color="auto" w:sz="4" w:space="0"/>
                    <w:bottom w:val="single" w:color="auto" w:sz="4" w:space="0"/>
                    <w:right w:val="single" w:color="auto" w:sz="4" w:space="0"/>
                  </w:tcBorders>
                  <w:vAlign w:val="center"/>
                </w:tcPr>
                <w:p w14:paraId="5B4FDBC3">
                  <w:pPr>
                    <w:topLinePunct/>
                    <w:adjustRightInd w:val="0"/>
                    <w:snapToGrid w:val="0"/>
                    <w:jc w:val="center"/>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“以新带老”削减量（t/a）</w:t>
                  </w:r>
                </w:p>
              </w:tc>
              <w:tc>
                <w:tcPr>
                  <w:tcW w:w="1040" w:type="dxa"/>
                  <w:tcBorders>
                    <w:top w:val="single" w:color="auto" w:sz="4" w:space="0"/>
                    <w:left w:val="single" w:color="auto" w:sz="4" w:space="0"/>
                    <w:bottom w:val="single" w:color="auto" w:sz="4" w:space="0"/>
                    <w:right w:val="single" w:color="auto" w:sz="4" w:space="0"/>
                  </w:tcBorders>
                  <w:vAlign w:val="center"/>
                </w:tcPr>
                <w:p w14:paraId="6D4A17EF">
                  <w:pPr>
                    <w:topLinePunct/>
                    <w:adjustRightInd w:val="0"/>
                    <w:snapToGrid w:val="0"/>
                    <w:jc w:val="center"/>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全厂排放量（t/a）</w:t>
                  </w:r>
                </w:p>
              </w:tc>
              <w:tc>
                <w:tcPr>
                  <w:tcW w:w="1184" w:type="dxa"/>
                  <w:tcBorders>
                    <w:top w:val="single" w:color="auto" w:sz="4" w:space="0"/>
                    <w:left w:val="single" w:color="auto" w:sz="4" w:space="0"/>
                    <w:bottom w:val="single" w:color="auto" w:sz="4" w:space="0"/>
                    <w:right w:val="single" w:color="auto" w:sz="4" w:space="0"/>
                  </w:tcBorders>
                  <w:vAlign w:val="center"/>
                </w:tcPr>
                <w:p w14:paraId="08C4FB76">
                  <w:pPr>
                    <w:topLinePunct/>
                    <w:adjustRightInd w:val="0"/>
                    <w:snapToGrid w:val="0"/>
                    <w:jc w:val="center"/>
                    <w:rPr>
                      <w:rFonts w:ascii="Times New Roman" w:hAnsi="Times New Roman" w:eastAsia="宋体" w:cs="Times New Roman"/>
                      <w:b/>
                      <w:color w:val="000000" w:themeColor="text1"/>
                      <w:kern w:val="0"/>
                      <w:szCs w:val="21"/>
                      <w14:textFill>
                        <w14:solidFill>
                          <w14:schemeClr w14:val="tx1"/>
                        </w14:solidFill>
                      </w14:textFill>
                    </w:rPr>
                  </w:pPr>
                  <w:r>
                    <w:rPr>
                      <w:rFonts w:ascii="Times New Roman" w:hAnsi="Times New Roman" w:eastAsia="宋体" w:cs="Times New Roman"/>
                      <w:b/>
                      <w:color w:val="000000" w:themeColor="text1"/>
                      <w:kern w:val="0"/>
                      <w:szCs w:val="21"/>
                      <w14:textFill>
                        <w14:solidFill>
                          <w14:schemeClr w14:val="tx1"/>
                        </w14:solidFill>
                      </w14:textFill>
                    </w:rPr>
                    <w:t>污染物变化量（t/a）</w:t>
                  </w:r>
                </w:p>
              </w:tc>
            </w:tr>
            <w:tr w14:paraId="664A3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 w:hRule="atLeast"/>
                <w:jc w:val="center"/>
              </w:trPr>
              <w:tc>
                <w:tcPr>
                  <w:tcW w:w="731" w:type="dxa"/>
                  <w:vMerge w:val="restart"/>
                  <w:tcBorders>
                    <w:top w:val="single" w:color="auto" w:sz="4" w:space="0"/>
                    <w:left w:val="single" w:color="auto" w:sz="4" w:space="0"/>
                    <w:right w:val="single" w:color="auto" w:sz="4" w:space="0"/>
                  </w:tcBorders>
                  <w:vAlign w:val="center"/>
                </w:tcPr>
                <w:p w14:paraId="30AA6BF7">
                  <w:pPr>
                    <w:topLinePunct/>
                    <w:adjustRightInd w:val="0"/>
                    <w:snapToGrid w:val="0"/>
                    <w:ind w:left="-42" w:leftChars="-20" w:right="-42" w:rightChars="-2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废气</w:t>
                  </w:r>
                </w:p>
              </w:tc>
              <w:tc>
                <w:tcPr>
                  <w:tcW w:w="1744" w:type="dxa"/>
                  <w:tcBorders>
                    <w:top w:val="single" w:color="auto" w:sz="4" w:space="0"/>
                    <w:left w:val="single" w:color="auto" w:sz="4" w:space="0"/>
                    <w:bottom w:val="single" w:color="auto" w:sz="4" w:space="0"/>
                    <w:right w:val="single" w:color="auto" w:sz="4" w:space="0"/>
                  </w:tcBorders>
                  <w:vAlign w:val="center"/>
                </w:tcPr>
                <w:p w14:paraId="7D7147BD">
                  <w:pPr>
                    <w:topLinePunct/>
                    <w:adjustRightInd w:val="0"/>
                    <w:snapToGrid w:val="0"/>
                    <w:ind w:left="-42" w:leftChars="-20" w:right="-42" w:rightChars="-2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颗粒物</w:t>
                  </w:r>
                </w:p>
              </w:tc>
              <w:tc>
                <w:tcPr>
                  <w:tcW w:w="1455" w:type="dxa"/>
                  <w:tcBorders>
                    <w:top w:val="single" w:color="auto" w:sz="4" w:space="0"/>
                    <w:left w:val="single" w:color="auto" w:sz="4" w:space="0"/>
                    <w:bottom w:val="single" w:color="auto" w:sz="4" w:space="0"/>
                    <w:right w:val="single" w:color="auto" w:sz="4" w:space="0"/>
                  </w:tcBorders>
                  <w:vAlign w:val="center"/>
                </w:tcPr>
                <w:p w14:paraId="2C727D71">
                  <w:pPr>
                    <w:topLinePunct/>
                    <w:adjustRightInd w:val="0"/>
                    <w:snapToGrid w:val="0"/>
                    <w:ind w:left="-42" w:leftChars="-20" w:right="-42" w:rightChars="-20"/>
                    <w:jc w:val="center"/>
                    <w:rPr>
                      <w:rFonts w:ascii="Times New Roman" w:hAnsi="Times New Roman" w:eastAsia="等线"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11.3691</w:t>
                  </w:r>
                </w:p>
              </w:tc>
              <w:tc>
                <w:tcPr>
                  <w:tcW w:w="1170" w:type="dxa"/>
                  <w:tcBorders>
                    <w:top w:val="single" w:color="auto" w:sz="4" w:space="0"/>
                    <w:left w:val="single" w:color="auto" w:sz="4" w:space="0"/>
                    <w:bottom w:val="single" w:color="auto" w:sz="4" w:space="0"/>
                    <w:right w:val="single" w:color="auto" w:sz="4" w:space="0"/>
                  </w:tcBorders>
                  <w:vAlign w:val="center"/>
                </w:tcPr>
                <w:p w14:paraId="68FCC16C">
                  <w:pPr>
                    <w:topLinePunct/>
                    <w:adjustRightInd w:val="0"/>
                    <w:snapToGrid w:val="0"/>
                    <w:ind w:left="-42" w:leftChars="-20" w:right="-42" w:rightChars="-20"/>
                    <w:jc w:val="center"/>
                    <w:rPr>
                      <w:rFonts w:ascii="Times New Roman" w:hAnsi="Times New Roman" w:eastAsia="等线"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0.012</w:t>
                  </w:r>
                </w:p>
              </w:tc>
              <w:tc>
                <w:tcPr>
                  <w:tcW w:w="1026" w:type="dxa"/>
                  <w:tcBorders>
                    <w:top w:val="single" w:color="auto" w:sz="4" w:space="0"/>
                    <w:left w:val="single" w:color="auto" w:sz="4" w:space="0"/>
                    <w:bottom w:val="single" w:color="auto" w:sz="4" w:space="0"/>
                    <w:right w:val="single" w:color="auto" w:sz="4" w:space="0"/>
                  </w:tcBorders>
                  <w:vAlign w:val="center"/>
                </w:tcPr>
                <w:p w14:paraId="429B3C74">
                  <w:pPr>
                    <w:topLinePunct/>
                    <w:adjustRightInd w:val="0"/>
                    <w:snapToGrid w:val="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0.029</w:t>
                  </w:r>
                </w:p>
              </w:tc>
              <w:tc>
                <w:tcPr>
                  <w:tcW w:w="1040" w:type="dxa"/>
                  <w:tcBorders>
                    <w:top w:val="single" w:color="auto" w:sz="4" w:space="0"/>
                    <w:left w:val="single" w:color="auto" w:sz="4" w:space="0"/>
                    <w:bottom w:val="single" w:color="auto" w:sz="4" w:space="0"/>
                    <w:right w:val="single" w:color="auto" w:sz="4" w:space="0"/>
                  </w:tcBorders>
                  <w:vAlign w:val="center"/>
                </w:tcPr>
                <w:p w14:paraId="3148AF3F">
                  <w:pPr>
                    <w:widowControl/>
                    <w:topLinePunct/>
                    <w:adjustRightInd w:val="0"/>
                    <w:snapToGrid w:val="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lang w:bidi="ar"/>
                      <w14:textFill>
                        <w14:solidFill>
                          <w14:schemeClr w14:val="tx1"/>
                        </w14:solidFill>
                      </w14:textFill>
                    </w:rPr>
                    <w:t>11.3521</w:t>
                  </w:r>
                </w:p>
              </w:tc>
              <w:tc>
                <w:tcPr>
                  <w:tcW w:w="1184" w:type="dxa"/>
                  <w:tcBorders>
                    <w:top w:val="single" w:color="auto" w:sz="4" w:space="0"/>
                    <w:left w:val="single" w:color="auto" w:sz="4" w:space="0"/>
                    <w:bottom w:val="single" w:color="auto" w:sz="4" w:space="0"/>
                    <w:right w:val="single" w:color="auto" w:sz="4" w:space="0"/>
                  </w:tcBorders>
                  <w:vAlign w:val="center"/>
                </w:tcPr>
                <w:p w14:paraId="61AD453E">
                  <w:pPr>
                    <w:widowControl/>
                    <w:topLinePunct/>
                    <w:adjustRightInd w:val="0"/>
                    <w:snapToGrid w:val="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lang w:bidi="ar"/>
                      <w14:textFill>
                        <w14:solidFill>
                          <w14:schemeClr w14:val="tx1"/>
                        </w14:solidFill>
                      </w14:textFill>
                    </w:rPr>
                    <w:t>-0.017</w:t>
                  </w:r>
                </w:p>
              </w:tc>
            </w:tr>
            <w:tr w14:paraId="08935C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 w:hRule="atLeast"/>
                <w:jc w:val="center"/>
              </w:trPr>
              <w:tc>
                <w:tcPr>
                  <w:tcW w:w="731" w:type="dxa"/>
                  <w:vMerge w:val="continue"/>
                  <w:tcBorders>
                    <w:left w:val="single" w:color="auto" w:sz="4" w:space="0"/>
                    <w:right w:val="single" w:color="auto" w:sz="4" w:space="0"/>
                  </w:tcBorders>
                  <w:vAlign w:val="center"/>
                </w:tcPr>
                <w:p w14:paraId="623F5179">
                  <w:pPr>
                    <w:topLinePunct/>
                    <w:adjustRightInd w:val="0"/>
                    <w:snapToGrid w:val="0"/>
                    <w:ind w:left="-42" w:leftChars="-20" w:right="-42" w:rightChars="-20"/>
                    <w:jc w:val="center"/>
                    <w:rPr>
                      <w:rFonts w:ascii="Times New Roman" w:hAnsi="Times New Roman" w:eastAsia="宋体" w:cs="Times New Roman"/>
                      <w:bCs/>
                      <w:color w:val="000000" w:themeColor="text1"/>
                      <w:kern w:val="0"/>
                      <w:szCs w:val="21"/>
                      <w14:textFill>
                        <w14:solidFill>
                          <w14:schemeClr w14:val="tx1"/>
                        </w14:solidFill>
                      </w14:textFill>
                    </w:rPr>
                  </w:pPr>
                </w:p>
              </w:tc>
              <w:tc>
                <w:tcPr>
                  <w:tcW w:w="1744" w:type="dxa"/>
                  <w:tcBorders>
                    <w:top w:val="single" w:color="auto" w:sz="4" w:space="0"/>
                    <w:left w:val="single" w:color="auto" w:sz="4" w:space="0"/>
                    <w:bottom w:val="single" w:color="auto" w:sz="4" w:space="0"/>
                    <w:right w:val="single" w:color="auto" w:sz="4" w:space="0"/>
                  </w:tcBorders>
                  <w:vAlign w:val="center"/>
                </w:tcPr>
                <w:p w14:paraId="108718F2">
                  <w:pPr>
                    <w:topLinePunct/>
                    <w:adjustRightInd w:val="0"/>
                    <w:snapToGrid w:val="0"/>
                    <w:ind w:left="-42" w:leftChars="-20" w:right="-42" w:rightChars="-2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SO</w:t>
                  </w:r>
                  <w:r>
                    <w:rPr>
                      <w:rFonts w:ascii="Times New Roman" w:hAnsi="Times New Roman" w:eastAsia="宋体" w:cs="Times New Roman"/>
                      <w:color w:val="000000" w:themeColor="text1"/>
                      <w:szCs w:val="21"/>
                      <w:vertAlign w:val="subscript"/>
                      <w14:textFill>
                        <w14:solidFill>
                          <w14:schemeClr w14:val="tx1"/>
                        </w14:solidFill>
                      </w14:textFill>
                    </w:rPr>
                    <w:t>2</w:t>
                  </w:r>
                </w:p>
              </w:tc>
              <w:tc>
                <w:tcPr>
                  <w:tcW w:w="1455" w:type="dxa"/>
                  <w:tcBorders>
                    <w:top w:val="single" w:color="auto" w:sz="4" w:space="0"/>
                    <w:left w:val="single" w:color="auto" w:sz="4" w:space="0"/>
                    <w:bottom w:val="single" w:color="auto" w:sz="4" w:space="0"/>
                    <w:right w:val="single" w:color="auto" w:sz="4" w:space="0"/>
                  </w:tcBorders>
                  <w:vAlign w:val="center"/>
                </w:tcPr>
                <w:p w14:paraId="7C470BFB">
                  <w:pPr>
                    <w:topLinePunct/>
                    <w:adjustRightInd w:val="0"/>
                    <w:snapToGrid w:val="0"/>
                    <w:ind w:left="-42" w:leftChars="-20" w:right="-42" w:rightChars="-2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8.6365</w:t>
                  </w:r>
                </w:p>
              </w:tc>
              <w:tc>
                <w:tcPr>
                  <w:tcW w:w="1170" w:type="dxa"/>
                  <w:tcBorders>
                    <w:top w:val="single" w:color="auto" w:sz="4" w:space="0"/>
                    <w:left w:val="single" w:color="auto" w:sz="4" w:space="0"/>
                    <w:bottom w:val="single" w:color="auto" w:sz="4" w:space="0"/>
                    <w:right w:val="single" w:color="auto" w:sz="4" w:space="0"/>
                  </w:tcBorders>
                  <w:vAlign w:val="center"/>
                </w:tcPr>
                <w:p w14:paraId="1B8339CA">
                  <w:pPr>
                    <w:topLinePunct/>
                    <w:adjustRightInd w:val="0"/>
                    <w:snapToGrid w:val="0"/>
                    <w:ind w:left="-42" w:leftChars="-20" w:right="-42" w:rightChars="-2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1026" w:type="dxa"/>
                  <w:tcBorders>
                    <w:top w:val="single" w:color="auto" w:sz="4" w:space="0"/>
                    <w:left w:val="single" w:color="auto" w:sz="4" w:space="0"/>
                    <w:bottom w:val="single" w:color="auto" w:sz="4" w:space="0"/>
                    <w:right w:val="single" w:color="auto" w:sz="4" w:space="0"/>
                  </w:tcBorders>
                  <w:vAlign w:val="center"/>
                </w:tcPr>
                <w:p w14:paraId="6660F4C1">
                  <w:pPr>
                    <w:topLinePunct/>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1040" w:type="dxa"/>
                  <w:tcBorders>
                    <w:top w:val="single" w:color="auto" w:sz="4" w:space="0"/>
                    <w:left w:val="single" w:color="auto" w:sz="4" w:space="0"/>
                    <w:bottom w:val="single" w:color="auto" w:sz="4" w:space="0"/>
                    <w:right w:val="single" w:color="auto" w:sz="4" w:space="0"/>
                  </w:tcBorders>
                  <w:vAlign w:val="center"/>
                </w:tcPr>
                <w:p w14:paraId="752F80F8">
                  <w:pPr>
                    <w:widowControl/>
                    <w:topLinePunct/>
                    <w:adjustRightInd w:val="0"/>
                    <w:snapToGrid w:val="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lang w:bidi="ar"/>
                      <w14:textFill>
                        <w14:solidFill>
                          <w14:schemeClr w14:val="tx1"/>
                        </w14:solidFill>
                      </w14:textFill>
                    </w:rPr>
                    <w:t>8.6365</w:t>
                  </w:r>
                </w:p>
              </w:tc>
              <w:tc>
                <w:tcPr>
                  <w:tcW w:w="1184" w:type="dxa"/>
                  <w:tcBorders>
                    <w:top w:val="single" w:color="auto" w:sz="4" w:space="0"/>
                    <w:left w:val="single" w:color="auto" w:sz="4" w:space="0"/>
                    <w:bottom w:val="single" w:color="auto" w:sz="4" w:space="0"/>
                    <w:right w:val="single" w:color="auto" w:sz="4" w:space="0"/>
                  </w:tcBorders>
                  <w:vAlign w:val="center"/>
                </w:tcPr>
                <w:p w14:paraId="249852B0">
                  <w:pPr>
                    <w:widowControl/>
                    <w:topLinePunct/>
                    <w:adjustRightInd w:val="0"/>
                    <w:snapToGrid w:val="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lang w:bidi="ar"/>
                      <w14:textFill>
                        <w14:solidFill>
                          <w14:schemeClr w14:val="tx1"/>
                        </w14:solidFill>
                      </w14:textFill>
                    </w:rPr>
                    <w:t>0</w:t>
                  </w:r>
                </w:p>
              </w:tc>
            </w:tr>
            <w:tr w14:paraId="45877F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 w:hRule="atLeast"/>
                <w:jc w:val="center"/>
              </w:trPr>
              <w:tc>
                <w:tcPr>
                  <w:tcW w:w="731" w:type="dxa"/>
                  <w:vMerge w:val="continue"/>
                  <w:tcBorders>
                    <w:left w:val="single" w:color="auto" w:sz="4" w:space="0"/>
                    <w:right w:val="single" w:color="auto" w:sz="4" w:space="0"/>
                  </w:tcBorders>
                  <w:vAlign w:val="center"/>
                </w:tcPr>
                <w:p w14:paraId="57B71B83">
                  <w:pPr>
                    <w:topLinePunct/>
                    <w:adjustRightInd w:val="0"/>
                    <w:snapToGrid w:val="0"/>
                    <w:ind w:left="-42" w:leftChars="-20" w:right="-42" w:rightChars="-20"/>
                    <w:jc w:val="center"/>
                    <w:rPr>
                      <w:rFonts w:ascii="Times New Roman" w:hAnsi="Times New Roman" w:eastAsia="宋体" w:cs="Times New Roman"/>
                      <w:bCs/>
                      <w:color w:val="000000" w:themeColor="text1"/>
                      <w:kern w:val="0"/>
                      <w:szCs w:val="21"/>
                      <w14:textFill>
                        <w14:solidFill>
                          <w14:schemeClr w14:val="tx1"/>
                        </w14:solidFill>
                      </w14:textFill>
                    </w:rPr>
                  </w:pPr>
                </w:p>
              </w:tc>
              <w:tc>
                <w:tcPr>
                  <w:tcW w:w="1744" w:type="dxa"/>
                  <w:tcBorders>
                    <w:top w:val="single" w:color="auto" w:sz="4" w:space="0"/>
                    <w:left w:val="single" w:color="auto" w:sz="4" w:space="0"/>
                    <w:bottom w:val="single" w:color="auto" w:sz="4" w:space="0"/>
                    <w:right w:val="single" w:color="auto" w:sz="4" w:space="0"/>
                  </w:tcBorders>
                  <w:vAlign w:val="center"/>
                </w:tcPr>
                <w:p w14:paraId="22D0D15F">
                  <w:pPr>
                    <w:topLinePunct/>
                    <w:adjustRightInd w:val="0"/>
                    <w:snapToGrid w:val="0"/>
                    <w:ind w:left="-42" w:leftChars="-20" w:right="-42" w:rightChars="-2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NOx</w:t>
                  </w:r>
                </w:p>
              </w:tc>
              <w:tc>
                <w:tcPr>
                  <w:tcW w:w="1455" w:type="dxa"/>
                  <w:tcBorders>
                    <w:top w:val="single" w:color="auto" w:sz="4" w:space="0"/>
                    <w:left w:val="single" w:color="auto" w:sz="4" w:space="0"/>
                    <w:bottom w:val="single" w:color="auto" w:sz="4" w:space="0"/>
                    <w:right w:val="single" w:color="auto" w:sz="4" w:space="0"/>
                  </w:tcBorders>
                  <w:vAlign w:val="center"/>
                </w:tcPr>
                <w:p w14:paraId="18112979">
                  <w:pPr>
                    <w:topLinePunct/>
                    <w:adjustRightInd w:val="0"/>
                    <w:snapToGrid w:val="0"/>
                    <w:ind w:left="-42" w:leftChars="-20" w:right="-42" w:rightChars="-2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9.012</w:t>
                  </w:r>
                </w:p>
              </w:tc>
              <w:tc>
                <w:tcPr>
                  <w:tcW w:w="1170" w:type="dxa"/>
                  <w:tcBorders>
                    <w:top w:val="single" w:color="auto" w:sz="4" w:space="0"/>
                    <w:left w:val="single" w:color="auto" w:sz="4" w:space="0"/>
                    <w:bottom w:val="single" w:color="auto" w:sz="4" w:space="0"/>
                    <w:right w:val="single" w:color="auto" w:sz="4" w:space="0"/>
                  </w:tcBorders>
                  <w:vAlign w:val="center"/>
                </w:tcPr>
                <w:p w14:paraId="41A42870">
                  <w:pPr>
                    <w:topLinePunct/>
                    <w:adjustRightInd w:val="0"/>
                    <w:snapToGrid w:val="0"/>
                    <w:ind w:left="-42" w:leftChars="-20" w:right="-42" w:rightChars="-2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1026" w:type="dxa"/>
                  <w:tcBorders>
                    <w:top w:val="single" w:color="auto" w:sz="4" w:space="0"/>
                    <w:left w:val="single" w:color="auto" w:sz="4" w:space="0"/>
                    <w:bottom w:val="single" w:color="auto" w:sz="4" w:space="0"/>
                    <w:right w:val="single" w:color="auto" w:sz="4" w:space="0"/>
                  </w:tcBorders>
                  <w:vAlign w:val="center"/>
                </w:tcPr>
                <w:p w14:paraId="1B05E94B">
                  <w:pPr>
                    <w:topLinePunct/>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1040" w:type="dxa"/>
                  <w:tcBorders>
                    <w:top w:val="single" w:color="auto" w:sz="4" w:space="0"/>
                    <w:left w:val="single" w:color="auto" w:sz="4" w:space="0"/>
                    <w:bottom w:val="single" w:color="auto" w:sz="4" w:space="0"/>
                    <w:right w:val="single" w:color="auto" w:sz="4" w:space="0"/>
                  </w:tcBorders>
                  <w:vAlign w:val="center"/>
                </w:tcPr>
                <w:p w14:paraId="0D2EDDBA">
                  <w:pPr>
                    <w:widowControl/>
                    <w:topLinePunct/>
                    <w:adjustRightInd w:val="0"/>
                    <w:snapToGrid w:val="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lang w:bidi="ar"/>
                      <w14:textFill>
                        <w14:solidFill>
                          <w14:schemeClr w14:val="tx1"/>
                        </w14:solidFill>
                      </w14:textFill>
                    </w:rPr>
                    <w:t>9.012</w:t>
                  </w:r>
                </w:p>
              </w:tc>
              <w:tc>
                <w:tcPr>
                  <w:tcW w:w="1184" w:type="dxa"/>
                  <w:tcBorders>
                    <w:top w:val="single" w:color="auto" w:sz="4" w:space="0"/>
                    <w:left w:val="single" w:color="auto" w:sz="4" w:space="0"/>
                    <w:bottom w:val="single" w:color="auto" w:sz="4" w:space="0"/>
                    <w:right w:val="single" w:color="auto" w:sz="4" w:space="0"/>
                  </w:tcBorders>
                  <w:vAlign w:val="center"/>
                </w:tcPr>
                <w:p w14:paraId="13A7B7E5">
                  <w:pPr>
                    <w:widowControl/>
                    <w:topLinePunct/>
                    <w:adjustRightInd w:val="0"/>
                    <w:snapToGrid w:val="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lang w:bidi="ar"/>
                      <w14:textFill>
                        <w14:solidFill>
                          <w14:schemeClr w14:val="tx1"/>
                        </w14:solidFill>
                      </w14:textFill>
                    </w:rPr>
                    <w:t>0</w:t>
                  </w:r>
                </w:p>
              </w:tc>
            </w:tr>
            <w:tr w14:paraId="768F56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 w:hRule="atLeast"/>
                <w:jc w:val="center"/>
              </w:trPr>
              <w:tc>
                <w:tcPr>
                  <w:tcW w:w="697" w:type="dxa"/>
                  <w:vMerge w:val="continue"/>
                  <w:tcBorders>
                    <w:left w:val="single" w:color="auto" w:sz="4" w:space="0"/>
                    <w:right w:val="single" w:color="auto" w:sz="4" w:space="0"/>
                  </w:tcBorders>
                  <w:vAlign w:val="center"/>
                </w:tcPr>
                <w:p w14:paraId="33184C6F">
                  <w:pPr>
                    <w:widowControl/>
                    <w:jc w:val="left"/>
                    <w:rPr>
                      <w:rFonts w:ascii="Times New Roman" w:hAnsi="Times New Roman" w:eastAsia="宋体" w:cs="Times New Roman"/>
                      <w:bCs/>
                      <w:color w:val="000000" w:themeColor="text1"/>
                      <w:kern w:val="0"/>
                      <w:szCs w:val="21"/>
                      <w14:textFill>
                        <w14:solidFill>
                          <w14:schemeClr w14:val="tx1"/>
                        </w14:solidFill>
                      </w14:textFill>
                    </w:rPr>
                  </w:pPr>
                </w:p>
              </w:tc>
              <w:tc>
                <w:tcPr>
                  <w:tcW w:w="1744" w:type="dxa"/>
                  <w:tcBorders>
                    <w:top w:val="single" w:color="auto" w:sz="4" w:space="0"/>
                    <w:left w:val="single" w:color="auto" w:sz="4" w:space="0"/>
                    <w:bottom w:val="single" w:color="auto" w:sz="4" w:space="0"/>
                    <w:right w:val="single" w:color="auto" w:sz="4" w:space="0"/>
                  </w:tcBorders>
                  <w:vAlign w:val="center"/>
                </w:tcPr>
                <w:p w14:paraId="44CAEC04">
                  <w:pPr>
                    <w:topLinePunct/>
                    <w:adjustRightInd w:val="0"/>
                    <w:snapToGrid w:val="0"/>
                    <w:ind w:left="-42" w:leftChars="-20" w:right="-42" w:rightChars="-2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1455" w:type="dxa"/>
                  <w:tcBorders>
                    <w:top w:val="single" w:color="auto" w:sz="4" w:space="0"/>
                    <w:left w:val="single" w:color="auto" w:sz="4" w:space="0"/>
                    <w:bottom w:val="single" w:color="auto" w:sz="4" w:space="0"/>
                    <w:right w:val="single" w:color="auto" w:sz="4" w:space="0"/>
                  </w:tcBorders>
                  <w:vAlign w:val="center"/>
                </w:tcPr>
                <w:p w14:paraId="6E8A304C">
                  <w:pPr>
                    <w:topLinePunct/>
                    <w:adjustRightInd w:val="0"/>
                    <w:snapToGrid w:val="0"/>
                    <w:ind w:left="-42" w:leftChars="-20" w:right="-42" w:rightChars="-20"/>
                    <w:jc w:val="center"/>
                    <w:rPr>
                      <w:rFonts w:ascii="Times New Roman" w:hAnsi="Times New Roman" w:eastAsia="等线"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0.6981</w:t>
                  </w:r>
                </w:p>
              </w:tc>
              <w:tc>
                <w:tcPr>
                  <w:tcW w:w="1170" w:type="dxa"/>
                  <w:tcBorders>
                    <w:top w:val="single" w:color="auto" w:sz="4" w:space="0"/>
                    <w:left w:val="single" w:color="auto" w:sz="4" w:space="0"/>
                    <w:bottom w:val="single" w:color="auto" w:sz="4" w:space="0"/>
                    <w:right w:val="single" w:color="auto" w:sz="4" w:space="0"/>
                  </w:tcBorders>
                  <w:vAlign w:val="center"/>
                </w:tcPr>
                <w:p w14:paraId="1935E653">
                  <w:pPr>
                    <w:topLinePunct/>
                    <w:adjustRightInd w:val="0"/>
                    <w:snapToGrid w:val="0"/>
                    <w:ind w:left="-42" w:leftChars="-20" w:right="-42" w:rightChars="-20"/>
                    <w:jc w:val="center"/>
                    <w:rPr>
                      <w:rFonts w:ascii="Times New Roman" w:hAnsi="Times New Roman" w:eastAsia="等线"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0</w:t>
                  </w:r>
                </w:p>
              </w:tc>
              <w:tc>
                <w:tcPr>
                  <w:tcW w:w="1026" w:type="dxa"/>
                  <w:tcBorders>
                    <w:top w:val="single" w:color="auto" w:sz="4" w:space="0"/>
                    <w:left w:val="single" w:color="auto" w:sz="4" w:space="0"/>
                    <w:bottom w:val="single" w:color="auto" w:sz="4" w:space="0"/>
                    <w:right w:val="single" w:color="auto" w:sz="4" w:space="0"/>
                  </w:tcBorders>
                  <w:vAlign w:val="center"/>
                </w:tcPr>
                <w:p w14:paraId="09550E23">
                  <w:pPr>
                    <w:topLinePunct/>
                    <w:adjustRightInd w:val="0"/>
                    <w:snapToGrid w:val="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0</w:t>
                  </w:r>
                </w:p>
              </w:tc>
              <w:tc>
                <w:tcPr>
                  <w:tcW w:w="1040" w:type="dxa"/>
                  <w:tcBorders>
                    <w:top w:val="single" w:color="auto" w:sz="4" w:space="0"/>
                    <w:left w:val="single" w:color="auto" w:sz="4" w:space="0"/>
                    <w:bottom w:val="single" w:color="auto" w:sz="4" w:space="0"/>
                    <w:right w:val="single" w:color="auto" w:sz="4" w:space="0"/>
                  </w:tcBorders>
                  <w:vAlign w:val="center"/>
                </w:tcPr>
                <w:p w14:paraId="5BC37FB2">
                  <w:pPr>
                    <w:widowControl/>
                    <w:topLinePunct/>
                    <w:adjustRightInd w:val="0"/>
                    <w:snapToGrid w:val="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lang w:bidi="ar"/>
                      <w14:textFill>
                        <w14:solidFill>
                          <w14:schemeClr w14:val="tx1"/>
                        </w14:solidFill>
                      </w14:textFill>
                    </w:rPr>
                    <w:t>0.6981</w:t>
                  </w:r>
                </w:p>
              </w:tc>
              <w:tc>
                <w:tcPr>
                  <w:tcW w:w="1184" w:type="dxa"/>
                  <w:tcBorders>
                    <w:top w:val="single" w:color="auto" w:sz="4" w:space="0"/>
                    <w:left w:val="single" w:color="auto" w:sz="4" w:space="0"/>
                    <w:bottom w:val="single" w:color="auto" w:sz="4" w:space="0"/>
                    <w:right w:val="single" w:color="auto" w:sz="4" w:space="0"/>
                  </w:tcBorders>
                  <w:vAlign w:val="center"/>
                </w:tcPr>
                <w:p w14:paraId="185C2F88">
                  <w:pPr>
                    <w:widowControl/>
                    <w:topLinePunct/>
                    <w:adjustRightInd w:val="0"/>
                    <w:snapToGrid w:val="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lang w:bidi="ar"/>
                      <w14:textFill>
                        <w14:solidFill>
                          <w14:schemeClr w14:val="tx1"/>
                        </w14:solidFill>
                      </w14:textFill>
                    </w:rPr>
                    <w:t>0</w:t>
                  </w:r>
                </w:p>
              </w:tc>
            </w:tr>
            <w:tr w14:paraId="17FCFD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 w:hRule="atLeast"/>
                <w:jc w:val="center"/>
              </w:trPr>
              <w:tc>
                <w:tcPr>
                  <w:tcW w:w="697" w:type="dxa"/>
                  <w:vMerge w:val="continue"/>
                  <w:tcBorders>
                    <w:left w:val="single" w:color="auto" w:sz="4" w:space="0"/>
                    <w:bottom w:val="single" w:color="auto" w:sz="4" w:space="0"/>
                    <w:right w:val="single" w:color="auto" w:sz="4" w:space="0"/>
                  </w:tcBorders>
                  <w:vAlign w:val="center"/>
                </w:tcPr>
                <w:p w14:paraId="2AB16F8B">
                  <w:pPr>
                    <w:widowControl/>
                    <w:jc w:val="left"/>
                    <w:rPr>
                      <w:rFonts w:ascii="Times New Roman" w:hAnsi="Times New Roman" w:eastAsia="宋体" w:cs="Times New Roman"/>
                      <w:bCs/>
                      <w:color w:val="000000" w:themeColor="text1"/>
                      <w:kern w:val="0"/>
                      <w:szCs w:val="21"/>
                      <w14:textFill>
                        <w14:solidFill>
                          <w14:schemeClr w14:val="tx1"/>
                        </w14:solidFill>
                      </w14:textFill>
                    </w:rPr>
                  </w:pPr>
                </w:p>
              </w:tc>
              <w:tc>
                <w:tcPr>
                  <w:tcW w:w="1744" w:type="dxa"/>
                  <w:tcBorders>
                    <w:top w:val="single" w:color="auto" w:sz="4" w:space="0"/>
                    <w:left w:val="single" w:color="auto" w:sz="4" w:space="0"/>
                    <w:bottom w:val="single" w:color="auto" w:sz="4" w:space="0"/>
                    <w:right w:val="single" w:color="auto" w:sz="4" w:space="0"/>
                  </w:tcBorders>
                  <w:vAlign w:val="center"/>
                </w:tcPr>
                <w:p w14:paraId="5C995962">
                  <w:pPr>
                    <w:topLinePunct/>
                    <w:adjustRightInd w:val="0"/>
                    <w:snapToGrid w:val="0"/>
                    <w:ind w:left="-42" w:leftChars="-20" w:right="-42" w:rightChars="-20"/>
                    <w:jc w:val="center"/>
                    <w:rPr>
                      <w:rFonts w:ascii="Times New Roman" w:hAnsi="Times New Roman" w:eastAsia="宋体" w:cs="Times New Roman"/>
                      <w:color w:val="FF0000"/>
                      <w:szCs w:val="21"/>
                    </w:rPr>
                  </w:pPr>
                  <w:r>
                    <w:rPr>
                      <w:rFonts w:hint="eastAsia" w:ascii="Times New Roman" w:hAnsi="Times New Roman" w:eastAsia="宋体" w:cs="Times New Roman"/>
                      <w:color w:val="FF0000"/>
                      <w:szCs w:val="21"/>
                    </w:rPr>
                    <w:t>二噁英</w:t>
                  </w:r>
                </w:p>
              </w:tc>
              <w:tc>
                <w:tcPr>
                  <w:tcW w:w="1455" w:type="dxa"/>
                  <w:tcBorders>
                    <w:top w:val="single" w:color="auto" w:sz="4" w:space="0"/>
                    <w:left w:val="single" w:color="auto" w:sz="4" w:space="0"/>
                    <w:bottom w:val="single" w:color="auto" w:sz="4" w:space="0"/>
                    <w:right w:val="single" w:color="auto" w:sz="4" w:space="0"/>
                  </w:tcBorders>
                  <w:vAlign w:val="center"/>
                </w:tcPr>
                <w:p w14:paraId="04F4E360">
                  <w:pPr>
                    <w:topLinePunct/>
                    <w:adjustRightInd w:val="0"/>
                    <w:snapToGrid w:val="0"/>
                    <w:ind w:left="-42" w:leftChars="-20" w:right="-42" w:rightChars="-20"/>
                    <w:jc w:val="center"/>
                    <w:rPr>
                      <w:rFonts w:ascii="Times New Roman" w:hAnsi="Times New Roman" w:eastAsia="等线" w:cs="Times New Roman"/>
                      <w:color w:val="FF0000"/>
                      <w:szCs w:val="21"/>
                    </w:rPr>
                  </w:pPr>
                  <w:r>
                    <w:rPr>
                      <w:rFonts w:hint="eastAsia" w:ascii="Times New Roman" w:hAnsi="Times New Roman" w:eastAsia="等线" w:cs="Times New Roman"/>
                      <w:color w:val="FF0000"/>
                      <w:szCs w:val="21"/>
                    </w:rPr>
                    <w:t>137.376</w:t>
                  </w:r>
                  <w:r>
                    <w:rPr>
                      <w:rFonts w:ascii="Times New Roman" w:hAnsi="Times New Roman" w:eastAsia="等线" w:cs="Times New Roman"/>
                      <w:color w:val="FF0000"/>
                      <w:szCs w:val="21"/>
                    </w:rPr>
                    <w:t>mg/a</w:t>
                  </w:r>
                </w:p>
              </w:tc>
              <w:tc>
                <w:tcPr>
                  <w:tcW w:w="1170" w:type="dxa"/>
                  <w:tcBorders>
                    <w:top w:val="single" w:color="auto" w:sz="4" w:space="0"/>
                    <w:left w:val="single" w:color="auto" w:sz="4" w:space="0"/>
                    <w:bottom w:val="single" w:color="auto" w:sz="4" w:space="0"/>
                    <w:right w:val="single" w:color="auto" w:sz="4" w:space="0"/>
                  </w:tcBorders>
                  <w:vAlign w:val="center"/>
                </w:tcPr>
                <w:p w14:paraId="791A4946">
                  <w:pPr>
                    <w:topLinePunct/>
                    <w:adjustRightInd w:val="0"/>
                    <w:snapToGrid w:val="0"/>
                    <w:ind w:left="-42" w:leftChars="-20" w:right="-42" w:rightChars="-20"/>
                    <w:jc w:val="center"/>
                    <w:rPr>
                      <w:rFonts w:ascii="Times New Roman" w:hAnsi="Times New Roman" w:eastAsia="等线" w:cs="Times New Roman"/>
                      <w:color w:val="FF0000"/>
                      <w:kern w:val="0"/>
                      <w:szCs w:val="21"/>
                    </w:rPr>
                  </w:pPr>
                  <w:r>
                    <w:rPr>
                      <w:rFonts w:hint="eastAsia" w:ascii="Times New Roman" w:hAnsi="Times New Roman" w:eastAsia="等线" w:cs="Times New Roman"/>
                      <w:color w:val="FF0000"/>
                      <w:kern w:val="0"/>
                      <w:szCs w:val="21"/>
                    </w:rPr>
                    <w:t>0</w:t>
                  </w:r>
                </w:p>
              </w:tc>
              <w:tc>
                <w:tcPr>
                  <w:tcW w:w="1026" w:type="dxa"/>
                  <w:tcBorders>
                    <w:top w:val="single" w:color="auto" w:sz="4" w:space="0"/>
                    <w:left w:val="single" w:color="auto" w:sz="4" w:space="0"/>
                    <w:bottom w:val="single" w:color="auto" w:sz="4" w:space="0"/>
                    <w:right w:val="single" w:color="auto" w:sz="4" w:space="0"/>
                  </w:tcBorders>
                  <w:vAlign w:val="center"/>
                </w:tcPr>
                <w:p w14:paraId="21B8AC73">
                  <w:pPr>
                    <w:topLinePunct/>
                    <w:adjustRightInd w:val="0"/>
                    <w:snapToGrid w:val="0"/>
                    <w:jc w:val="center"/>
                    <w:rPr>
                      <w:rFonts w:ascii="Times New Roman" w:hAnsi="Times New Roman" w:eastAsia="宋体" w:cs="Times New Roman"/>
                      <w:bCs/>
                      <w:color w:val="FF0000"/>
                      <w:kern w:val="0"/>
                      <w:szCs w:val="21"/>
                    </w:rPr>
                  </w:pPr>
                  <w:r>
                    <w:rPr>
                      <w:rFonts w:hint="eastAsia" w:ascii="Times New Roman" w:hAnsi="Times New Roman" w:eastAsia="宋体" w:cs="Times New Roman"/>
                      <w:bCs/>
                      <w:color w:val="FF0000"/>
                      <w:kern w:val="0"/>
                      <w:szCs w:val="21"/>
                    </w:rPr>
                    <w:t>0</w:t>
                  </w:r>
                </w:p>
              </w:tc>
              <w:tc>
                <w:tcPr>
                  <w:tcW w:w="1040" w:type="dxa"/>
                  <w:tcBorders>
                    <w:top w:val="single" w:color="auto" w:sz="4" w:space="0"/>
                    <w:left w:val="single" w:color="auto" w:sz="4" w:space="0"/>
                    <w:bottom w:val="single" w:color="auto" w:sz="4" w:space="0"/>
                    <w:right w:val="single" w:color="auto" w:sz="4" w:space="0"/>
                  </w:tcBorders>
                  <w:vAlign w:val="center"/>
                </w:tcPr>
                <w:p w14:paraId="7A6328E0">
                  <w:pPr>
                    <w:widowControl/>
                    <w:topLinePunct/>
                    <w:adjustRightInd w:val="0"/>
                    <w:snapToGrid w:val="0"/>
                    <w:jc w:val="center"/>
                    <w:rPr>
                      <w:rFonts w:ascii="Times New Roman" w:hAnsi="Times New Roman" w:eastAsia="宋体" w:cs="Times New Roman"/>
                      <w:bCs/>
                      <w:color w:val="FF0000"/>
                      <w:kern w:val="0"/>
                      <w:szCs w:val="21"/>
                      <w:lang w:bidi="ar"/>
                    </w:rPr>
                  </w:pPr>
                  <w:r>
                    <w:rPr>
                      <w:rFonts w:hint="eastAsia" w:ascii="Times New Roman" w:hAnsi="Times New Roman" w:eastAsia="等线" w:cs="Times New Roman"/>
                      <w:color w:val="FF0000"/>
                      <w:szCs w:val="21"/>
                    </w:rPr>
                    <w:t>137.376</w:t>
                  </w:r>
                  <w:r>
                    <w:rPr>
                      <w:rFonts w:ascii="Times New Roman" w:hAnsi="Times New Roman" w:eastAsia="等线" w:cs="Times New Roman"/>
                      <w:color w:val="FF0000"/>
                      <w:szCs w:val="21"/>
                    </w:rPr>
                    <w:t>mg/a</w:t>
                  </w:r>
                </w:p>
              </w:tc>
              <w:tc>
                <w:tcPr>
                  <w:tcW w:w="1184" w:type="dxa"/>
                  <w:tcBorders>
                    <w:top w:val="single" w:color="auto" w:sz="4" w:space="0"/>
                    <w:left w:val="single" w:color="auto" w:sz="4" w:space="0"/>
                    <w:bottom w:val="single" w:color="auto" w:sz="4" w:space="0"/>
                    <w:right w:val="single" w:color="auto" w:sz="4" w:space="0"/>
                  </w:tcBorders>
                  <w:vAlign w:val="center"/>
                </w:tcPr>
                <w:p w14:paraId="2F276D5A">
                  <w:pPr>
                    <w:widowControl/>
                    <w:topLinePunct/>
                    <w:adjustRightInd w:val="0"/>
                    <w:snapToGrid w:val="0"/>
                    <w:jc w:val="center"/>
                    <w:rPr>
                      <w:rFonts w:ascii="Times New Roman" w:hAnsi="Times New Roman" w:eastAsia="宋体" w:cs="Times New Roman"/>
                      <w:bCs/>
                      <w:color w:val="FF0000"/>
                      <w:kern w:val="0"/>
                      <w:szCs w:val="21"/>
                      <w:lang w:bidi="ar"/>
                    </w:rPr>
                  </w:pPr>
                  <w:r>
                    <w:rPr>
                      <w:rFonts w:hint="eastAsia" w:ascii="Times New Roman" w:hAnsi="Times New Roman" w:eastAsia="宋体" w:cs="Times New Roman"/>
                      <w:bCs/>
                      <w:color w:val="FF0000"/>
                      <w:kern w:val="0"/>
                      <w:szCs w:val="21"/>
                      <w:lang w:bidi="ar"/>
                    </w:rPr>
                    <w:t>0</w:t>
                  </w:r>
                </w:p>
              </w:tc>
            </w:tr>
            <w:tr w14:paraId="254A45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 w:hRule="atLeast"/>
                <w:jc w:val="center"/>
              </w:trPr>
              <w:tc>
                <w:tcPr>
                  <w:tcW w:w="731" w:type="dxa"/>
                  <w:vMerge w:val="restart"/>
                  <w:tcBorders>
                    <w:top w:val="single" w:color="auto" w:sz="4" w:space="0"/>
                    <w:left w:val="single" w:color="auto" w:sz="4" w:space="0"/>
                    <w:bottom w:val="single" w:color="auto" w:sz="4" w:space="0"/>
                    <w:right w:val="single" w:color="auto" w:sz="4" w:space="0"/>
                  </w:tcBorders>
                  <w:vAlign w:val="center"/>
                </w:tcPr>
                <w:p w14:paraId="44FDCA5E">
                  <w:pPr>
                    <w:topLinePunct/>
                    <w:adjustRightInd w:val="0"/>
                    <w:snapToGrid w:val="0"/>
                    <w:ind w:left="-42" w:leftChars="-20" w:right="-42" w:rightChars="-2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固体</w:t>
                  </w:r>
                </w:p>
                <w:p w14:paraId="559EF129">
                  <w:pPr>
                    <w:topLinePunct/>
                    <w:adjustRightInd w:val="0"/>
                    <w:snapToGrid w:val="0"/>
                    <w:ind w:left="-42" w:leftChars="-20" w:right="-42" w:rightChars="-2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废物</w:t>
                  </w:r>
                </w:p>
              </w:tc>
              <w:tc>
                <w:tcPr>
                  <w:tcW w:w="1744" w:type="dxa"/>
                  <w:tcBorders>
                    <w:top w:val="single" w:color="auto" w:sz="4" w:space="0"/>
                    <w:left w:val="single" w:color="auto" w:sz="4" w:space="0"/>
                    <w:bottom w:val="single" w:color="auto" w:sz="4" w:space="0"/>
                    <w:right w:val="single" w:color="auto" w:sz="4" w:space="0"/>
                  </w:tcBorders>
                  <w:vAlign w:val="center"/>
                </w:tcPr>
                <w:p w14:paraId="65A3A4BF">
                  <w:pPr>
                    <w:topLinePunct/>
                    <w:adjustRightInd w:val="0"/>
                    <w:snapToGrid w:val="0"/>
                    <w:ind w:left="-42" w:leftChars="-20" w:right="-42" w:rightChars="-2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一般工业固废</w:t>
                  </w:r>
                </w:p>
              </w:tc>
              <w:tc>
                <w:tcPr>
                  <w:tcW w:w="1455" w:type="dxa"/>
                  <w:tcBorders>
                    <w:top w:val="single" w:color="auto" w:sz="4" w:space="0"/>
                    <w:left w:val="single" w:color="auto" w:sz="4" w:space="0"/>
                    <w:bottom w:val="single" w:color="auto" w:sz="4" w:space="0"/>
                    <w:right w:val="single" w:color="auto" w:sz="4" w:space="0"/>
                  </w:tcBorders>
                  <w:vAlign w:val="center"/>
                </w:tcPr>
                <w:p w14:paraId="24B04D92">
                  <w:pPr>
                    <w:topLinePunct/>
                    <w:adjustRightInd w:val="0"/>
                    <w:snapToGrid w:val="0"/>
                    <w:ind w:left="-42" w:leftChars="-20" w:right="-42" w:rightChars="-20"/>
                    <w:jc w:val="center"/>
                    <w:rPr>
                      <w:rFonts w:ascii="Times New Roman" w:hAnsi="Times New Roman" w:eastAsia="等线"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0</w:t>
                  </w:r>
                </w:p>
              </w:tc>
              <w:tc>
                <w:tcPr>
                  <w:tcW w:w="1170" w:type="dxa"/>
                  <w:tcBorders>
                    <w:top w:val="single" w:color="auto" w:sz="4" w:space="0"/>
                    <w:left w:val="single" w:color="auto" w:sz="4" w:space="0"/>
                    <w:bottom w:val="single" w:color="auto" w:sz="4" w:space="0"/>
                    <w:right w:val="single" w:color="auto" w:sz="4" w:space="0"/>
                  </w:tcBorders>
                  <w:vAlign w:val="center"/>
                </w:tcPr>
                <w:p w14:paraId="3F41C8CE">
                  <w:pPr>
                    <w:topLinePunct/>
                    <w:adjustRightInd w:val="0"/>
                    <w:snapToGrid w:val="0"/>
                    <w:ind w:left="-42" w:leftChars="-20" w:right="-42" w:rightChars="-20"/>
                    <w:jc w:val="center"/>
                    <w:rPr>
                      <w:rFonts w:ascii="Times New Roman" w:hAnsi="Times New Roman" w:eastAsia="等线"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0</w:t>
                  </w:r>
                </w:p>
              </w:tc>
              <w:tc>
                <w:tcPr>
                  <w:tcW w:w="1026" w:type="dxa"/>
                  <w:tcBorders>
                    <w:top w:val="single" w:color="auto" w:sz="4" w:space="0"/>
                    <w:left w:val="single" w:color="auto" w:sz="4" w:space="0"/>
                    <w:bottom w:val="single" w:color="auto" w:sz="4" w:space="0"/>
                    <w:right w:val="single" w:color="auto" w:sz="4" w:space="0"/>
                  </w:tcBorders>
                  <w:vAlign w:val="center"/>
                </w:tcPr>
                <w:p w14:paraId="493B32B3">
                  <w:pPr>
                    <w:topLinePunct/>
                    <w:adjustRightInd w:val="0"/>
                    <w:snapToGrid w:val="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0</w:t>
                  </w:r>
                </w:p>
              </w:tc>
              <w:tc>
                <w:tcPr>
                  <w:tcW w:w="1040" w:type="dxa"/>
                  <w:tcBorders>
                    <w:top w:val="single" w:color="auto" w:sz="4" w:space="0"/>
                    <w:left w:val="single" w:color="auto" w:sz="4" w:space="0"/>
                    <w:bottom w:val="single" w:color="auto" w:sz="4" w:space="0"/>
                    <w:right w:val="single" w:color="auto" w:sz="4" w:space="0"/>
                  </w:tcBorders>
                  <w:vAlign w:val="center"/>
                </w:tcPr>
                <w:p w14:paraId="41E23A37">
                  <w:pPr>
                    <w:topLinePunct/>
                    <w:adjustRightInd w:val="0"/>
                    <w:snapToGrid w:val="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0</w:t>
                  </w:r>
                </w:p>
              </w:tc>
              <w:tc>
                <w:tcPr>
                  <w:tcW w:w="1184" w:type="dxa"/>
                  <w:tcBorders>
                    <w:top w:val="single" w:color="auto" w:sz="4" w:space="0"/>
                    <w:left w:val="single" w:color="auto" w:sz="4" w:space="0"/>
                    <w:bottom w:val="single" w:color="auto" w:sz="4" w:space="0"/>
                    <w:right w:val="single" w:color="auto" w:sz="4" w:space="0"/>
                  </w:tcBorders>
                  <w:vAlign w:val="center"/>
                </w:tcPr>
                <w:p w14:paraId="251EB748">
                  <w:pPr>
                    <w:topLinePunct/>
                    <w:adjustRightInd w:val="0"/>
                    <w:snapToGrid w:val="0"/>
                    <w:jc w:val="center"/>
                    <w:rPr>
                      <w:rFonts w:ascii="Times New Roman" w:hAnsi="Times New Roman" w:eastAsia="等线"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0</w:t>
                  </w:r>
                </w:p>
              </w:tc>
            </w:tr>
            <w:tr w14:paraId="6CD6C9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 w:hRule="atLeast"/>
                <w:jc w:val="center"/>
              </w:trPr>
              <w:tc>
                <w:tcPr>
                  <w:tcW w:w="697" w:type="dxa"/>
                  <w:vMerge w:val="continue"/>
                  <w:tcBorders>
                    <w:top w:val="single" w:color="auto" w:sz="4" w:space="0"/>
                    <w:left w:val="single" w:color="auto" w:sz="4" w:space="0"/>
                    <w:bottom w:val="single" w:color="auto" w:sz="4" w:space="0"/>
                    <w:right w:val="single" w:color="auto" w:sz="4" w:space="0"/>
                  </w:tcBorders>
                  <w:vAlign w:val="center"/>
                </w:tcPr>
                <w:p w14:paraId="45242384">
                  <w:pPr>
                    <w:widowControl/>
                    <w:jc w:val="left"/>
                    <w:rPr>
                      <w:rFonts w:ascii="Times New Roman" w:hAnsi="Times New Roman" w:eastAsia="宋体" w:cs="Times New Roman"/>
                      <w:bCs/>
                      <w:color w:val="000000" w:themeColor="text1"/>
                      <w:kern w:val="0"/>
                      <w:szCs w:val="21"/>
                      <w14:textFill>
                        <w14:solidFill>
                          <w14:schemeClr w14:val="tx1"/>
                        </w14:solidFill>
                      </w14:textFill>
                    </w:rPr>
                  </w:pPr>
                </w:p>
              </w:tc>
              <w:tc>
                <w:tcPr>
                  <w:tcW w:w="1744" w:type="dxa"/>
                  <w:tcBorders>
                    <w:top w:val="single" w:color="auto" w:sz="4" w:space="0"/>
                    <w:left w:val="single" w:color="auto" w:sz="4" w:space="0"/>
                    <w:bottom w:val="single" w:color="auto" w:sz="4" w:space="0"/>
                    <w:right w:val="single" w:color="auto" w:sz="4" w:space="0"/>
                  </w:tcBorders>
                  <w:vAlign w:val="center"/>
                </w:tcPr>
                <w:p w14:paraId="6D4D0783">
                  <w:pPr>
                    <w:topLinePunct/>
                    <w:adjustRightInd w:val="0"/>
                    <w:snapToGrid w:val="0"/>
                    <w:ind w:left="-42" w:leftChars="-20" w:right="-42" w:rightChars="-2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危险废物</w:t>
                  </w:r>
                </w:p>
              </w:tc>
              <w:tc>
                <w:tcPr>
                  <w:tcW w:w="1455" w:type="dxa"/>
                  <w:tcBorders>
                    <w:top w:val="single" w:color="auto" w:sz="4" w:space="0"/>
                    <w:left w:val="single" w:color="auto" w:sz="4" w:space="0"/>
                    <w:bottom w:val="single" w:color="auto" w:sz="4" w:space="0"/>
                    <w:right w:val="single" w:color="auto" w:sz="4" w:space="0"/>
                  </w:tcBorders>
                  <w:vAlign w:val="center"/>
                </w:tcPr>
                <w:p w14:paraId="00D716A3">
                  <w:pPr>
                    <w:topLinePunct/>
                    <w:adjustRightInd w:val="0"/>
                    <w:snapToGrid w:val="0"/>
                    <w:ind w:left="-42" w:leftChars="-20" w:right="-42" w:rightChars="-20"/>
                    <w:jc w:val="center"/>
                    <w:rPr>
                      <w:rFonts w:ascii="Times New Roman" w:hAnsi="Times New Roman" w:eastAsia="等线"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0</w:t>
                  </w:r>
                </w:p>
              </w:tc>
              <w:tc>
                <w:tcPr>
                  <w:tcW w:w="1170" w:type="dxa"/>
                  <w:tcBorders>
                    <w:top w:val="single" w:color="auto" w:sz="4" w:space="0"/>
                    <w:left w:val="single" w:color="auto" w:sz="4" w:space="0"/>
                    <w:bottom w:val="single" w:color="auto" w:sz="4" w:space="0"/>
                    <w:right w:val="single" w:color="auto" w:sz="4" w:space="0"/>
                  </w:tcBorders>
                  <w:vAlign w:val="center"/>
                </w:tcPr>
                <w:p w14:paraId="1F9D99B5">
                  <w:pPr>
                    <w:topLinePunct/>
                    <w:adjustRightInd w:val="0"/>
                    <w:snapToGrid w:val="0"/>
                    <w:ind w:left="-42" w:leftChars="-20" w:right="-42" w:rightChars="-20"/>
                    <w:jc w:val="center"/>
                    <w:rPr>
                      <w:rFonts w:ascii="Times New Roman" w:hAnsi="Times New Roman" w:eastAsia="等线"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0</w:t>
                  </w:r>
                </w:p>
              </w:tc>
              <w:tc>
                <w:tcPr>
                  <w:tcW w:w="1026" w:type="dxa"/>
                  <w:tcBorders>
                    <w:top w:val="single" w:color="auto" w:sz="4" w:space="0"/>
                    <w:left w:val="single" w:color="auto" w:sz="4" w:space="0"/>
                    <w:bottom w:val="single" w:color="auto" w:sz="4" w:space="0"/>
                    <w:right w:val="single" w:color="auto" w:sz="4" w:space="0"/>
                  </w:tcBorders>
                  <w:vAlign w:val="center"/>
                </w:tcPr>
                <w:p w14:paraId="2A57FD8D">
                  <w:pPr>
                    <w:topLinePunct/>
                    <w:adjustRightInd w:val="0"/>
                    <w:snapToGrid w:val="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0</w:t>
                  </w:r>
                </w:p>
              </w:tc>
              <w:tc>
                <w:tcPr>
                  <w:tcW w:w="1040" w:type="dxa"/>
                  <w:tcBorders>
                    <w:top w:val="single" w:color="auto" w:sz="4" w:space="0"/>
                    <w:left w:val="single" w:color="auto" w:sz="4" w:space="0"/>
                    <w:bottom w:val="single" w:color="auto" w:sz="4" w:space="0"/>
                    <w:right w:val="single" w:color="auto" w:sz="4" w:space="0"/>
                  </w:tcBorders>
                  <w:vAlign w:val="center"/>
                </w:tcPr>
                <w:p w14:paraId="42E2BE3F">
                  <w:pPr>
                    <w:topLinePunct/>
                    <w:adjustRightInd w:val="0"/>
                    <w:snapToGrid w:val="0"/>
                    <w:jc w:val="center"/>
                    <w:rPr>
                      <w:rFonts w:ascii="Times New Roman" w:hAnsi="Times New Roman" w:eastAsia="宋体" w:cs="Times New Roman"/>
                      <w:bCs/>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0</w:t>
                  </w:r>
                </w:p>
              </w:tc>
              <w:tc>
                <w:tcPr>
                  <w:tcW w:w="1184" w:type="dxa"/>
                  <w:tcBorders>
                    <w:top w:val="single" w:color="auto" w:sz="4" w:space="0"/>
                    <w:left w:val="single" w:color="auto" w:sz="4" w:space="0"/>
                    <w:bottom w:val="single" w:color="auto" w:sz="4" w:space="0"/>
                    <w:right w:val="single" w:color="auto" w:sz="4" w:space="0"/>
                  </w:tcBorders>
                  <w:vAlign w:val="center"/>
                </w:tcPr>
                <w:p w14:paraId="0A155195">
                  <w:pPr>
                    <w:topLinePunct/>
                    <w:adjustRightInd w:val="0"/>
                    <w:snapToGrid w:val="0"/>
                    <w:jc w:val="center"/>
                    <w:rPr>
                      <w:rFonts w:ascii="Times New Roman" w:hAnsi="Times New Roman" w:eastAsia="等线"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0</w:t>
                  </w:r>
                </w:p>
              </w:tc>
            </w:tr>
          </w:tbl>
          <w:p w14:paraId="7E928A56">
            <w:pPr>
              <w:adjustRightInd w:val="0"/>
              <w:snapToGrid w:val="0"/>
              <w:spacing w:line="360" w:lineRule="auto"/>
              <w:ind w:firstLine="482" w:firstLineChars="200"/>
              <w:rPr>
                <w:rFonts w:ascii="Times New Roman" w:hAnsi="Times New Roman" w:eastAsia="宋体" w:cs="Times New Roman"/>
                <w:b/>
                <w:bCs/>
                <w:color w:val="000000" w:themeColor="text1"/>
                <w:kern w:val="0"/>
                <w:sz w:val="24"/>
                <w:szCs w:val="24"/>
                <w14:textFill>
                  <w14:solidFill>
                    <w14:schemeClr w14:val="tx1"/>
                  </w14:solidFill>
                </w14:textFill>
              </w:rPr>
            </w:pPr>
            <w:r>
              <w:rPr>
                <w:rFonts w:ascii="Times New Roman" w:hAnsi="Times New Roman" w:eastAsia="宋体" w:cs="Times New Roman"/>
                <w:b/>
                <w:bCs/>
                <w:color w:val="000000" w:themeColor="text1"/>
                <w:kern w:val="0"/>
                <w:sz w:val="24"/>
                <w:szCs w:val="24"/>
                <w14:textFill>
                  <w14:solidFill>
                    <w14:schemeClr w14:val="tx1"/>
                  </w14:solidFill>
                </w14:textFill>
              </w:rPr>
              <w:t>注：根据污染物产排污核算结果进行统计。</w:t>
            </w:r>
          </w:p>
          <w:p w14:paraId="4F8E4AFE">
            <w:pPr>
              <w:pStyle w:val="2"/>
              <w:ind w:firstLine="492"/>
            </w:pPr>
          </w:p>
          <w:p w14:paraId="35B352CD">
            <w:pPr>
              <w:pStyle w:val="6"/>
            </w:pPr>
          </w:p>
          <w:p w14:paraId="29B3D7EA"/>
          <w:p w14:paraId="4AE54705">
            <w:pPr>
              <w:pStyle w:val="2"/>
              <w:ind w:firstLine="492"/>
            </w:pPr>
          </w:p>
          <w:p w14:paraId="165588A1">
            <w:pPr>
              <w:pStyle w:val="6"/>
            </w:pPr>
          </w:p>
          <w:p w14:paraId="0BBB29BD"/>
          <w:p w14:paraId="0C0D50B3">
            <w:pPr>
              <w:pStyle w:val="2"/>
              <w:ind w:firstLine="492"/>
            </w:pPr>
          </w:p>
          <w:p w14:paraId="4037DACF">
            <w:pPr>
              <w:pStyle w:val="6"/>
            </w:pPr>
          </w:p>
          <w:p w14:paraId="7B0C91A4"/>
          <w:p w14:paraId="41F197F9">
            <w:pPr>
              <w:pStyle w:val="2"/>
              <w:ind w:firstLine="492"/>
            </w:pPr>
          </w:p>
          <w:p w14:paraId="11B93CB3">
            <w:pPr>
              <w:pStyle w:val="6"/>
            </w:pPr>
          </w:p>
          <w:p w14:paraId="7417EA58"/>
          <w:p w14:paraId="35595931">
            <w:pPr>
              <w:pStyle w:val="2"/>
              <w:ind w:firstLine="492"/>
            </w:pPr>
          </w:p>
          <w:p w14:paraId="1EBABA8D">
            <w:pPr>
              <w:pStyle w:val="6"/>
            </w:pPr>
          </w:p>
          <w:p w14:paraId="3FD520D2"/>
          <w:p w14:paraId="3D308556">
            <w:pPr>
              <w:pStyle w:val="2"/>
              <w:ind w:firstLine="492"/>
            </w:pPr>
          </w:p>
          <w:p w14:paraId="0EFEE452">
            <w:pPr>
              <w:pStyle w:val="6"/>
            </w:pPr>
          </w:p>
          <w:p w14:paraId="6231E92B"/>
          <w:p w14:paraId="0FD0887A">
            <w:pPr>
              <w:pStyle w:val="2"/>
              <w:ind w:firstLine="492"/>
            </w:pPr>
          </w:p>
          <w:p w14:paraId="69F777D5">
            <w:pPr>
              <w:pStyle w:val="6"/>
            </w:pPr>
          </w:p>
          <w:p w14:paraId="145D8BA8"/>
          <w:p w14:paraId="0459B454">
            <w:pPr>
              <w:pStyle w:val="2"/>
              <w:ind w:firstLine="492"/>
            </w:pPr>
          </w:p>
          <w:p w14:paraId="050E7C7B">
            <w:pPr>
              <w:pStyle w:val="6"/>
            </w:pPr>
          </w:p>
          <w:p w14:paraId="660F61F9"/>
        </w:tc>
      </w:tr>
    </w:tbl>
    <w:p w14:paraId="58F8E117">
      <w:pPr>
        <w:jc w:val="center"/>
        <w:rPr>
          <w:rFonts w:ascii="Times New Roman" w:hAnsi="Times New Roman" w:eastAsia="宋体" w:cs="Times New Roman"/>
          <w:b/>
          <w:color w:val="000000" w:themeColor="text1"/>
          <w:sz w:val="24"/>
          <w:szCs w:val="24"/>
          <w14:textFill>
            <w14:solidFill>
              <w14:schemeClr w14:val="tx1"/>
            </w14:solidFill>
          </w14:textFill>
        </w:rPr>
        <w:sectPr>
          <w:pgSz w:w="11906" w:h="16838"/>
          <w:pgMar w:top="1440" w:right="1800" w:bottom="1440" w:left="1800" w:header="851" w:footer="992" w:gutter="0"/>
          <w:cols w:space="425" w:num="1"/>
          <w:docGrid w:type="lines" w:linePitch="312" w:charSpace="0"/>
        </w:sectPr>
      </w:pPr>
    </w:p>
    <w:p w14:paraId="0D8F05F1">
      <w:pPr>
        <w:jc w:val="center"/>
        <w:outlineLvl w:val="0"/>
        <w:rPr>
          <w:rFonts w:ascii="Times New Roman" w:hAnsi="Times New Roman" w:cs="Times New Roman"/>
          <w:b/>
          <w:color w:val="000000" w:themeColor="text1"/>
          <w:sz w:val="32"/>
          <w14:textFill>
            <w14:solidFill>
              <w14:schemeClr w14:val="tx1"/>
            </w14:solidFill>
          </w14:textFill>
        </w:rPr>
      </w:pPr>
      <w:bookmarkStart w:id="38" w:name="_Toc28822"/>
      <w:r>
        <w:rPr>
          <w:rFonts w:ascii="Times New Roman" w:hAnsi="Times New Roman" w:cs="Times New Roman"/>
          <w:b/>
          <w:color w:val="000000" w:themeColor="text1"/>
          <w:sz w:val="32"/>
          <w14:textFill>
            <w14:solidFill>
              <w14:schemeClr w14:val="tx1"/>
            </w14:solidFill>
          </w14:textFill>
        </w:rPr>
        <w:t>五、环境保护措施监督检查清单</w:t>
      </w:r>
      <w:bookmarkEnd w:id="38"/>
    </w:p>
    <w:tbl>
      <w:tblPr>
        <w:tblStyle w:val="25"/>
        <w:tblW w:w="89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1"/>
        <w:gridCol w:w="1843"/>
        <w:gridCol w:w="1417"/>
        <w:gridCol w:w="2694"/>
        <w:gridCol w:w="1701"/>
      </w:tblGrid>
      <w:tr w14:paraId="632BDC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71" w:type="dxa"/>
            <w:tcBorders>
              <w:tl2br w:val="single" w:color="auto" w:sz="4" w:space="0"/>
            </w:tcBorders>
            <w:vAlign w:val="center"/>
          </w:tcPr>
          <w:p w14:paraId="37A4DC65">
            <w:pPr>
              <w:adjustRightInd w:val="0"/>
              <w:snapToGrid w:val="0"/>
              <w:jc w:val="righ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内容</w:t>
            </w:r>
          </w:p>
          <w:p w14:paraId="0D787340">
            <w:pPr>
              <w:adjustRightInd w:val="0"/>
              <w:snapToGrid w:val="0"/>
              <w:jc w:val="left"/>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要素</w:t>
            </w:r>
          </w:p>
        </w:tc>
        <w:tc>
          <w:tcPr>
            <w:tcW w:w="1843" w:type="dxa"/>
            <w:vAlign w:val="center"/>
          </w:tcPr>
          <w:p w14:paraId="0761635D">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排放口(编号、</w:t>
            </w:r>
          </w:p>
          <w:p w14:paraId="4E447258">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名称)/污染源</w:t>
            </w:r>
          </w:p>
        </w:tc>
        <w:tc>
          <w:tcPr>
            <w:tcW w:w="1417" w:type="dxa"/>
            <w:vAlign w:val="center"/>
          </w:tcPr>
          <w:p w14:paraId="27523D01">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污染物项目</w:t>
            </w:r>
          </w:p>
        </w:tc>
        <w:tc>
          <w:tcPr>
            <w:tcW w:w="2694" w:type="dxa"/>
            <w:vAlign w:val="center"/>
          </w:tcPr>
          <w:p w14:paraId="5342F0E2">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环境保护措施</w:t>
            </w:r>
          </w:p>
        </w:tc>
        <w:tc>
          <w:tcPr>
            <w:tcW w:w="1701" w:type="dxa"/>
            <w:vAlign w:val="center"/>
          </w:tcPr>
          <w:p w14:paraId="6FE6AC17">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执行标准</w:t>
            </w:r>
          </w:p>
        </w:tc>
      </w:tr>
      <w:tr w14:paraId="4FE6B0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71" w:type="dxa"/>
            <w:vMerge w:val="restart"/>
            <w:vAlign w:val="center"/>
          </w:tcPr>
          <w:p w14:paraId="582763C8">
            <w:pPr>
              <w:adjustRightInd w:val="0"/>
              <w:snapToGrid w:val="0"/>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大气环境</w:t>
            </w:r>
          </w:p>
        </w:tc>
        <w:tc>
          <w:tcPr>
            <w:tcW w:w="1843" w:type="dxa"/>
            <w:vAlign w:val="center"/>
          </w:tcPr>
          <w:p w14:paraId="29304AAD">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原料制备车间粉尘排气筒（DA001）</w:t>
            </w:r>
          </w:p>
        </w:tc>
        <w:tc>
          <w:tcPr>
            <w:tcW w:w="1417" w:type="dxa"/>
            <w:vAlign w:val="center"/>
          </w:tcPr>
          <w:p w14:paraId="467E766A">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颗粒物</w:t>
            </w:r>
          </w:p>
        </w:tc>
        <w:tc>
          <w:tcPr>
            <w:tcW w:w="2694" w:type="dxa"/>
            <w:vAlign w:val="center"/>
          </w:tcPr>
          <w:p w14:paraId="3BCB6447">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负压收集装置效率90%，粉尘经布袋除尘器除尘后通过一根15米高排气筒排放，风量5000m</w:t>
            </w:r>
            <w:r>
              <w:rPr>
                <w:rFonts w:ascii="Times New Roman" w:hAnsi="Times New Roman" w:eastAsia="宋体" w:cs="Times New Roman"/>
                <w:color w:val="000000" w:themeColor="text1"/>
                <w:sz w:val="24"/>
                <w:szCs w:val="24"/>
                <w:vertAlign w:val="superscript"/>
                <w14:textFill>
                  <w14:solidFill>
                    <w14:schemeClr w14:val="tx1"/>
                  </w14:solidFill>
                </w14:textFill>
              </w:rPr>
              <w:t>3</w:t>
            </w:r>
            <w:r>
              <w:rPr>
                <w:rFonts w:ascii="Times New Roman" w:hAnsi="Times New Roman" w:eastAsia="宋体" w:cs="Times New Roman"/>
                <w:color w:val="000000" w:themeColor="text1"/>
                <w:sz w:val="24"/>
                <w:szCs w:val="24"/>
                <w14:textFill>
                  <w14:solidFill>
                    <w14:schemeClr w14:val="tx1"/>
                  </w14:solidFill>
                </w14:textFill>
              </w:rPr>
              <w:t>/h</w:t>
            </w:r>
          </w:p>
        </w:tc>
        <w:tc>
          <w:tcPr>
            <w:tcW w:w="1701" w:type="dxa"/>
            <w:vAlign w:val="center"/>
          </w:tcPr>
          <w:p w14:paraId="199681BA">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lang w:bidi="ar"/>
                <w14:textFill>
                  <w14:solidFill>
                    <w14:schemeClr w14:val="tx1"/>
                  </w14:solidFill>
                </w14:textFill>
              </w:rPr>
              <w:t>《砖瓦工业大气污染物排放标准》（GB29620-2013）</w:t>
            </w:r>
          </w:p>
        </w:tc>
      </w:tr>
      <w:tr w14:paraId="710B4C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71" w:type="dxa"/>
            <w:vMerge w:val="continue"/>
            <w:vAlign w:val="center"/>
          </w:tcPr>
          <w:p w14:paraId="7BF6A2CD">
            <w:pPr>
              <w:adjustRightInd w:val="0"/>
              <w:snapToGrid w:val="0"/>
              <w:jc w:val="center"/>
              <w:rPr>
                <w:rFonts w:ascii="Times New Roman" w:hAnsi="Times New Roman" w:eastAsia="宋体" w:cs="Times New Roman"/>
                <w:color w:val="000000" w:themeColor="text1"/>
                <w:sz w:val="24"/>
                <w:szCs w:val="24"/>
                <w14:textFill>
                  <w14:solidFill>
                    <w14:schemeClr w14:val="tx1"/>
                  </w14:solidFill>
                </w14:textFill>
              </w:rPr>
            </w:pPr>
          </w:p>
        </w:tc>
        <w:tc>
          <w:tcPr>
            <w:tcW w:w="1843" w:type="dxa"/>
            <w:vAlign w:val="center"/>
          </w:tcPr>
          <w:p w14:paraId="2A0727EE">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隧道窑排气筒（DA002）</w:t>
            </w:r>
          </w:p>
        </w:tc>
        <w:tc>
          <w:tcPr>
            <w:tcW w:w="1417" w:type="dxa"/>
            <w:vAlign w:val="center"/>
          </w:tcPr>
          <w:p w14:paraId="3E199106">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颗粒物、二氧化硫、氮氧化物、氟化物</w:t>
            </w:r>
          </w:p>
        </w:tc>
        <w:tc>
          <w:tcPr>
            <w:tcW w:w="2694" w:type="dxa"/>
            <w:vAlign w:val="center"/>
          </w:tcPr>
          <w:p w14:paraId="37779047">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snapToGrid w:val="0"/>
                <w:color w:val="000000" w:themeColor="text1"/>
                <w:kern w:val="0"/>
                <w:sz w:val="24"/>
                <w:szCs w:val="24"/>
                <w14:textFill>
                  <w14:solidFill>
                    <w14:schemeClr w14:val="tx1"/>
                  </w14:solidFill>
                </w14:textFill>
              </w:rPr>
              <w:t>部分废气直接引至一套湿式脱硫塔处理后经18m排气筒外排，风量约54000m</w:t>
            </w:r>
            <w:r>
              <w:rPr>
                <w:rFonts w:ascii="Times New Roman" w:hAnsi="Times New Roman" w:eastAsia="宋体" w:cs="Times New Roman"/>
                <w:snapToGrid w:val="0"/>
                <w:color w:val="000000" w:themeColor="text1"/>
                <w:kern w:val="0"/>
                <w:sz w:val="24"/>
                <w:szCs w:val="24"/>
                <w:vertAlign w:val="superscript"/>
                <w14:textFill>
                  <w14:solidFill>
                    <w14:schemeClr w14:val="tx1"/>
                  </w14:solidFill>
                </w14:textFill>
              </w:rPr>
              <w:t>3</w:t>
            </w:r>
            <w:r>
              <w:rPr>
                <w:rFonts w:ascii="Times New Roman" w:hAnsi="Times New Roman" w:eastAsia="宋体" w:cs="Times New Roman"/>
                <w:snapToGrid w:val="0"/>
                <w:color w:val="000000" w:themeColor="text1"/>
                <w:kern w:val="0"/>
                <w:sz w:val="24"/>
                <w:szCs w:val="24"/>
                <w14:textFill>
                  <w14:solidFill>
                    <w14:schemeClr w14:val="tx1"/>
                  </w14:solidFill>
                </w14:textFill>
              </w:rPr>
              <w:t>/h计</w:t>
            </w:r>
          </w:p>
        </w:tc>
        <w:tc>
          <w:tcPr>
            <w:tcW w:w="1701" w:type="dxa"/>
            <w:vAlign w:val="center"/>
          </w:tcPr>
          <w:p w14:paraId="007647C3">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lang w:bidi="ar"/>
                <w14:textFill>
                  <w14:solidFill>
                    <w14:schemeClr w14:val="tx1"/>
                  </w14:solidFill>
                </w14:textFill>
              </w:rPr>
              <w:t>《砖瓦工业大气污染物排放标准》（GB29620-2013）</w:t>
            </w:r>
          </w:p>
        </w:tc>
      </w:tr>
      <w:tr w14:paraId="08EEEA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71" w:type="dxa"/>
            <w:vMerge w:val="continue"/>
            <w:vAlign w:val="center"/>
          </w:tcPr>
          <w:p w14:paraId="58AE0E25">
            <w:pPr>
              <w:adjustRightInd w:val="0"/>
              <w:snapToGrid w:val="0"/>
              <w:jc w:val="center"/>
              <w:rPr>
                <w:rFonts w:ascii="Times New Roman" w:hAnsi="Times New Roman" w:eastAsia="宋体" w:cs="Times New Roman"/>
                <w:color w:val="000000" w:themeColor="text1"/>
                <w:sz w:val="24"/>
                <w:szCs w:val="24"/>
                <w14:textFill>
                  <w14:solidFill>
                    <w14:schemeClr w14:val="tx1"/>
                  </w14:solidFill>
                </w14:textFill>
              </w:rPr>
            </w:pPr>
          </w:p>
        </w:tc>
        <w:tc>
          <w:tcPr>
            <w:tcW w:w="1843" w:type="dxa"/>
            <w:vAlign w:val="center"/>
          </w:tcPr>
          <w:p w14:paraId="24E10103">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烘干窑排气筒（DA003）</w:t>
            </w:r>
          </w:p>
        </w:tc>
        <w:tc>
          <w:tcPr>
            <w:tcW w:w="1417" w:type="dxa"/>
            <w:vAlign w:val="center"/>
          </w:tcPr>
          <w:p w14:paraId="66BEA929">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颗粒物、二氧化硫、氮氧化物、氟化物</w:t>
            </w:r>
          </w:p>
        </w:tc>
        <w:tc>
          <w:tcPr>
            <w:tcW w:w="2694" w:type="dxa"/>
            <w:vAlign w:val="center"/>
          </w:tcPr>
          <w:p w14:paraId="73DE64BA">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snapToGrid w:val="0"/>
                <w:color w:val="000000" w:themeColor="text1"/>
                <w:kern w:val="0"/>
                <w:sz w:val="24"/>
                <w:szCs w:val="24"/>
                <w14:textFill>
                  <w14:solidFill>
                    <w14:schemeClr w14:val="tx1"/>
                  </w14:solidFill>
                </w14:textFill>
              </w:rPr>
              <w:t>隧道窑烟气引至烘干窑，利用烟气余热对砖坯进行烘干，尾气进入一套湿式脱硫塔处理后经18m排气筒外排，风量约52000m</w:t>
            </w:r>
            <w:r>
              <w:rPr>
                <w:rFonts w:ascii="Times New Roman" w:hAnsi="Times New Roman" w:eastAsia="宋体" w:cs="Times New Roman"/>
                <w:snapToGrid w:val="0"/>
                <w:color w:val="000000" w:themeColor="text1"/>
                <w:kern w:val="0"/>
                <w:sz w:val="24"/>
                <w:szCs w:val="24"/>
                <w:vertAlign w:val="superscript"/>
                <w14:textFill>
                  <w14:solidFill>
                    <w14:schemeClr w14:val="tx1"/>
                  </w14:solidFill>
                </w14:textFill>
              </w:rPr>
              <w:t>3</w:t>
            </w:r>
            <w:r>
              <w:rPr>
                <w:rFonts w:ascii="Times New Roman" w:hAnsi="Times New Roman" w:eastAsia="宋体" w:cs="Times New Roman"/>
                <w:snapToGrid w:val="0"/>
                <w:color w:val="000000" w:themeColor="text1"/>
                <w:kern w:val="0"/>
                <w:sz w:val="24"/>
                <w:szCs w:val="24"/>
                <w14:textFill>
                  <w14:solidFill>
                    <w14:schemeClr w14:val="tx1"/>
                  </w14:solidFill>
                </w14:textFill>
              </w:rPr>
              <w:t>/h计</w:t>
            </w:r>
          </w:p>
        </w:tc>
        <w:tc>
          <w:tcPr>
            <w:tcW w:w="1701" w:type="dxa"/>
            <w:vAlign w:val="center"/>
          </w:tcPr>
          <w:p w14:paraId="1FEF848E">
            <w:pPr>
              <w:jc w:val="center"/>
              <w:rPr>
                <w:rFonts w:ascii="Times New Roman" w:hAnsi="Times New Roman" w:eastAsia="宋体" w:cs="Times New Roman"/>
                <w:bCs/>
                <w:color w:val="000000" w:themeColor="text1"/>
                <w:sz w:val="24"/>
                <w:szCs w:val="24"/>
                <w:lang w:bidi="ar"/>
                <w14:textFill>
                  <w14:solidFill>
                    <w14:schemeClr w14:val="tx1"/>
                  </w14:solidFill>
                </w14:textFill>
              </w:rPr>
            </w:pPr>
            <w:r>
              <w:rPr>
                <w:rFonts w:ascii="Times New Roman" w:hAnsi="Times New Roman" w:eastAsia="宋体" w:cs="Times New Roman"/>
                <w:bCs/>
                <w:color w:val="000000" w:themeColor="text1"/>
                <w:sz w:val="24"/>
                <w:szCs w:val="24"/>
                <w:lang w:bidi="ar"/>
                <w14:textFill>
                  <w14:solidFill>
                    <w14:schemeClr w14:val="tx1"/>
                  </w14:solidFill>
                </w14:textFill>
              </w:rPr>
              <w:t>《砖瓦工业大气污染物排放标准》（GB29620-2013）</w:t>
            </w:r>
          </w:p>
        </w:tc>
      </w:tr>
      <w:tr w14:paraId="54A4AF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71" w:type="dxa"/>
            <w:vMerge w:val="restart"/>
            <w:vAlign w:val="center"/>
          </w:tcPr>
          <w:p w14:paraId="7322BD5C">
            <w:pPr>
              <w:adjustRightInd w:val="0"/>
              <w:snapToGrid w:val="0"/>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地表水环境</w:t>
            </w:r>
          </w:p>
        </w:tc>
        <w:tc>
          <w:tcPr>
            <w:tcW w:w="1843" w:type="dxa"/>
            <w:vAlign w:val="center"/>
          </w:tcPr>
          <w:p w14:paraId="28904E61">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湿式脱硫塔废水</w:t>
            </w:r>
          </w:p>
        </w:tc>
        <w:tc>
          <w:tcPr>
            <w:tcW w:w="1417" w:type="dxa"/>
            <w:vAlign w:val="center"/>
          </w:tcPr>
          <w:p w14:paraId="736AA435">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SS、pH</w:t>
            </w:r>
          </w:p>
        </w:tc>
        <w:tc>
          <w:tcPr>
            <w:tcW w:w="2694" w:type="dxa"/>
            <w:vAlign w:val="center"/>
          </w:tcPr>
          <w:p w14:paraId="277EE885">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lang w:bidi="ar"/>
                <w14:textFill>
                  <w14:solidFill>
                    <w14:schemeClr w14:val="tx1"/>
                  </w14:solidFill>
                </w14:textFill>
              </w:rPr>
              <w:t>脱硫废水经三级沉淀池处理后，废水循环使用，不外排</w:t>
            </w:r>
          </w:p>
        </w:tc>
        <w:tc>
          <w:tcPr>
            <w:tcW w:w="1701" w:type="dxa"/>
            <w:vAlign w:val="center"/>
          </w:tcPr>
          <w:p w14:paraId="2408C02D">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w:t>
            </w:r>
          </w:p>
        </w:tc>
      </w:tr>
      <w:tr w14:paraId="34DF3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71" w:type="dxa"/>
            <w:vMerge w:val="continue"/>
            <w:vAlign w:val="center"/>
          </w:tcPr>
          <w:p w14:paraId="4A819051">
            <w:pPr>
              <w:adjustRightInd w:val="0"/>
              <w:snapToGrid w:val="0"/>
              <w:jc w:val="center"/>
              <w:rPr>
                <w:rFonts w:ascii="Times New Roman" w:hAnsi="Times New Roman" w:eastAsia="宋体" w:cs="Times New Roman"/>
                <w:color w:val="000000" w:themeColor="text1"/>
                <w:sz w:val="24"/>
                <w:szCs w:val="24"/>
                <w14:textFill>
                  <w14:solidFill>
                    <w14:schemeClr w14:val="tx1"/>
                  </w14:solidFill>
                </w14:textFill>
              </w:rPr>
            </w:pPr>
          </w:p>
        </w:tc>
        <w:tc>
          <w:tcPr>
            <w:tcW w:w="1843" w:type="dxa"/>
            <w:vAlign w:val="center"/>
          </w:tcPr>
          <w:p w14:paraId="3461D8C0">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生活污水</w:t>
            </w:r>
          </w:p>
        </w:tc>
        <w:tc>
          <w:tcPr>
            <w:tcW w:w="1417" w:type="dxa"/>
            <w:vAlign w:val="center"/>
          </w:tcPr>
          <w:p w14:paraId="766CBAE0">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bCs/>
                <w:color w:val="000000" w:themeColor="text1"/>
                <w:sz w:val="24"/>
                <w:szCs w:val="24"/>
                <w:lang w:bidi="ar"/>
                <w14:textFill>
                  <w14:solidFill>
                    <w14:schemeClr w14:val="tx1"/>
                  </w14:solidFill>
                </w14:textFill>
              </w:rPr>
              <w:t>COD、BOD</w:t>
            </w:r>
            <w:r>
              <w:rPr>
                <w:rFonts w:ascii="Times New Roman" w:hAnsi="Times New Roman" w:eastAsia="宋体" w:cs="Times New Roman"/>
                <w:bCs/>
                <w:color w:val="000000" w:themeColor="text1"/>
                <w:sz w:val="24"/>
                <w:szCs w:val="24"/>
                <w:vertAlign w:val="subscript"/>
                <w:lang w:bidi="ar"/>
                <w14:textFill>
                  <w14:solidFill>
                    <w14:schemeClr w14:val="tx1"/>
                  </w14:solidFill>
                </w14:textFill>
              </w:rPr>
              <w:t>5</w:t>
            </w:r>
            <w:r>
              <w:rPr>
                <w:rFonts w:ascii="Times New Roman" w:hAnsi="Times New Roman" w:eastAsia="宋体" w:cs="Times New Roman"/>
                <w:bCs/>
                <w:color w:val="000000" w:themeColor="text1"/>
                <w:sz w:val="24"/>
                <w:szCs w:val="24"/>
                <w:lang w:bidi="ar"/>
                <w14:textFill>
                  <w14:solidFill>
                    <w14:schemeClr w14:val="tx1"/>
                  </w14:solidFill>
                </w14:textFill>
              </w:rPr>
              <w:t>、SS、NH</w:t>
            </w:r>
            <w:r>
              <w:rPr>
                <w:rFonts w:ascii="Times New Roman" w:hAnsi="Times New Roman" w:eastAsia="宋体" w:cs="Times New Roman"/>
                <w:bCs/>
                <w:color w:val="000000" w:themeColor="text1"/>
                <w:sz w:val="24"/>
                <w:szCs w:val="24"/>
                <w:vertAlign w:val="subscript"/>
                <w:lang w:bidi="ar"/>
                <w14:textFill>
                  <w14:solidFill>
                    <w14:schemeClr w14:val="tx1"/>
                  </w14:solidFill>
                </w14:textFill>
              </w:rPr>
              <w:t>3</w:t>
            </w:r>
            <w:r>
              <w:rPr>
                <w:rFonts w:ascii="Times New Roman" w:hAnsi="Times New Roman" w:eastAsia="宋体" w:cs="Times New Roman"/>
                <w:bCs/>
                <w:color w:val="000000" w:themeColor="text1"/>
                <w:sz w:val="24"/>
                <w:szCs w:val="24"/>
                <w:lang w:bidi="ar"/>
                <w14:textFill>
                  <w14:solidFill>
                    <w14:schemeClr w14:val="tx1"/>
                  </w14:solidFill>
                </w14:textFill>
              </w:rPr>
              <w:t>-N</w:t>
            </w:r>
          </w:p>
        </w:tc>
        <w:tc>
          <w:tcPr>
            <w:tcW w:w="2694" w:type="dxa"/>
            <w:vAlign w:val="center"/>
          </w:tcPr>
          <w:p w14:paraId="04F4E5C5">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预处理池处理后用作周边农田追肥，不外排。</w:t>
            </w:r>
          </w:p>
        </w:tc>
        <w:tc>
          <w:tcPr>
            <w:tcW w:w="1701" w:type="dxa"/>
            <w:vAlign w:val="center"/>
          </w:tcPr>
          <w:p w14:paraId="22426A15">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w:t>
            </w:r>
          </w:p>
        </w:tc>
      </w:tr>
      <w:tr w14:paraId="749D9A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71" w:type="dxa"/>
            <w:vAlign w:val="center"/>
          </w:tcPr>
          <w:p w14:paraId="4E33C0AB">
            <w:pPr>
              <w:adjustRightInd w:val="0"/>
              <w:snapToGrid w:val="0"/>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声环境</w:t>
            </w:r>
          </w:p>
        </w:tc>
        <w:tc>
          <w:tcPr>
            <w:tcW w:w="1843" w:type="dxa"/>
            <w:vAlign w:val="center"/>
          </w:tcPr>
          <w:p w14:paraId="0E4E6A79">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设备噪声</w:t>
            </w:r>
          </w:p>
        </w:tc>
        <w:tc>
          <w:tcPr>
            <w:tcW w:w="1417" w:type="dxa"/>
            <w:vAlign w:val="center"/>
          </w:tcPr>
          <w:p w14:paraId="2DBD2FD0">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噪声</w:t>
            </w:r>
          </w:p>
        </w:tc>
        <w:tc>
          <w:tcPr>
            <w:tcW w:w="2694" w:type="dxa"/>
            <w:vAlign w:val="center"/>
          </w:tcPr>
          <w:p w14:paraId="09473388">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选用低噪声生产设备，安装时采取台基减振、橡胶减震接头及减震垫等措施</w:t>
            </w:r>
          </w:p>
        </w:tc>
        <w:tc>
          <w:tcPr>
            <w:tcW w:w="1701" w:type="dxa"/>
            <w:vAlign w:val="center"/>
          </w:tcPr>
          <w:p w14:paraId="50248F8E">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《工业企业厂界环境噪声排放标准》（GB12348-2008）2类</w:t>
            </w:r>
          </w:p>
        </w:tc>
      </w:tr>
      <w:tr w14:paraId="65BB8C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71" w:type="dxa"/>
            <w:vAlign w:val="center"/>
          </w:tcPr>
          <w:p w14:paraId="68D61689">
            <w:pPr>
              <w:adjustRightInd w:val="0"/>
              <w:snapToGrid w:val="0"/>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电磁辐射</w:t>
            </w:r>
          </w:p>
        </w:tc>
        <w:tc>
          <w:tcPr>
            <w:tcW w:w="1843" w:type="dxa"/>
            <w:vAlign w:val="center"/>
          </w:tcPr>
          <w:p w14:paraId="5C006654">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w:t>
            </w:r>
          </w:p>
        </w:tc>
        <w:tc>
          <w:tcPr>
            <w:tcW w:w="1417" w:type="dxa"/>
            <w:vAlign w:val="center"/>
          </w:tcPr>
          <w:p w14:paraId="3098DE62">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w:t>
            </w:r>
          </w:p>
        </w:tc>
        <w:tc>
          <w:tcPr>
            <w:tcW w:w="2694" w:type="dxa"/>
            <w:vAlign w:val="center"/>
          </w:tcPr>
          <w:p w14:paraId="728C5023">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w:t>
            </w:r>
          </w:p>
        </w:tc>
        <w:tc>
          <w:tcPr>
            <w:tcW w:w="1701" w:type="dxa"/>
            <w:vAlign w:val="center"/>
          </w:tcPr>
          <w:p w14:paraId="307CD936">
            <w:pPr>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w:t>
            </w:r>
          </w:p>
        </w:tc>
      </w:tr>
      <w:tr w14:paraId="3CCEF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71" w:type="dxa"/>
            <w:vAlign w:val="center"/>
          </w:tcPr>
          <w:p w14:paraId="74EB64CC">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固体废物</w:t>
            </w:r>
          </w:p>
        </w:tc>
        <w:tc>
          <w:tcPr>
            <w:tcW w:w="7655" w:type="dxa"/>
            <w:gridSpan w:val="4"/>
            <w:vAlign w:val="center"/>
          </w:tcPr>
          <w:p w14:paraId="4D84F6C6">
            <w:pPr>
              <w:spacing w:line="360" w:lineRule="auto"/>
              <w:ind w:left="-105" w:leftChars="-50" w:right="-105" w:rightChars="-50"/>
              <w:jc w:val="center"/>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 xml:space="preserve">    挤出机边角料和废砖坯、生产废砖、脱硫除尘石膏、煤渣、布袋除尘器除灰尘等作为原料回用于生产；</w:t>
            </w:r>
            <w:r>
              <w:rPr>
                <w:rFonts w:ascii="Times New Roman" w:hAnsi="Times New Roman" w:eastAsia="宋体" w:cs="Times New Roman"/>
                <w:color w:val="000000" w:themeColor="text1"/>
                <w:kern w:val="0"/>
                <w:sz w:val="24"/>
                <w:szCs w:val="24"/>
                <w:lang w:bidi="ar"/>
                <w14:textFill>
                  <w14:solidFill>
                    <w14:schemeClr w14:val="tx1"/>
                  </w14:solidFill>
                </w14:textFill>
              </w:rPr>
              <w:t>生活垃圾</w:t>
            </w:r>
            <w:r>
              <w:rPr>
                <w:rFonts w:ascii="Times New Roman" w:hAnsi="Times New Roman" w:eastAsia="宋体" w:cs="Times New Roman"/>
                <w:color w:val="000000" w:themeColor="text1"/>
                <w:kern w:val="0"/>
                <w:sz w:val="24"/>
                <w:szCs w:val="24"/>
                <w14:textFill>
                  <w14:solidFill>
                    <w14:schemeClr w14:val="tx1"/>
                  </w14:solidFill>
                </w14:textFill>
              </w:rPr>
              <w:t>集中收集后，交由环卫部门清运处理；废润滑油、废机油、废油桶、含油抹布、废手套等</w:t>
            </w:r>
            <w:r>
              <w:rPr>
                <w:rFonts w:ascii="Times New Roman" w:hAnsi="Times New Roman" w:eastAsia="宋体" w:cs="Times New Roman"/>
                <w:color w:val="000000" w:themeColor="text1"/>
                <w:kern w:val="0"/>
                <w:sz w:val="24"/>
                <w:szCs w:val="24"/>
                <w:lang w:bidi="ar"/>
                <w14:textFill>
                  <w14:solidFill>
                    <w14:schemeClr w14:val="tx1"/>
                  </w14:solidFill>
                </w14:textFill>
              </w:rPr>
              <w:t>单独设置收集桶集中收集暂存，委托具有相应危废资质的单位进行处理。</w:t>
            </w:r>
          </w:p>
        </w:tc>
      </w:tr>
      <w:tr w14:paraId="0CD57A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71" w:type="dxa"/>
            <w:vAlign w:val="center"/>
          </w:tcPr>
          <w:p w14:paraId="5A2A414A">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土壤及地下水污染防治措施</w:t>
            </w:r>
          </w:p>
        </w:tc>
        <w:tc>
          <w:tcPr>
            <w:tcW w:w="7655" w:type="dxa"/>
            <w:gridSpan w:val="4"/>
            <w:vAlign w:val="center"/>
          </w:tcPr>
          <w:p w14:paraId="3E012295">
            <w:pPr>
              <w:spacing w:line="360" w:lineRule="auto"/>
              <w:ind w:left="-105" w:leftChars="-50" w:right="-105" w:rightChars="-50"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采取分区防渗，厂区分为重点防渗区、一般防渗区、简单防渗区。</w:t>
            </w:r>
          </w:p>
          <w:p w14:paraId="029C7B0A">
            <w:pPr>
              <w:spacing w:line="360" w:lineRule="auto"/>
              <w:ind w:left="-105" w:leftChars="-50" w:right="-105" w:rightChars="-50" w:firstLine="480" w:firstLineChars="200"/>
              <w:rPr>
                <w:rFonts w:ascii="Times New Roman" w:hAnsi="Times New Roman" w:eastAsia="宋体" w:cs="Times New Roman"/>
                <w:color w:val="000000" w:themeColor="text1"/>
                <w:kern w:val="0"/>
                <w:sz w:val="24"/>
                <w:szCs w:val="21"/>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重点防渗区：</w:t>
            </w:r>
            <w:r>
              <w:rPr>
                <w:rFonts w:ascii="Times New Roman" w:hAnsi="Times New Roman" w:eastAsia="宋体" w:cs="Times New Roman"/>
                <w:color w:val="000000" w:themeColor="text1"/>
                <w:kern w:val="0"/>
                <w:sz w:val="24"/>
                <w:szCs w:val="21"/>
                <w14:textFill>
                  <w14:solidFill>
                    <w14:schemeClr w14:val="tx1"/>
                  </w14:solidFill>
                </w14:textFill>
              </w:rPr>
              <w:t>危废暂存间、</w:t>
            </w:r>
            <w:r>
              <w:rPr>
                <w:rFonts w:ascii="Times New Roman" w:hAnsi="Times New Roman" w:eastAsia="宋体" w:cs="Times New Roman"/>
                <w:snapToGrid w:val="0"/>
                <w:color w:val="000000" w:themeColor="text1"/>
                <w:kern w:val="0"/>
                <w:sz w:val="24"/>
                <w:szCs w:val="21"/>
                <w14:textFill>
                  <w14:solidFill>
                    <w14:schemeClr w14:val="tx1"/>
                  </w14:solidFill>
                </w14:textFill>
              </w:rPr>
              <w:t>脱硫塔沉淀池、</w:t>
            </w:r>
            <w:r>
              <w:rPr>
                <w:rFonts w:ascii="Times New Roman" w:hAnsi="Times New Roman" w:eastAsia="宋体" w:cs="Times New Roman"/>
                <w:color w:val="000000" w:themeColor="text1"/>
                <w:kern w:val="0"/>
                <w:sz w:val="24"/>
                <w:szCs w:val="21"/>
                <w14:textFill>
                  <w14:solidFill>
                    <w14:schemeClr w14:val="tx1"/>
                  </w14:solidFill>
                </w14:textFill>
              </w:rPr>
              <w:t>一般工业固废贮存间及导流沟、渗滤液收集池均采取重点防渗，用防渗混凝土硬化地坪+2mm高密度聚乙烯或等效防渗层进行防渗。</w:t>
            </w:r>
          </w:p>
          <w:p w14:paraId="3E379F43">
            <w:pPr>
              <w:spacing w:line="360" w:lineRule="auto"/>
              <w:ind w:left="-105" w:leftChars="-50" w:right="-105" w:rightChars="-50" w:firstLine="480" w:firstLineChars="200"/>
              <w:rPr>
                <w:rFonts w:ascii="Times New Roman" w:hAnsi="Times New Roman" w:eastAsia="宋体" w:cs="Times New Roman"/>
                <w:color w:val="000000" w:themeColor="text1"/>
                <w:kern w:val="0"/>
                <w:sz w:val="24"/>
                <w:szCs w:val="21"/>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一般防渗区：</w:t>
            </w:r>
            <w:r>
              <w:rPr>
                <w:rFonts w:ascii="Times New Roman" w:hAnsi="Times New Roman" w:eastAsia="宋体" w:cs="Times New Roman"/>
                <w:color w:val="000000" w:themeColor="text1"/>
                <w:kern w:val="0"/>
                <w:sz w:val="24"/>
                <w:szCs w:val="21"/>
                <w14:textFill>
                  <w14:solidFill>
                    <w14:schemeClr w14:val="tx1"/>
                  </w14:solidFill>
                </w14:textFill>
              </w:rPr>
              <w:t>维修车间、隧道窑、制砖车间、制砖车间、预处理池、雨水池，要求地面铺设防渗混凝土。</w:t>
            </w:r>
          </w:p>
          <w:p w14:paraId="308991B5">
            <w:pPr>
              <w:spacing w:line="360" w:lineRule="auto"/>
              <w:ind w:left="-105" w:leftChars="-50" w:right="-105" w:rightChars="-50" w:firstLine="480" w:firstLineChars="200"/>
              <w:rPr>
                <w:rFonts w:ascii="Times New Roman" w:hAnsi="Times New Roman" w:eastAsia="宋体" w:cs="Times New Roman"/>
                <w:color w:val="000000" w:themeColor="text1"/>
                <w:kern w:val="0"/>
                <w:sz w:val="24"/>
                <w:szCs w:val="21"/>
                <w14:textFill>
                  <w14:solidFill>
                    <w14:schemeClr w14:val="tx1"/>
                  </w14:solidFill>
                </w14:textFill>
              </w:rPr>
            </w:pPr>
            <w:r>
              <w:rPr>
                <w:rFonts w:ascii="Times New Roman" w:hAnsi="Times New Roman" w:eastAsia="宋体" w:cs="Times New Roman"/>
                <w:color w:val="000000" w:themeColor="text1"/>
                <w:kern w:val="0"/>
                <w:sz w:val="24"/>
                <w:szCs w:val="21"/>
                <w14:textFill>
                  <w14:solidFill>
                    <w14:schemeClr w14:val="tx1"/>
                  </w14:solidFill>
                </w14:textFill>
              </w:rPr>
              <w:t>简单防渗区：原料堆场、办公楼、倒班房、成品堆场原料堆场、办公楼、倒班房、成品堆场，进行一般地面硬化。</w:t>
            </w:r>
          </w:p>
        </w:tc>
      </w:tr>
      <w:tr w14:paraId="6B3ABA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71" w:type="dxa"/>
            <w:vAlign w:val="center"/>
          </w:tcPr>
          <w:p w14:paraId="4531BB23">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生态保护措施</w:t>
            </w:r>
          </w:p>
        </w:tc>
        <w:tc>
          <w:tcPr>
            <w:tcW w:w="7655" w:type="dxa"/>
            <w:gridSpan w:val="4"/>
            <w:vAlign w:val="center"/>
          </w:tcPr>
          <w:p w14:paraId="7BBA95C8">
            <w:pPr>
              <w:spacing w:line="360" w:lineRule="auto"/>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w:t>
            </w:r>
          </w:p>
        </w:tc>
      </w:tr>
      <w:tr w14:paraId="6DAF15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71" w:type="dxa"/>
            <w:vAlign w:val="center"/>
          </w:tcPr>
          <w:p w14:paraId="175383BC">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环境风险防范措施</w:t>
            </w:r>
          </w:p>
        </w:tc>
        <w:tc>
          <w:tcPr>
            <w:tcW w:w="7655" w:type="dxa"/>
            <w:gridSpan w:val="4"/>
            <w:vAlign w:val="center"/>
          </w:tcPr>
          <w:p w14:paraId="63175469">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①</w:t>
            </w:r>
            <w:r>
              <w:rPr>
                <w:rFonts w:ascii="Times New Roman" w:hAnsi="Times New Roman" w:eastAsia="宋体" w:cs="Times New Roman"/>
                <w:color w:val="000000" w:themeColor="text1"/>
                <w:sz w:val="24"/>
                <w14:textFill>
                  <w14:solidFill>
                    <w14:schemeClr w14:val="tx1"/>
                  </w14:solidFill>
                </w14:textFill>
              </w:rPr>
              <w:t>分区防渗，以满足不同防渗区域的防渗要求。</w:t>
            </w:r>
          </w:p>
          <w:p w14:paraId="5252FDF0">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②</w:t>
            </w:r>
            <w:r>
              <w:rPr>
                <w:rFonts w:ascii="Times New Roman" w:hAnsi="Times New Roman" w:eastAsia="宋体" w:cs="Times New Roman"/>
                <w:color w:val="000000" w:themeColor="text1"/>
                <w:sz w:val="24"/>
                <w14:textFill>
                  <w14:solidFill>
                    <w14:schemeClr w14:val="tx1"/>
                  </w14:solidFill>
                </w14:textFill>
              </w:rPr>
              <w:t>按《建筑灭火器的配置设计规范》，在仓库配置消防栓、灭火器，设置防火警示标志、禁止明火。</w:t>
            </w:r>
          </w:p>
          <w:p w14:paraId="68234F79">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③</w:t>
            </w:r>
            <w:r>
              <w:rPr>
                <w:rFonts w:ascii="Times New Roman" w:hAnsi="Times New Roman" w:eastAsia="宋体" w:cs="Times New Roman"/>
                <w:color w:val="000000" w:themeColor="text1"/>
                <w:sz w:val="24"/>
                <w14:textFill>
                  <w14:solidFill>
                    <w14:schemeClr w14:val="tx1"/>
                  </w14:solidFill>
                </w14:textFill>
              </w:rPr>
              <w:t>加强化学品以及各环保设施的日常管理维护工作。</w:t>
            </w:r>
          </w:p>
          <w:p w14:paraId="37F94B3B">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④</w:t>
            </w:r>
            <w:r>
              <w:rPr>
                <w:rFonts w:ascii="Times New Roman" w:hAnsi="Times New Roman" w:eastAsia="宋体" w:cs="Times New Roman"/>
                <w:color w:val="000000" w:themeColor="text1"/>
                <w:sz w:val="24"/>
                <w14:textFill>
                  <w14:solidFill>
                    <w14:schemeClr w14:val="tx1"/>
                  </w14:solidFill>
                </w14:textFill>
              </w:rPr>
              <w:t>加强环保设备日常管理维护，废气处理设施发生故障时，应立即停止生产，待检修完成后恢复生产。</w:t>
            </w:r>
          </w:p>
          <w:p w14:paraId="324AE916">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⑤</w:t>
            </w:r>
            <w:r>
              <w:rPr>
                <w:rFonts w:ascii="Times New Roman" w:hAnsi="Times New Roman" w:eastAsia="宋体" w:cs="Times New Roman"/>
                <w:color w:val="000000" w:themeColor="text1"/>
                <w:sz w:val="24"/>
                <w14:textFill>
                  <w14:solidFill>
                    <w14:schemeClr w14:val="tx1"/>
                  </w14:solidFill>
                </w14:textFill>
              </w:rPr>
              <w:t>编制应急预案及管理措施建设，建立环境风险应急联防机制，加强库房的安全管理，制定严格的岗位责任制度，安全操作注意事项等制度，购买应急物资。</w:t>
            </w:r>
          </w:p>
        </w:tc>
      </w:tr>
      <w:tr w14:paraId="41011F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71" w:type="dxa"/>
            <w:vAlign w:val="center"/>
          </w:tcPr>
          <w:p w14:paraId="39C86074">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其他环境管理要求</w:t>
            </w:r>
          </w:p>
        </w:tc>
        <w:tc>
          <w:tcPr>
            <w:tcW w:w="7655" w:type="dxa"/>
            <w:gridSpan w:val="4"/>
            <w:vAlign w:val="center"/>
          </w:tcPr>
          <w:p w14:paraId="1A44841C">
            <w:pPr>
              <w:pStyle w:val="22"/>
              <w:spacing w:before="0" w:beforeAutospacing="0" w:after="0" w:afterAutospacing="0" w:line="360" w:lineRule="auto"/>
              <w:jc w:val="both"/>
              <w:rPr>
                <w:rFonts w:ascii="Times New Roman" w:hAnsi="Times New Roman" w:cs="Times New Roman"/>
                <w:b/>
                <w:color w:val="000000" w:themeColor="text1"/>
                <w:szCs w:val="24"/>
                <w14:textFill>
                  <w14:solidFill>
                    <w14:schemeClr w14:val="tx1"/>
                  </w14:solidFill>
                </w14:textFill>
              </w:rPr>
            </w:pPr>
            <w:r>
              <w:rPr>
                <w:rFonts w:ascii="Times New Roman" w:hAnsi="Times New Roman" w:cs="Times New Roman"/>
                <w:b/>
                <w:color w:val="000000" w:themeColor="text1"/>
                <w:szCs w:val="24"/>
                <w14:textFill>
                  <w14:solidFill>
                    <w14:schemeClr w14:val="tx1"/>
                  </w14:solidFill>
                </w14:textFill>
              </w:rPr>
              <w:t>1.环境管理</w:t>
            </w:r>
          </w:p>
          <w:p w14:paraId="0B8AA751">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根据中华人民共和国环境保护法，建设单位必须把环保工作纳入工作计划，采取有效措施，防止产生的污染危害及对生态环境造成破坏。项目设置专门环境管理机构，加强对项目运行期的环境管理。</w:t>
            </w:r>
          </w:p>
          <w:p w14:paraId="2C929932">
            <w:pPr>
              <w:spacing w:line="360" w:lineRule="auto"/>
              <w:rPr>
                <w:rFonts w:ascii="Times New Roman" w:hAnsi="Times New Roman" w:eastAsia="宋体" w:cs="Times New Roman"/>
                <w:b/>
                <w:color w:val="000000" w:themeColor="text1"/>
                <w:sz w:val="24"/>
                <w14:textFill>
                  <w14:solidFill>
                    <w14:schemeClr w14:val="tx1"/>
                  </w14:solidFill>
                </w14:textFill>
              </w:rPr>
            </w:pPr>
            <w:r>
              <w:rPr>
                <w:rFonts w:ascii="Times New Roman" w:hAnsi="Times New Roman" w:eastAsia="宋体" w:cs="Times New Roman"/>
                <w:b/>
                <w:color w:val="000000" w:themeColor="text1"/>
                <w:sz w:val="24"/>
                <w14:textFill>
                  <w14:solidFill>
                    <w14:schemeClr w14:val="tx1"/>
                  </w14:solidFill>
                </w14:textFill>
              </w:rPr>
              <w:t>1.1环境管理体系</w:t>
            </w:r>
          </w:p>
          <w:p w14:paraId="62A3EBC1">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为做好环境管理工作，企业将建立环境管理体系，将环境管理工作自上而下的贯穿到企业环境保护的管理中，现就建立环境管理体系如下：</w:t>
            </w:r>
          </w:p>
          <w:p w14:paraId="206895E1">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fldChar w:fldCharType="begin"/>
            </w:r>
            <w:r>
              <w:rPr>
                <w:rFonts w:ascii="Times New Roman" w:hAnsi="Times New Roman" w:eastAsia="宋体" w:cs="Times New Roman"/>
                <w:color w:val="000000" w:themeColor="text1"/>
                <w:sz w:val="24"/>
                <w14:textFill>
                  <w14:solidFill>
                    <w14:schemeClr w14:val="tx1"/>
                  </w14:solidFill>
                </w14:textFill>
              </w:rPr>
              <w:instrText xml:space="preserve"> = 1 \* GB3 </w:instrText>
            </w:r>
            <w:r>
              <w:rPr>
                <w:rFonts w:ascii="Times New Roman" w:hAnsi="Times New Roman" w:eastAsia="宋体" w:cs="Times New Roman"/>
                <w:color w:val="000000" w:themeColor="text1"/>
                <w:sz w:val="24"/>
                <w14:textFill>
                  <w14:solidFill>
                    <w14:schemeClr w14:val="tx1"/>
                  </w14:solidFill>
                </w14:textFill>
              </w:rPr>
              <w:fldChar w:fldCharType="separate"/>
            </w:r>
            <w:r>
              <w:rPr>
                <w:rFonts w:hint="eastAsia" w:ascii="Times New Roman" w:hAnsi="Times New Roman" w:eastAsia="宋体" w:cs="Times New Roman"/>
                <w:color w:val="000000" w:themeColor="text1"/>
                <w:sz w:val="24"/>
                <w14:textFill>
                  <w14:solidFill>
                    <w14:schemeClr w14:val="tx1"/>
                  </w14:solidFill>
                </w14:textFill>
              </w:rPr>
              <w:t>①</w:t>
            </w:r>
            <w:r>
              <w:rPr>
                <w:rFonts w:ascii="Times New Roman" w:hAnsi="Times New Roman" w:eastAsia="宋体" w:cs="Times New Roman"/>
                <w:color w:val="000000" w:themeColor="text1"/>
                <w:sz w:val="24"/>
                <w14:textFill>
                  <w14:solidFill>
                    <w14:schemeClr w14:val="tx1"/>
                  </w14:solidFill>
                </w14:textFill>
              </w:rPr>
              <w:fldChar w:fldCharType="end"/>
            </w:r>
            <w:r>
              <w:rPr>
                <w:rFonts w:ascii="Times New Roman" w:hAnsi="Times New Roman" w:eastAsia="宋体" w:cs="Times New Roman"/>
                <w:color w:val="000000" w:themeColor="text1"/>
                <w:sz w:val="24"/>
                <w14:textFill>
                  <w14:solidFill>
                    <w14:schemeClr w14:val="tx1"/>
                  </w14:solidFill>
                </w14:textFill>
              </w:rPr>
              <w:t>环境管理工作实行主要负责人负责制，由总经理负责，并制定环保方针、制度、规划，协调人力、物力和财力等方面，将环境管理和企业生产营运管理结合起来。</w:t>
            </w:r>
          </w:p>
          <w:p w14:paraId="2D6CB65A">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fldChar w:fldCharType="begin"/>
            </w:r>
            <w:r>
              <w:rPr>
                <w:rFonts w:ascii="Times New Roman" w:hAnsi="Times New Roman" w:eastAsia="宋体" w:cs="Times New Roman"/>
                <w:color w:val="000000" w:themeColor="text1"/>
                <w:sz w:val="24"/>
                <w14:textFill>
                  <w14:solidFill>
                    <w14:schemeClr w14:val="tx1"/>
                  </w14:solidFill>
                </w14:textFill>
              </w:rPr>
              <w:instrText xml:space="preserve"> = 2 \* GB3 </w:instrText>
            </w:r>
            <w:r>
              <w:rPr>
                <w:rFonts w:ascii="Times New Roman" w:hAnsi="Times New Roman" w:eastAsia="宋体" w:cs="Times New Roman"/>
                <w:color w:val="000000" w:themeColor="text1"/>
                <w:sz w:val="24"/>
                <w14:textFill>
                  <w14:solidFill>
                    <w14:schemeClr w14:val="tx1"/>
                  </w14:solidFill>
                </w14:textFill>
              </w:rPr>
              <w:fldChar w:fldCharType="separate"/>
            </w:r>
            <w:r>
              <w:rPr>
                <w:rFonts w:hint="eastAsia" w:ascii="Times New Roman" w:hAnsi="Times New Roman" w:eastAsia="宋体" w:cs="Times New Roman"/>
                <w:color w:val="000000" w:themeColor="text1"/>
                <w:sz w:val="24"/>
                <w14:textFill>
                  <w14:solidFill>
                    <w14:schemeClr w14:val="tx1"/>
                  </w14:solidFill>
                </w14:textFill>
              </w:rPr>
              <w:t>②</w:t>
            </w:r>
            <w:r>
              <w:rPr>
                <w:rFonts w:ascii="Times New Roman" w:hAnsi="Times New Roman" w:eastAsia="宋体" w:cs="Times New Roman"/>
                <w:color w:val="000000" w:themeColor="text1"/>
                <w:sz w:val="24"/>
                <w14:textFill>
                  <w14:solidFill>
                    <w14:schemeClr w14:val="tx1"/>
                  </w14:solidFill>
                </w14:textFill>
              </w:rPr>
              <w:fldChar w:fldCharType="end"/>
            </w:r>
            <w:r>
              <w:rPr>
                <w:rFonts w:ascii="Times New Roman" w:hAnsi="Times New Roman" w:eastAsia="宋体" w:cs="Times New Roman"/>
                <w:color w:val="000000" w:themeColor="text1"/>
                <w:sz w:val="24"/>
                <w14:textFill>
                  <w14:solidFill>
                    <w14:schemeClr w14:val="tx1"/>
                  </w14:solidFill>
                </w14:textFill>
              </w:rPr>
              <w:t>建立环境管理机构，配备专职环保管理人员1名，负责单位的环境管理工作，并负责与政府环保主管部门的联系与协调工作。</w:t>
            </w:r>
          </w:p>
          <w:p w14:paraId="1C78EECC">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fldChar w:fldCharType="begin"/>
            </w:r>
            <w:r>
              <w:rPr>
                <w:rFonts w:ascii="Times New Roman" w:hAnsi="Times New Roman" w:eastAsia="宋体" w:cs="Times New Roman"/>
                <w:color w:val="000000" w:themeColor="text1"/>
                <w:sz w:val="24"/>
                <w14:textFill>
                  <w14:solidFill>
                    <w14:schemeClr w14:val="tx1"/>
                  </w14:solidFill>
                </w14:textFill>
              </w:rPr>
              <w:instrText xml:space="preserve"> = 3 \* GB3 </w:instrText>
            </w:r>
            <w:r>
              <w:rPr>
                <w:rFonts w:ascii="Times New Roman" w:hAnsi="Times New Roman" w:eastAsia="宋体" w:cs="Times New Roman"/>
                <w:color w:val="000000" w:themeColor="text1"/>
                <w:sz w:val="24"/>
                <w14:textFill>
                  <w14:solidFill>
                    <w14:schemeClr w14:val="tx1"/>
                  </w14:solidFill>
                </w14:textFill>
              </w:rPr>
              <w:fldChar w:fldCharType="separate"/>
            </w:r>
            <w:r>
              <w:rPr>
                <w:rFonts w:hint="eastAsia" w:ascii="Times New Roman" w:hAnsi="Times New Roman" w:eastAsia="宋体" w:cs="Times New Roman"/>
                <w:color w:val="000000" w:themeColor="text1"/>
                <w:sz w:val="24"/>
                <w14:textFill>
                  <w14:solidFill>
                    <w14:schemeClr w14:val="tx1"/>
                  </w14:solidFill>
                </w14:textFill>
              </w:rPr>
              <w:t>③</w:t>
            </w:r>
            <w:r>
              <w:rPr>
                <w:rFonts w:ascii="Times New Roman" w:hAnsi="Times New Roman" w:eastAsia="宋体" w:cs="Times New Roman"/>
                <w:color w:val="000000" w:themeColor="text1"/>
                <w:sz w:val="24"/>
                <w14:textFill>
                  <w14:solidFill>
                    <w14:schemeClr w14:val="tx1"/>
                  </w14:solidFill>
                </w14:textFill>
              </w:rPr>
              <w:fldChar w:fldCharType="end"/>
            </w:r>
            <w:r>
              <w:rPr>
                <w:rFonts w:ascii="Times New Roman" w:hAnsi="Times New Roman" w:eastAsia="宋体" w:cs="Times New Roman"/>
                <w:color w:val="000000" w:themeColor="text1"/>
                <w:sz w:val="24"/>
                <w14:textFill>
                  <w14:solidFill>
                    <w14:schemeClr w14:val="tx1"/>
                  </w14:solidFill>
                </w14:textFill>
              </w:rPr>
              <w:t>以水、气、固废、声等环境要素的保护和改善作为推动企业环境保护工作的基础，并在营运工作中检查环境管理的成效。</w:t>
            </w:r>
          </w:p>
          <w:p w14:paraId="7553D24E">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fldChar w:fldCharType="begin"/>
            </w:r>
            <w:r>
              <w:rPr>
                <w:rFonts w:ascii="Times New Roman" w:hAnsi="Times New Roman" w:eastAsia="宋体" w:cs="Times New Roman"/>
                <w:color w:val="000000" w:themeColor="text1"/>
                <w:sz w:val="24"/>
                <w14:textFill>
                  <w14:solidFill>
                    <w14:schemeClr w14:val="tx1"/>
                  </w14:solidFill>
                </w14:textFill>
              </w:rPr>
              <w:instrText xml:space="preserve"> = 4 \* GB3 </w:instrText>
            </w:r>
            <w:r>
              <w:rPr>
                <w:rFonts w:ascii="Times New Roman" w:hAnsi="Times New Roman" w:eastAsia="宋体" w:cs="Times New Roman"/>
                <w:color w:val="000000" w:themeColor="text1"/>
                <w:sz w:val="24"/>
                <w14:textFill>
                  <w14:solidFill>
                    <w14:schemeClr w14:val="tx1"/>
                  </w14:solidFill>
                </w14:textFill>
              </w:rPr>
              <w:fldChar w:fldCharType="separate"/>
            </w:r>
            <w:r>
              <w:rPr>
                <w:rFonts w:hint="eastAsia" w:ascii="Times New Roman" w:hAnsi="Times New Roman" w:eastAsia="宋体" w:cs="Times New Roman"/>
                <w:color w:val="000000" w:themeColor="text1"/>
                <w:sz w:val="24"/>
                <w14:textFill>
                  <w14:solidFill>
                    <w14:schemeClr w14:val="tx1"/>
                  </w14:solidFill>
                </w14:textFill>
              </w:rPr>
              <w:t>④</w:t>
            </w:r>
            <w:r>
              <w:rPr>
                <w:rFonts w:ascii="Times New Roman" w:hAnsi="Times New Roman" w:eastAsia="宋体" w:cs="Times New Roman"/>
                <w:color w:val="000000" w:themeColor="text1"/>
                <w:sz w:val="24"/>
                <w14:textFill>
                  <w14:solidFill>
                    <w14:schemeClr w14:val="tx1"/>
                  </w14:solidFill>
                </w14:textFill>
              </w:rPr>
              <w:fldChar w:fldCharType="end"/>
            </w:r>
            <w:r>
              <w:rPr>
                <w:rFonts w:ascii="Times New Roman" w:hAnsi="Times New Roman" w:eastAsia="宋体" w:cs="Times New Roman"/>
                <w:color w:val="000000" w:themeColor="text1"/>
                <w:sz w:val="24"/>
                <w14:textFill>
                  <w14:solidFill>
                    <w14:schemeClr w14:val="tx1"/>
                  </w14:solidFill>
                </w14:textFill>
              </w:rPr>
              <w:t>按照所制定的环保方针和环境管理方案，将环境管理目标和指标层层分解，落实到各部门和责任人，签订责任书，定期考核。</w:t>
            </w:r>
          </w:p>
          <w:p w14:paraId="2929D805">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fldChar w:fldCharType="begin"/>
            </w:r>
            <w:r>
              <w:rPr>
                <w:rFonts w:ascii="Times New Roman" w:hAnsi="Times New Roman" w:eastAsia="宋体" w:cs="Times New Roman"/>
                <w:color w:val="000000" w:themeColor="text1"/>
                <w:sz w:val="24"/>
                <w14:textFill>
                  <w14:solidFill>
                    <w14:schemeClr w14:val="tx1"/>
                  </w14:solidFill>
                </w14:textFill>
              </w:rPr>
              <w:instrText xml:space="preserve"> = 5 \* GB3 </w:instrText>
            </w:r>
            <w:r>
              <w:rPr>
                <w:rFonts w:ascii="Times New Roman" w:hAnsi="Times New Roman" w:eastAsia="宋体" w:cs="Times New Roman"/>
                <w:color w:val="000000" w:themeColor="text1"/>
                <w:sz w:val="24"/>
                <w14:textFill>
                  <w14:solidFill>
                    <w14:schemeClr w14:val="tx1"/>
                  </w14:solidFill>
                </w14:textFill>
              </w:rPr>
              <w:fldChar w:fldCharType="separate"/>
            </w:r>
            <w:r>
              <w:rPr>
                <w:rFonts w:hint="eastAsia" w:ascii="Times New Roman" w:hAnsi="Times New Roman" w:eastAsia="宋体" w:cs="Times New Roman"/>
                <w:color w:val="000000" w:themeColor="text1"/>
                <w:sz w:val="24"/>
                <w14:textFill>
                  <w14:solidFill>
                    <w14:schemeClr w14:val="tx1"/>
                  </w14:solidFill>
                </w14:textFill>
              </w:rPr>
              <w:t>⑤</w:t>
            </w:r>
            <w:r>
              <w:rPr>
                <w:rFonts w:ascii="Times New Roman" w:hAnsi="Times New Roman" w:eastAsia="宋体" w:cs="Times New Roman"/>
                <w:color w:val="000000" w:themeColor="text1"/>
                <w:sz w:val="24"/>
                <w14:textFill>
                  <w14:solidFill>
                    <w14:schemeClr w14:val="tx1"/>
                  </w14:solidFill>
                </w14:textFill>
              </w:rPr>
              <w:fldChar w:fldCharType="end"/>
            </w:r>
            <w:r>
              <w:rPr>
                <w:rFonts w:ascii="Times New Roman" w:hAnsi="Times New Roman" w:eastAsia="宋体" w:cs="Times New Roman"/>
                <w:color w:val="000000" w:themeColor="text1"/>
                <w:sz w:val="24"/>
                <w14:textFill>
                  <w14:solidFill>
                    <w14:schemeClr w14:val="tx1"/>
                  </w14:solidFill>
                </w14:textFill>
              </w:rPr>
              <w:t>按照环境管理的要求，将计划实现的目标和过程编制成文件，有关指标制成目标管理图表，标明工作内容和进度，以便与目标对比，及时掌握环保工作的进展情况。</w:t>
            </w:r>
          </w:p>
          <w:p w14:paraId="3E35FFDA">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⑥</w:t>
            </w:r>
            <w:r>
              <w:rPr>
                <w:rFonts w:ascii="Times New Roman" w:hAnsi="Times New Roman" w:eastAsia="宋体" w:cs="Times New Roman"/>
                <w:color w:val="000000" w:themeColor="text1"/>
                <w:sz w:val="24"/>
                <w14:textFill>
                  <w14:solidFill>
                    <w14:schemeClr w14:val="tx1"/>
                  </w14:solidFill>
                </w14:textFill>
              </w:rPr>
              <w:t>严格落实重污染天气管理要求：为妥善应对重污染天气，根据《遂宁市重污染天气应急预案》（2022年修订），企业应编制《重污染天气应急减排“一厂一策”方案》，在发生在重污染天气启动相应措施。同时列入限产、减排名单的涉及大气污染物排放的工业企业严格按照“一厂一策”重污染天气应急响应操作方案执行限产、减排措施。同时，应结合实际生产情况不断完善重污染天气“一厂一策”应急预案，增强应急污染减排措施的科学性、可操作性和可核实性。</w:t>
            </w:r>
          </w:p>
          <w:p w14:paraId="405D1EDB">
            <w:pPr>
              <w:spacing w:line="360" w:lineRule="auto"/>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b/>
                <w:bCs/>
                <w:color w:val="000000" w:themeColor="text1"/>
                <w:sz w:val="24"/>
                <w14:textFill>
                  <w14:solidFill>
                    <w14:schemeClr w14:val="tx1"/>
                  </w14:solidFill>
                </w14:textFill>
              </w:rPr>
              <w:t>1.2</w:t>
            </w:r>
            <w:r>
              <w:rPr>
                <w:rFonts w:ascii="Times New Roman" w:hAnsi="Times New Roman" w:eastAsia="宋体" w:cs="Times New Roman"/>
                <w:b/>
                <w:color w:val="000000" w:themeColor="text1"/>
                <w:sz w:val="24"/>
                <w14:textFill>
                  <w14:solidFill>
                    <w14:schemeClr w14:val="tx1"/>
                  </w14:solidFill>
                </w14:textFill>
              </w:rPr>
              <w:t>管理工作内容</w:t>
            </w:r>
          </w:p>
          <w:p w14:paraId="7F9D1A33">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fldChar w:fldCharType="begin"/>
            </w:r>
            <w:r>
              <w:rPr>
                <w:rFonts w:ascii="Times New Roman" w:hAnsi="Times New Roman" w:eastAsia="宋体" w:cs="Times New Roman"/>
                <w:color w:val="000000" w:themeColor="text1"/>
                <w:sz w:val="24"/>
                <w14:textFill>
                  <w14:solidFill>
                    <w14:schemeClr w14:val="tx1"/>
                  </w14:solidFill>
                </w14:textFill>
              </w:rPr>
              <w:instrText xml:space="preserve">= 1 \* GB3</w:instrText>
            </w:r>
            <w:r>
              <w:rPr>
                <w:rFonts w:ascii="Times New Roman" w:hAnsi="Times New Roman" w:eastAsia="宋体" w:cs="Times New Roman"/>
                <w:color w:val="000000" w:themeColor="text1"/>
                <w:sz w:val="24"/>
                <w14:textFill>
                  <w14:solidFill>
                    <w14:schemeClr w14:val="tx1"/>
                  </w14:solidFill>
                </w14:textFill>
              </w:rPr>
              <w:fldChar w:fldCharType="separate"/>
            </w:r>
            <w:r>
              <w:rPr>
                <w:rFonts w:hint="eastAsia" w:ascii="Times New Roman" w:hAnsi="Times New Roman" w:eastAsia="宋体" w:cs="Times New Roman"/>
                <w:color w:val="000000" w:themeColor="text1"/>
                <w:sz w:val="24"/>
                <w14:textFill>
                  <w14:solidFill>
                    <w14:schemeClr w14:val="tx1"/>
                  </w14:solidFill>
                </w14:textFill>
              </w:rPr>
              <w:t>①</w:t>
            </w:r>
            <w:r>
              <w:rPr>
                <w:rFonts w:ascii="Times New Roman" w:hAnsi="Times New Roman" w:eastAsia="宋体" w:cs="Times New Roman"/>
                <w:color w:val="000000" w:themeColor="text1"/>
                <w:sz w:val="24"/>
                <w14:textFill>
                  <w14:solidFill>
                    <w14:schemeClr w14:val="tx1"/>
                  </w14:solidFill>
                </w14:textFill>
              </w:rPr>
              <w:fldChar w:fldCharType="end"/>
            </w:r>
            <w:r>
              <w:rPr>
                <w:rFonts w:ascii="Times New Roman" w:hAnsi="Times New Roman" w:eastAsia="宋体" w:cs="Times New Roman"/>
                <w:color w:val="000000" w:themeColor="text1"/>
                <w:sz w:val="24"/>
                <w14:textFill>
                  <w14:solidFill>
                    <w14:schemeClr w14:val="tx1"/>
                  </w14:solidFill>
                </w14:textFill>
              </w:rPr>
              <w:t>根据《中华人民共和国环境保护法》等环保法规，《地表水环境质量标准》（GB3838-2002）、《环境空气质量标准》（GB3095-2012）、《声环境质量标准》（GB3096-2008）、</w:t>
            </w:r>
            <w:r>
              <w:rPr>
                <w:rFonts w:ascii="Times New Roman" w:hAnsi="Times New Roman" w:eastAsia="宋体" w:cs="Times New Roman"/>
                <w:bCs/>
                <w:color w:val="000000" w:themeColor="text1"/>
                <w:sz w:val="24"/>
                <w:szCs w:val="24"/>
                <w:lang w:bidi="ar"/>
                <w14:textFill>
                  <w14:solidFill>
                    <w14:schemeClr w14:val="tx1"/>
                  </w14:solidFill>
                </w14:textFill>
              </w:rPr>
              <w:t>《砖瓦工业大气污染物排放标准》（GB29620-2013）</w:t>
            </w:r>
            <w:r>
              <w:rPr>
                <w:rFonts w:ascii="Times New Roman" w:hAnsi="Times New Roman" w:eastAsia="宋体" w:cs="Times New Roman"/>
                <w:color w:val="000000" w:themeColor="text1"/>
                <w:sz w:val="24"/>
                <w14:textFill>
                  <w14:solidFill>
                    <w14:schemeClr w14:val="tx1"/>
                  </w14:solidFill>
                </w14:textFill>
              </w:rPr>
              <w:t>、</w:t>
            </w:r>
            <w:r>
              <w:rPr>
                <w:rFonts w:ascii="Times New Roman" w:hAnsi="Times New Roman" w:eastAsia="宋体" w:cs="Times New Roman"/>
                <w:bCs/>
                <w:color w:val="000000" w:themeColor="text1"/>
                <w:sz w:val="24"/>
                <w:szCs w:val="24"/>
                <w:lang w:bidi="ar"/>
                <w14:textFill>
                  <w14:solidFill>
                    <w14:schemeClr w14:val="tx1"/>
                  </w14:solidFill>
                </w14:textFill>
              </w:rPr>
              <w:t>《恶臭污染物排放标准》（GB14554-1993）、</w:t>
            </w:r>
            <w:r>
              <w:rPr>
                <w:rFonts w:ascii="Times New Roman" w:hAnsi="Times New Roman" w:eastAsia="宋体" w:cs="Times New Roman"/>
                <w:color w:val="000000" w:themeColor="text1"/>
                <w:sz w:val="24"/>
                <w14:textFill>
                  <w14:solidFill>
                    <w14:schemeClr w14:val="tx1"/>
                  </w14:solidFill>
                </w14:textFill>
              </w:rPr>
              <w:t>《工业企业厂界环境噪声排放标准》（GB12348-2008）等，对本工程的环境保护工作进行全面的监督及管理，健全污染源档案。</w:t>
            </w:r>
          </w:p>
          <w:p w14:paraId="1F828736">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fldChar w:fldCharType="begin"/>
            </w:r>
            <w:r>
              <w:rPr>
                <w:rFonts w:ascii="Times New Roman" w:hAnsi="Times New Roman" w:eastAsia="宋体" w:cs="Times New Roman"/>
                <w:color w:val="000000" w:themeColor="text1"/>
                <w:sz w:val="24"/>
                <w14:textFill>
                  <w14:solidFill>
                    <w14:schemeClr w14:val="tx1"/>
                  </w14:solidFill>
                </w14:textFill>
              </w:rPr>
              <w:instrText xml:space="preserve">= 2 \* GB3</w:instrText>
            </w:r>
            <w:r>
              <w:rPr>
                <w:rFonts w:ascii="Times New Roman" w:hAnsi="Times New Roman" w:eastAsia="宋体" w:cs="Times New Roman"/>
                <w:color w:val="000000" w:themeColor="text1"/>
                <w:sz w:val="24"/>
                <w14:textFill>
                  <w14:solidFill>
                    <w14:schemeClr w14:val="tx1"/>
                  </w14:solidFill>
                </w14:textFill>
              </w:rPr>
              <w:fldChar w:fldCharType="separate"/>
            </w:r>
            <w:r>
              <w:rPr>
                <w:rFonts w:hint="eastAsia" w:ascii="Times New Roman" w:hAnsi="Times New Roman" w:eastAsia="宋体" w:cs="Times New Roman"/>
                <w:color w:val="000000" w:themeColor="text1"/>
                <w:sz w:val="24"/>
                <w14:textFill>
                  <w14:solidFill>
                    <w14:schemeClr w14:val="tx1"/>
                  </w14:solidFill>
                </w14:textFill>
              </w:rPr>
              <w:t>②</w:t>
            </w:r>
            <w:r>
              <w:rPr>
                <w:rFonts w:ascii="Times New Roman" w:hAnsi="Times New Roman" w:eastAsia="宋体" w:cs="Times New Roman"/>
                <w:color w:val="000000" w:themeColor="text1"/>
                <w:sz w:val="24"/>
                <w14:textFill>
                  <w14:solidFill>
                    <w14:schemeClr w14:val="tx1"/>
                  </w14:solidFill>
                </w14:textFill>
              </w:rPr>
              <w:fldChar w:fldCharType="end"/>
            </w:r>
            <w:r>
              <w:rPr>
                <w:rFonts w:ascii="Times New Roman" w:hAnsi="Times New Roman" w:eastAsia="宋体" w:cs="Times New Roman"/>
                <w:color w:val="000000" w:themeColor="text1"/>
                <w:sz w:val="24"/>
                <w14:textFill>
                  <w14:solidFill>
                    <w14:schemeClr w14:val="tx1"/>
                  </w14:solidFill>
                </w14:textFill>
              </w:rPr>
              <w:t>对污染物的各种处理设备的正常工作状态进行监督管理，对项目区域的自然和生态环境进行保护。</w:t>
            </w:r>
          </w:p>
          <w:p w14:paraId="7474948C">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fldChar w:fldCharType="begin"/>
            </w:r>
            <w:r>
              <w:rPr>
                <w:rFonts w:ascii="Times New Roman" w:hAnsi="Times New Roman" w:eastAsia="宋体" w:cs="Times New Roman"/>
                <w:color w:val="000000" w:themeColor="text1"/>
                <w:sz w:val="24"/>
                <w14:textFill>
                  <w14:solidFill>
                    <w14:schemeClr w14:val="tx1"/>
                  </w14:solidFill>
                </w14:textFill>
              </w:rPr>
              <w:instrText xml:space="preserve">= 3 \* GB3</w:instrText>
            </w:r>
            <w:r>
              <w:rPr>
                <w:rFonts w:ascii="Times New Roman" w:hAnsi="Times New Roman" w:eastAsia="宋体" w:cs="Times New Roman"/>
                <w:color w:val="000000" w:themeColor="text1"/>
                <w:sz w:val="24"/>
                <w14:textFill>
                  <w14:solidFill>
                    <w14:schemeClr w14:val="tx1"/>
                  </w14:solidFill>
                </w14:textFill>
              </w:rPr>
              <w:fldChar w:fldCharType="separate"/>
            </w:r>
            <w:r>
              <w:rPr>
                <w:rFonts w:hint="eastAsia" w:ascii="Times New Roman" w:hAnsi="Times New Roman" w:eastAsia="宋体" w:cs="Times New Roman"/>
                <w:color w:val="000000" w:themeColor="text1"/>
                <w:sz w:val="24"/>
                <w14:textFill>
                  <w14:solidFill>
                    <w14:schemeClr w14:val="tx1"/>
                  </w14:solidFill>
                </w14:textFill>
              </w:rPr>
              <w:t>③</w:t>
            </w:r>
            <w:r>
              <w:rPr>
                <w:rFonts w:ascii="Times New Roman" w:hAnsi="Times New Roman" w:eastAsia="宋体" w:cs="Times New Roman"/>
                <w:color w:val="000000" w:themeColor="text1"/>
                <w:sz w:val="24"/>
                <w14:textFill>
                  <w14:solidFill>
                    <w14:schemeClr w14:val="tx1"/>
                  </w14:solidFill>
                </w14:textFill>
              </w:rPr>
              <w:fldChar w:fldCharType="end"/>
            </w:r>
            <w:r>
              <w:rPr>
                <w:rFonts w:ascii="Times New Roman" w:hAnsi="Times New Roman" w:eastAsia="宋体" w:cs="Times New Roman"/>
                <w:color w:val="000000" w:themeColor="text1"/>
                <w:sz w:val="24"/>
                <w14:textFill>
                  <w14:solidFill>
                    <w14:schemeClr w14:val="tx1"/>
                  </w14:solidFill>
                </w14:textFill>
              </w:rPr>
              <w:t>对工程产生的污染物及处置情况进行记录、管理。</w:t>
            </w:r>
          </w:p>
          <w:p w14:paraId="1985A459">
            <w:pPr>
              <w:spacing w:line="360" w:lineRule="auto"/>
              <w:rPr>
                <w:rFonts w:ascii="Times New Roman" w:hAnsi="Times New Roman" w:eastAsia="宋体" w:cs="Times New Roman"/>
                <w:b/>
                <w:color w:val="000000" w:themeColor="text1"/>
                <w:sz w:val="24"/>
                <w14:textFill>
                  <w14:solidFill>
                    <w14:schemeClr w14:val="tx1"/>
                  </w14:solidFill>
                </w14:textFill>
              </w:rPr>
            </w:pPr>
            <w:r>
              <w:rPr>
                <w:rFonts w:ascii="Times New Roman" w:hAnsi="Times New Roman" w:eastAsia="宋体" w:cs="Times New Roman"/>
                <w:b/>
                <w:color w:val="000000" w:themeColor="text1"/>
                <w:sz w:val="24"/>
                <w14:textFill>
                  <w14:solidFill>
                    <w14:schemeClr w14:val="tx1"/>
                  </w14:solidFill>
                </w14:textFill>
              </w:rPr>
              <w:t>1.3环境管理机构的主要职责</w:t>
            </w:r>
          </w:p>
          <w:p w14:paraId="5A891457">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企业环境管理机构主要职责是：</w:t>
            </w:r>
          </w:p>
          <w:p w14:paraId="3D965EC8">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fldChar w:fldCharType="begin"/>
            </w:r>
            <w:r>
              <w:rPr>
                <w:rFonts w:ascii="Times New Roman" w:hAnsi="Times New Roman" w:eastAsia="宋体" w:cs="Times New Roman"/>
                <w:color w:val="000000" w:themeColor="text1"/>
                <w:sz w:val="24"/>
                <w14:textFill>
                  <w14:solidFill>
                    <w14:schemeClr w14:val="tx1"/>
                  </w14:solidFill>
                </w14:textFill>
              </w:rPr>
              <w:instrText xml:space="preserve">= 1 \* GB3</w:instrText>
            </w:r>
            <w:r>
              <w:rPr>
                <w:rFonts w:ascii="Times New Roman" w:hAnsi="Times New Roman" w:eastAsia="宋体" w:cs="Times New Roman"/>
                <w:color w:val="000000" w:themeColor="text1"/>
                <w:sz w:val="24"/>
                <w14:textFill>
                  <w14:solidFill>
                    <w14:schemeClr w14:val="tx1"/>
                  </w14:solidFill>
                </w14:textFill>
              </w:rPr>
              <w:fldChar w:fldCharType="separate"/>
            </w:r>
            <w:r>
              <w:rPr>
                <w:rFonts w:hint="eastAsia" w:ascii="Times New Roman" w:hAnsi="Times New Roman" w:eastAsia="宋体" w:cs="Times New Roman"/>
                <w:color w:val="000000" w:themeColor="text1"/>
                <w:sz w:val="24"/>
                <w14:textFill>
                  <w14:solidFill>
                    <w14:schemeClr w14:val="tx1"/>
                  </w14:solidFill>
                </w14:textFill>
              </w:rPr>
              <w:t>①</w:t>
            </w:r>
            <w:r>
              <w:rPr>
                <w:rFonts w:ascii="Times New Roman" w:hAnsi="Times New Roman" w:eastAsia="宋体" w:cs="Times New Roman"/>
                <w:color w:val="000000" w:themeColor="text1"/>
                <w:sz w:val="24"/>
                <w14:textFill>
                  <w14:solidFill>
                    <w14:schemeClr w14:val="tx1"/>
                  </w14:solidFill>
                </w14:textFill>
              </w:rPr>
              <w:fldChar w:fldCharType="end"/>
            </w:r>
            <w:r>
              <w:rPr>
                <w:rFonts w:ascii="Times New Roman" w:hAnsi="Times New Roman" w:eastAsia="宋体" w:cs="Times New Roman"/>
                <w:color w:val="000000" w:themeColor="text1"/>
                <w:sz w:val="24"/>
                <w14:textFill>
                  <w14:solidFill>
                    <w14:schemeClr w14:val="tx1"/>
                  </w14:solidFill>
                </w14:textFill>
              </w:rPr>
              <w:t>贯彻执行中华人民共和国的环境保护法规和标准，接受环保主管部门的检查监督，定期上报各项管理工作的执行情况。</w:t>
            </w:r>
          </w:p>
          <w:p w14:paraId="58DA750C">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fldChar w:fldCharType="begin"/>
            </w:r>
            <w:r>
              <w:rPr>
                <w:rFonts w:ascii="Times New Roman" w:hAnsi="Times New Roman" w:eastAsia="宋体" w:cs="Times New Roman"/>
                <w:color w:val="000000" w:themeColor="text1"/>
                <w:sz w:val="24"/>
                <w14:textFill>
                  <w14:solidFill>
                    <w14:schemeClr w14:val="tx1"/>
                  </w14:solidFill>
                </w14:textFill>
              </w:rPr>
              <w:instrText xml:space="preserve">= 2 \* GB3</w:instrText>
            </w:r>
            <w:r>
              <w:rPr>
                <w:rFonts w:ascii="Times New Roman" w:hAnsi="Times New Roman" w:eastAsia="宋体" w:cs="Times New Roman"/>
                <w:color w:val="000000" w:themeColor="text1"/>
                <w:sz w:val="24"/>
                <w14:textFill>
                  <w14:solidFill>
                    <w14:schemeClr w14:val="tx1"/>
                  </w14:solidFill>
                </w14:textFill>
              </w:rPr>
              <w:fldChar w:fldCharType="separate"/>
            </w:r>
            <w:r>
              <w:rPr>
                <w:rFonts w:hint="eastAsia" w:ascii="Times New Roman" w:hAnsi="Times New Roman" w:eastAsia="宋体" w:cs="Times New Roman"/>
                <w:color w:val="000000" w:themeColor="text1"/>
                <w:sz w:val="24"/>
                <w14:textFill>
                  <w14:solidFill>
                    <w14:schemeClr w14:val="tx1"/>
                  </w14:solidFill>
                </w14:textFill>
              </w:rPr>
              <w:t>②</w:t>
            </w:r>
            <w:r>
              <w:rPr>
                <w:rFonts w:ascii="Times New Roman" w:hAnsi="Times New Roman" w:eastAsia="宋体" w:cs="Times New Roman"/>
                <w:color w:val="000000" w:themeColor="text1"/>
                <w:sz w:val="24"/>
                <w14:textFill>
                  <w14:solidFill>
                    <w14:schemeClr w14:val="tx1"/>
                  </w14:solidFill>
                </w14:textFill>
              </w:rPr>
              <w:fldChar w:fldCharType="end"/>
            </w:r>
            <w:r>
              <w:rPr>
                <w:rFonts w:ascii="Times New Roman" w:hAnsi="Times New Roman" w:eastAsia="宋体" w:cs="Times New Roman"/>
                <w:color w:val="000000" w:themeColor="text1"/>
                <w:sz w:val="24"/>
                <w14:textFill>
                  <w14:solidFill>
                    <w14:schemeClr w14:val="tx1"/>
                  </w14:solidFill>
                </w14:textFill>
              </w:rPr>
              <w:t>组织制定各部门的环保管理规章制度，并监督执行。</w:t>
            </w:r>
          </w:p>
          <w:p w14:paraId="2BEE43C8">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fldChar w:fldCharType="begin"/>
            </w:r>
            <w:r>
              <w:rPr>
                <w:rFonts w:ascii="Times New Roman" w:hAnsi="Times New Roman" w:eastAsia="宋体" w:cs="Times New Roman"/>
                <w:color w:val="000000" w:themeColor="text1"/>
                <w:sz w:val="24"/>
                <w14:textFill>
                  <w14:solidFill>
                    <w14:schemeClr w14:val="tx1"/>
                  </w14:solidFill>
                </w14:textFill>
              </w:rPr>
              <w:instrText xml:space="preserve">= 3 \* GB3</w:instrText>
            </w:r>
            <w:r>
              <w:rPr>
                <w:rFonts w:ascii="Times New Roman" w:hAnsi="Times New Roman" w:eastAsia="宋体" w:cs="Times New Roman"/>
                <w:color w:val="000000" w:themeColor="text1"/>
                <w:sz w:val="24"/>
                <w14:textFill>
                  <w14:solidFill>
                    <w14:schemeClr w14:val="tx1"/>
                  </w14:solidFill>
                </w14:textFill>
              </w:rPr>
              <w:fldChar w:fldCharType="separate"/>
            </w:r>
            <w:r>
              <w:rPr>
                <w:rFonts w:hint="eastAsia" w:ascii="Times New Roman" w:hAnsi="Times New Roman" w:eastAsia="宋体" w:cs="Times New Roman"/>
                <w:color w:val="000000" w:themeColor="text1"/>
                <w:sz w:val="24"/>
                <w14:textFill>
                  <w14:solidFill>
                    <w14:schemeClr w14:val="tx1"/>
                  </w14:solidFill>
                </w14:textFill>
              </w:rPr>
              <w:t>③</w:t>
            </w:r>
            <w:r>
              <w:rPr>
                <w:rFonts w:ascii="Times New Roman" w:hAnsi="Times New Roman" w:eastAsia="宋体" w:cs="Times New Roman"/>
                <w:color w:val="000000" w:themeColor="text1"/>
                <w:sz w:val="24"/>
                <w14:textFill>
                  <w14:solidFill>
                    <w14:schemeClr w14:val="tx1"/>
                  </w14:solidFill>
                </w14:textFill>
              </w:rPr>
              <w:fldChar w:fldCharType="end"/>
            </w:r>
            <w:r>
              <w:rPr>
                <w:rFonts w:ascii="Times New Roman" w:hAnsi="Times New Roman" w:eastAsia="宋体" w:cs="Times New Roman"/>
                <w:color w:val="000000" w:themeColor="text1"/>
                <w:sz w:val="24"/>
                <w14:textFill>
                  <w14:solidFill>
                    <w14:schemeClr w14:val="tx1"/>
                  </w14:solidFill>
                </w14:textFill>
              </w:rPr>
              <w:t>负责内部环保治理设备的运转以及日常维护保养，保证其正常运转；</w:t>
            </w:r>
          </w:p>
          <w:p w14:paraId="5F32985D">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fldChar w:fldCharType="begin"/>
            </w:r>
            <w:r>
              <w:rPr>
                <w:rFonts w:ascii="Times New Roman" w:hAnsi="Times New Roman" w:eastAsia="宋体" w:cs="Times New Roman"/>
                <w:color w:val="000000" w:themeColor="text1"/>
                <w:sz w:val="24"/>
                <w14:textFill>
                  <w14:solidFill>
                    <w14:schemeClr w14:val="tx1"/>
                  </w14:solidFill>
                </w14:textFill>
              </w:rPr>
              <w:instrText xml:space="preserve">= 4 \* GB3</w:instrText>
            </w:r>
            <w:r>
              <w:rPr>
                <w:rFonts w:ascii="Times New Roman" w:hAnsi="Times New Roman" w:eastAsia="宋体" w:cs="Times New Roman"/>
                <w:color w:val="000000" w:themeColor="text1"/>
                <w:sz w:val="24"/>
                <w14:textFill>
                  <w14:solidFill>
                    <w14:schemeClr w14:val="tx1"/>
                  </w14:solidFill>
                </w14:textFill>
              </w:rPr>
              <w:fldChar w:fldCharType="separate"/>
            </w:r>
            <w:r>
              <w:rPr>
                <w:rFonts w:hint="eastAsia" w:ascii="Times New Roman" w:hAnsi="Times New Roman" w:eastAsia="宋体" w:cs="Times New Roman"/>
                <w:color w:val="000000" w:themeColor="text1"/>
                <w:sz w:val="24"/>
                <w14:textFill>
                  <w14:solidFill>
                    <w14:schemeClr w14:val="tx1"/>
                  </w14:solidFill>
                </w14:textFill>
              </w:rPr>
              <w:t>④</w:t>
            </w:r>
            <w:r>
              <w:rPr>
                <w:rFonts w:ascii="Times New Roman" w:hAnsi="Times New Roman" w:eastAsia="宋体" w:cs="Times New Roman"/>
                <w:color w:val="000000" w:themeColor="text1"/>
                <w:sz w:val="24"/>
                <w14:textFill>
                  <w14:solidFill>
                    <w14:schemeClr w14:val="tx1"/>
                  </w14:solidFill>
                </w14:textFill>
              </w:rPr>
              <w:fldChar w:fldCharType="end"/>
            </w:r>
            <w:r>
              <w:rPr>
                <w:rFonts w:ascii="Times New Roman" w:hAnsi="Times New Roman" w:eastAsia="宋体" w:cs="Times New Roman"/>
                <w:color w:val="000000" w:themeColor="text1"/>
                <w:sz w:val="24"/>
                <w14:textFill>
                  <w14:solidFill>
                    <w14:schemeClr w14:val="tx1"/>
                  </w14:solidFill>
                </w14:textFill>
              </w:rPr>
              <w:t>组织参加环境监测工作。</w:t>
            </w:r>
          </w:p>
          <w:p w14:paraId="5F013A2D">
            <w:pPr>
              <w:pStyle w:val="22"/>
              <w:spacing w:before="0" w:beforeAutospacing="0" w:after="0" w:afterAutospacing="0" w:line="360" w:lineRule="auto"/>
              <w:ind w:firstLine="480" w:firstLineChars="200"/>
              <w:jc w:val="both"/>
              <w:rPr>
                <w:rFonts w:ascii="Times New Roman" w:hAnsi="Times New Roman" w:cs="Times New Roman"/>
                <w:color w:val="000000" w:themeColor="text1"/>
                <w:szCs w:val="24"/>
                <w14:textFill>
                  <w14:solidFill>
                    <w14:schemeClr w14:val="tx1"/>
                  </w14:solidFill>
                </w14:textFill>
              </w:rPr>
            </w:pPr>
            <w:r>
              <w:rPr>
                <w:rFonts w:ascii="Times New Roman" w:hAnsi="Times New Roman" w:cs="Times New Roman"/>
                <w:color w:val="000000" w:themeColor="text1"/>
                <w:szCs w:val="24"/>
                <w14:textFill>
                  <w14:solidFill>
                    <w14:schemeClr w14:val="tx1"/>
                  </w14:solidFill>
                </w14:textFill>
              </w:rPr>
              <w:fldChar w:fldCharType="begin"/>
            </w:r>
            <w:r>
              <w:rPr>
                <w:rFonts w:ascii="Times New Roman" w:hAnsi="Times New Roman" w:cs="Times New Roman"/>
                <w:color w:val="000000" w:themeColor="text1"/>
                <w:szCs w:val="24"/>
                <w14:textFill>
                  <w14:solidFill>
                    <w14:schemeClr w14:val="tx1"/>
                  </w14:solidFill>
                </w14:textFill>
              </w:rPr>
              <w:instrText xml:space="preserve">= 5 \* GB3</w:instrText>
            </w:r>
            <w:r>
              <w:rPr>
                <w:rFonts w:ascii="Times New Roman" w:hAnsi="Times New Roman" w:cs="Times New Roman"/>
                <w:color w:val="000000" w:themeColor="text1"/>
                <w:szCs w:val="24"/>
                <w14:textFill>
                  <w14:solidFill>
                    <w14:schemeClr w14:val="tx1"/>
                  </w14:solidFill>
                </w14:textFill>
              </w:rPr>
              <w:fldChar w:fldCharType="separate"/>
            </w:r>
            <w:r>
              <w:rPr>
                <w:rFonts w:hint="eastAsia" w:ascii="Times New Roman" w:hAnsi="Times New Roman" w:cs="Times New Roman"/>
                <w:color w:val="000000" w:themeColor="text1"/>
                <w:szCs w:val="24"/>
                <w14:textFill>
                  <w14:solidFill>
                    <w14:schemeClr w14:val="tx1"/>
                  </w14:solidFill>
                </w14:textFill>
              </w:rPr>
              <w:t>⑤</w:t>
            </w:r>
            <w:r>
              <w:rPr>
                <w:rFonts w:ascii="Times New Roman" w:hAnsi="Times New Roman" w:cs="Times New Roman"/>
                <w:color w:val="000000" w:themeColor="text1"/>
                <w:szCs w:val="24"/>
                <w14:textFill>
                  <w14:solidFill>
                    <w14:schemeClr w14:val="tx1"/>
                  </w14:solidFill>
                </w14:textFill>
              </w:rPr>
              <w:fldChar w:fldCharType="end"/>
            </w:r>
            <w:r>
              <w:rPr>
                <w:rFonts w:ascii="Times New Roman" w:hAnsi="Times New Roman" w:cs="Times New Roman"/>
                <w:color w:val="000000" w:themeColor="text1"/>
                <w:szCs w:val="24"/>
                <w14:textFill>
                  <w14:solidFill>
                    <w14:schemeClr w14:val="tx1"/>
                  </w14:solidFill>
                </w14:textFill>
              </w:rPr>
              <w:t>定期进行审计，检查环境管理计划实施情况，使环境污染的治理、管理和控制不断得到改善，使企业对环境的影响降到最低程度，杜绝风险事故。</w:t>
            </w:r>
          </w:p>
          <w:p w14:paraId="1BD6DAD6">
            <w:pPr>
              <w:pStyle w:val="38"/>
              <w:overflowPunct/>
              <w:snapToGrid w:val="0"/>
              <w:spacing w:beforeLines="0" w:afterLines="0" w:line="360" w:lineRule="auto"/>
              <w:ind w:left="0" w:leftChars="0" w:firstLine="0" w:firstLineChars="0"/>
              <w:rPr>
                <w:rFonts w:ascii="Times New Roman" w:hAnsi="Times New Roman" w:eastAsia="宋体"/>
                <w:b/>
                <w:bCs/>
                <w:color w:val="000000" w:themeColor="text1"/>
                <w:szCs w:val="24"/>
                <w:lang w:eastAsia="zh-CN"/>
                <w14:textFill>
                  <w14:solidFill>
                    <w14:schemeClr w14:val="tx1"/>
                  </w14:solidFill>
                </w14:textFill>
              </w:rPr>
            </w:pPr>
            <w:r>
              <w:rPr>
                <w:rFonts w:ascii="Times New Roman" w:hAnsi="Times New Roman" w:eastAsia="宋体"/>
                <w:b/>
                <w:bCs/>
                <w:color w:val="000000" w:themeColor="text1"/>
                <w:szCs w:val="24"/>
                <w:lang w:eastAsia="zh-CN"/>
                <w14:textFill>
                  <w14:solidFill>
                    <w14:schemeClr w14:val="tx1"/>
                  </w14:solidFill>
                </w14:textFill>
              </w:rPr>
              <w:t>2.规范排污口</w:t>
            </w:r>
          </w:p>
          <w:p w14:paraId="4FFD257A">
            <w:pPr>
              <w:pStyle w:val="38"/>
              <w:snapToGrid w:val="0"/>
              <w:spacing w:beforeLines="0" w:afterLines="0" w:line="360" w:lineRule="auto"/>
              <w:ind w:left="0" w:leftChars="0" w:firstLine="480"/>
              <w:rPr>
                <w:rFonts w:ascii="Times New Roman" w:hAnsi="Times New Roman" w:eastAsia="宋体"/>
                <w:color w:val="000000" w:themeColor="text1"/>
                <w:szCs w:val="24"/>
                <w:lang w:eastAsia="zh-CN"/>
                <w14:textFill>
                  <w14:solidFill>
                    <w14:schemeClr w14:val="tx1"/>
                  </w14:solidFill>
                </w14:textFill>
              </w:rPr>
            </w:pPr>
            <w:r>
              <w:rPr>
                <w:rFonts w:ascii="Times New Roman" w:hAnsi="Times New Roman" w:eastAsia="宋体"/>
                <w:color w:val="000000" w:themeColor="text1"/>
                <w:szCs w:val="24"/>
                <w:lang w:eastAsia="zh-CN"/>
                <w14:textFill>
                  <w14:solidFill>
                    <w14:schemeClr w14:val="tx1"/>
                  </w14:solidFill>
                </w14:textFill>
              </w:rPr>
              <w:t>排污口是企业排放污染物进入环境的通道，强化排污口的管理是实施污染物总量控制的基础工作之一，也是区域环境管理逐步实现污染物排放科学化、定量化的重要手段。</w:t>
            </w:r>
          </w:p>
          <w:p w14:paraId="7D3A6545">
            <w:pPr>
              <w:pStyle w:val="38"/>
              <w:snapToGrid w:val="0"/>
              <w:spacing w:beforeLines="0" w:afterLines="0" w:line="360" w:lineRule="auto"/>
              <w:ind w:left="0" w:leftChars="0" w:firstLine="0" w:firstLineChars="0"/>
              <w:rPr>
                <w:rFonts w:ascii="Times New Roman" w:hAnsi="Times New Roman" w:eastAsia="宋体"/>
                <w:color w:val="000000" w:themeColor="text1"/>
                <w:szCs w:val="24"/>
                <w:lang w:eastAsia="zh-CN"/>
                <w14:textFill>
                  <w14:solidFill>
                    <w14:schemeClr w14:val="tx1"/>
                  </w14:solidFill>
                </w14:textFill>
              </w:rPr>
            </w:pPr>
            <w:r>
              <w:rPr>
                <w:rFonts w:ascii="Times New Roman" w:hAnsi="Times New Roman" w:eastAsia="宋体"/>
                <w:b/>
                <w:bCs/>
                <w:color w:val="000000" w:themeColor="text1"/>
                <w:szCs w:val="24"/>
                <w:lang w:eastAsia="zh-CN"/>
                <w14:textFill>
                  <w14:solidFill>
                    <w14:schemeClr w14:val="tx1"/>
                  </w14:solidFill>
                </w14:textFill>
              </w:rPr>
              <w:t>2.1排污口规范化管理的基本原则</w:t>
            </w:r>
          </w:p>
          <w:p w14:paraId="332B53E1">
            <w:pPr>
              <w:pStyle w:val="38"/>
              <w:snapToGrid w:val="0"/>
              <w:spacing w:beforeLines="0" w:afterLines="0" w:line="360" w:lineRule="auto"/>
              <w:ind w:left="0" w:leftChars="0" w:firstLine="468" w:firstLineChars="195"/>
              <w:rPr>
                <w:rFonts w:ascii="Times New Roman" w:hAnsi="Times New Roman" w:eastAsia="宋体"/>
                <w:color w:val="000000" w:themeColor="text1"/>
                <w:szCs w:val="24"/>
                <w:lang w:eastAsia="zh-CN"/>
                <w14:textFill>
                  <w14:solidFill>
                    <w14:schemeClr w14:val="tx1"/>
                  </w14:solidFill>
                </w14:textFill>
              </w:rPr>
            </w:pPr>
            <w:r>
              <w:rPr>
                <w:rFonts w:ascii="Times New Roman" w:hAnsi="Times New Roman" w:eastAsia="宋体"/>
                <w:color w:val="000000" w:themeColor="text1"/>
                <w:szCs w:val="24"/>
                <w:lang w:eastAsia="zh-CN"/>
                <w14:textFill>
                  <w14:solidFill>
                    <w14:schemeClr w14:val="tx1"/>
                  </w14:solidFill>
                </w14:textFill>
              </w:rPr>
              <w:fldChar w:fldCharType="begin"/>
            </w:r>
            <w:r>
              <w:rPr>
                <w:rFonts w:ascii="Times New Roman" w:hAnsi="Times New Roman" w:eastAsia="宋体"/>
                <w:color w:val="000000" w:themeColor="text1"/>
                <w:szCs w:val="24"/>
                <w:lang w:eastAsia="zh-CN"/>
                <w14:textFill>
                  <w14:solidFill>
                    <w14:schemeClr w14:val="tx1"/>
                  </w14:solidFill>
                </w14:textFill>
              </w:rPr>
              <w:instrText xml:space="preserve"> = 1 \* GB3 </w:instrText>
            </w:r>
            <w:r>
              <w:rPr>
                <w:rFonts w:ascii="Times New Roman" w:hAnsi="Times New Roman" w:eastAsia="宋体"/>
                <w:color w:val="000000" w:themeColor="text1"/>
                <w:szCs w:val="24"/>
                <w:lang w:eastAsia="zh-CN"/>
                <w14:textFill>
                  <w14:solidFill>
                    <w14:schemeClr w14:val="tx1"/>
                  </w14:solidFill>
                </w14:textFill>
              </w:rPr>
              <w:fldChar w:fldCharType="separate"/>
            </w:r>
            <w:r>
              <w:rPr>
                <w:rFonts w:hint="eastAsia" w:ascii="Times New Roman" w:hAnsi="Times New Roman" w:eastAsia="宋体"/>
                <w:color w:val="000000" w:themeColor="text1"/>
                <w:szCs w:val="24"/>
                <w:lang w:eastAsia="zh-CN"/>
                <w14:textFill>
                  <w14:solidFill>
                    <w14:schemeClr w14:val="tx1"/>
                  </w14:solidFill>
                </w14:textFill>
              </w:rPr>
              <w:t>①</w:t>
            </w:r>
            <w:r>
              <w:rPr>
                <w:rFonts w:ascii="Times New Roman" w:hAnsi="Times New Roman" w:eastAsia="宋体"/>
                <w:color w:val="000000" w:themeColor="text1"/>
                <w:szCs w:val="24"/>
                <w:lang w:eastAsia="zh-CN"/>
                <w14:textFill>
                  <w14:solidFill>
                    <w14:schemeClr w14:val="tx1"/>
                  </w14:solidFill>
                </w14:textFill>
              </w:rPr>
              <w:fldChar w:fldCharType="end"/>
            </w:r>
            <w:r>
              <w:rPr>
                <w:rFonts w:ascii="Times New Roman" w:hAnsi="Times New Roman" w:eastAsia="宋体"/>
                <w:color w:val="000000" w:themeColor="text1"/>
                <w:szCs w:val="24"/>
                <w:lang w:eastAsia="zh-CN"/>
                <w14:textFill>
                  <w14:solidFill>
                    <w14:schemeClr w14:val="tx1"/>
                  </w14:solidFill>
                </w14:textFill>
              </w:rPr>
              <w:t>向环境排放污染物的排污口必须规范化。</w:t>
            </w:r>
          </w:p>
          <w:p w14:paraId="12AADA7B">
            <w:pPr>
              <w:pStyle w:val="38"/>
              <w:snapToGrid w:val="0"/>
              <w:spacing w:beforeLines="0" w:afterLines="0" w:line="360" w:lineRule="auto"/>
              <w:ind w:left="0" w:leftChars="0" w:firstLine="480"/>
              <w:rPr>
                <w:rFonts w:ascii="Times New Roman" w:hAnsi="Times New Roman" w:eastAsia="宋体"/>
                <w:color w:val="000000" w:themeColor="text1"/>
                <w:szCs w:val="24"/>
                <w:lang w:eastAsia="zh-CN"/>
                <w14:textFill>
                  <w14:solidFill>
                    <w14:schemeClr w14:val="tx1"/>
                  </w14:solidFill>
                </w14:textFill>
              </w:rPr>
            </w:pPr>
            <w:r>
              <w:rPr>
                <w:rFonts w:ascii="Times New Roman" w:hAnsi="Times New Roman" w:eastAsia="宋体"/>
                <w:color w:val="000000" w:themeColor="text1"/>
                <w:szCs w:val="24"/>
                <w:lang w:eastAsia="zh-CN"/>
                <w14:textFill>
                  <w14:solidFill>
                    <w14:schemeClr w14:val="tx1"/>
                  </w14:solidFill>
                </w14:textFill>
              </w:rPr>
              <w:fldChar w:fldCharType="begin"/>
            </w:r>
            <w:r>
              <w:rPr>
                <w:rFonts w:ascii="Times New Roman" w:hAnsi="Times New Roman" w:eastAsia="宋体"/>
                <w:color w:val="000000" w:themeColor="text1"/>
                <w:szCs w:val="24"/>
                <w:lang w:eastAsia="zh-CN"/>
                <w14:textFill>
                  <w14:solidFill>
                    <w14:schemeClr w14:val="tx1"/>
                  </w14:solidFill>
                </w14:textFill>
              </w:rPr>
              <w:instrText xml:space="preserve"> = 2 \* GB3 </w:instrText>
            </w:r>
            <w:r>
              <w:rPr>
                <w:rFonts w:ascii="Times New Roman" w:hAnsi="Times New Roman" w:eastAsia="宋体"/>
                <w:color w:val="000000" w:themeColor="text1"/>
                <w:szCs w:val="24"/>
                <w:lang w:eastAsia="zh-CN"/>
                <w14:textFill>
                  <w14:solidFill>
                    <w14:schemeClr w14:val="tx1"/>
                  </w14:solidFill>
                </w14:textFill>
              </w:rPr>
              <w:fldChar w:fldCharType="separate"/>
            </w:r>
            <w:r>
              <w:rPr>
                <w:rFonts w:hint="eastAsia" w:ascii="Times New Roman" w:hAnsi="Times New Roman" w:eastAsia="宋体"/>
                <w:color w:val="000000" w:themeColor="text1"/>
                <w:szCs w:val="24"/>
                <w:lang w:eastAsia="zh-CN"/>
                <w14:textFill>
                  <w14:solidFill>
                    <w14:schemeClr w14:val="tx1"/>
                  </w14:solidFill>
                </w14:textFill>
              </w:rPr>
              <w:t>②</w:t>
            </w:r>
            <w:r>
              <w:rPr>
                <w:rFonts w:ascii="Times New Roman" w:hAnsi="Times New Roman" w:eastAsia="宋体"/>
                <w:color w:val="000000" w:themeColor="text1"/>
                <w:szCs w:val="24"/>
                <w:lang w:eastAsia="zh-CN"/>
                <w14:textFill>
                  <w14:solidFill>
                    <w14:schemeClr w14:val="tx1"/>
                  </w14:solidFill>
                </w14:textFill>
              </w:rPr>
              <w:fldChar w:fldCharType="end"/>
            </w:r>
            <w:r>
              <w:rPr>
                <w:rFonts w:ascii="Times New Roman" w:hAnsi="Times New Roman" w:eastAsia="宋体"/>
                <w:color w:val="000000" w:themeColor="text1"/>
                <w:szCs w:val="24"/>
                <w:lang w:eastAsia="zh-CN"/>
                <w14:textFill>
                  <w14:solidFill>
                    <w14:schemeClr w14:val="tx1"/>
                  </w14:solidFill>
                </w14:textFill>
              </w:rPr>
              <w:t>根据本项目为新建项目的特点，考虑列入总量控制指标的污染物中排放的颗粒物为管理重点。</w:t>
            </w:r>
          </w:p>
          <w:p w14:paraId="72805A7F">
            <w:pPr>
              <w:pStyle w:val="38"/>
              <w:snapToGrid w:val="0"/>
              <w:spacing w:beforeLines="0" w:afterLines="0" w:line="360" w:lineRule="auto"/>
              <w:ind w:left="0" w:leftChars="0" w:firstLine="468" w:firstLineChars="195"/>
              <w:rPr>
                <w:rFonts w:ascii="Times New Roman" w:hAnsi="Times New Roman" w:eastAsia="宋体"/>
                <w:color w:val="000000" w:themeColor="text1"/>
                <w:szCs w:val="24"/>
                <w:lang w:eastAsia="zh-CN"/>
                <w14:textFill>
                  <w14:solidFill>
                    <w14:schemeClr w14:val="tx1"/>
                  </w14:solidFill>
                </w14:textFill>
              </w:rPr>
            </w:pPr>
            <w:r>
              <w:rPr>
                <w:rFonts w:ascii="Times New Roman" w:hAnsi="Times New Roman" w:eastAsia="宋体"/>
                <w:color w:val="000000" w:themeColor="text1"/>
                <w:szCs w:val="24"/>
                <w:lang w:eastAsia="zh-CN"/>
                <w14:textFill>
                  <w14:solidFill>
                    <w14:schemeClr w14:val="tx1"/>
                  </w14:solidFill>
                </w14:textFill>
              </w:rPr>
              <w:fldChar w:fldCharType="begin"/>
            </w:r>
            <w:r>
              <w:rPr>
                <w:rFonts w:ascii="Times New Roman" w:hAnsi="Times New Roman" w:eastAsia="宋体"/>
                <w:color w:val="000000" w:themeColor="text1"/>
                <w:szCs w:val="24"/>
                <w:lang w:eastAsia="zh-CN"/>
                <w14:textFill>
                  <w14:solidFill>
                    <w14:schemeClr w14:val="tx1"/>
                  </w14:solidFill>
                </w14:textFill>
              </w:rPr>
              <w:instrText xml:space="preserve"> = 3 \* GB3 </w:instrText>
            </w:r>
            <w:r>
              <w:rPr>
                <w:rFonts w:ascii="Times New Roman" w:hAnsi="Times New Roman" w:eastAsia="宋体"/>
                <w:color w:val="000000" w:themeColor="text1"/>
                <w:szCs w:val="24"/>
                <w:lang w:eastAsia="zh-CN"/>
                <w14:textFill>
                  <w14:solidFill>
                    <w14:schemeClr w14:val="tx1"/>
                  </w14:solidFill>
                </w14:textFill>
              </w:rPr>
              <w:fldChar w:fldCharType="separate"/>
            </w:r>
            <w:r>
              <w:rPr>
                <w:rFonts w:hint="eastAsia" w:ascii="Times New Roman" w:hAnsi="Times New Roman" w:eastAsia="宋体"/>
                <w:color w:val="000000" w:themeColor="text1"/>
                <w:szCs w:val="24"/>
                <w:lang w:eastAsia="zh-CN"/>
                <w14:textFill>
                  <w14:solidFill>
                    <w14:schemeClr w14:val="tx1"/>
                  </w14:solidFill>
                </w14:textFill>
              </w:rPr>
              <w:t>③</w:t>
            </w:r>
            <w:r>
              <w:rPr>
                <w:rFonts w:ascii="Times New Roman" w:hAnsi="Times New Roman" w:eastAsia="宋体"/>
                <w:color w:val="000000" w:themeColor="text1"/>
                <w:szCs w:val="24"/>
                <w:lang w:eastAsia="zh-CN"/>
                <w14:textFill>
                  <w14:solidFill>
                    <w14:schemeClr w14:val="tx1"/>
                  </w14:solidFill>
                </w14:textFill>
              </w:rPr>
              <w:fldChar w:fldCharType="end"/>
            </w:r>
            <w:r>
              <w:rPr>
                <w:rFonts w:ascii="Times New Roman" w:hAnsi="Times New Roman" w:eastAsia="宋体"/>
                <w:color w:val="000000" w:themeColor="text1"/>
                <w:szCs w:val="24"/>
                <w:lang w:eastAsia="zh-CN"/>
                <w14:textFill>
                  <w14:solidFill>
                    <w14:schemeClr w14:val="tx1"/>
                  </w14:solidFill>
                </w14:textFill>
              </w:rPr>
              <w:t>排污口应便于采样与计量监测，便于日常现场监督检查。</w:t>
            </w:r>
          </w:p>
          <w:p w14:paraId="0B89F7FB">
            <w:pPr>
              <w:pStyle w:val="38"/>
              <w:snapToGrid w:val="0"/>
              <w:spacing w:beforeLines="0" w:afterLines="0" w:line="360" w:lineRule="auto"/>
              <w:ind w:left="0" w:leftChars="0" w:firstLine="0" w:firstLineChars="0"/>
              <w:rPr>
                <w:rFonts w:ascii="Times New Roman" w:hAnsi="Times New Roman" w:eastAsia="宋体"/>
                <w:color w:val="000000" w:themeColor="text1"/>
                <w:szCs w:val="24"/>
                <w:lang w:eastAsia="zh-CN"/>
                <w14:textFill>
                  <w14:solidFill>
                    <w14:schemeClr w14:val="tx1"/>
                  </w14:solidFill>
                </w14:textFill>
              </w:rPr>
            </w:pPr>
            <w:r>
              <w:rPr>
                <w:rFonts w:ascii="Times New Roman" w:hAnsi="Times New Roman" w:eastAsia="宋体"/>
                <w:b/>
                <w:bCs/>
                <w:color w:val="000000" w:themeColor="text1"/>
                <w:szCs w:val="24"/>
                <w:lang w:eastAsia="zh-CN"/>
                <w14:textFill>
                  <w14:solidFill>
                    <w14:schemeClr w14:val="tx1"/>
                  </w14:solidFill>
                </w14:textFill>
              </w:rPr>
              <w:t>2.2排污口规范化设置</w:t>
            </w:r>
          </w:p>
          <w:p w14:paraId="66634A38">
            <w:pPr>
              <w:spacing w:line="360" w:lineRule="auto"/>
              <w:ind w:firstLine="482" w:firstLineChars="200"/>
              <w:rPr>
                <w:rFonts w:ascii="Times New Roman" w:hAnsi="Times New Roman" w:eastAsia="宋体" w:cs="Times New Roman"/>
                <w:b/>
                <w:color w:val="000000" w:themeColor="text1"/>
                <w:sz w:val="24"/>
                <w14:textFill>
                  <w14:solidFill>
                    <w14:schemeClr w14:val="tx1"/>
                  </w14:solidFill>
                </w14:textFill>
              </w:rPr>
            </w:pPr>
            <w:r>
              <w:rPr>
                <w:rFonts w:ascii="Times New Roman" w:hAnsi="Times New Roman" w:eastAsia="宋体" w:cs="Times New Roman"/>
                <w:b/>
                <w:color w:val="000000" w:themeColor="text1"/>
                <w:sz w:val="24"/>
                <w14:textFill>
                  <w14:solidFill>
                    <w14:schemeClr w14:val="tx1"/>
                  </w14:solidFill>
                </w14:textFill>
              </w:rPr>
              <w:t>（1）废气排放口</w:t>
            </w:r>
          </w:p>
          <w:p w14:paraId="1926B524">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对于有组织排放的废气，排气筒应设置便于采样、监测的采样平台、采样口，采样口的设置应符合《污染源监测技术规范》要求。废气排放口均应设置环保图形标志牌。</w:t>
            </w:r>
          </w:p>
          <w:p w14:paraId="2854822B">
            <w:pPr>
              <w:spacing w:line="360" w:lineRule="auto"/>
              <w:ind w:firstLine="482" w:firstLineChars="200"/>
              <w:rPr>
                <w:rFonts w:ascii="Times New Roman" w:hAnsi="Times New Roman" w:eastAsia="宋体" w:cs="Times New Roman"/>
                <w:b/>
                <w:color w:val="000000" w:themeColor="text1"/>
                <w:sz w:val="24"/>
                <w14:textFill>
                  <w14:solidFill>
                    <w14:schemeClr w14:val="tx1"/>
                  </w14:solidFill>
                </w14:textFill>
              </w:rPr>
            </w:pPr>
            <w:r>
              <w:rPr>
                <w:rFonts w:ascii="Times New Roman" w:hAnsi="Times New Roman" w:eastAsia="宋体" w:cs="Times New Roman"/>
                <w:b/>
                <w:color w:val="000000" w:themeColor="text1"/>
                <w:sz w:val="24"/>
                <w14:textFill>
                  <w14:solidFill>
                    <w14:schemeClr w14:val="tx1"/>
                  </w14:solidFill>
                </w14:textFill>
              </w:rPr>
              <w:t>（2）固定噪声源</w:t>
            </w:r>
          </w:p>
          <w:p w14:paraId="24634CE7">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不同噪声源的情况，采取减振降噪、隔声等措施，使厂界达到相应功能区的标准要求。在厂界噪声敏感且对外界影响最大处设置固定噪声源的监测点和噪声环境保护图形标志牌。</w:t>
            </w:r>
          </w:p>
          <w:p w14:paraId="3F12287E">
            <w:pPr>
              <w:spacing w:line="360" w:lineRule="auto"/>
              <w:ind w:firstLine="482" w:firstLineChars="200"/>
              <w:rPr>
                <w:rFonts w:ascii="Times New Roman" w:hAnsi="Times New Roman" w:eastAsia="宋体" w:cs="Times New Roman"/>
                <w:b/>
                <w:color w:val="000000" w:themeColor="text1"/>
                <w:sz w:val="24"/>
                <w14:textFill>
                  <w14:solidFill>
                    <w14:schemeClr w14:val="tx1"/>
                  </w14:solidFill>
                </w14:textFill>
              </w:rPr>
            </w:pPr>
            <w:r>
              <w:rPr>
                <w:rFonts w:ascii="Times New Roman" w:hAnsi="Times New Roman" w:eastAsia="宋体" w:cs="Times New Roman"/>
                <w:b/>
                <w:color w:val="000000" w:themeColor="text1"/>
                <w:sz w:val="24"/>
                <w14:textFill>
                  <w14:solidFill>
                    <w14:schemeClr w14:val="tx1"/>
                  </w14:solidFill>
                </w14:textFill>
              </w:rPr>
              <w:t>（3）固废</w:t>
            </w:r>
          </w:p>
          <w:p w14:paraId="4CD52124">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对于各类固体废物应设置专用贮存、堆放场地。各类固体废物贮存场所均应设置醒目的标志牌。</w:t>
            </w:r>
          </w:p>
          <w:p w14:paraId="34DF773B">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①</w:t>
            </w:r>
            <w:r>
              <w:rPr>
                <w:rFonts w:ascii="Times New Roman" w:hAnsi="Times New Roman" w:eastAsia="宋体" w:cs="Times New Roman"/>
                <w:color w:val="000000" w:themeColor="text1"/>
                <w:sz w:val="24"/>
                <w14:textFill>
                  <w14:solidFill>
                    <w14:schemeClr w14:val="tx1"/>
                  </w14:solidFill>
                </w14:textFill>
              </w:rPr>
              <w:t>固体废物贮存场所要防流失、防渗漏、防雨、防洪水。</w:t>
            </w:r>
          </w:p>
          <w:p w14:paraId="697E07B3">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②</w:t>
            </w:r>
            <w:r>
              <w:rPr>
                <w:rFonts w:ascii="Times New Roman" w:hAnsi="Times New Roman" w:eastAsia="宋体" w:cs="Times New Roman"/>
                <w:color w:val="000000" w:themeColor="text1"/>
                <w:sz w:val="24"/>
                <w14:textFill>
                  <w14:solidFill>
                    <w14:schemeClr w14:val="tx1"/>
                  </w14:solidFill>
                </w14:textFill>
              </w:rPr>
              <w:t>一般固体废物贮存场所在醒目处设置一个标志牌。</w:t>
            </w:r>
          </w:p>
          <w:p w14:paraId="5BA08C60">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hint="eastAsia" w:ascii="宋体" w:hAnsi="宋体" w:eastAsia="宋体" w:cs="宋体"/>
                <w:color w:val="000000" w:themeColor="text1"/>
                <w:sz w:val="24"/>
                <w14:textFill>
                  <w14:solidFill>
                    <w14:schemeClr w14:val="tx1"/>
                  </w14:solidFill>
                </w14:textFill>
              </w:rPr>
              <w:t>③</w:t>
            </w:r>
            <w:r>
              <w:rPr>
                <w:rFonts w:ascii="Times New Roman" w:hAnsi="Times New Roman" w:eastAsia="宋体" w:cs="Times New Roman"/>
                <w:color w:val="000000" w:themeColor="text1"/>
                <w:sz w:val="24"/>
                <w14:textFill>
                  <w14:solidFill>
                    <w14:schemeClr w14:val="tx1"/>
                  </w14:solidFill>
                </w14:textFill>
              </w:rPr>
              <w:t>危险废物暂存间的边界采用墙体封闭，并在边界各进出口设置明显标志牌。</w:t>
            </w:r>
          </w:p>
          <w:p w14:paraId="21C45B61">
            <w:pPr>
              <w:spacing w:line="360" w:lineRule="auto"/>
              <w:ind w:firstLine="482" w:firstLineChars="200"/>
              <w:rPr>
                <w:rFonts w:ascii="Times New Roman" w:hAnsi="Times New Roman" w:eastAsia="宋体" w:cs="Times New Roman"/>
                <w:b/>
                <w:color w:val="000000" w:themeColor="text1"/>
                <w:sz w:val="24"/>
                <w14:textFill>
                  <w14:solidFill>
                    <w14:schemeClr w14:val="tx1"/>
                  </w14:solidFill>
                </w14:textFill>
              </w:rPr>
            </w:pPr>
            <w:r>
              <w:rPr>
                <w:rFonts w:ascii="Times New Roman" w:hAnsi="Times New Roman" w:eastAsia="宋体" w:cs="Times New Roman"/>
                <w:b/>
                <w:color w:val="000000" w:themeColor="text1"/>
                <w:sz w:val="24"/>
                <w14:textFill>
                  <w14:solidFill>
                    <w14:schemeClr w14:val="tx1"/>
                  </w14:solidFill>
                </w14:textFill>
              </w:rPr>
              <w:t>（4）设置标志牌要求</w:t>
            </w:r>
          </w:p>
          <w:p w14:paraId="207A4480">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环境保护图形标志牌由环保部统一定点制作，企业排污口分布图由市环境监管部门统一绘制。排放一般污染物排污口（源），设置提示式标志牌，排放有毒有害等污染物的排污口设置警告式标志牌。</w:t>
            </w:r>
          </w:p>
          <w:p w14:paraId="04D06ED9">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标志牌设置位置在排污口附近且醒目处，高度为标志牌上缘离地面2m；排污口附近1m范围内有建筑物的，设平面式标志牌，无建筑物的设立式标志牌。</w:t>
            </w:r>
          </w:p>
          <w:p w14:paraId="39D47C1C">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规范化排污口的有关设置（如图形标志牌、监控装置等）属环保设施，排污单位必须负责日常的维护保养，任何单位和个人不得擅自拆除，如需变更的须报环境监管部门同意并办理变更手续。</w:t>
            </w:r>
          </w:p>
          <w:p w14:paraId="01A7C486">
            <w:pPr>
              <w:spacing w:line="360" w:lineRule="auto"/>
              <w:ind w:firstLine="480" w:firstLineChars="200"/>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14:textFill>
                  <w14:solidFill>
                    <w14:schemeClr w14:val="tx1"/>
                  </w14:solidFill>
                </w14:textFill>
              </w:rPr>
              <w:t>在厂区的废气排放口、废水排放口、噪声排放源、固体废物贮存处置场应设置环境保护图形标志，见下表。</w:t>
            </w:r>
          </w:p>
          <w:p w14:paraId="22533175">
            <w:pPr>
              <w:tabs>
                <w:tab w:val="left" w:pos="0"/>
              </w:tabs>
              <w:adjustRightInd w:val="0"/>
              <w:snapToGrid w:val="0"/>
              <w:jc w:val="center"/>
              <w:rPr>
                <w:rFonts w:ascii="Times New Roman" w:hAnsi="Times New Roman" w:eastAsia="宋体" w:cs="Times New Roman"/>
                <w:b/>
                <w:bCs/>
                <w:color w:val="000000" w:themeColor="text1"/>
                <w:szCs w:val="21"/>
                <w14:textFill>
                  <w14:solidFill>
                    <w14:schemeClr w14:val="tx1"/>
                  </w14:solidFill>
                </w14:textFill>
              </w:rPr>
            </w:pPr>
            <w:r>
              <w:rPr>
                <w:rFonts w:ascii="Times New Roman" w:hAnsi="Times New Roman" w:eastAsia="宋体" w:cs="Times New Roman"/>
                <w:b/>
                <w:bCs/>
                <w:color w:val="000000" w:themeColor="text1"/>
                <w:szCs w:val="21"/>
                <w14:textFill>
                  <w14:solidFill>
                    <w14:schemeClr w14:val="tx1"/>
                  </w14:solidFill>
                </w14:textFill>
              </w:rPr>
              <w:t>表5-1  环境保护图形符号一览表</w:t>
            </w:r>
          </w:p>
          <w:tbl>
            <w:tblPr>
              <w:tblStyle w:val="24"/>
              <w:tblW w:w="4997" w:type="pct"/>
              <w:tblInd w:w="0" w:type="dxa"/>
              <w:tblBorders>
                <w:top w:val="single" w:color="auto" w:sz="12" w:space="0"/>
                <w:left w:val="none" w:color="auto" w:sz="0" w:space="0"/>
                <w:bottom w:val="single" w:color="auto" w:sz="12" w:space="0"/>
                <w:right w:val="none" w:color="auto" w:sz="0" w:space="0"/>
                <w:insideH w:val="single" w:color="auto" w:sz="8" w:space="0"/>
                <w:insideV w:val="single" w:color="auto" w:sz="6" w:space="0"/>
              </w:tblBorders>
              <w:tblLayout w:type="fixed"/>
              <w:tblCellMar>
                <w:top w:w="0" w:type="dxa"/>
                <w:left w:w="108" w:type="dxa"/>
                <w:bottom w:w="0" w:type="dxa"/>
                <w:right w:w="108" w:type="dxa"/>
              </w:tblCellMar>
            </w:tblPr>
            <w:tblGrid>
              <w:gridCol w:w="545"/>
              <w:gridCol w:w="1034"/>
              <w:gridCol w:w="1353"/>
              <w:gridCol w:w="1193"/>
              <w:gridCol w:w="1627"/>
              <w:gridCol w:w="1683"/>
            </w:tblGrid>
            <w:tr w14:paraId="4890E22F">
              <w:tblPrEx>
                <w:tblBorders>
                  <w:top w:val="single" w:color="auto" w:sz="12" w:space="0"/>
                  <w:left w:val="none" w:color="auto" w:sz="0" w:space="0"/>
                  <w:bottom w:val="single" w:color="auto" w:sz="12" w:space="0"/>
                  <w:right w:val="none" w:color="auto" w:sz="0" w:space="0"/>
                  <w:insideH w:val="single" w:color="auto" w:sz="8" w:space="0"/>
                  <w:insideV w:val="single" w:color="auto" w:sz="6" w:space="0"/>
                </w:tblBorders>
                <w:tblCellMar>
                  <w:top w:w="0" w:type="dxa"/>
                  <w:left w:w="108" w:type="dxa"/>
                  <w:bottom w:w="0" w:type="dxa"/>
                  <w:right w:w="108" w:type="dxa"/>
                </w:tblCellMar>
              </w:tblPrEx>
              <w:trPr>
                <w:trHeight w:val="23" w:hRule="atLeast"/>
                <w:tblHeader/>
              </w:trPr>
              <w:tc>
                <w:tcPr>
                  <w:tcW w:w="366" w:type="pct"/>
                  <w:vAlign w:val="center"/>
                </w:tcPr>
                <w:p w14:paraId="47570E12">
                  <w:pPr>
                    <w:pStyle w:val="40"/>
                    <w:rPr>
                      <w:rFonts w:hAnsi="Times New Roman"/>
                      <w:b/>
                      <w:bCs/>
                      <w:color w:val="000000" w:themeColor="text1"/>
                      <w14:textFill>
                        <w14:solidFill>
                          <w14:schemeClr w14:val="tx1"/>
                        </w14:solidFill>
                      </w14:textFill>
                    </w:rPr>
                  </w:pPr>
                  <w:r>
                    <w:rPr>
                      <w:rFonts w:hAnsi="Times New Roman"/>
                      <w:b/>
                      <w:bCs/>
                      <w:color w:val="000000" w:themeColor="text1"/>
                      <w14:textFill>
                        <w14:solidFill>
                          <w14:schemeClr w14:val="tx1"/>
                        </w14:solidFill>
                      </w14:textFill>
                    </w:rPr>
                    <w:t>序号</w:t>
                  </w:r>
                </w:p>
              </w:tc>
              <w:tc>
                <w:tcPr>
                  <w:tcW w:w="695" w:type="pct"/>
                  <w:vAlign w:val="center"/>
                </w:tcPr>
                <w:p w14:paraId="01CA867E">
                  <w:pPr>
                    <w:pStyle w:val="40"/>
                    <w:rPr>
                      <w:rFonts w:hAnsi="Times New Roman"/>
                      <w:b/>
                      <w:bCs/>
                      <w:color w:val="000000" w:themeColor="text1"/>
                      <w14:textFill>
                        <w14:solidFill>
                          <w14:schemeClr w14:val="tx1"/>
                        </w14:solidFill>
                      </w14:textFill>
                    </w:rPr>
                  </w:pPr>
                  <w:r>
                    <w:rPr>
                      <w:rFonts w:hAnsi="Times New Roman"/>
                      <w:b/>
                      <w:bCs/>
                      <w:color w:val="000000" w:themeColor="text1"/>
                      <w14:textFill>
                        <w14:solidFill>
                          <w14:schemeClr w14:val="tx1"/>
                        </w14:solidFill>
                      </w14:textFill>
                    </w:rPr>
                    <w:t>提示图形符号</w:t>
                  </w:r>
                </w:p>
              </w:tc>
              <w:tc>
                <w:tcPr>
                  <w:tcW w:w="910" w:type="pct"/>
                  <w:vAlign w:val="center"/>
                </w:tcPr>
                <w:p w14:paraId="79AC45CC">
                  <w:pPr>
                    <w:pStyle w:val="40"/>
                    <w:rPr>
                      <w:rFonts w:hAnsi="Times New Roman"/>
                      <w:b/>
                      <w:bCs/>
                      <w:color w:val="000000" w:themeColor="text1"/>
                      <w14:textFill>
                        <w14:solidFill>
                          <w14:schemeClr w14:val="tx1"/>
                        </w14:solidFill>
                      </w14:textFill>
                    </w:rPr>
                  </w:pPr>
                  <w:r>
                    <w:rPr>
                      <w:rFonts w:hAnsi="Times New Roman"/>
                      <w:b/>
                      <w:bCs/>
                      <w:color w:val="000000" w:themeColor="text1"/>
                      <w14:textFill>
                        <w14:solidFill>
                          <w14:schemeClr w14:val="tx1"/>
                        </w14:solidFill>
                      </w14:textFill>
                    </w:rPr>
                    <w:t>警告图形符号</w:t>
                  </w:r>
                </w:p>
              </w:tc>
              <w:tc>
                <w:tcPr>
                  <w:tcW w:w="802" w:type="pct"/>
                  <w:vAlign w:val="center"/>
                </w:tcPr>
                <w:p w14:paraId="0944BFEB">
                  <w:pPr>
                    <w:pStyle w:val="40"/>
                    <w:rPr>
                      <w:rFonts w:hAnsi="Times New Roman"/>
                      <w:b/>
                      <w:bCs/>
                      <w:color w:val="000000" w:themeColor="text1"/>
                      <w14:textFill>
                        <w14:solidFill>
                          <w14:schemeClr w14:val="tx1"/>
                        </w14:solidFill>
                      </w14:textFill>
                    </w:rPr>
                  </w:pPr>
                  <w:r>
                    <w:rPr>
                      <w:rFonts w:hAnsi="Times New Roman"/>
                      <w:b/>
                      <w:bCs/>
                      <w:color w:val="000000" w:themeColor="text1"/>
                      <w14:textFill>
                        <w14:solidFill>
                          <w14:schemeClr w14:val="tx1"/>
                        </w14:solidFill>
                      </w14:textFill>
                    </w:rPr>
                    <w:t>名称</w:t>
                  </w:r>
                </w:p>
              </w:tc>
              <w:tc>
                <w:tcPr>
                  <w:tcW w:w="1094" w:type="pct"/>
                  <w:vAlign w:val="center"/>
                </w:tcPr>
                <w:p w14:paraId="40CE5146">
                  <w:pPr>
                    <w:pStyle w:val="40"/>
                    <w:rPr>
                      <w:rFonts w:hAnsi="Times New Roman"/>
                      <w:b/>
                      <w:bCs/>
                      <w:color w:val="000000" w:themeColor="text1"/>
                      <w14:textFill>
                        <w14:solidFill>
                          <w14:schemeClr w14:val="tx1"/>
                        </w14:solidFill>
                      </w14:textFill>
                    </w:rPr>
                  </w:pPr>
                  <w:r>
                    <w:rPr>
                      <w:rFonts w:hAnsi="Times New Roman"/>
                      <w:b/>
                      <w:bCs/>
                      <w:color w:val="000000" w:themeColor="text1"/>
                      <w14:textFill>
                        <w14:solidFill>
                          <w14:schemeClr w14:val="tx1"/>
                        </w14:solidFill>
                      </w14:textFill>
                    </w:rPr>
                    <w:t>功能</w:t>
                  </w:r>
                </w:p>
              </w:tc>
              <w:tc>
                <w:tcPr>
                  <w:tcW w:w="1132" w:type="pct"/>
                  <w:vAlign w:val="center"/>
                </w:tcPr>
                <w:p w14:paraId="70320EB5">
                  <w:pPr>
                    <w:pStyle w:val="40"/>
                    <w:rPr>
                      <w:rFonts w:hAnsi="Times New Roman"/>
                      <w:b/>
                      <w:bCs/>
                      <w:color w:val="000000" w:themeColor="text1"/>
                      <w14:textFill>
                        <w14:solidFill>
                          <w14:schemeClr w14:val="tx1"/>
                        </w14:solidFill>
                      </w14:textFill>
                    </w:rPr>
                  </w:pPr>
                  <w:r>
                    <w:rPr>
                      <w:rFonts w:hAnsi="Times New Roman"/>
                      <w:b/>
                      <w:bCs/>
                      <w:color w:val="000000" w:themeColor="text1"/>
                      <w14:textFill>
                        <w14:solidFill>
                          <w14:schemeClr w14:val="tx1"/>
                        </w14:solidFill>
                      </w14:textFill>
                    </w:rPr>
                    <w:t>设置要求</w:t>
                  </w:r>
                </w:p>
              </w:tc>
            </w:tr>
            <w:tr w14:paraId="02B844E3">
              <w:tblPrEx>
                <w:tblBorders>
                  <w:top w:val="single" w:color="auto" w:sz="12" w:space="0"/>
                  <w:left w:val="none" w:color="auto" w:sz="0" w:space="0"/>
                  <w:bottom w:val="single" w:color="auto" w:sz="12" w:space="0"/>
                  <w:right w:val="none" w:color="auto" w:sz="0" w:space="0"/>
                  <w:insideH w:val="single" w:color="auto" w:sz="8" w:space="0"/>
                  <w:insideV w:val="single" w:color="auto" w:sz="6" w:space="0"/>
                </w:tblBorders>
                <w:tblCellMar>
                  <w:top w:w="0" w:type="dxa"/>
                  <w:left w:w="108" w:type="dxa"/>
                  <w:bottom w:w="0" w:type="dxa"/>
                  <w:right w:w="108" w:type="dxa"/>
                </w:tblCellMar>
              </w:tblPrEx>
              <w:trPr>
                <w:trHeight w:val="23" w:hRule="atLeast"/>
              </w:trPr>
              <w:tc>
                <w:tcPr>
                  <w:tcW w:w="366" w:type="pct"/>
                  <w:vAlign w:val="center"/>
                </w:tcPr>
                <w:p w14:paraId="4F116797">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t>1</w:t>
                  </w:r>
                </w:p>
              </w:tc>
              <w:tc>
                <w:tcPr>
                  <w:tcW w:w="695" w:type="pct"/>
                  <w:vAlign w:val="center"/>
                </w:tcPr>
                <w:p w14:paraId="29755872">
                  <w:pPr>
                    <w:pStyle w:val="40"/>
                    <w:rPr>
                      <w:rFonts w:hAnsi="Times New Roman"/>
                      <w:color w:val="000000" w:themeColor="text1"/>
                      <w14:textFill>
                        <w14:solidFill>
                          <w14:schemeClr w14:val="tx1"/>
                        </w14:solidFill>
                      </w14:textFill>
                    </w:rPr>
                  </w:pPr>
                  <w:r>
                    <w:rPr>
                      <w:rFonts w:hAnsi="Times New Roman"/>
                      <w:color w:val="000000" w:themeColor="text1"/>
                      <w:kern w:val="2"/>
                      <w14:textFill>
                        <w14:solidFill>
                          <w14:schemeClr w14:val="tx1"/>
                        </w14:solidFill>
                      </w14:textFill>
                    </w:rPr>
                    <w:pict>
                      <v:shape id="_x0000_i1030" o:spt="75" type="#_x0000_t75" style="height:42.55pt;width:42.55pt;" filled="f" o:preferrelative="t" stroked="f" coordsize="21600,21600">
                        <v:path/>
                        <v:fill on="f" focussize="0,0"/>
                        <v:stroke on="f" joinstyle="miter"/>
                        <v:imagedata r:id="rId42" o:title=""/>
                        <o:lock v:ext="edit" aspectratio="t"/>
                        <w10:wrap type="none"/>
                        <w10:anchorlock/>
                      </v:shape>
                    </w:pict>
                  </w:r>
                </w:p>
              </w:tc>
              <w:tc>
                <w:tcPr>
                  <w:tcW w:w="910" w:type="pct"/>
                  <w:vAlign w:val="center"/>
                </w:tcPr>
                <w:p w14:paraId="4CDFA0A5">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pict>
                      <v:shape id="_x0000_i1031" o:spt="75" type="#_x0000_t75" style="height:42.55pt;width:50.1pt;" filled="f" o:preferrelative="t" stroked="f" coordsize="21600,21600">
                        <v:path/>
                        <v:fill on="f" focussize="0,0"/>
                        <v:stroke on="f" joinstyle="miter"/>
                        <v:imagedata r:id="rId43" o:title=""/>
                        <o:lock v:ext="edit" aspectratio="t"/>
                        <w10:wrap type="none"/>
                        <w10:anchorlock/>
                      </v:shape>
                    </w:pict>
                  </w:r>
                </w:p>
              </w:tc>
              <w:tc>
                <w:tcPr>
                  <w:tcW w:w="802" w:type="pct"/>
                  <w:vAlign w:val="center"/>
                </w:tcPr>
                <w:p w14:paraId="7BBE5AEB">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t>废水排放口</w:t>
                  </w:r>
                </w:p>
              </w:tc>
              <w:tc>
                <w:tcPr>
                  <w:tcW w:w="1094" w:type="pct"/>
                  <w:vAlign w:val="center"/>
                </w:tcPr>
                <w:p w14:paraId="5D52815A">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t>标识废水向水体环境排放</w:t>
                  </w:r>
                </w:p>
              </w:tc>
              <w:tc>
                <w:tcPr>
                  <w:tcW w:w="1132" w:type="pct"/>
                  <w:vMerge w:val="restart"/>
                  <w:vAlign w:val="center"/>
                </w:tcPr>
                <w:p w14:paraId="3D670EDF">
                  <w:pPr>
                    <w:pStyle w:val="40"/>
                    <w:jc w:val="left"/>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t>形状：边长40cm等边三角形</w:t>
                  </w:r>
                </w:p>
                <w:p w14:paraId="71399CE1">
                  <w:pPr>
                    <w:pStyle w:val="40"/>
                    <w:jc w:val="left"/>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t>颜色：背景为黄色，图形为黑色警告标志外檐2.5cm</w:t>
                  </w:r>
                </w:p>
              </w:tc>
            </w:tr>
            <w:tr w14:paraId="40A16D95">
              <w:tblPrEx>
                <w:tblBorders>
                  <w:top w:val="single" w:color="auto" w:sz="12" w:space="0"/>
                  <w:left w:val="none" w:color="auto" w:sz="0" w:space="0"/>
                  <w:bottom w:val="single" w:color="auto" w:sz="12" w:space="0"/>
                  <w:right w:val="none" w:color="auto" w:sz="0" w:space="0"/>
                  <w:insideH w:val="single" w:color="auto" w:sz="8" w:space="0"/>
                  <w:insideV w:val="single" w:color="auto" w:sz="6" w:space="0"/>
                </w:tblBorders>
                <w:tblCellMar>
                  <w:top w:w="0" w:type="dxa"/>
                  <w:left w:w="108" w:type="dxa"/>
                  <w:bottom w:w="0" w:type="dxa"/>
                  <w:right w:w="108" w:type="dxa"/>
                </w:tblCellMar>
              </w:tblPrEx>
              <w:trPr>
                <w:trHeight w:val="23" w:hRule="atLeast"/>
              </w:trPr>
              <w:tc>
                <w:tcPr>
                  <w:tcW w:w="366" w:type="pct"/>
                  <w:vAlign w:val="center"/>
                </w:tcPr>
                <w:p w14:paraId="18548F50">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t>2</w:t>
                  </w:r>
                </w:p>
              </w:tc>
              <w:tc>
                <w:tcPr>
                  <w:tcW w:w="695" w:type="pct"/>
                  <w:vAlign w:val="center"/>
                </w:tcPr>
                <w:p w14:paraId="3A2E2E45">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pict>
                      <v:shape id="_x0000_i1032" o:spt="75" alt="13003" type="#_x0000_t75" style="height:35.05pt;width:35.05pt;" filled="f" o:preferrelative="t" stroked="f" coordsize="21600,21600">
                        <v:path/>
                        <v:fill on="f" focussize="0,0"/>
                        <v:stroke on="f" joinstyle="miter"/>
                        <v:imagedata r:id="rId44" o:title="13003"/>
                        <o:lock v:ext="edit" aspectratio="t"/>
                        <w10:wrap type="none"/>
                        <w10:anchorlock/>
                      </v:shape>
                    </w:pict>
                  </w:r>
                </w:p>
              </w:tc>
              <w:tc>
                <w:tcPr>
                  <w:tcW w:w="910" w:type="pct"/>
                  <w:vAlign w:val="center"/>
                </w:tcPr>
                <w:p w14:paraId="5D5E9E84">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pict>
                      <v:shape id="_x0000_i1033" o:spt="75" alt="4" type="#_x0000_t75" style="height:42.55pt;width:42.55pt;" filled="f" o:preferrelative="t" stroked="f" coordsize="21600,21600">
                        <v:path/>
                        <v:fill on="f" focussize="0,0"/>
                        <v:stroke on="f" joinstyle="miter"/>
                        <v:imagedata r:id="rId45" o:title="4"/>
                        <o:lock v:ext="edit" aspectratio="t"/>
                        <w10:wrap type="none"/>
                        <w10:anchorlock/>
                      </v:shape>
                    </w:pict>
                  </w:r>
                </w:p>
              </w:tc>
              <w:tc>
                <w:tcPr>
                  <w:tcW w:w="802" w:type="pct"/>
                  <w:vAlign w:val="center"/>
                </w:tcPr>
                <w:p w14:paraId="683ED20B">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t>废气排放口</w:t>
                  </w:r>
                </w:p>
              </w:tc>
              <w:tc>
                <w:tcPr>
                  <w:tcW w:w="1094" w:type="pct"/>
                  <w:vAlign w:val="center"/>
                </w:tcPr>
                <w:p w14:paraId="2DA05976">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t>表示废气向大气环境排放</w:t>
                  </w:r>
                </w:p>
              </w:tc>
              <w:tc>
                <w:tcPr>
                  <w:tcW w:w="1132" w:type="pct"/>
                  <w:vMerge w:val="continue"/>
                  <w:vAlign w:val="center"/>
                </w:tcPr>
                <w:p w14:paraId="422C6901">
                  <w:pPr>
                    <w:pStyle w:val="40"/>
                    <w:jc w:val="left"/>
                    <w:rPr>
                      <w:rFonts w:hAnsi="Times New Roman"/>
                      <w:color w:val="000000" w:themeColor="text1"/>
                      <w14:textFill>
                        <w14:solidFill>
                          <w14:schemeClr w14:val="tx1"/>
                        </w14:solidFill>
                      </w14:textFill>
                    </w:rPr>
                  </w:pPr>
                </w:p>
              </w:tc>
            </w:tr>
            <w:tr w14:paraId="6227B838">
              <w:tblPrEx>
                <w:tblBorders>
                  <w:top w:val="single" w:color="auto" w:sz="12" w:space="0"/>
                  <w:left w:val="none" w:color="auto" w:sz="0" w:space="0"/>
                  <w:bottom w:val="single" w:color="auto" w:sz="12" w:space="0"/>
                  <w:right w:val="none" w:color="auto" w:sz="0" w:space="0"/>
                  <w:insideH w:val="single" w:color="auto" w:sz="8" w:space="0"/>
                  <w:insideV w:val="single" w:color="auto" w:sz="6" w:space="0"/>
                </w:tblBorders>
                <w:tblCellMar>
                  <w:top w:w="0" w:type="dxa"/>
                  <w:left w:w="108" w:type="dxa"/>
                  <w:bottom w:w="0" w:type="dxa"/>
                  <w:right w:w="108" w:type="dxa"/>
                </w:tblCellMar>
              </w:tblPrEx>
              <w:trPr>
                <w:trHeight w:val="23" w:hRule="atLeast"/>
              </w:trPr>
              <w:tc>
                <w:tcPr>
                  <w:tcW w:w="366" w:type="pct"/>
                  <w:vAlign w:val="center"/>
                </w:tcPr>
                <w:p w14:paraId="7A4C5580">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t>3</w:t>
                  </w:r>
                </w:p>
              </w:tc>
              <w:tc>
                <w:tcPr>
                  <w:tcW w:w="695" w:type="pct"/>
                  <w:vAlign w:val="center"/>
                </w:tcPr>
                <w:p w14:paraId="6D4BB954">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pict>
                      <v:shape id="_x0000_i1034" o:spt="75" alt="200602201518049853" type="#_x0000_t75" style="height:42.55pt;width:42.55pt;" filled="f" o:preferrelative="t" stroked="f" coordsize="21600,21600">
                        <v:path/>
                        <v:fill on="f" focussize="0,0"/>
                        <v:stroke on="f" joinstyle="miter"/>
                        <v:imagedata r:id="rId46" o:title="200602201518049853"/>
                        <o:lock v:ext="edit" aspectratio="t"/>
                        <w10:wrap type="none"/>
                        <w10:anchorlock/>
                      </v:shape>
                    </w:pict>
                  </w:r>
                </w:p>
              </w:tc>
              <w:tc>
                <w:tcPr>
                  <w:tcW w:w="910" w:type="pct"/>
                  <w:vAlign w:val="center"/>
                </w:tcPr>
                <w:p w14:paraId="300F7C7A">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pict>
                      <v:shape id="_x0000_i1035" o:spt="75" alt="200602201519018631" type="#_x0000_t75" style="height:36.95pt;width:42.55pt;" filled="f" o:preferrelative="t" stroked="f" coordsize="21600,21600">
                        <v:path/>
                        <v:fill on="f" focussize="0,0"/>
                        <v:stroke on="f" joinstyle="miter"/>
                        <v:imagedata r:id="rId47" o:title="200602201519018631"/>
                        <o:lock v:ext="edit" aspectratio="t"/>
                        <w10:wrap type="none"/>
                        <w10:anchorlock/>
                      </v:shape>
                    </w:pict>
                  </w:r>
                </w:p>
              </w:tc>
              <w:tc>
                <w:tcPr>
                  <w:tcW w:w="802" w:type="pct"/>
                  <w:vAlign w:val="center"/>
                </w:tcPr>
                <w:p w14:paraId="0DB04BC3">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t>噪声排放源</w:t>
                  </w:r>
                </w:p>
              </w:tc>
              <w:tc>
                <w:tcPr>
                  <w:tcW w:w="1094" w:type="pct"/>
                  <w:vAlign w:val="center"/>
                </w:tcPr>
                <w:p w14:paraId="300B3B67">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t>表示噪声向外环境排放</w:t>
                  </w:r>
                </w:p>
              </w:tc>
              <w:tc>
                <w:tcPr>
                  <w:tcW w:w="1132" w:type="pct"/>
                  <w:vMerge w:val="continue"/>
                  <w:vAlign w:val="center"/>
                </w:tcPr>
                <w:p w14:paraId="1ECF22B4">
                  <w:pPr>
                    <w:pStyle w:val="40"/>
                    <w:jc w:val="left"/>
                    <w:rPr>
                      <w:rFonts w:hAnsi="Times New Roman"/>
                      <w:color w:val="000000" w:themeColor="text1"/>
                      <w14:textFill>
                        <w14:solidFill>
                          <w14:schemeClr w14:val="tx1"/>
                        </w14:solidFill>
                      </w14:textFill>
                    </w:rPr>
                  </w:pPr>
                </w:p>
              </w:tc>
            </w:tr>
            <w:tr w14:paraId="2D71621F">
              <w:tblPrEx>
                <w:tblBorders>
                  <w:top w:val="single" w:color="auto" w:sz="12" w:space="0"/>
                  <w:left w:val="none" w:color="auto" w:sz="0" w:space="0"/>
                  <w:bottom w:val="single" w:color="auto" w:sz="12" w:space="0"/>
                  <w:right w:val="none" w:color="auto" w:sz="0" w:space="0"/>
                  <w:insideH w:val="single" w:color="auto" w:sz="8" w:space="0"/>
                  <w:insideV w:val="single" w:color="auto" w:sz="6" w:space="0"/>
                </w:tblBorders>
                <w:tblCellMar>
                  <w:top w:w="0" w:type="dxa"/>
                  <w:left w:w="108" w:type="dxa"/>
                  <w:bottom w:w="0" w:type="dxa"/>
                  <w:right w:w="108" w:type="dxa"/>
                </w:tblCellMar>
              </w:tblPrEx>
              <w:trPr>
                <w:trHeight w:val="23" w:hRule="atLeast"/>
              </w:trPr>
              <w:tc>
                <w:tcPr>
                  <w:tcW w:w="366" w:type="pct"/>
                  <w:vAlign w:val="center"/>
                </w:tcPr>
                <w:p w14:paraId="16D7F103">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t>4</w:t>
                  </w:r>
                </w:p>
              </w:tc>
              <w:tc>
                <w:tcPr>
                  <w:tcW w:w="695" w:type="pct"/>
                  <w:vAlign w:val="center"/>
                </w:tcPr>
                <w:p w14:paraId="093D686B">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pict>
                      <v:shape id="_x0000_i1036" o:spt="75" alt="14001" type="#_x0000_t75" style="height:42.55pt;width:42.55pt;" filled="f" o:preferrelative="t" stroked="f" coordsize="21600,21600">
                        <v:path/>
                        <v:fill on="f" focussize="0,0"/>
                        <v:stroke on="f" joinstyle="miter"/>
                        <v:imagedata r:id="rId48" o:title="14001"/>
                        <o:lock v:ext="edit" aspectratio="t"/>
                        <w10:wrap type="none"/>
                        <w10:anchorlock/>
                      </v:shape>
                    </w:pict>
                  </w:r>
                </w:p>
              </w:tc>
              <w:tc>
                <w:tcPr>
                  <w:tcW w:w="910" w:type="pct"/>
                  <w:vAlign w:val="center"/>
                </w:tcPr>
                <w:p w14:paraId="11907A1A">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pict>
                      <v:shape id="_x0000_i1037" o:spt="75" alt="14002" type="#_x0000_t75" style="height:42.55pt;width:50.1pt;" filled="f" o:preferrelative="t" stroked="f" coordsize="21600,21600">
                        <v:path/>
                        <v:fill on="f" focussize="0,0"/>
                        <v:stroke on="f" joinstyle="miter"/>
                        <v:imagedata r:id="rId49" o:title="14002"/>
                        <o:lock v:ext="edit" aspectratio="t"/>
                        <w10:wrap type="none"/>
                        <w10:anchorlock/>
                      </v:shape>
                    </w:pict>
                  </w:r>
                </w:p>
              </w:tc>
              <w:tc>
                <w:tcPr>
                  <w:tcW w:w="802" w:type="pct"/>
                  <w:vAlign w:val="center"/>
                </w:tcPr>
                <w:p w14:paraId="3EA886AB">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t>一般固体废物</w:t>
                  </w:r>
                </w:p>
              </w:tc>
              <w:tc>
                <w:tcPr>
                  <w:tcW w:w="1094" w:type="pct"/>
                  <w:vAlign w:val="center"/>
                </w:tcPr>
                <w:p w14:paraId="0BE10DA7">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t>表示一般固体废物贮存、处置场</w:t>
                  </w:r>
                </w:p>
              </w:tc>
              <w:tc>
                <w:tcPr>
                  <w:tcW w:w="1132" w:type="pct"/>
                  <w:vMerge w:val="continue"/>
                  <w:vAlign w:val="center"/>
                </w:tcPr>
                <w:p w14:paraId="7EA1A026">
                  <w:pPr>
                    <w:pStyle w:val="40"/>
                    <w:jc w:val="left"/>
                    <w:rPr>
                      <w:rFonts w:hAnsi="Times New Roman"/>
                      <w:color w:val="000000" w:themeColor="text1"/>
                      <w14:textFill>
                        <w14:solidFill>
                          <w14:schemeClr w14:val="tx1"/>
                        </w14:solidFill>
                      </w14:textFill>
                    </w:rPr>
                  </w:pPr>
                </w:p>
              </w:tc>
            </w:tr>
            <w:tr w14:paraId="2B732CA5">
              <w:tblPrEx>
                <w:tblBorders>
                  <w:top w:val="single" w:color="auto" w:sz="12" w:space="0"/>
                  <w:left w:val="none" w:color="auto" w:sz="0" w:space="0"/>
                  <w:bottom w:val="single" w:color="auto" w:sz="12" w:space="0"/>
                  <w:right w:val="none" w:color="auto" w:sz="0" w:space="0"/>
                  <w:insideH w:val="single" w:color="auto" w:sz="8" w:space="0"/>
                  <w:insideV w:val="single" w:color="auto" w:sz="6" w:space="0"/>
                </w:tblBorders>
                <w:tblCellMar>
                  <w:top w:w="0" w:type="dxa"/>
                  <w:left w:w="108" w:type="dxa"/>
                  <w:bottom w:w="0" w:type="dxa"/>
                  <w:right w:w="108" w:type="dxa"/>
                </w:tblCellMar>
              </w:tblPrEx>
              <w:trPr>
                <w:trHeight w:val="23" w:hRule="atLeast"/>
              </w:trPr>
              <w:tc>
                <w:tcPr>
                  <w:tcW w:w="366" w:type="pct"/>
                  <w:vAlign w:val="center"/>
                </w:tcPr>
                <w:p w14:paraId="7CB3A99A">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t>5</w:t>
                  </w:r>
                </w:p>
              </w:tc>
              <w:tc>
                <w:tcPr>
                  <w:tcW w:w="695" w:type="pct"/>
                  <w:vAlign w:val="center"/>
                </w:tcPr>
                <w:p w14:paraId="55E58CFC">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t>/</w:t>
                  </w:r>
                </w:p>
              </w:tc>
              <w:tc>
                <w:tcPr>
                  <w:tcW w:w="910" w:type="pct"/>
                  <w:vAlign w:val="center"/>
                </w:tcPr>
                <w:p w14:paraId="22C87FD1">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pict>
                      <v:shape id="_x0000_i1038" o:spt="75" alt="4cef26effef295bac9cf3dd3966b486" type="#_x0000_t75" style="height:50.1pt;width:57.6pt;" filled="f" o:preferrelative="t" stroked="f" coordsize="21600,21600">
                        <v:path/>
                        <v:fill on="f" focussize="0,0"/>
                        <v:stroke on="f" joinstyle="miter"/>
                        <v:imagedata r:id="rId50" o:title="4cef26effef295bac9cf3dd3966b486"/>
                        <o:lock v:ext="edit" aspectratio="t"/>
                        <w10:wrap type="none"/>
                        <w10:anchorlock/>
                      </v:shape>
                    </w:pict>
                  </w:r>
                </w:p>
              </w:tc>
              <w:tc>
                <w:tcPr>
                  <w:tcW w:w="802" w:type="pct"/>
                  <w:vAlign w:val="center"/>
                </w:tcPr>
                <w:p w14:paraId="6641E535">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t>危险废物暂存间</w:t>
                  </w:r>
                </w:p>
              </w:tc>
              <w:tc>
                <w:tcPr>
                  <w:tcW w:w="1094" w:type="pct"/>
                  <w:vAlign w:val="center"/>
                </w:tcPr>
                <w:p w14:paraId="79AF96BB">
                  <w:pPr>
                    <w:pStyle w:val="40"/>
                    <w:rPr>
                      <w:rFonts w:hAnsi="Times New Roman"/>
                      <w:color w:val="000000" w:themeColor="text1"/>
                      <w14:textFill>
                        <w14:solidFill>
                          <w14:schemeClr w14:val="tx1"/>
                        </w14:solidFill>
                      </w14:textFill>
                    </w:rPr>
                  </w:pPr>
                  <w:r>
                    <w:rPr>
                      <w:rFonts w:hAnsi="Times New Roman"/>
                      <w:color w:val="000000" w:themeColor="text1"/>
                      <w14:textFill>
                        <w14:solidFill>
                          <w14:schemeClr w14:val="tx1"/>
                        </w14:solidFill>
                      </w14:textFill>
                    </w:rPr>
                    <w:t>表示危险废物贮存、处置场</w:t>
                  </w:r>
                </w:p>
              </w:tc>
              <w:tc>
                <w:tcPr>
                  <w:tcW w:w="1132" w:type="pct"/>
                  <w:vMerge w:val="continue"/>
                  <w:vAlign w:val="center"/>
                </w:tcPr>
                <w:p w14:paraId="303DF504">
                  <w:pPr>
                    <w:pStyle w:val="40"/>
                    <w:rPr>
                      <w:rFonts w:hAnsi="Times New Roman"/>
                      <w:color w:val="000000" w:themeColor="text1"/>
                      <w14:textFill>
                        <w14:solidFill>
                          <w14:schemeClr w14:val="tx1"/>
                        </w14:solidFill>
                      </w14:textFill>
                    </w:rPr>
                  </w:pPr>
                </w:p>
              </w:tc>
            </w:tr>
          </w:tbl>
          <w:p w14:paraId="59A4AFD5">
            <w:pPr>
              <w:pStyle w:val="38"/>
              <w:snapToGrid w:val="0"/>
              <w:spacing w:before="156" w:beforeLines="50" w:afterLines="0" w:line="360" w:lineRule="auto"/>
              <w:ind w:left="0" w:leftChars="0" w:firstLine="0" w:firstLineChars="0"/>
              <w:rPr>
                <w:rFonts w:ascii="Times New Roman" w:hAnsi="Times New Roman" w:eastAsia="宋体"/>
                <w:b/>
                <w:bCs/>
                <w:color w:val="000000" w:themeColor="text1"/>
                <w:szCs w:val="24"/>
                <w:lang w:eastAsia="zh-CN"/>
                <w14:textFill>
                  <w14:solidFill>
                    <w14:schemeClr w14:val="tx1"/>
                  </w14:solidFill>
                </w14:textFill>
              </w:rPr>
            </w:pPr>
            <w:r>
              <w:rPr>
                <w:rFonts w:ascii="Times New Roman" w:hAnsi="Times New Roman"/>
                <w:b/>
                <w:bCs/>
                <w:color w:val="000000" w:themeColor="text1"/>
                <w:szCs w:val="24"/>
                <w:lang w:eastAsia="zh-CN"/>
                <w14:textFill>
                  <w14:solidFill>
                    <w14:schemeClr w14:val="tx1"/>
                  </w14:solidFill>
                </w14:textFill>
              </w:rPr>
              <w:t>2</w:t>
            </w:r>
            <w:r>
              <w:rPr>
                <w:rFonts w:ascii="Times New Roman" w:hAnsi="Times New Roman" w:eastAsia="宋体"/>
                <w:b/>
                <w:bCs/>
                <w:color w:val="000000" w:themeColor="text1"/>
                <w:szCs w:val="24"/>
                <w:lang w:eastAsia="zh-CN"/>
                <w14:textFill>
                  <w14:solidFill>
                    <w14:schemeClr w14:val="tx1"/>
                  </w14:solidFill>
                </w14:textFill>
              </w:rPr>
              <w:t>.3排污口管理</w:t>
            </w:r>
          </w:p>
          <w:p w14:paraId="505959D5">
            <w:pPr>
              <w:pStyle w:val="38"/>
              <w:snapToGrid w:val="0"/>
              <w:spacing w:beforeLines="0" w:afterLines="0" w:line="360" w:lineRule="auto"/>
              <w:ind w:left="0" w:leftChars="0" w:firstLine="480"/>
              <w:jc w:val="both"/>
              <w:rPr>
                <w:rFonts w:ascii="Times New Roman" w:hAnsi="Times New Roman" w:eastAsia="宋体"/>
                <w:color w:val="000000" w:themeColor="text1"/>
                <w:szCs w:val="24"/>
                <w:lang w:eastAsia="zh-CN"/>
                <w14:textFill>
                  <w14:solidFill>
                    <w14:schemeClr w14:val="tx1"/>
                  </w14:solidFill>
                </w14:textFill>
              </w:rPr>
            </w:pPr>
            <w:r>
              <w:rPr>
                <w:rFonts w:ascii="Times New Roman" w:hAnsi="Times New Roman" w:eastAsia="宋体"/>
                <w:color w:val="000000" w:themeColor="text1"/>
                <w:szCs w:val="24"/>
                <w:lang w:eastAsia="zh-CN"/>
                <w14:textFill>
                  <w14:solidFill>
                    <w14:schemeClr w14:val="tx1"/>
                  </w14:solidFill>
                </w14:textFill>
              </w:rPr>
              <w:t>管理原则：排污口是企业污染物进入环境，污染环境的通道，强化排污口的管理是实施污染物总量控制的基础工作之一，也是区域环境管理逐步实现污染物排放科学化、定量化的重要手段。</w:t>
            </w:r>
          </w:p>
          <w:p w14:paraId="4FBCCED7">
            <w:pPr>
              <w:pStyle w:val="38"/>
              <w:snapToGrid w:val="0"/>
              <w:spacing w:beforeLines="0" w:afterLines="0" w:line="360" w:lineRule="auto"/>
              <w:ind w:left="0" w:leftChars="0" w:firstLine="480"/>
              <w:jc w:val="both"/>
              <w:rPr>
                <w:rFonts w:ascii="Times New Roman" w:hAnsi="Times New Roman" w:eastAsia="宋体"/>
                <w:color w:val="000000" w:themeColor="text1"/>
                <w:szCs w:val="24"/>
                <w:lang w:eastAsia="zh-CN"/>
                <w14:textFill>
                  <w14:solidFill>
                    <w14:schemeClr w14:val="tx1"/>
                  </w14:solidFill>
                </w14:textFill>
              </w:rPr>
            </w:pPr>
            <w:r>
              <w:rPr>
                <w:rFonts w:hint="eastAsia" w:ascii="宋体" w:hAnsi="宋体" w:eastAsia="宋体" w:cs="宋体"/>
                <w:color w:val="000000" w:themeColor="text1"/>
                <w:szCs w:val="24"/>
                <w:lang w:eastAsia="zh-CN"/>
                <w14:textFill>
                  <w14:solidFill>
                    <w14:schemeClr w14:val="tx1"/>
                  </w14:solidFill>
                </w14:textFill>
              </w:rPr>
              <w:t>①</w:t>
            </w:r>
            <w:r>
              <w:rPr>
                <w:rFonts w:ascii="Times New Roman" w:hAnsi="Times New Roman" w:eastAsia="宋体"/>
                <w:color w:val="000000" w:themeColor="text1"/>
                <w:szCs w:val="24"/>
                <w:lang w:eastAsia="zh-CN"/>
                <w14:textFill>
                  <w14:solidFill>
                    <w14:schemeClr w14:val="tx1"/>
                  </w14:solidFill>
                </w14:textFill>
              </w:rPr>
              <w:t>具体管理原则如下：</w:t>
            </w:r>
          </w:p>
          <w:p w14:paraId="16BBAAD1">
            <w:pPr>
              <w:pStyle w:val="38"/>
              <w:snapToGrid w:val="0"/>
              <w:spacing w:beforeLines="0" w:afterLines="0" w:line="360" w:lineRule="auto"/>
              <w:ind w:left="0" w:leftChars="0" w:firstLine="480"/>
              <w:jc w:val="both"/>
              <w:rPr>
                <w:rFonts w:ascii="Times New Roman" w:hAnsi="Times New Roman" w:eastAsia="宋体"/>
                <w:color w:val="000000" w:themeColor="text1"/>
                <w:szCs w:val="24"/>
                <w:lang w:eastAsia="zh-CN"/>
                <w14:textFill>
                  <w14:solidFill>
                    <w14:schemeClr w14:val="tx1"/>
                  </w14:solidFill>
                </w14:textFill>
              </w:rPr>
            </w:pPr>
            <w:r>
              <w:rPr>
                <w:rFonts w:ascii="Times New Roman" w:hAnsi="Times New Roman" w:eastAsia="宋体"/>
                <w:color w:val="000000" w:themeColor="text1"/>
                <w:szCs w:val="24"/>
                <w:lang w:eastAsia="zh-CN"/>
                <w14:textFill>
                  <w14:solidFill>
                    <w14:schemeClr w14:val="tx1"/>
                  </w14:solidFill>
                </w14:textFill>
              </w:rPr>
              <w:t>a．向环境排放的污染物的排放口必须规范化。</w:t>
            </w:r>
          </w:p>
          <w:p w14:paraId="53B6DA01">
            <w:pPr>
              <w:pStyle w:val="38"/>
              <w:snapToGrid w:val="0"/>
              <w:spacing w:beforeLines="0" w:afterLines="0" w:line="360" w:lineRule="auto"/>
              <w:ind w:left="0" w:leftChars="0" w:firstLine="480"/>
              <w:jc w:val="both"/>
              <w:rPr>
                <w:rFonts w:ascii="Times New Roman" w:hAnsi="Times New Roman" w:eastAsia="宋体"/>
                <w:color w:val="000000" w:themeColor="text1"/>
                <w:szCs w:val="24"/>
                <w:lang w:eastAsia="zh-CN"/>
                <w14:textFill>
                  <w14:solidFill>
                    <w14:schemeClr w14:val="tx1"/>
                  </w14:solidFill>
                </w14:textFill>
              </w:rPr>
            </w:pPr>
            <w:r>
              <w:rPr>
                <w:rFonts w:ascii="Times New Roman" w:hAnsi="Times New Roman" w:eastAsia="宋体"/>
                <w:color w:val="000000" w:themeColor="text1"/>
                <w:szCs w:val="24"/>
                <w:lang w:eastAsia="zh-CN"/>
                <w14:textFill>
                  <w14:solidFill>
                    <w14:schemeClr w14:val="tx1"/>
                  </w14:solidFill>
                </w14:textFill>
              </w:rPr>
              <w:t>b．列入总量控制的污染物排放源列为管理的重点。</w:t>
            </w:r>
          </w:p>
          <w:p w14:paraId="48CA7A74">
            <w:pPr>
              <w:pStyle w:val="38"/>
              <w:snapToGrid w:val="0"/>
              <w:spacing w:beforeLines="0" w:afterLines="0" w:line="360" w:lineRule="auto"/>
              <w:ind w:left="0" w:leftChars="0" w:firstLine="480"/>
              <w:jc w:val="both"/>
              <w:rPr>
                <w:rFonts w:ascii="Times New Roman" w:hAnsi="Times New Roman" w:eastAsia="宋体"/>
                <w:color w:val="000000" w:themeColor="text1"/>
                <w:szCs w:val="24"/>
                <w:lang w:eastAsia="zh-CN"/>
                <w14:textFill>
                  <w14:solidFill>
                    <w14:schemeClr w14:val="tx1"/>
                  </w14:solidFill>
                </w14:textFill>
              </w:rPr>
            </w:pPr>
            <w:r>
              <w:rPr>
                <w:rFonts w:ascii="Times New Roman" w:hAnsi="Times New Roman" w:eastAsia="宋体"/>
                <w:color w:val="000000" w:themeColor="text1"/>
                <w:szCs w:val="24"/>
                <w:lang w:eastAsia="zh-CN"/>
                <w14:textFill>
                  <w14:solidFill>
                    <w14:schemeClr w14:val="tx1"/>
                  </w14:solidFill>
                </w14:textFill>
              </w:rPr>
              <w:t>c．如实向环保管理部门申报排污口数量、位置及所排放的主要污染物种类、数量、浓度、排放去向等情况。</w:t>
            </w:r>
          </w:p>
          <w:p w14:paraId="7F9E0B45">
            <w:pPr>
              <w:pStyle w:val="38"/>
              <w:snapToGrid w:val="0"/>
              <w:spacing w:beforeLines="0" w:afterLines="0" w:line="360" w:lineRule="auto"/>
              <w:ind w:left="0" w:leftChars="0" w:firstLine="480"/>
              <w:jc w:val="both"/>
              <w:rPr>
                <w:rFonts w:ascii="Times New Roman" w:hAnsi="Times New Roman" w:eastAsia="宋体"/>
                <w:color w:val="000000" w:themeColor="text1"/>
                <w:szCs w:val="24"/>
                <w:lang w:eastAsia="zh-CN"/>
                <w14:textFill>
                  <w14:solidFill>
                    <w14:schemeClr w14:val="tx1"/>
                  </w14:solidFill>
                </w14:textFill>
              </w:rPr>
            </w:pPr>
            <w:r>
              <w:rPr>
                <w:rFonts w:ascii="Times New Roman" w:hAnsi="Times New Roman" w:eastAsia="宋体"/>
                <w:color w:val="000000" w:themeColor="text1"/>
                <w:szCs w:val="24"/>
                <w:lang w:eastAsia="zh-CN"/>
                <w14:textFill>
                  <w14:solidFill>
                    <w14:schemeClr w14:val="tx1"/>
                  </w14:solidFill>
                </w14:textFill>
              </w:rPr>
              <w:t>d．废气排气装置应设置便于采样、监测的采样孔和采样平台，设置应符合《污染源监测技术规范》。</w:t>
            </w:r>
          </w:p>
          <w:p w14:paraId="6EF6099F">
            <w:pPr>
              <w:pStyle w:val="38"/>
              <w:snapToGrid w:val="0"/>
              <w:spacing w:beforeLines="0" w:afterLines="0" w:line="360" w:lineRule="auto"/>
              <w:ind w:left="0" w:leftChars="0" w:firstLine="480"/>
              <w:jc w:val="both"/>
              <w:rPr>
                <w:rFonts w:ascii="Times New Roman" w:hAnsi="Times New Roman" w:eastAsia="宋体"/>
                <w:color w:val="000000" w:themeColor="text1"/>
                <w:szCs w:val="24"/>
                <w:lang w:eastAsia="zh-CN"/>
                <w14:textFill>
                  <w14:solidFill>
                    <w14:schemeClr w14:val="tx1"/>
                  </w14:solidFill>
                </w14:textFill>
              </w:rPr>
            </w:pPr>
            <w:r>
              <w:rPr>
                <w:rFonts w:ascii="Times New Roman" w:hAnsi="Times New Roman" w:eastAsia="宋体"/>
                <w:color w:val="000000" w:themeColor="text1"/>
                <w:szCs w:val="24"/>
                <w:lang w:eastAsia="zh-CN"/>
                <w14:textFill>
                  <w14:solidFill>
                    <w14:schemeClr w14:val="tx1"/>
                  </w14:solidFill>
                </w14:textFill>
              </w:rPr>
              <w:t>e．工程固废堆存时，应设置专用堆放场地，并有防扬散、防流失、对有毒有害固废采取防渗漏措施。危险废物暂存间应设置危险废物标签</w:t>
            </w:r>
          </w:p>
          <w:p w14:paraId="1F70E606">
            <w:pPr>
              <w:pStyle w:val="38"/>
              <w:snapToGrid w:val="0"/>
              <w:spacing w:beforeLines="0" w:afterLines="0" w:line="360" w:lineRule="auto"/>
              <w:ind w:left="0" w:leftChars="0" w:firstLine="480"/>
              <w:jc w:val="both"/>
              <w:rPr>
                <w:rFonts w:ascii="Times New Roman" w:hAnsi="Times New Roman" w:eastAsia="宋体"/>
                <w:color w:val="000000" w:themeColor="text1"/>
                <w:szCs w:val="24"/>
                <w:lang w:eastAsia="zh-CN"/>
                <w14:textFill>
                  <w14:solidFill>
                    <w14:schemeClr w14:val="tx1"/>
                  </w14:solidFill>
                </w14:textFill>
              </w:rPr>
            </w:pPr>
            <w:r>
              <w:rPr>
                <w:rFonts w:hint="eastAsia" w:ascii="宋体" w:hAnsi="宋体" w:eastAsia="宋体" w:cs="宋体"/>
                <w:color w:val="000000" w:themeColor="text1"/>
                <w:szCs w:val="24"/>
                <w:lang w:eastAsia="zh-CN"/>
                <w14:textFill>
                  <w14:solidFill>
                    <w14:schemeClr w14:val="tx1"/>
                  </w14:solidFill>
                </w14:textFill>
              </w:rPr>
              <w:t>②</w:t>
            </w:r>
            <w:r>
              <w:rPr>
                <w:rFonts w:ascii="Times New Roman" w:hAnsi="Times New Roman" w:eastAsia="宋体"/>
                <w:color w:val="000000" w:themeColor="text1"/>
                <w:szCs w:val="24"/>
                <w:lang w:eastAsia="zh-CN"/>
                <w14:textFill>
                  <w14:solidFill>
                    <w14:schemeClr w14:val="tx1"/>
                  </w14:solidFill>
                </w14:textFill>
              </w:rPr>
              <w:t>排放源建档</w:t>
            </w:r>
          </w:p>
          <w:p w14:paraId="4F9B668D">
            <w:pPr>
              <w:pStyle w:val="38"/>
              <w:snapToGrid w:val="0"/>
              <w:spacing w:beforeLines="0" w:afterLines="0" w:line="360" w:lineRule="auto"/>
              <w:ind w:left="0" w:leftChars="0" w:firstLine="480"/>
              <w:jc w:val="both"/>
              <w:rPr>
                <w:rFonts w:ascii="Times New Roman" w:hAnsi="Times New Roman" w:eastAsia="宋体"/>
                <w:color w:val="000000" w:themeColor="text1"/>
                <w:szCs w:val="24"/>
                <w:lang w:eastAsia="zh-CN"/>
                <w14:textFill>
                  <w14:solidFill>
                    <w14:schemeClr w14:val="tx1"/>
                  </w14:solidFill>
                </w14:textFill>
              </w:rPr>
            </w:pPr>
            <w:r>
              <w:rPr>
                <w:rFonts w:ascii="Times New Roman" w:hAnsi="Times New Roman" w:eastAsia="宋体"/>
                <w:color w:val="000000" w:themeColor="text1"/>
                <w:szCs w:val="24"/>
                <w:lang w:eastAsia="zh-CN"/>
                <w14:textFill>
                  <w14:solidFill>
                    <w14:schemeClr w14:val="tx1"/>
                  </w14:solidFill>
                </w14:textFill>
              </w:rPr>
              <w:t>a．本项目应使用生态环境部统一印制的《中华人民共和国规范化排污口标志登记证》，并按要求填写有关内容。</w:t>
            </w:r>
          </w:p>
          <w:p w14:paraId="452C1AA0">
            <w:pPr>
              <w:pStyle w:val="37"/>
              <w:autoSpaceDE/>
              <w:autoSpaceDN/>
              <w:adjustRightInd/>
              <w:spacing w:before="0" w:after="0" w:line="360" w:lineRule="auto"/>
              <w:ind w:firstLine="480" w:firstLineChars="200"/>
              <w:jc w:val="both"/>
              <w:textAlignment w:val="bottom"/>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b. 根据排污口管理内容要求，项目建成投产后，应将主要污染物种类、数量、浓度、排放去向，立标情况及设施运行情况记录于档案。</w:t>
            </w:r>
          </w:p>
          <w:p w14:paraId="309FF241">
            <w:pPr>
              <w:pStyle w:val="22"/>
              <w:spacing w:before="0" w:beforeAutospacing="0" w:after="0" w:afterAutospacing="0" w:line="360" w:lineRule="auto"/>
              <w:rPr>
                <w:rFonts w:ascii="Times New Roman" w:hAnsi="Times New Roman" w:cs="Times New Roman"/>
                <w:b/>
                <w:bCs/>
                <w:color w:val="000000" w:themeColor="text1"/>
                <w:szCs w:val="24"/>
                <w14:textFill>
                  <w14:solidFill>
                    <w14:schemeClr w14:val="tx1"/>
                  </w14:solidFill>
                </w14:textFill>
              </w:rPr>
            </w:pPr>
            <w:r>
              <w:rPr>
                <w:rFonts w:ascii="Times New Roman" w:hAnsi="Times New Roman" w:cs="Times New Roman"/>
                <w:b/>
                <w:bCs/>
                <w:color w:val="000000" w:themeColor="text1"/>
                <w:szCs w:val="24"/>
                <w14:textFill>
                  <w14:solidFill>
                    <w14:schemeClr w14:val="tx1"/>
                  </w14:solidFill>
                </w14:textFill>
              </w:rPr>
              <w:t>3.环境监测管理</w:t>
            </w:r>
          </w:p>
          <w:p w14:paraId="3F3A9571">
            <w:pPr>
              <w:pStyle w:val="22"/>
              <w:spacing w:before="0" w:beforeAutospacing="0" w:after="0" w:afterAutospacing="0" w:line="360" w:lineRule="auto"/>
              <w:ind w:firstLine="480" w:firstLineChars="200"/>
              <w:rPr>
                <w:rFonts w:ascii="Times New Roman" w:hAnsi="Times New Roman" w:cs="Times New Roman"/>
                <w:b/>
                <w:bCs/>
                <w:color w:val="000000" w:themeColor="text1"/>
                <w:szCs w:val="24"/>
                <w14:textFill>
                  <w14:solidFill>
                    <w14:schemeClr w14:val="tx1"/>
                  </w14:solidFill>
                </w14:textFill>
              </w:rPr>
            </w:pPr>
            <w:r>
              <w:rPr>
                <w:rFonts w:ascii="Times New Roman" w:hAnsi="Times New Roman" w:cs="Times New Roman"/>
                <w:color w:val="000000" w:themeColor="text1"/>
                <w:szCs w:val="24"/>
                <w14:textFill>
                  <w14:solidFill>
                    <w14:schemeClr w14:val="tx1"/>
                  </w14:solidFill>
                </w14:textFill>
              </w:rPr>
              <w:t>为有效地了解项目在生产过程中产排污情况，为保证建设项目的污染物控制在国家规定范围之内，确保建设项目实现可持续发展，项目应定期进行废气、噪声进行监测。</w:t>
            </w:r>
          </w:p>
          <w:p w14:paraId="414F13D2">
            <w:pPr>
              <w:pStyle w:val="22"/>
              <w:spacing w:before="0" w:beforeAutospacing="0" w:after="0" w:afterAutospacing="0" w:line="360" w:lineRule="auto"/>
              <w:jc w:val="both"/>
              <w:rPr>
                <w:rFonts w:ascii="Times New Roman" w:hAnsi="Times New Roman" w:cs="Times New Roman"/>
                <w:color w:val="000000" w:themeColor="text1"/>
                <w14:textFill>
                  <w14:solidFill>
                    <w14:schemeClr w14:val="tx1"/>
                  </w14:solidFill>
                </w14:textFill>
              </w:rPr>
            </w:pPr>
          </w:p>
          <w:p w14:paraId="15B68102">
            <w:pPr>
              <w:pStyle w:val="22"/>
              <w:spacing w:before="0" w:beforeAutospacing="0" w:after="0" w:afterAutospacing="0" w:line="360" w:lineRule="auto"/>
              <w:jc w:val="both"/>
              <w:rPr>
                <w:rFonts w:ascii="Times New Roman" w:hAnsi="Times New Roman" w:cs="Times New Roman"/>
                <w:color w:val="000000" w:themeColor="text1"/>
                <w14:textFill>
                  <w14:solidFill>
                    <w14:schemeClr w14:val="tx1"/>
                  </w14:solidFill>
                </w14:textFill>
              </w:rPr>
            </w:pPr>
          </w:p>
          <w:p w14:paraId="2F920A12">
            <w:pPr>
              <w:pStyle w:val="22"/>
              <w:spacing w:before="0" w:beforeAutospacing="0" w:after="0" w:afterAutospacing="0" w:line="360" w:lineRule="auto"/>
              <w:jc w:val="both"/>
              <w:rPr>
                <w:rFonts w:ascii="Times New Roman" w:hAnsi="Times New Roman" w:cs="Times New Roman"/>
                <w:color w:val="000000" w:themeColor="text1"/>
                <w14:textFill>
                  <w14:solidFill>
                    <w14:schemeClr w14:val="tx1"/>
                  </w14:solidFill>
                </w14:textFill>
              </w:rPr>
            </w:pPr>
          </w:p>
          <w:p w14:paraId="4779A908">
            <w:pPr>
              <w:pStyle w:val="22"/>
              <w:spacing w:before="0" w:beforeAutospacing="0" w:after="0" w:afterAutospacing="0" w:line="360" w:lineRule="auto"/>
              <w:jc w:val="both"/>
              <w:rPr>
                <w:rFonts w:ascii="Times New Roman" w:hAnsi="Times New Roman" w:cs="Times New Roman"/>
                <w:color w:val="000000" w:themeColor="text1"/>
                <w14:textFill>
                  <w14:solidFill>
                    <w14:schemeClr w14:val="tx1"/>
                  </w14:solidFill>
                </w14:textFill>
              </w:rPr>
            </w:pPr>
          </w:p>
          <w:p w14:paraId="215218F2">
            <w:pPr>
              <w:pStyle w:val="22"/>
              <w:spacing w:before="0" w:beforeAutospacing="0" w:after="0" w:afterAutospacing="0" w:line="360" w:lineRule="auto"/>
              <w:jc w:val="both"/>
              <w:rPr>
                <w:rFonts w:ascii="Times New Roman" w:hAnsi="Times New Roman" w:cs="Times New Roman"/>
                <w:color w:val="000000" w:themeColor="text1"/>
                <w14:textFill>
                  <w14:solidFill>
                    <w14:schemeClr w14:val="tx1"/>
                  </w14:solidFill>
                </w14:textFill>
              </w:rPr>
            </w:pPr>
          </w:p>
          <w:p w14:paraId="0E2C0512">
            <w:pPr>
              <w:pStyle w:val="22"/>
              <w:spacing w:before="0" w:beforeAutospacing="0" w:after="0" w:afterAutospacing="0" w:line="360" w:lineRule="auto"/>
              <w:jc w:val="both"/>
              <w:rPr>
                <w:rFonts w:ascii="Times New Roman" w:hAnsi="Times New Roman" w:cs="Times New Roman"/>
                <w:color w:val="000000" w:themeColor="text1"/>
                <w14:textFill>
                  <w14:solidFill>
                    <w14:schemeClr w14:val="tx1"/>
                  </w14:solidFill>
                </w14:textFill>
              </w:rPr>
            </w:pPr>
          </w:p>
          <w:p w14:paraId="59DBA2D8">
            <w:pPr>
              <w:pStyle w:val="22"/>
              <w:spacing w:before="0" w:beforeAutospacing="0" w:after="0" w:afterAutospacing="0" w:line="360" w:lineRule="auto"/>
              <w:jc w:val="both"/>
              <w:rPr>
                <w:rFonts w:ascii="Times New Roman" w:hAnsi="Times New Roman" w:cs="Times New Roman"/>
                <w:color w:val="000000" w:themeColor="text1"/>
                <w14:textFill>
                  <w14:solidFill>
                    <w14:schemeClr w14:val="tx1"/>
                  </w14:solidFill>
                </w14:textFill>
              </w:rPr>
            </w:pPr>
          </w:p>
          <w:p w14:paraId="3FA5AFE1">
            <w:pPr>
              <w:pStyle w:val="22"/>
              <w:spacing w:before="0" w:beforeAutospacing="0" w:after="0" w:afterAutospacing="0" w:line="360" w:lineRule="auto"/>
              <w:jc w:val="both"/>
              <w:rPr>
                <w:rFonts w:ascii="Times New Roman" w:hAnsi="Times New Roman" w:cs="Times New Roman"/>
                <w:color w:val="000000" w:themeColor="text1"/>
                <w14:textFill>
                  <w14:solidFill>
                    <w14:schemeClr w14:val="tx1"/>
                  </w14:solidFill>
                </w14:textFill>
              </w:rPr>
            </w:pPr>
          </w:p>
          <w:p w14:paraId="08B96BAE">
            <w:pPr>
              <w:pStyle w:val="22"/>
              <w:spacing w:before="0" w:beforeAutospacing="0" w:after="0" w:afterAutospacing="0" w:line="360" w:lineRule="auto"/>
              <w:jc w:val="both"/>
              <w:rPr>
                <w:rFonts w:ascii="Times New Roman" w:hAnsi="Times New Roman" w:cs="Times New Roman"/>
                <w:color w:val="000000" w:themeColor="text1"/>
                <w14:textFill>
                  <w14:solidFill>
                    <w14:schemeClr w14:val="tx1"/>
                  </w14:solidFill>
                </w14:textFill>
              </w:rPr>
            </w:pPr>
          </w:p>
          <w:p w14:paraId="5A71A668">
            <w:pPr>
              <w:pStyle w:val="22"/>
              <w:spacing w:before="0" w:beforeAutospacing="0" w:after="0" w:afterAutospacing="0" w:line="360" w:lineRule="auto"/>
              <w:jc w:val="both"/>
              <w:rPr>
                <w:rFonts w:ascii="Times New Roman" w:hAnsi="Times New Roman" w:cs="Times New Roman"/>
                <w:color w:val="000000" w:themeColor="text1"/>
                <w14:textFill>
                  <w14:solidFill>
                    <w14:schemeClr w14:val="tx1"/>
                  </w14:solidFill>
                </w14:textFill>
              </w:rPr>
            </w:pPr>
          </w:p>
          <w:p w14:paraId="418B6BAC">
            <w:pPr>
              <w:pStyle w:val="22"/>
              <w:spacing w:before="0" w:beforeAutospacing="0" w:after="0" w:afterAutospacing="0" w:line="360" w:lineRule="auto"/>
              <w:jc w:val="both"/>
              <w:rPr>
                <w:rFonts w:ascii="Times New Roman" w:hAnsi="Times New Roman" w:cs="Times New Roman"/>
                <w:color w:val="000000" w:themeColor="text1"/>
                <w14:textFill>
                  <w14:solidFill>
                    <w14:schemeClr w14:val="tx1"/>
                  </w14:solidFill>
                </w14:textFill>
              </w:rPr>
            </w:pPr>
          </w:p>
        </w:tc>
      </w:tr>
    </w:tbl>
    <w:p w14:paraId="485EA4FB">
      <w:pPr>
        <w:jc w:val="center"/>
        <w:rPr>
          <w:rFonts w:ascii="Times New Roman" w:hAnsi="Times New Roman" w:eastAsia="宋体" w:cs="Times New Roman"/>
          <w:b/>
          <w:color w:val="000000" w:themeColor="text1"/>
          <w:sz w:val="24"/>
          <w:szCs w:val="24"/>
          <w14:textFill>
            <w14:solidFill>
              <w14:schemeClr w14:val="tx1"/>
            </w14:solidFill>
          </w14:textFill>
        </w:rPr>
        <w:sectPr>
          <w:pgSz w:w="11906" w:h="16838"/>
          <w:pgMar w:top="1440" w:right="1800" w:bottom="1440" w:left="1800" w:header="851" w:footer="992" w:gutter="0"/>
          <w:cols w:space="425" w:num="1"/>
          <w:docGrid w:type="lines" w:linePitch="312" w:charSpace="0"/>
        </w:sectPr>
      </w:pPr>
    </w:p>
    <w:p w14:paraId="34A34015">
      <w:pPr>
        <w:jc w:val="center"/>
        <w:outlineLvl w:val="0"/>
        <w:rPr>
          <w:rFonts w:ascii="Times New Roman" w:hAnsi="Times New Roman" w:cs="Times New Roman"/>
          <w:b/>
          <w:color w:val="000000" w:themeColor="text1"/>
          <w:sz w:val="32"/>
          <w14:textFill>
            <w14:solidFill>
              <w14:schemeClr w14:val="tx1"/>
            </w14:solidFill>
          </w14:textFill>
        </w:rPr>
      </w:pPr>
      <w:bookmarkStart w:id="39" w:name="_Toc11108"/>
      <w:r>
        <w:rPr>
          <w:rFonts w:ascii="Times New Roman" w:hAnsi="Times New Roman" w:cs="Times New Roman"/>
          <w:b/>
          <w:color w:val="000000" w:themeColor="text1"/>
          <w:sz w:val="32"/>
          <w14:textFill>
            <w14:solidFill>
              <w14:schemeClr w14:val="tx1"/>
            </w14:solidFill>
          </w14:textFill>
        </w:rPr>
        <w:t>六、结论</w:t>
      </w:r>
      <w:bookmarkEnd w:id="39"/>
    </w:p>
    <w:tbl>
      <w:tblPr>
        <w:tblStyle w:val="25"/>
        <w:tblW w:w="93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351"/>
      </w:tblGrid>
      <w:tr w14:paraId="6F0FCE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9351" w:type="dxa"/>
            <w:vAlign w:val="center"/>
          </w:tcPr>
          <w:p w14:paraId="512E71D9">
            <w:pPr>
              <w:spacing w:before="312" w:beforeLines="100"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一、环境影响分析结论</w:t>
            </w:r>
          </w:p>
          <w:p w14:paraId="1A00A2A0">
            <w:pPr>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1、大气环境影响分析结论</w:t>
            </w:r>
          </w:p>
          <w:p w14:paraId="0FB7CCD1">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本项目废气主要为颗粒物、NOx、SO</w:t>
            </w:r>
            <w:r>
              <w:rPr>
                <w:rFonts w:ascii="Times New Roman" w:hAnsi="Times New Roman" w:eastAsia="宋体" w:cs="Times New Roman"/>
                <w:color w:val="000000" w:themeColor="text1"/>
                <w:sz w:val="24"/>
                <w:szCs w:val="24"/>
                <w:vertAlign w:val="subscript"/>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、氟化物，本次技改前后不会造成废气污染物排放量增加，因此，本项目废气排放不会对项目所在区域大气环境质量造成明显不利影响。</w:t>
            </w:r>
          </w:p>
          <w:p w14:paraId="0EBB163B">
            <w:pPr>
              <w:spacing w:line="360" w:lineRule="auto"/>
              <w:rPr>
                <w:rFonts w:ascii="Times New Roman" w:hAnsi="Times New Roman" w:eastAsia="宋体" w:cs="Times New Roman"/>
                <w:b/>
                <w:bCs/>
                <w:color w:val="000000" w:themeColor="text1"/>
                <w:kern w:val="24"/>
                <w:sz w:val="24"/>
                <w:szCs w:val="24"/>
                <w14:textFill>
                  <w14:solidFill>
                    <w14:schemeClr w14:val="tx1"/>
                  </w14:solidFill>
                </w14:textFill>
              </w:rPr>
            </w:pPr>
            <w:r>
              <w:rPr>
                <w:rFonts w:ascii="Times New Roman" w:hAnsi="Times New Roman" w:eastAsia="宋体" w:cs="Times New Roman"/>
                <w:b/>
                <w:bCs/>
                <w:color w:val="000000" w:themeColor="text1"/>
                <w:kern w:val="24"/>
                <w:sz w:val="24"/>
                <w:szCs w:val="24"/>
                <w14:textFill>
                  <w14:solidFill>
                    <w14:schemeClr w14:val="tx1"/>
                  </w14:solidFill>
                </w14:textFill>
              </w:rPr>
              <w:t>2、地表水环境影响分析结论</w:t>
            </w:r>
          </w:p>
          <w:p w14:paraId="1B8AFCEE">
            <w:pPr>
              <w:spacing w:line="360" w:lineRule="auto"/>
              <w:ind w:firstLine="480" w:firstLineChars="200"/>
              <w:rPr>
                <w:rFonts w:ascii="Times New Roman" w:hAnsi="Times New Roman" w:eastAsia="宋体" w:cs="Times New Roman"/>
                <w:color w:val="000000" w:themeColor="text1"/>
                <w:kern w:val="24"/>
                <w:sz w:val="24"/>
                <w:szCs w:val="24"/>
                <w14:textFill>
                  <w14:solidFill>
                    <w14:schemeClr w14:val="tx1"/>
                  </w14:solidFill>
                </w14:textFill>
              </w:rPr>
            </w:pPr>
            <w:r>
              <w:rPr>
                <w:rFonts w:ascii="Times New Roman" w:hAnsi="Times New Roman" w:eastAsia="宋体" w:cs="Times New Roman"/>
                <w:color w:val="000000" w:themeColor="text1"/>
                <w:kern w:val="24"/>
                <w:sz w:val="24"/>
                <w:szCs w:val="24"/>
                <w14:textFill>
                  <w14:solidFill>
                    <w14:schemeClr w14:val="tx1"/>
                  </w14:solidFill>
                </w14:textFill>
              </w:rPr>
              <w:t>本项目废水无废水排放，不会对项目所在区域地表水环境质量造成直接影响。</w:t>
            </w:r>
          </w:p>
          <w:p w14:paraId="06013013">
            <w:pPr>
              <w:spacing w:line="360" w:lineRule="auto"/>
              <w:rPr>
                <w:rFonts w:ascii="Times New Roman" w:hAnsi="Times New Roman" w:eastAsia="宋体" w:cs="Times New Roman"/>
                <w:b/>
                <w:bCs/>
                <w:color w:val="000000" w:themeColor="text1"/>
                <w:kern w:val="24"/>
                <w:sz w:val="24"/>
                <w:szCs w:val="24"/>
                <w14:textFill>
                  <w14:solidFill>
                    <w14:schemeClr w14:val="tx1"/>
                  </w14:solidFill>
                </w14:textFill>
              </w:rPr>
            </w:pPr>
            <w:r>
              <w:rPr>
                <w:rFonts w:ascii="Times New Roman" w:hAnsi="Times New Roman" w:eastAsia="宋体" w:cs="Times New Roman"/>
                <w:b/>
                <w:bCs/>
                <w:color w:val="000000" w:themeColor="text1"/>
                <w:kern w:val="24"/>
                <w:sz w:val="24"/>
                <w:szCs w:val="24"/>
                <w14:textFill>
                  <w14:solidFill>
                    <w14:schemeClr w14:val="tx1"/>
                  </w14:solidFill>
                </w14:textFill>
              </w:rPr>
              <w:t>3、声环境影响分析结论</w:t>
            </w:r>
          </w:p>
          <w:p w14:paraId="7DFB3801">
            <w:pPr>
              <w:spacing w:line="360" w:lineRule="auto"/>
              <w:ind w:firstLine="480" w:firstLineChars="200"/>
              <w:rPr>
                <w:rFonts w:ascii="Times New Roman" w:hAnsi="Times New Roman" w:eastAsia="宋体" w:cs="Times New Roman"/>
                <w:color w:val="000000" w:themeColor="text1"/>
                <w:kern w:val="24"/>
                <w:sz w:val="24"/>
                <w:szCs w:val="24"/>
                <w14:textFill>
                  <w14:solidFill>
                    <w14:schemeClr w14:val="tx1"/>
                  </w14:solidFill>
                </w14:textFill>
              </w:rPr>
            </w:pPr>
            <w:r>
              <w:rPr>
                <w:rFonts w:ascii="Times New Roman" w:hAnsi="Times New Roman" w:eastAsia="宋体" w:cs="Times New Roman"/>
                <w:color w:val="000000" w:themeColor="text1"/>
                <w:kern w:val="24"/>
                <w:sz w:val="24"/>
                <w:szCs w:val="24"/>
                <w14:textFill>
                  <w14:solidFill>
                    <w14:schemeClr w14:val="tx1"/>
                  </w14:solidFill>
                </w14:textFill>
              </w:rPr>
              <w:t>本项目采取合理有效的噪声治理措施后能实现厂界达标，项目的建设不会改变当地声环境功能区的性质，不会对周边环境造成明显影响。</w:t>
            </w:r>
          </w:p>
          <w:p w14:paraId="5B911C5F">
            <w:pPr>
              <w:spacing w:line="360" w:lineRule="auto"/>
              <w:rPr>
                <w:rFonts w:ascii="Times New Roman" w:hAnsi="Times New Roman" w:eastAsia="宋体" w:cs="Times New Roman"/>
                <w:b/>
                <w:bCs/>
                <w:color w:val="000000" w:themeColor="text1"/>
                <w:kern w:val="24"/>
                <w:sz w:val="24"/>
                <w:szCs w:val="24"/>
                <w14:textFill>
                  <w14:solidFill>
                    <w14:schemeClr w14:val="tx1"/>
                  </w14:solidFill>
                </w14:textFill>
              </w:rPr>
            </w:pPr>
            <w:r>
              <w:rPr>
                <w:rFonts w:ascii="Times New Roman" w:hAnsi="Times New Roman" w:eastAsia="宋体" w:cs="Times New Roman"/>
                <w:b/>
                <w:bCs/>
                <w:color w:val="000000" w:themeColor="text1"/>
                <w:kern w:val="24"/>
                <w:sz w:val="24"/>
                <w:szCs w:val="24"/>
                <w14:textFill>
                  <w14:solidFill>
                    <w14:schemeClr w14:val="tx1"/>
                  </w14:solidFill>
                </w14:textFill>
              </w:rPr>
              <w:t>4、固废环境影响分析结论</w:t>
            </w:r>
          </w:p>
          <w:p w14:paraId="5CA94E0E">
            <w:pPr>
              <w:spacing w:line="360" w:lineRule="auto"/>
              <w:ind w:firstLine="480" w:firstLineChars="200"/>
              <w:rPr>
                <w:rFonts w:ascii="Times New Roman" w:hAnsi="Times New Roman" w:eastAsia="宋体" w:cs="Times New Roman"/>
                <w:color w:val="000000" w:themeColor="text1"/>
                <w:kern w:val="24"/>
                <w:sz w:val="24"/>
                <w:szCs w:val="24"/>
                <w14:textFill>
                  <w14:solidFill>
                    <w14:schemeClr w14:val="tx1"/>
                  </w14:solidFill>
                </w14:textFill>
              </w:rPr>
            </w:pPr>
            <w:r>
              <w:rPr>
                <w:rFonts w:ascii="Times New Roman" w:hAnsi="Times New Roman" w:eastAsia="宋体" w:cs="Times New Roman"/>
                <w:color w:val="000000" w:themeColor="text1"/>
                <w:kern w:val="24"/>
                <w:sz w:val="24"/>
                <w:szCs w:val="24"/>
                <w14:textFill>
                  <w14:solidFill>
                    <w14:schemeClr w14:val="tx1"/>
                  </w14:solidFill>
                </w14:textFill>
              </w:rPr>
              <w:t>本项目各项固体废弃物处置措施可行，只要在工作中，将各项措施严格落到实处认真执行，就能将本项目固废对环境的影响降低到最低程度。</w:t>
            </w:r>
          </w:p>
          <w:p w14:paraId="3FADA198">
            <w:pPr>
              <w:spacing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5、地下水、土壤环境影响分析结论</w:t>
            </w:r>
          </w:p>
          <w:p w14:paraId="3B138343">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本项目在严格采取本评价提出的分区防渗措施条件下，不会对地下水、土壤造成污染。</w:t>
            </w:r>
          </w:p>
          <w:p w14:paraId="56ACDC01">
            <w:pPr>
              <w:spacing w:line="360" w:lineRule="auto"/>
              <w:rPr>
                <w:rFonts w:ascii="Times New Roman" w:hAnsi="Times New Roman" w:eastAsia="宋体" w:cs="Times New Roman"/>
                <w:b/>
                <w:bCs/>
                <w:color w:val="000000" w:themeColor="text1"/>
                <w:kern w:val="24"/>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6、</w:t>
            </w:r>
            <w:r>
              <w:rPr>
                <w:rFonts w:ascii="Times New Roman" w:hAnsi="Times New Roman" w:eastAsia="宋体" w:cs="Times New Roman"/>
                <w:b/>
                <w:bCs/>
                <w:color w:val="000000" w:themeColor="text1"/>
                <w:kern w:val="24"/>
                <w:sz w:val="24"/>
                <w:szCs w:val="24"/>
                <w14:textFill>
                  <w14:solidFill>
                    <w14:schemeClr w14:val="tx1"/>
                  </w14:solidFill>
                </w14:textFill>
              </w:rPr>
              <w:t>环境风险分析结论</w:t>
            </w:r>
          </w:p>
          <w:p w14:paraId="155EDDFB">
            <w:pPr>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建设单位应加强管理，建立健全相应的防范应急措施，并在管理及运行中得到认真落实，则将项目风险事故隐患降至可接受程度。</w:t>
            </w:r>
          </w:p>
          <w:p w14:paraId="1BD13D5D">
            <w:pPr>
              <w:spacing w:before="312" w:beforeLines="100" w:line="360" w:lineRule="auto"/>
              <w:rPr>
                <w:rFonts w:ascii="Times New Roman" w:hAnsi="Times New Roman" w:eastAsia="宋体" w:cs="Times New Roman"/>
                <w:b/>
                <w:bCs/>
                <w:color w:val="000000" w:themeColor="text1"/>
                <w:sz w:val="24"/>
                <w:szCs w:val="24"/>
                <w14:textFill>
                  <w14:solidFill>
                    <w14:schemeClr w14:val="tx1"/>
                  </w14:solidFill>
                </w14:textFill>
              </w:rPr>
            </w:pPr>
            <w:r>
              <w:rPr>
                <w:rFonts w:ascii="Times New Roman" w:hAnsi="Times New Roman" w:eastAsia="宋体" w:cs="Times New Roman"/>
                <w:b/>
                <w:bCs/>
                <w:color w:val="000000" w:themeColor="text1"/>
                <w:sz w:val="24"/>
                <w:szCs w:val="24"/>
                <w14:textFill>
                  <w14:solidFill>
                    <w14:schemeClr w14:val="tx1"/>
                  </w14:solidFill>
                </w14:textFill>
              </w:rPr>
              <w:t>二、建设项目可行性结论</w:t>
            </w:r>
          </w:p>
          <w:p w14:paraId="15A4EF05">
            <w:pPr>
              <w:spacing w:line="360" w:lineRule="auto"/>
              <w:ind w:firstLine="482" w:firstLineChars="200"/>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本项目符合国家产业政策，属于允许类项目，选址符合规划。项目所在区域无重大环境制约要素，环境质量现状一般。项目贯彻了“清洁生产”、“总量控制”和“达标排放”原则，采取的污染物治理方案均技术可行，措施有效。工程实施后对环境影响小，基本维持当地环境质量现状级别。只要落实本报告表提出的环保对策措施，本项目建设从环境保护角度而言是可行的。</w:t>
            </w:r>
          </w:p>
          <w:p w14:paraId="798DFBCB">
            <w:pPr>
              <w:adjustRightInd w:val="0"/>
              <w:snapToGrid w:val="0"/>
              <w:jc w:val="center"/>
              <w:rPr>
                <w:rFonts w:ascii="Times New Roman" w:hAnsi="Times New Roman" w:eastAsia="宋体" w:cs="Times New Roman"/>
                <w:color w:val="000000" w:themeColor="text1"/>
                <w:sz w:val="24"/>
                <w14:textFill>
                  <w14:solidFill>
                    <w14:schemeClr w14:val="tx1"/>
                  </w14:solidFill>
                </w14:textFill>
              </w:rPr>
            </w:pPr>
          </w:p>
        </w:tc>
      </w:tr>
    </w:tbl>
    <w:p w14:paraId="20A176D9">
      <w:pPr>
        <w:jc w:val="center"/>
        <w:rPr>
          <w:rFonts w:ascii="Times New Roman" w:hAnsi="Times New Roman" w:eastAsia="宋体" w:cs="Times New Roman"/>
          <w:b/>
          <w:color w:val="000000" w:themeColor="text1"/>
          <w:sz w:val="24"/>
          <w:szCs w:val="24"/>
          <w14:textFill>
            <w14:solidFill>
              <w14:schemeClr w14:val="tx1"/>
            </w14:solidFill>
          </w14:textFill>
        </w:rPr>
      </w:pPr>
    </w:p>
    <w:p w14:paraId="450C69C0">
      <w:pPr>
        <w:jc w:val="center"/>
        <w:rPr>
          <w:rFonts w:ascii="Times New Roman" w:hAnsi="Times New Roman" w:eastAsia="宋体" w:cs="Times New Roman"/>
          <w:b/>
          <w:color w:val="000000" w:themeColor="text1"/>
          <w:sz w:val="24"/>
          <w:szCs w:val="24"/>
          <w14:textFill>
            <w14:solidFill>
              <w14:schemeClr w14:val="tx1"/>
            </w14:solidFill>
          </w14:textFill>
        </w:rPr>
        <w:sectPr>
          <w:pgSz w:w="11906" w:h="16838"/>
          <w:pgMar w:top="1440" w:right="1800" w:bottom="1440" w:left="1800" w:header="851" w:footer="992" w:gutter="0"/>
          <w:cols w:space="425" w:num="1"/>
          <w:docGrid w:type="lines" w:linePitch="312" w:charSpace="0"/>
        </w:sectPr>
      </w:pPr>
    </w:p>
    <w:p w14:paraId="09DC857E">
      <w:pPr>
        <w:adjustRightInd w:val="0"/>
        <w:snapToGrid w:val="0"/>
        <w:jc w:val="left"/>
        <w:rPr>
          <w:rFonts w:ascii="Times New Roman" w:hAnsi="Times New Roman" w:eastAsia="黑体" w:cs="Times New Roman"/>
          <w:snapToGrid w:val="0"/>
          <w:color w:val="000000" w:themeColor="text1"/>
          <w:kern w:val="0"/>
          <w:sz w:val="32"/>
          <w:szCs w:val="32"/>
          <w14:textFill>
            <w14:solidFill>
              <w14:schemeClr w14:val="tx1"/>
            </w14:solidFill>
          </w14:textFill>
        </w:rPr>
      </w:pPr>
      <w:r>
        <w:rPr>
          <w:rFonts w:ascii="Times New Roman" w:hAnsi="Times New Roman" w:eastAsia="黑体" w:cs="Times New Roman"/>
          <w:snapToGrid w:val="0"/>
          <w:color w:val="000000" w:themeColor="text1"/>
          <w:kern w:val="0"/>
          <w:sz w:val="32"/>
          <w:szCs w:val="32"/>
          <w14:textFill>
            <w14:solidFill>
              <w14:schemeClr w14:val="tx1"/>
            </w14:solidFill>
          </w14:textFill>
        </w:rPr>
        <w:t>附表</w:t>
      </w:r>
    </w:p>
    <w:p w14:paraId="2ABE051D">
      <w:pPr>
        <w:adjustRightInd w:val="0"/>
        <w:snapToGrid w:val="0"/>
        <w:jc w:val="center"/>
        <w:rPr>
          <w:rFonts w:ascii="Times New Roman" w:hAnsi="Times New Roman" w:eastAsia="方正小标宋_GBK" w:cs="Times New Roman"/>
          <w:snapToGrid w:val="0"/>
          <w:color w:val="000000" w:themeColor="text1"/>
          <w:kern w:val="0"/>
          <w:sz w:val="38"/>
          <w:szCs w:val="38"/>
          <w14:textFill>
            <w14:solidFill>
              <w14:schemeClr w14:val="tx1"/>
            </w14:solidFill>
          </w14:textFill>
        </w:rPr>
      </w:pPr>
      <w:r>
        <w:rPr>
          <w:rFonts w:ascii="Times New Roman" w:hAnsi="Times New Roman" w:eastAsia="方正小标宋_GBK" w:cs="Times New Roman"/>
          <w:snapToGrid w:val="0"/>
          <w:color w:val="000000" w:themeColor="text1"/>
          <w:kern w:val="0"/>
          <w:sz w:val="38"/>
          <w:szCs w:val="38"/>
          <w14:textFill>
            <w14:solidFill>
              <w14:schemeClr w14:val="tx1"/>
            </w14:solidFill>
          </w14:textFill>
        </w:rPr>
        <w:t>建设项目污染物排放量汇总表</w:t>
      </w:r>
    </w:p>
    <w:tbl>
      <w:tblPr>
        <w:tblStyle w:val="24"/>
        <w:tblW w:w="5000" w:type="pct"/>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353"/>
        <w:gridCol w:w="2122"/>
        <w:gridCol w:w="1556"/>
        <w:gridCol w:w="1364"/>
        <w:gridCol w:w="1818"/>
        <w:gridCol w:w="1665"/>
        <w:gridCol w:w="1515"/>
        <w:gridCol w:w="1818"/>
        <w:gridCol w:w="1523"/>
      </w:tblGrid>
      <w:tr w14:paraId="50CC94B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tcBorders>
              <w:tl2br w:val="single" w:color="auto" w:sz="4" w:space="0"/>
            </w:tcBorders>
            <w:tcMar>
              <w:left w:w="28" w:type="dxa"/>
              <w:right w:w="28" w:type="dxa"/>
            </w:tcMar>
            <w:vAlign w:val="center"/>
          </w:tcPr>
          <w:p w14:paraId="7AC3FDCD">
            <w:pPr>
              <w:adjustRightInd w:val="0"/>
              <w:snapToGrid w:val="0"/>
              <w:jc w:val="right"/>
              <w:rPr>
                <w:rFonts w:ascii="Times New Roman" w:hAnsi="Times New Roman" w:eastAsia="黑体" w:cs="Times New Roman"/>
                <w:snapToGrid w:val="0"/>
                <w:color w:val="000000" w:themeColor="text1"/>
                <w:spacing w:val="-6"/>
                <w:kern w:val="21"/>
                <w:szCs w:val="21"/>
                <w14:textFill>
                  <w14:solidFill>
                    <w14:schemeClr w14:val="tx1"/>
                  </w14:solidFill>
                </w14:textFill>
              </w:rPr>
            </w:pPr>
            <w:r>
              <w:rPr>
                <w:rFonts w:ascii="Times New Roman" w:hAnsi="Times New Roman" w:eastAsia="黑体" w:cs="Times New Roman"/>
                <w:snapToGrid w:val="0"/>
                <w:color w:val="000000" w:themeColor="text1"/>
                <w:spacing w:val="-6"/>
                <w:kern w:val="21"/>
                <w:szCs w:val="21"/>
                <w14:textFill>
                  <w14:solidFill>
                    <w14:schemeClr w14:val="tx1"/>
                  </w14:solidFill>
                </w14:textFill>
              </w:rPr>
              <w:t>项目</w:t>
            </w:r>
          </w:p>
          <w:p w14:paraId="3B740EC5">
            <w:pPr>
              <w:adjustRightInd w:val="0"/>
              <w:snapToGrid w:val="0"/>
              <w:jc w:val="left"/>
              <w:rPr>
                <w:rFonts w:ascii="Times New Roman" w:hAnsi="Times New Roman" w:eastAsia="黑体" w:cs="Times New Roman"/>
                <w:snapToGrid w:val="0"/>
                <w:color w:val="000000" w:themeColor="text1"/>
                <w:spacing w:val="-6"/>
                <w:kern w:val="21"/>
                <w:szCs w:val="21"/>
                <w14:textFill>
                  <w14:solidFill>
                    <w14:schemeClr w14:val="tx1"/>
                  </w14:solidFill>
                </w14:textFill>
              </w:rPr>
            </w:pPr>
            <w:r>
              <w:rPr>
                <w:rFonts w:ascii="Times New Roman" w:hAnsi="Times New Roman" w:eastAsia="黑体" w:cs="Times New Roman"/>
                <w:snapToGrid w:val="0"/>
                <w:color w:val="000000" w:themeColor="text1"/>
                <w:spacing w:val="-6"/>
                <w:kern w:val="21"/>
                <w:szCs w:val="21"/>
                <w14:textFill>
                  <w14:solidFill>
                    <w14:schemeClr w14:val="tx1"/>
                  </w14:solidFill>
                </w14:textFill>
              </w:rPr>
              <w:t>分类</w:t>
            </w:r>
          </w:p>
        </w:tc>
        <w:tc>
          <w:tcPr>
            <w:tcW w:w="720" w:type="pct"/>
            <w:tcMar>
              <w:left w:w="28" w:type="dxa"/>
              <w:right w:w="28" w:type="dxa"/>
            </w:tcMar>
            <w:vAlign w:val="center"/>
          </w:tcPr>
          <w:p w14:paraId="0F68192E">
            <w:pPr>
              <w:adjustRightInd w:val="0"/>
              <w:snapToGrid w:val="0"/>
              <w:jc w:val="center"/>
              <w:rPr>
                <w:rFonts w:ascii="Times New Roman" w:hAnsi="Times New Roman" w:eastAsia="黑体" w:cs="Times New Roman"/>
                <w:snapToGrid w:val="0"/>
                <w:color w:val="000000" w:themeColor="text1"/>
                <w:spacing w:val="-6"/>
                <w:kern w:val="21"/>
                <w:szCs w:val="21"/>
                <w14:textFill>
                  <w14:solidFill>
                    <w14:schemeClr w14:val="tx1"/>
                  </w14:solidFill>
                </w14:textFill>
              </w:rPr>
            </w:pPr>
            <w:r>
              <w:rPr>
                <w:rFonts w:ascii="Times New Roman" w:hAnsi="Times New Roman" w:eastAsia="黑体" w:cs="Times New Roman"/>
                <w:snapToGrid w:val="0"/>
                <w:color w:val="000000" w:themeColor="text1"/>
                <w:spacing w:val="-6"/>
                <w:kern w:val="21"/>
                <w:szCs w:val="21"/>
                <w14:textFill>
                  <w14:solidFill>
                    <w14:schemeClr w14:val="tx1"/>
                  </w14:solidFill>
                </w14:textFill>
              </w:rPr>
              <w:t>污染物名称</w:t>
            </w:r>
          </w:p>
        </w:tc>
        <w:tc>
          <w:tcPr>
            <w:tcW w:w="528" w:type="pct"/>
            <w:tcMar>
              <w:left w:w="28" w:type="dxa"/>
              <w:right w:w="28" w:type="dxa"/>
            </w:tcMar>
            <w:vAlign w:val="center"/>
          </w:tcPr>
          <w:p w14:paraId="654873B9">
            <w:pPr>
              <w:adjustRightInd w:val="0"/>
              <w:snapToGrid w:val="0"/>
              <w:jc w:val="center"/>
              <w:rPr>
                <w:rFonts w:ascii="Times New Roman" w:hAnsi="Times New Roman" w:eastAsia="黑体" w:cs="Times New Roman"/>
                <w:snapToGrid w:val="0"/>
                <w:color w:val="000000" w:themeColor="text1"/>
                <w:spacing w:val="-6"/>
                <w:kern w:val="21"/>
                <w:szCs w:val="21"/>
                <w14:textFill>
                  <w14:solidFill>
                    <w14:schemeClr w14:val="tx1"/>
                  </w14:solidFill>
                </w14:textFill>
              </w:rPr>
            </w:pPr>
            <w:r>
              <w:rPr>
                <w:rFonts w:ascii="Times New Roman" w:hAnsi="Times New Roman" w:eastAsia="黑体" w:cs="Times New Roman"/>
                <w:snapToGrid w:val="0"/>
                <w:color w:val="000000" w:themeColor="text1"/>
                <w:spacing w:val="-6"/>
                <w:kern w:val="21"/>
                <w:szCs w:val="21"/>
                <w14:textFill>
                  <w14:solidFill>
                    <w14:schemeClr w14:val="tx1"/>
                  </w14:solidFill>
                </w14:textFill>
              </w:rPr>
              <w:t>现有工程</w:t>
            </w:r>
          </w:p>
          <w:p w14:paraId="1740064C">
            <w:pPr>
              <w:adjustRightInd w:val="0"/>
              <w:snapToGrid w:val="0"/>
              <w:jc w:val="center"/>
              <w:rPr>
                <w:rFonts w:ascii="Times New Roman" w:hAnsi="Times New Roman" w:eastAsia="黑体" w:cs="Times New Roman"/>
                <w:snapToGrid w:val="0"/>
                <w:color w:val="000000" w:themeColor="text1"/>
                <w:spacing w:val="-6"/>
                <w:kern w:val="21"/>
                <w:szCs w:val="21"/>
                <w14:textFill>
                  <w14:solidFill>
                    <w14:schemeClr w14:val="tx1"/>
                  </w14:solidFill>
                </w14:textFill>
              </w:rPr>
            </w:pPr>
            <w:r>
              <w:rPr>
                <w:rFonts w:ascii="Times New Roman" w:hAnsi="Times New Roman" w:eastAsia="黑体" w:cs="Times New Roman"/>
                <w:snapToGrid w:val="0"/>
                <w:color w:val="000000" w:themeColor="text1"/>
                <w:spacing w:val="-6"/>
                <w:kern w:val="21"/>
                <w:szCs w:val="21"/>
                <w14:textFill>
                  <w14:solidFill>
                    <w14:schemeClr w14:val="tx1"/>
                  </w14:solidFill>
                </w14:textFill>
              </w:rPr>
              <w:t>排放量（固体废物产生量）</w:t>
            </w:r>
            <w:r>
              <w:rPr>
                <w:rFonts w:ascii="Times New Roman" w:hAnsi="Times New Roman" w:eastAsia="黑体" w:cs="Times New Roman"/>
                <w:snapToGrid w:val="0"/>
                <w:color w:val="000000" w:themeColor="text1"/>
                <w:spacing w:val="-6"/>
                <w:kern w:val="21"/>
                <w:szCs w:val="21"/>
                <w14:textFill>
                  <w14:solidFill>
                    <w14:schemeClr w14:val="tx1"/>
                  </w14:solidFill>
                </w14:textFill>
              </w:rPr>
              <w:fldChar w:fldCharType="begin"/>
            </w:r>
            <w:r>
              <w:rPr>
                <w:rFonts w:ascii="Times New Roman" w:hAnsi="Times New Roman" w:eastAsia="黑体" w:cs="Times New Roman"/>
                <w:snapToGrid w:val="0"/>
                <w:color w:val="000000" w:themeColor="text1"/>
                <w:spacing w:val="-6"/>
                <w:kern w:val="21"/>
                <w:szCs w:val="21"/>
                <w14:textFill>
                  <w14:solidFill>
                    <w14:schemeClr w14:val="tx1"/>
                  </w14:solidFill>
                </w14:textFill>
              </w:rPr>
              <w:instrText xml:space="preserve"> = 1 \* GB3 \* MERGEFORMAT </w:instrText>
            </w:r>
            <w:r>
              <w:rPr>
                <w:rFonts w:ascii="Times New Roman" w:hAnsi="Times New Roman" w:eastAsia="黑体" w:cs="Times New Roman"/>
                <w:snapToGrid w:val="0"/>
                <w:color w:val="000000" w:themeColor="text1"/>
                <w:spacing w:val="-6"/>
                <w:kern w:val="21"/>
                <w:szCs w:val="21"/>
                <w14:textFill>
                  <w14:solidFill>
                    <w14:schemeClr w14:val="tx1"/>
                  </w14:solidFill>
                </w14:textFill>
              </w:rPr>
              <w:fldChar w:fldCharType="separate"/>
            </w:r>
            <w:r>
              <w:rPr>
                <w:rFonts w:hint="eastAsia" w:ascii="宋体" w:hAnsi="宋体" w:eastAsia="宋体" w:cs="宋体"/>
                <w:color w:val="000000" w:themeColor="text1"/>
                <w:szCs w:val="21"/>
                <w14:textFill>
                  <w14:solidFill>
                    <w14:schemeClr w14:val="tx1"/>
                  </w14:solidFill>
                </w14:textFill>
              </w:rPr>
              <w:t>①</w:t>
            </w:r>
            <w:r>
              <w:rPr>
                <w:rFonts w:ascii="Times New Roman" w:hAnsi="Times New Roman" w:eastAsia="黑体" w:cs="Times New Roman"/>
                <w:snapToGrid w:val="0"/>
                <w:color w:val="000000" w:themeColor="text1"/>
                <w:spacing w:val="-6"/>
                <w:kern w:val="21"/>
                <w:szCs w:val="21"/>
                <w14:textFill>
                  <w14:solidFill>
                    <w14:schemeClr w14:val="tx1"/>
                  </w14:solidFill>
                </w14:textFill>
              </w:rPr>
              <w:fldChar w:fldCharType="end"/>
            </w:r>
          </w:p>
        </w:tc>
        <w:tc>
          <w:tcPr>
            <w:tcW w:w="463" w:type="pct"/>
            <w:tcMar>
              <w:left w:w="28" w:type="dxa"/>
              <w:right w:w="28" w:type="dxa"/>
            </w:tcMar>
            <w:vAlign w:val="center"/>
          </w:tcPr>
          <w:p w14:paraId="1CC2B5F8">
            <w:pPr>
              <w:adjustRightInd w:val="0"/>
              <w:snapToGrid w:val="0"/>
              <w:jc w:val="center"/>
              <w:rPr>
                <w:rFonts w:ascii="Times New Roman" w:hAnsi="Times New Roman" w:eastAsia="黑体" w:cs="Times New Roman"/>
                <w:snapToGrid w:val="0"/>
                <w:color w:val="000000" w:themeColor="text1"/>
                <w:spacing w:val="-6"/>
                <w:kern w:val="21"/>
                <w:szCs w:val="21"/>
                <w14:textFill>
                  <w14:solidFill>
                    <w14:schemeClr w14:val="tx1"/>
                  </w14:solidFill>
                </w14:textFill>
              </w:rPr>
            </w:pPr>
            <w:r>
              <w:rPr>
                <w:rFonts w:ascii="Times New Roman" w:hAnsi="Times New Roman" w:eastAsia="黑体" w:cs="Times New Roman"/>
                <w:snapToGrid w:val="0"/>
                <w:color w:val="000000" w:themeColor="text1"/>
                <w:spacing w:val="-6"/>
                <w:kern w:val="21"/>
                <w:szCs w:val="21"/>
                <w14:textFill>
                  <w14:solidFill>
                    <w14:schemeClr w14:val="tx1"/>
                  </w14:solidFill>
                </w14:textFill>
              </w:rPr>
              <w:t>现有工程</w:t>
            </w:r>
          </w:p>
          <w:p w14:paraId="39F226E0">
            <w:pPr>
              <w:adjustRightInd w:val="0"/>
              <w:snapToGrid w:val="0"/>
              <w:jc w:val="center"/>
              <w:rPr>
                <w:rFonts w:ascii="Times New Roman" w:hAnsi="Times New Roman" w:eastAsia="黑体" w:cs="Times New Roman"/>
                <w:snapToGrid w:val="0"/>
                <w:color w:val="000000" w:themeColor="text1"/>
                <w:spacing w:val="-6"/>
                <w:kern w:val="21"/>
                <w:szCs w:val="21"/>
                <w14:textFill>
                  <w14:solidFill>
                    <w14:schemeClr w14:val="tx1"/>
                  </w14:solidFill>
                </w14:textFill>
              </w:rPr>
            </w:pPr>
            <w:r>
              <w:rPr>
                <w:rFonts w:ascii="Times New Roman" w:hAnsi="Times New Roman" w:eastAsia="黑体" w:cs="Times New Roman"/>
                <w:snapToGrid w:val="0"/>
                <w:color w:val="000000" w:themeColor="text1"/>
                <w:spacing w:val="-6"/>
                <w:kern w:val="21"/>
                <w:szCs w:val="21"/>
                <w14:textFill>
                  <w14:solidFill>
                    <w14:schemeClr w14:val="tx1"/>
                  </w14:solidFill>
                </w14:textFill>
              </w:rPr>
              <w:t>许可排放量</w:t>
            </w:r>
          </w:p>
          <w:p w14:paraId="5983B14D">
            <w:pPr>
              <w:adjustRightInd w:val="0"/>
              <w:snapToGrid w:val="0"/>
              <w:spacing w:line="259" w:lineRule="auto"/>
              <w:jc w:val="center"/>
              <w:rPr>
                <w:rFonts w:ascii="Times New Roman" w:hAnsi="Times New Roman" w:eastAsia="黑体" w:cs="Times New Roman"/>
                <w:snapToGrid w:val="0"/>
                <w:color w:val="000000" w:themeColor="text1"/>
                <w:spacing w:val="-6"/>
                <w:kern w:val="21"/>
                <w:szCs w:val="21"/>
                <w14:textFill>
                  <w14:solidFill>
                    <w14:schemeClr w14:val="tx1"/>
                  </w14:solidFill>
                </w14:textFill>
              </w:rPr>
            </w:pPr>
            <w:r>
              <w:rPr>
                <w:rFonts w:ascii="Times New Roman" w:hAnsi="Times New Roman" w:eastAsia="黑体" w:cs="Times New Roman"/>
                <w:snapToGrid w:val="0"/>
                <w:color w:val="000000" w:themeColor="text1"/>
                <w:spacing w:val="-6"/>
                <w:kern w:val="21"/>
                <w:szCs w:val="21"/>
                <w14:textFill>
                  <w14:solidFill>
                    <w14:schemeClr w14:val="tx1"/>
                  </w14:solidFill>
                </w14:textFill>
              </w:rPr>
              <w:fldChar w:fldCharType="begin"/>
            </w:r>
            <w:r>
              <w:rPr>
                <w:rFonts w:ascii="Times New Roman" w:hAnsi="Times New Roman" w:eastAsia="黑体" w:cs="Times New Roman"/>
                <w:snapToGrid w:val="0"/>
                <w:color w:val="000000" w:themeColor="text1"/>
                <w:spacing w:val="-6"/>
                <w:kern w:val="21"/>
                <w:szCs w:val="21"/>
                <w14:textFill>
                  <w14:solidFill>
                    <w14:schemeClr w14:val="tx1"/>
                  </w14:solidFill>
                </w14:textFill>
              </w:rPr>
              <w:instrText xml:space="preserve"> = 2 \* GB3 \* MERGEFORMAT </w:instrText>
            </w:r>
            <w:r>
              <w:rPr>
                <w:rFonts w:ascii="Times New Roman" w:hAnsi="Times New Roman" w:eastAsia="黑体" w:cs="Times New Roman"/>
                <w:snapToGrid w:val="0"/>
                <w:color w:val="000000" w:themeColor="text1"/>
                <w:spacing w:val="-6"/>
                <w:kern w:val="21"/>
                <w:szCs w:val="21"/>
                <w14:textFill>
                  <w14:solidFill>
                    <w14:schemeClr w14:val="tx1"/>
                  </w14:solidFill>
                </w14:textFill>
              </w:rPr>
              <w:fldChar w:fldCharType="separate"/>
            </w:r>
            <w:r>
              <w:rPr>
                <w:rFonts w:hint="eastAsia" w:ascii="宋体" w:hAnsi="宋体" w:eastAsia="宋体" w:cs="宋体"/>
                <w:snapToGrid w:val="0"/>
                <w:color w:val="000000" w:themeColor="text1"/>
                <w:spacing w:val="-6"/>
                <w:kern w:val="21"/>
                <w:szCs w:val="21"/>
                <w14:textFill>
                  <w14:solidFill>
                    <w14:schemeClr w14:val="tx1"/>
                  </w14:solidFill>
                </w14:textFill>
              </w:rPr>
              <w:t>②</w:t>
            </w:r>
            <w:r>
              <w:rPr>
                <w:rFonts w:ascii="Times New Roman" w:hAnsi="Times New Roman" w:eastAsia="黑体" w:cs="Times New Roman"/>
                <w:snapToGrid w:val="0"/>
                <w:color w:val="000000" w:themeColor="text1"/>
                <w:spacing w:val="-6"/>
                <w:kern w:val="21"/>
                <w:szCs w:val="21"/>
                <w14:textFill>
                  <w14:solidFill>
                    <w14:schemeClr w14:val="tx1"/>
                  </w14:solidFill>
                </w14:textFill>
              </w:rPr>
              <w:fldChar w:fldCharType="end"/>
            </w:r>
          </w:p>
        </w:tc>
        <w:tc>
          <w:tcPr>
            <w:tcW w:w="617" w:type="pct"/>
            <w:tcMar>
              <w:left w:w="28" w:type="dxa"/>
              <w:right w:w="28" w:type="dxa"/>
            </w:tcMar>
            <w:vAlign w:val="center"/>
          </w:tcPr>
          <w:p w14:paraId="5FB38E8B">
            <w:pPr>
              <w:adjustRightInd w:val="0"/>
              <w:snapToGrid w:val="0"/>
              <w:jc w:val="center"/>
              <w:rPr>
                <w:rFonts w:ascii="Times New Roman" w:hAnsi="Times New Roman" w:eastAsia="黑体" w:cs="Times New Roman"/>
                <w:snapToGrid w:val="0"/>
                <w:color w:val="000000" w:themeColor="text1"/>
                <w:spacing w:val="-6"/>
                <w:kern w:val="21"/>
                <w:szCs w:val="21"/>
                <w14:textFill>
                  <w14:solidFill>
                    <w14:schemeClr w14:val="tx1"/>
                  </w14:solidFill>
                </w14:textFill>
              </w:rPr>
            </w:pPr>
            <w:r>
              <w:rPr>
                <w:rFonts w:ascii="Times New Roman" w:hAnsi="Times New Roman" w:eastAsia="黑体" w:cs="Times New Roman"/>
                <w:snapToGrid w:val="0"/>
                <w:color w:val="000000" w:themeColor="text1"/>
                <w:spacing w:val="-6"/>
                <w:kern w:val="21"/>
                <w:szCs w:val="21"/>
                <w14:textFill>
                  <w14:solidFill>
                    <w14:schemeClr w14:val="tx1"/>
                  </w14:solidFill>
                </w14:textFill>
              </w:rPr>
              <w:t>在建工程</w:t>
            </w:r>
          </w:p>
          <w:p w14:paraId="6C4A2F68">
            <w:pPr>
              <w:adjustRightInd w:val="0"/>
              <w:snapToGrid w:val="0"/>
              <w:jc w:val="center"/>
              <w:rPr>
                <w:rFonts w:ascii="Times New Roman" w:hAnsi="Times New Roman" w:eastAsia="黑体" w:cs="Times New Roman"/>
                <w:snapToGrid w:val="0"/>
                <w:color w:val="000000" w:themeColor="text1"/>
                <w:spacing w:val="-6"/>
                <w:kern w:val="21"/>
                <w:szCs w:val="21"/>
                <w14:textFill>
                  <w14:solidFill>
                    <w14:schemeClr w14:val="tx1"/>
                  </w14:solidFill>
                </w14:textFill>
              </w:rPr>
            </w:pPr>
            <w:r>
              <w:rPr>
                <w:rFonts w:ascii="Times New Roman" w:hAnsi="Times New Roman" w:eastAsia="黑体" w:cs="Times New Roman"/>
                <w:snapToGrid w:val="0"/>
                <w:color w:val="000000" w:themeColor="text1"/>
                <w:spacing w:val="-6"/>
                <w:kern w:val="21"/>
                <w:szCs w:val="21"/>
                <w14:textFill>
                  <w14:solidFill>
                    <w14:schemeClr w14:val="tx1"/>
                  </w14:solidFill>
                </w14:textFill>
              </w:rPr>
              <w:t>排放量（固体废物产生量）</w:t>
            </w:r>
            <w:r>
              <w:rPr>
                <w:rFonts w:ascii="Times New Roman" w:hAnsi="Times New Roman" w:eastAsia="黑体" w:cs="Times New Roman"/>
                <w:snapToGrid w:val="0"/>
                <w:color w:val="000000" w:themeColor="text1"/>
                <w:spacing w:val="-6"/>
                <w:kern w:val="21"/>
                <w:szCs w:val="21"/>
                <w14:textFill>
                  <w14:solidFill>
                    <w14:schemeClr w14:val="tx1"/>
                  </w14:solidFill>
                </w14:textFill>
              </w:rPr>
              <w:fldChar w:fldCharType="begin"/>
            </w:r>
            <w:r>
              <w:rPr>
                <w:rFonts w:ascii="Times New Roman" w:hAnsi="Times New Roman" w:eastAsia="黑体" w:cs="Times New Roman"/>
                <w:snapToGrid w:val="0"/>
                <w:color w:val="000000" w:themeColor="text1"/>
                <w:spacing w:val="-6"/>
                <w:kern w:val="21"/>
                <w:szCs w:val="21"/>
                <w14:textFill>
                  <w14:solidFill>
                    <w14:schemeClr w14:val="tx1"/>
                  </w14:solidFill>
                </w14:textFill>
              </w:rPr>
              <w:instrText xml:space="preserve"> = 3 \* GB3 \* MERGEFORMAT </w:instrText>
            </w:r>
            <w:r>
              <w:rPr>
                <w:rFonts w:ascii="Times New Roman" w:hAnsi="Times New Roman" w:eastAsia="黑体" w:cs="Times New Roman"/>
                <w:snapToGrid w:val="0"/>
                <w:color w:val="000000" w:themeColor="text1"/>
                <w:spacing w:val="-6"/>
                <w:kern w:val="21"/>
                <w:szCs w:val="21"/>
                <w14:textFill>
                  <w14:solidFill>
                    <w14:schemeClr w14:val="tx1"/>
                  </w14:solidFill>
                </w14:textFill>
              </w:rPr>
              <w:fldChar w:fldCharType="separate"/>
            </w:r>
            <w:r>
              <w:rPr>
                <w:rFonts w:hint="eastAsia" w:ascii="宋体" w:hAnsi="宋体" w:eastAsia="宋体" w:cs="宋体"/>
                <w:color w:val="000000" w:themeColor="text1"/>
                <w:szCs w:val="21"/>
                <w14:textFill>
                  <w14:solidFill>
                    <w14:schemeClr w14:val="tx1"/>
                  </w14:solidFill>
                </w14:textFill>
              </w:rPr>
              <w:t>③</w:t>
            </w:r>
            <w:r>
              <w:rPr>
                <w:rFonts w:ascii="Times New Roman" w:hAnsi="Times New Roman" w:eastAsia="黑体" w:cs="Times New Roman"/>
                <w:snapToGrid w:val="0"/>
                <w:color w:val="000000" w:themeColor="text1"/>
                <w:spacing w:val="-6"/>
                <w:kern w:val="21"/>
                <w:szCs w:val="21"/>
                <w14:textFill>
                  <w14:solidFill>
                    <w14:schemeClr w14:val="tx1"/>
                  </w14:solidFill>
                </w14:textFill>
              </w:rPr>
              <w:fldChar w:fldCharType="end"/>
            </w:r>
          </w:p>
        </w:tc>
        <w:tc>
          <w:tcPr>
            <w:tcW w:w="565" w:type="pct"/>
            <w:tcMar>
              <w:left w:w="28" w:type="dxa"/>
              <w:right w:w="28" w:type="dxa"/>
            </w:tcMar>
            <w:vAlign w:val="center"/>
          </w:tcPr>
          <w:p w14:paraId="1EC44460">
            <w:pPr>
              <w:adjustRightInd w:val="0"/>
              <w:snapToGrid w:val="0"/>
              <w:jc w:val="center"/>
              <w:rPr>
                <w:rFonts w:ascii="Times New Roman" w:hAnsi="Times New Roman" w:eastAsia="黑体" w:cs="Times New Roman"/>
                <w:snapToGrid w:val="0"/>
                <w:color w:val="000000" w:themeColor="text1"/>
                <w:spacing w:val="-6"/>
                <w:kern w:val="21"/>
                <w:szCs w:val="21"/>
                <w14:textFill>
                  <w14:solidFill>
                    <w14:schemeClr w14:val="tx1"/>
                  </w14:solidFill>
                </w14:textFill>
              </w:rPr>
            </w:pPr>
            <w:r>
              <w:rPr>
                <w:rFonts w:ascii="Times New Roman" w:hAnsi="Times New Roman" w:eastAsia="黑体" w:cs="Times New Roman"/>
                <w:snapToGrid w:val="0"/>
                <w:color w:val="000000" w:themeColor="text1"/>
                <w:spacing w:val="-6"/>
                <w:kern w:val="21"/>
                <w:szCs w:val="21"/>
                <w14:textFill>
                  <w14:solidFill>
                    <w14:schemeClr w14:val="tx1"/>
                  </w14:solidFill>
                </w14:textFill>
              </w:rPr>
              <w:t>本项目</w:t>
            </w:r>
          </w:p>
          <w:p w14:paraId="4BCDCD3D">
            <w:pPr>
              <w:adjustRightInd w:val="0"/>
              <w:snapToGrid w:val="0"/>
              <w:jc w:val="center"/>
              <w:rPr>
                <w:rFonts w:ascii="Times New Roman" w:hAnsi="Times New Roman" w:eastAsia="黑体" w:cs="Times New Roman"/>
                <w:snapToGrid w:val="0"/>
                <w:color w:val="000000" w:themeColor="text1"/>
                <w:spacing w:val="-6"/>
                <w:kern w:val="21"/>
                <w:szCs w:val="21"/>
                <w14:textFill>
                  <w14:solidFill>
                    <w14:schemeClr w14:val="tx1"/>
                  </w14:solidFill>
                </w14:textFill>
              </w:rPr>
            </w:pPr>
            <w:r>
              <w:rPr>
                <w:rFonts w:ascii="Times New Roman" w:hAnsi="Times New Roman" w:eastAsia="黑体" w:cs="Times New Roman"/>
                <w:snapToGrid w:val="0"/>
                <w:color w:val="000000" w:themeColor="text1"/>
                <w:spacing w:val="-6"/>
                <w:kern w:val="21"/>
                <w:szCs w:val="21"/>
                <w14:textFill>
                  <w14:solidFill>
                    <w14:schemeClr w14:val="tx1"/>
                  </w14:solidFill>
                </w14:textFill>
              </w:rPr>
              <w:t>排放量（固体废物产生量）</w:t>
            </w:r>
            <w:r>
              <w:rPr>
                <w:rFonts w:ascii="Times New Roman" w:hAnsi="Times New Roman" w:eastAsia="黑体" w:cs="Times New Roman"/>
                <w:snapToGrid w:val="0"/>
                <w:color w:val="000000" w:themeColor="text1"/>
                <w:spacing w:val="-6"/>
                <w:kern w:val="21"/>
                <w:szCs w:val="21"/>
                <w14:textFill>
                  <w14:solidFill>
                    <w14:schemeClr w14:val="tx1"/>
                  </w14:solidFill>
                </w14:textFill>
              </w:rPr>
              <w:fldChar w:fldCharType="begin"/>
            </w:r>
            <w:r>
              <w:rPr>
                <w:rFonts w:ascii="Times New Roman" w:hAnsi="Times New Roman" w:eastAsia="黑体" w:cs="Times New Roman"/>
                <w:snapToGrid w:val="0"/>
                <w:color w:val="000000" w:themeColor="text1"/>
                <w:spacing w:val="-6"/>
                <w:kern w:val="21"/>
                <w:szCs w:val="21"/>
                <w14:textFill>
                  <w14:solidFill>
                    <w14:schemeClr w14:val="tx1"/>
                  </w14:solidFill>
                </w14:textFill>
              </w:rPr>
              <w:instrText xml:space="preserve"> = 4 \* GB3 \* MERGEFORMAT </w:instrText>
            </w:r>
            <w:r>
              <w:rPr>
                <w:rFonts w:ascii="Times New Roman" w:hAnsi="Times New Roman" w:eastAsia="黑体" w:cs="Times New Roman"/>
                <w:snapToGrid w:val="0"/>
                <w:color w:val="000000" w:themeColor="text1"/>
                <w:spacing w:val="-6"/>
                <w:kern w:val="21"/>
                <w:szCs w:val="21"/>
                <w14:textFill>
                  <w14:solidFill>
                    <w14:schemeClr w14:val="tx1"/>
                  </w14:solidFill>
                </w14:textFill>
              </w:rPr>
              <w:fldChar w:fldCharType="separate"/>
            </w:r>
            <w:r>
              <w:rPr>
                <w:rFonts w:hint="eastAsia" w:ascii="宋体" w:hAnsi="宋体" w:eastAsia="宋体" w:cs="宋体"/>
                <w:color w:val="000000" w:themeColor="text1"/>
                <w:szCs w:val="21"/>
                <w14:textFill>
                  <w14:solidFill>
                    <w14:schemeClr w14:val="tx1"/>
                  </w14:solidFill>
                </w14:textFill>
              </w:rPr>
              <w:t>④</w:t>
            </w:r>
            <w:r>
              <w:rPr>
                <w:rFonts w:ascii="Times New Roman" w:hAnsi="Times New Roman" w:eastAsia="黑体" w:cs="Times New Roman"/>
                <w:snapToGrid w:val="0"/>
                <w:color w:val="000000" w:themeColor="text1"/>
                <w:spacing w:val="-6"/>
                <w:kern w:val="21"/>
                <w:szCs w:val="21"/>
                <w14:textFill>
                  <w14:solidFill>
                    <w14:schemeClr w14:val="tx1"/>
                  </w14:solidFill>
                </w14:textFill>
              </w:rPr>
              <w:fldChar w:fldCharType="end"/>
            </w:r>
          </w:p>
        </w:tc>
        <w:tc>
          <w:tcPr>
            <w:tcW w:w="514" w:type="pct"/>
            <w:tcMar>
              <w:left w:w="28" w:type="dxa"/>
              <w:right w:w="28" w:type="dxa"/>
            </w:tcMar>
            <w:vAlign w:val="center"/>
          </w:tcPr>
          <w:p w14:paraId="7294B3AD">
            <w:pPr>
              <w:adjustRightInd w:val="0"/>
              <w:snapToGrid w:val="0"/>
              <w:jc w:val="center"/>
              <w:rPr>
                <w:rFonts w:ascii="Times New Roman" w:hAnsi="Times New Roman" w:eastAsia="黑体" w:cs="Times New Roman"/>
                <w:snapToGrid w:val="0"/>
                <w:color w:val="000000" w:themeColor="text1"/>
                <w:spacing w:val="-16"/>
                <w:kern w:val="21"/>
                <w:szCs w:val="21"/>
                <w14:textFill>
                  <w14:solidFill>
                    <w14:schemeClr w14:val="tx1"/>
                  </w14:solidFill>
                </w14:textFill>
              </w:rPr>
            </w:pPr>
            <w:r>
              <w:rPr>
                <w:rFonts w:ascii="Times New Roman" w:hAnsi="Times New Roman" w:eastAsia="黑体" w:cs="Times New Roman"/>
                <w:snapToGrid w:val="0"/>
                <w:color w:val="000000" w:themeColor="text1"/>
                <w:spacing w:val="-16"/>
                <w:kern w:val="21"/>
                <w:szCs w:val="21"/>
                <w14:textFill>
                  <w14:solidFill>
                    <w14:schemeClr w14:val="tx1"/>
                  </w14:solidFill>
                </w14:textFill>
              </w:rPr>
              <w:t>以新带老削减量</w:t>
            </w:r>
          </w:p>
          <w:p w14:paraId="5C5D3A25">
            <w:pPr>
              <w:adjustRightInd w:val="0"/>
              <w:snapToGrid w:val="0"/>
              <w:jc w:val="center"/>
              <w:rPr>
                <w:rFonts w:ascii="Times New Roman" w:hAnsi="Times New Roman" w:eastAsia="黑体" w:cs="Times New Roman"/>
                <w:snapToGrid w:val="0"/>
                <w:color w:val="000000" w:themeColor="text1"/>
                <w:spacing w:val="-16"/>
                <w:kern w:val="21"/>
                <w:szCs w:val="21"/>
                <w14:textFill>
                  <w14:solidFill>
                    <w14:schemeClr w14:val="tx1"/>
                  </w14:solidFill>
                </w14:textFill>
              </w:rPr>
            </w:pPr>
            <w:r>
              <w:rPr>
                <w:rFonts w:ascii="Times New Roman" w:hAnsi="Times New Roman" w:eastAsia="黑体" w:cs="Times New Roman"/>
                <w:snapToGrid w:val="0"/>
                <w:color w:val="000000" w:themeColor="text1"/>
                <w:spacing w:val="-16"/>
                <w:kern w:val="21"/>
                <w:szCs w:val="21"/>
                <w14:textFill>
                  <w14:solidFill>
                    <w14:schemeClr w14:val="tx1"/>
                  </w14:solidFill>
                </w14:textFill>
              </w:rPr>
              <w:t>（新建项目不填）</w:t>
            </w:r>
            <w:r>
              <w:rPr>
                <w:rFonts w:ascii="Times New Roman" w:hAnsi="Times New Roman" w:eastAsia="黑体" w:cs="Times New Roman"/>
                <w:snapToGrid w:val="0"/>
                <w:color w:val="000000" w:themeColor="text1"/>
                <w:spacing w:val="-16"/>
                <w:kern w:val="21"/>
                <w:szCs w:val="21"/>
                <w14:textFill>
                  <w14:solidFill>
                    <w14:schemeClr w14:val="tx1"/>
                  </w14:solidFill>
                </w14:textFill>
              </w:rPr>
              <w:fldChar w:fldCharType="begin"/>
            </w:r>
            <w:r>
              <w:rPr>
                <w:rFonts w:ascii="Times New Roman" w:hAnsi="Times New Roman" w:eastAsia="黑体" w:cs="Times New Roman"/>
                <w:snapToGrid w:val="0"/>
                <w:color w:val="000000" w:themeColor="text1"/>
                <w:spacing w:val="-16"/>
                <w:kern w:val="21"/>
                <w:szCs w:val="21"/>
                <w14:textFill>
                  <w14:solidFill>
                    <w14:schemeClr w14:val="tx1"/>
                  </w14:solidFill>
                </w14:textFill>
              </w:rPr>
              <w:instrText xml:space="preserve"> = 5 \* GB3 \* MERGEFORMAT </w:instrText>
            </w:r>
            <w:r>
              <w:rPr>
                <w:rFonts w:ascii="Times New Roman" w:hAnsi="Times New Roman" w:eastAsia="黑体" w:cs="Times New Roman"/>
                <w:snapToGrid w:val="0"/>
                <w:color w:val="000000" w:themeColor="text1"/>
                <w:spacing w:val="-16"/>
                <w:kern w:val="21"/>
                <w:szCs w:val="21"/>
                <w14:textFill>
                  <w14:solidFill>
                    <w14:schemeClr w14:val="tx1"/>
                  </w14:solidFill>
                </w14:textFill>
              </w:rPr>
              <w:fldChar w:fldCharType="separate"/>
            </w:r>
            <w:r>
              <w:rPr>
                <w:rFonts w:hint="eastAsia" w:ascii="宋体" w:hAnsi="宋体" w:eastAsia="宋体" w:cs="宋体"/>
                <w:color w:val="000000" w:themeColor="text1"/>
                <w:szCs w:val="21"/>
                <w14:textFill>
                  <w14:solidFill>
                    <w14:schemeClr w14:val="tx1"/>
                  </w14:solidFill>
                </w14:textFill>
              </w:rPr>
              <w:t>⑤</w:t>
            </w:r>
            <w:r>
              <w:rPr>
                <w:rFonts w:ascii="Times New Roman" w:hAnsi="Times New Roman" w:eastAsia="黑体" w:cs="Times New Roman"/>
                <w:snapToGrid w:val="0"/>
                <w:color w:val="000000" w:themeColor="text1"/>
                <w:spacing w:val="-16"/>
                <w:kern w:val="21"/>
                <w:szCs w:val="21"/>
                <w14:textFill>
                  <w14:solidFill>
                    <w14:schemeClr w14:val="tx1"/>
                  </w14:solidFill>
                </w14:textFill>
              </w:rPr>
              <w:fldChar w:fldCharType="end"/>
            </w:r>
          </w:p>
        </w:tc>
        <w:tc>
          <w:tcPr>
            <w:tcW w:w="617" w:type="pct"/>
            <w:tcMar>
              <w:left w:w="28" w:type="dxa"/>
              <w:right w:w="28" w:type="dxa"/>
            </w:tcMar>
            <w:vAlign w:val="center"/>
          </w:tcPr>
          <w:p w14:paraId="1827D7A9">
            <w:pPr>
              <w:adjustRightInd w:val="0"/>
              <w:snapToGrid w:val="0"/>
              <w:jc w:val="center"/>
              <w:rPr>
                <w:rFonts w:ascii="Times New Roman" w:hAnsi="Times New Roman" w:eastAsia="黑体" w:cs="Times New Roman"/>
                <w:snapToGrid w:val="0"/>
                <w:color w:val="000000" w:themeColor="text1"/>
                <w:spacing w:val="-16"/>
                <w:kern w:val="21"/>
                <w:szCs w:val="21"/>
                <w14:textFill>
                  <w14:solidFill>
                    <w14:schemeClr w14:val="tx1"/>
                  </w14:solidFill>
                </w14:textFill>
              </w:rPr>
            </w:pPr>
            <w:r>
              <w:rPr>
                <w:rFonts w:ascii="Times New Roman" w:hAnsi="Times New Roman" w:eastAsia="黑体" w:cs="Times New Roman"/>
                <w:snapToGrid w:val="0"/>
                <w:color w:val="000000" w:themeColor="text1"/>
                <w:spacing w:val="-16"/>
                <w:kern w:val="21"/>
                <w:szCs w:val="21"/>
                <w14:textFill>
                  <w14:solidFill>
                    <w14:schemeClr w14:val="tx1"/>
                  </w14:solidFill>
                </w14:textFill>
              </w:rPr>
              <w:t>本项目建成后</w:t>
            </w:r>
          </w:p>
          <w:p w14:paraId="07134A2A">
            <w:pPr>
              <w:adjustRightInd w:val="0"/>
              <w:snapToGrid w:val="0"/>
              <w:jc w:val="center"/>
              <w:rPr>
                <w:rFonts w:ascii="Times New Roman" w:hAnsi="Times New Roman" w:eastAsia="黑体" w:cs="Times New Roman"/>
                <w:snapToGrid w:val="0"/>
                <w:color w:val="000000" w:themeColor="text1"/>
                <w:spacing w:val="-16"/>
                <w:kern w:val="21"/>
                <w:szCs w:val="21"/>
                <w14:textFill>
                  <w14:solidFill>
                    <w14:schemeClr w14:val="tx1"/>
                  </w14:solidFill>
                </w14:textFill>
              </w:rPr>
            </w:pPr>
            <w:r>
              <w:rPr>
                <w:rFonts w:ascii="Times New Roman" w:hAnsi="Times New Roman" w:eastAsia="黑体" w:cs="Times New Roman"/>
                <w:snapToGrid w:val="0"/>
                <w:color w:val="000000" w:themeColor="text1"/>
                <w:spacing w:val="-16"/>
                <w:kern w:val="21"/>
                <w:szCs w:val="21"/>
                <w14:textFill>
                  <w14:solidFill>
                    <w14:schemeClr w14:val="tx1"/>
                  </w14:solidFill>
                </w14:textFill>
              </w:rPr>
              <w:t>全厂排放量（固体废物产生量）</w:t>
            </w:r>
            <w:r>
              <w:rPr>
                <w:rFonts w:ascii="Times New Roman" w:hAnsi="Times New Roman" w:eastAsia="黑体" w:cs="Times New Roman"/>
                <w:snapToGrid w:val="0"/>
                <w:color w:val="000000" w:themeColor="text1"/>
                <w:spacing w:val="-16"/>
                <w:kern w:val="21"/>
                <w:szCs w:val="21"/>
                <w14:textFill>
                  <w14:solidFill>
                    <w14:schemeClr w14:val="tx1"/>
                  </w14:solidFill>
                </w14:textFill>
              </w:rPr>
              <w:fldChar w:fldCharType="begin"/>
            </w:r>
            <w:r>
              <w:rPr>
                <w:rFonts w:ascii="Times New Roman" w:hAnsi="Times New Roman" w:eastAsia="黑体" w:cs="Times New Roman"/>
                <w:snapToGrid w:val="0"/>
                <w:color w:val="000000" w:themeColor="text1"/>
                <w:spacing w:val="-16"/>
                <w:kern w:val="21"/>
                <w:szCs w:val="21"/>
                <w14:textFill>
                  <w14:solidFill>
                    <w14:schemeClr w14:val="tx1"/>
                  </w14:solidFill>
                </w14:textFill>
              </w:rPr>
              <w:instrText xml:space="preserve"> = 6 \* GB3 \* MERGEFORMAT </w:instrText>
            </w:r>
            <w:r>
              <w:rPr>
                <w:rFonts w:ascii="Times New Roman" w:hAnsi="Times New Roman" w:eastAsia="黑体" w:cs="Times New Roman"/>
                <w:snapToGrid w:val="0"/>
                <w:color w:val="000000" w:themeColor="text1"/>
                <w:spacing w:val="-16"/>
                <w:kern w:val="21"/>
                <w:szCs w:val="21"/>
                <w14:textFill>
                  <w14:solidFill>
                    <w14:schemeClr w14:val="tx1"/>
                  </w14:solidFill>
                </w14:textFill>
              </w:rPr>
              <w:fldChar w:fldCharType="separate"/>
            </w:r>
            <w:r>
              <w:rPr>
                <w:rFonts w:hint="eastAsia" w:ascii="宋体" w:hAnsi="宋体" w:eastAsia="宋体" w:cs="宋体"/>
                <w:color w:val="000000" w:themeColor="text1"/>
                <w:szCs w:val="21"/>
                <w14:textFill>
                  <w14:solidFill>
                    <w14:schemeClr w14:val="tx1"/>
                  </w14:solidFill>
                </w14:textFill>
              </w:rPr>
              <w:t>⑥</w:t>
            </w:r>
            <w:r>
              <w:rPr>
                <w:rFonts w:ascii="Times New Roman" w:hAnsi="Times New Roman" w:eastAsia="黑体" w:cs="Times New Roman"/>
                <w:snapToGrid w:val="0"/>
                <w:color w:val="000000" w:themeColor="text1"/>
                <w:spacing w:val="-16"/>
                <w:kern w:val="21"/>
                <w:szCs w:val="21"/>
                <w14:textFill>
                  <w14:solidFill>
                    <w14:schemeClr w14:val="tx1"/>
                  </w14:solidFill>
                </w14:textFill>
              </w:rPr>
              <w:fldChar w:fldCharType="end"/>
            </w:r>
          </w:p>
        </w:tc>
        <w:tc>
          <w:tcPr>
            <w:tcW w:w="517" w:type="pct"/>
            <w:tcMar>
              <w:left w:w="28" w:type="dxa"/>
              <w:right w:w="28" w:type="dxa"/>
            </w:tcMar>
            <w:vAlign w:val="center"/>
          </w:tcPr>
          <w:p w14:paraId="7905C083">
            <w:pPr>
              <w:adjustRightInd w:val="0"/>
              <w:snapToGrid w:val="0"/>
              <w:jc w:val="center"/>
              <w:rPr>
                <w:rFonts w:ascii="Times New Roman" w:hAnsi="Times New Roman" w:eastAsia="黑体" w:cs="Times New Roman"/>
                <w:snapToGrid w:val="0"/>
                <w:color w:val="000000" w:themeColor="text1"/>
                <w:spacing w:val="-6"/>
                <w:kern w:val="21"/>
                <w:szCs w:val="21"/>
                <w14:textFill>
                  <w14:solidFill>
                    <w14:schemeClr w14:val="tx1"/>
                  </w14:solidFill>
                </w14:textFill>
              </w:rPr>
            </w:pPr>
            <w:r>
              <w:rPr>
                <w:rFonts w:ascii="Times New Roman" w:hAnsi="Times New Roman" w:eastAsia="黑体" w:cs="Times New Roman"/>
                <w:snapToGrid w:val="0"/>
                <w:color w:val="000000" w:themeColor="text1"/>
                <w:spacing w:val="-6"/>
                <w:kern w:val="21"/>
                <w:szCs w:val="21"/>
                <w14:textFill>
                  <w14:solidFill>
                    <w14:schemeClr w14:val="tx1"/>
                  </w14:solidFill>
                </w14:textFill>
              </w:rPr>
              <w:t>变化量</w:t>
            </w:r>
            <w:r>
              <w:rPr>
                <w:rFonts w:ascii="Times New Roman" w:hAnsi="Times New Roman" w:eastAsia="黑体" w:cs="Times New Roman"/>
                <w:snapToGrid w:val="0"/>
                <w:color w:val="000000" w:themeColor="text1"/>
                <w:spacing w:val="-6"/>
                <w:kern w:val="21"/>
                <w:szCs w:val="21"/>
                <w14:textFill>
                  <w14:solidFill>
                    <w14:schemeClr w14:val="tx1"/>
                  </w14:solidFill>
                </w14:textFill>
              </w:rPr>
              <w:fldChar w:fldCharType="begin"/>
            </w:r>
            <w:r>
              <w:rPr>
                <w:rFonts w:ascii="Times New Roman" w:hAnsi="Times New Roman" w:eastAsia="黑体" w:cs="Times New Roman"/>
                <w:snapToGrid w:val="0"/>
                <w:color w:val="000000" w:themeColor="text1"/>
                <w:spacing w:val="-6"/>
                <w:kern w:val="21"/>
                <w:szCs w:val="21"/>
                <w14:textFill>
                  <w14:solidFill>
                    <w14:schemeClr w14:val="tx1"/>
                  </w14:solidFill>
                </w14:textFill>
              </w:rPr>
              <w:instrText xml:space="preserve"> = 7 \* GB3 \* MERGEFORMAT </w:instrText>
            </w:r>
            <w:r>
              <w:rPr>
                <w:rFonts w:ascii="Times New Roman" w:hAnsi="Times New Roman" w:eastAsia="黑体" w:cs="Times New Roman"/>
                <w:snapToGrid w:val="0"/>
                <w:color w:val="000000" w:themeColor="text1"/>
                <w:spacing w:val="-6"/>
                <w:kern w:val="21"/>
                <w:szCs w:val="21"/>
                <w14:textFill>
                  <w14:solidFill>
                    <w14:schemeClr w14:val="tx1"/>
                  </w14:solidFill>
                </w14:textFill>
              </w:rPr>
              <w:fldChar w:fldCharType="separate"/>
            </w:r>
            <w:r>
              <w:rPr>
                <w:rFonts w:hint="eastAsia" w:ascii="宋体" w:hAnsi="宋体" w:eastAsia="宋体" w:cs="宋体"/>
                <w:color w:val="000000" w:themeColor="text1"/>
                <w:szCs w:val="21"/>
                <w14:textFill>
                  <w14:solidFill>
                    <w14:schemeClr w14:val="tx1"/>
                  </w14:solidFill>
                </w14:textFill>
              </w:rPr>
              <w:t>⑦</w:t>
            </w:r>
            <w:r>
              <w:rPr>
                <w:rFonts w:ascii="Times New Roman" w:hAnsi="Times New Roman" w:eastAsia="黑体" w:cs="Times New Roman"/>
                <w:snapToGrid w:val="0"/>
                <w:color w:val="000000" w:themeColor="text1"/>
                <w:spacing w:val="-6"/>
                <w:kern w:val="21"/>
                <w:szCs w:val="21"/>
                <w14:textFill>
                  <w14:solidFill>
                    <w14:schemeClr w14:val="tx1"/>
                  </w14:solidFill>
                </w14:textFill>
              </w:rPr>
              <w:fldChar w:fldCharType="end"/>
            </w:r>
          </w:p>
        </w:tc>
      </w:tr>
      <w:tr w14:paraId="5B5AC5D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restart"/>
            <w:vAlign w:val="center"/>
          </w:tcPr>
          <w:p w14:paraId="4057BF7F">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废气</w:t>
            </w:r>
          </w:p>
        </w:tc>
        <w:tc>
          <w:tcPr>
            <w:tcW w:w="720" w:type="pct"/>
            <w:vAlign w:val="center"/>
          </w:tcPr>
          <w:p w14:paraId="5F5FD153">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颗粒物</w:t>
            </w:r>
          </w:p>
        </w:tc>
        <w:tc>
          <w:tcPr>
            <w:tcW w:w="528" w:type="pct"/>
            <w:vAlign w:val="center"/>
          </w:tcPr>
          <w:p w14:paraId="60AA8370">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11.3691</w:t>
            </w:r>
          </w:p>
        </w:tc>
        <w:tc>
          <w:tcPr>
            <w:tcW w:w="463" w:type="pct"/>
            <w:vAlign w:val="center"/>
          </w:tcPr>
          <w:p w14:paraId="2965807D">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w:t>
            </w:r>
          </w:p>
        </w:tc>
        <w:tc>
          <w:tcPr>
            <w:tcW w:w="617" w:type="pct"/>
            <w:vAlign w:val="center"/>
          </w:tcPr>
          <w:p w14:paraId="2D463164">
            <w:pPr>
              <w:adjustRightInd w:val="0"/>
              <w:snapToGrid w:val="0"/>
              <w:jc w:val="center"/>
              <w:rPr>
                <w:rFonts w:ascii="Times New Roman" w:hAnsi="Times New Roman" w:eastAsia="宋体" w:cs="Times New Roman"/>
                <w:snapToGrid w:val="0"/>
                <w:color w:val="000000" w:themeColor="text1"/>
                <w:kern w:val="21"/>
                <w:sz w:val="20"/>
                <w:szCs w:val="20"/>
                <w14:textFill>
                  <w14:solidFill>
                    <w14:schemeClr w14:val="tx1"/>
                  </w14:solidFill>
                </w14:textFill>
              </w:rPr>
            </w:pPr>
            <w:r>
              <w:rPr>
                <w:rFonts w:ascii="Times New Roman" w:hAnsi="Times New Roman" w:eastAsia="宋体" w:cs="Times New Roman"/>
                <w:snapToGrid w:val="0"/>
                <w:color w:val="000000" w:themeColor="text1"/>
                <w:kern w:val="21"/>
                <w:sz w:val="20"/>
                <w:szCs w:val="20"/>
                <w14:textFill>
                  <w14:solidFill>
                    <w14:schemeClr w14:val="tx1"/>
                  </w14:solidFill>
                </w14:textFill>
              </w:rPr>
              <w:t>0</w:t>
            </w:r>
          </w:p>
        </w:tc>
        <w:tc>
          <w:tcPr>
            <w:tcW w:w="565" w:type="pct"/>
            <w:vAlign w:val="center"/>
          </w:tcPr>
          <w:p w14:paraId="31E639A1">
            <w:pPr>
              <w:widowControl/>
              <w:jc w:val="center"/>
              <w:rPr>
                <w:rFonts w:ascii="Times New Roman" w:hAnsi="Times New Roman" w:eastAsia="等线" w:cs="Times New Roman"/>
                <w:color w:val="000000" w:themeColor="text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0.012</w:t>
            </w:r>
          </w:p>
        </w:tc>
        <w:tc>
          <w:tcPr>
            <w:tcW w:w="514" w:type="pct"/>
            <w:vAlign w:val="center"/>
          </w:tcPr>
          <w:p w14:paraId="0606E824">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0.029</w:t>
            </w:r>
          </w:p>
        </w:tc>
        <w:tc>
          <w:tcPr>
            <w:tcW w:w="617" w:type="pct"/>
            <w:vAlign w:val="center"/>
          </w:tcPr>
          <w:p w14:paraId="1E82E2E0">
            <w:pPr>
              <w:widowControl/>
              <w:jc w:val="center"/>
              <w:rPr>
                <w:rFonts w:ascii="Times New Roman" w:hAnsi="Times New Roman" w:eastAsia="等线" w:cs="Times New Roman"/>
                <w:color w:val="000000" w:themeColor="text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11.3521</w:t>
            </w:r>
          </w:p>
        </w:tc>
        <w:tc>
          <w:tcPr>
            <w:tcW w:w="517" w:type="pct"/>
            <w:vAlign w:val="center"/>
          </w:tcPr>
          <w:p w14:paraId="39033373">
            <w:pPr>
              <w:adjustRightInd w:val="0"/>
              <w:snapToGrid w:val="0"/>
              <w:jc w:val="center"/>
              <w:rPr>
                <w:rFonts w:ascii="Times New Roman" w:hAnsi="Times New Roman" w:eastAsia="等线" w:cs="Times New Roman"/>
                <w:snapToGrid w:val="0"/>
                <w:color w:val="000000" w:themeColor="text1"/>
                <w:kern w:val="21"/>
                <w:szCs w:val="2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-0.017</w:t>
            </w:r>
          </w:p>
        </w:tc>
      </w:tr>
      <w:tr w14:paraId="2E59AF5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continue"/>
            <w:vAlign w:val="center"/>
          </w:tcPr>
          <w:p w14:paraId="07BD3EB5">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p>
        </w:tc>
        <w:tc>
          <w:tcPr>
            <w:tcW w:w="720" w:type="pct"/>
            <w:vAlign w:val="center"/>
          </w:tcPr>
          <w:p w14:paraId="58D0DA27">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SO</w:t>
            </w:r>
            <w:r>
              <w:rPr>
                <w:rFonts w:ascii="Times New Roman" w:hAnsi="Times New Roman" w:eastAsia="宋体" w:cs="Times New Roman"/>
                <w:color w:val="000000" w:themeColor="text1"/>
                <w:szCs w:val="21"/>
                <w:vertAlign w:val="subscript"/>
                <w14:textFill>
                  <w14:solidFill>
                    <w14:schemeClr w14:val="tx1"/>
                  </w14:solidFill>
                </w14:textFill>
              </w:rPr>
              <w:t>2</w:t>
            </w:r>
          </w:p>
        </w:tc>
        <w:tc>
          <w:tcPr>
            <w:tcW w:w="528" w:type="pct"/>
            <w:vAlign w:val="center"/>
          </w:tcPr>
          <w:p w14:paraId="468B4C87">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8.6365</w:t>
            </w:r>
          </w:p>
        </w:tc>
        <w:tc>
          <w:tcPr>
            <w:tcW w:w="463" w:type="pct"/>
            <w:vAlign w:val="center"/>
          </w:tcPr>
          <w:p w14:paraId="1DC906D4">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12</w:t>
            </w:r>
          </w:p>
        </w:tc>
        <w:tc>
          <w:tcPr>
            <w:tcW w:w="617" w:type="pct"/>
            <w:vAlign w:val="center"/>
          </w:tcPr>
          <w:p w14:paraId="4A7A9347">
            <w:pPr>
              <w:adjustRightInd w:val="0"/>
              <w:snapToGrid w:val="0"/>
              <w:jc w:val="center"/>
              <w:rPr>
                <w:rFonts w:ascii="Times New Roman" w:hAnsi="Times New Roman" w:eastAsia="宋体" w:cs="Times New Roman"/>
                <w:snapToGrid w:val="0"/>
                <w:color w:val="000000" w:themeColor="text1"/>
                <w:kern w:val="21"/>
                <w:sz w:val="20"/>
                <w:szCs w:val="20"/>
                <w14:textFill>
                  <w14:solidFill>
                    <w14:schemeClr w14:val="tx1"/>
                  </w14:solidFill>
                </w14:textFill>
              </w:rPr>
            </w:pPr>
            <w:r>
              <w:rPr>
                <w:rFonts w:ascii="Times New Roman" w:hAnsi="Times New Roman" w:eastAsia="宋体" w:cs="Times New Roman"/>
                <w:snapToGrid w:val="0"/>
                <w:color w:val="000000" w:themeColor="text1"/>
                <w:kern w:val="21"/>
                <w:sz w:val="20"/>
                <w:szCs w:val="20"/>
                <w14:textFill>
                  <w14:solidFill>
                    <w14:schemeClr w14:val="tx1"/>
                  </w14:solidFill>
                </w14:textFill>
              </w:rPr>
              <w:t>0</w:t>
            </w:r>
          </w:p>
        </w:tc>
        <w:tc>
          <w:tcPr>
            <w:tcW w:w="565" w:type="pct"/>
            <w:vAlign w:val="center"/>
          </w:tcPr>
          <w:p w14:paraId="4B15A597">
            <w:pPr>
              <w:widowControl/>
              <w:jc w:val="center"/>
              <w:rPr>
                <w:rFonts w:ascii="Times New Roman" w:hAnsi="Times New Roman" w:eastAsia="宋体" w:cs="Times New Roman"/>
                <w:color w:val="000000" w:themeColor="text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14" w:type="pct"/>
            <w:vAlign w:val="center"/>
          </w:tcPr>
          <w:p w14:paraId="3DB8B5AD">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617" w:type="pct"/>
            <w:vAlign w:val="center"/>
          </w:tcPr>
          <w:p w14:paraId="53BF4567">
            <w:pPr>
              <w:widowControl/>
              <w:jc w:val="center"/>
              <w:rPr>
                <w:rFonts w:ascii="Times New Roman" w:hAnsi="Times New Roman" w:eastAsia="等线" w:cs="Times New Roman"/>
                <w:color w:val="000000" w:themeColor="text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8.6365</w:t>
            </w:r>
          </w:p>
        </w:tc>
        <w:tc>
          <w:tcPr>
            <w:tcW w:w="517" w:type="pct"/>
            <w:vAlign w:val="center"/>
          </w:tcPr>
          <w:p w14:paraId="175868ED">
            <w:pPr>
              <w:adjustRightInd w:val="0"/>
              <w:snapToGrid w:val="0"/>
              <w:jc w:val="center"/>
              <w:rPr>
                <w:rFonts w:ascii="Times New Roman" w:hAnsi="Times New Roman" w:eastAsia="等线" w:cs="Times New Roman"/>
                <w:snapToGrid w:val="0"/>
                <w:color w:val="000000" w:themeColor="text1"/>
                <w:kern w:val="21"/>
                <w:szCs w:val="2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0</w:t>
            </w:r>
          </w:p>
        </w:tc>
      </w:tr>
      <w:tr w14:paraId="24284A2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continue"/>
            <w:vAlign w:val="center"/>
          </w:tcPr>
          <w:p w14:paraId="402B4AFD">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p>
        </w:tc>
        <w:tc>
          <w:tcPr>
            <w:tcW w:w="720" w:type="pct"/>
            <w:vAlign w:val="center"/>
          </w:tcPr>
          <w:p w14:paraId="5A08C881">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NOx</w:t>
            </w:r>
          </w:p>
        </w:tc>
        <w:tc>
          <w:tcPr>
            <w:tcW w:w="528" w:type="pct"/>
            <w:vAlign w:val="center"/>
          </w:tcPr>
          <w:p w14:paraId="48EB501D">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9.012</w:t>
            </w:r>
          </w:p>
        </w:tc>
        <w:tc>
          <w:tcPr>
            <w:tcW w:w="463" w:type="pct"/>
            <w:vAlign w:val="center"/>
          </w:tcPr>
          <w:p w14:paraId="24D88AB4">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0"/>
                <w:szCs w:val="21"/>
                <w14:textFill>
                  <w14:solidFill>
                    <w14:schemeClr w14:val="tx1"/>
                  </w14:solidFill>
                </w14:textFill>
              </w:rPr>
              <w:t>12.06</w:t>
            </w:r>
          </w:p>
        </w:tc>
        <w:tc>
          <w:tcPr>
            <w:tcW w:w="617" w:type="pct"/>
            <w:vAlign w:val="center"/>
          </w:tcPr>
          <w:p w14:paraId="20F8D704">
            <w:pPr>
              <w:adjustRightInd w:val="0"/>
              <w:snapToGrid w:val="0"/>
              <w:jc w:val="center"/>
              <w:rPr>
                <w:rFonts w:ascii="Times New Roman" w:hAnsi="Times New Roman" w:eastAsia="宋体" w:cs="Times New Roman"/>
                <w:snapToGrid w:val="0"/>
                <w:color w:val="000000" w:themeColor="text1"/>
                <w:kern w:val="21"/>
                <w:sz w:val="20"/>
                <w:szCs w:val="20"/>
                <w14:textFill>
                  <w14:solidFill>
                    <w14:schemeClr w14:val="tx1"/>
                  </w14:solidFill>
                </w14:textFill>
              </w:rPr>
            </w:pPr>
            <w:r>
              <w:rPr>
                <w:rFonts w:ascii="Times New Roman" w:hAnsi="Times New Roman" w:eastAsia="宋体" w:cs="Times New Roman"/>
                <w:snapToGrid w:val="0"/>
                <w:color w:val="000000" w:themeColor="text1"/>
                <w:kern w:val="21"/>
                <w:sz w:val="20"/>
                <w:szCs w:val="20"/>
                <w14:textFill>
                  <w14:solidFill>
                    <w14:schemeClr w14:val="tx1"/>
                  </w14:solidFill>
                </w14:textFill>
              </w:rPr>
              <w:t>0</w:t>
            </w:r>
          </w:p>
        </w:tc>
        <w:tc>
          <w:tcPr>
            <w:tcW w:w="565" w:type="pct"/>
            <w:vAlign w:val="center"/>
          </w:tcPr>
          <w:p w14:paraId="1B6F33A8">
            <w:pPr>
              <w:widowControl/>
              <w:jc w:val="center"/>
              <w:rPr>
                <w:rFonts w:ascii="Times New Roman" w:hAnsi="Times New Roman" w:eastAsia="等线" w:cs="Times New Roman"/>
                <w:color w:val="000000" w:themeColor="text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514" w:type="pct"/>
            <w:vAlign w:val="center"/>
          </w:tcPr>
          <w:p w14:paraId="657D754C">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0</w:t>
            </w:r>
          </w:p>
        </w:tc>
        <w:tc>
          <w:tcPr>
            <w:tcW w:w="617" w:type="pct"/>
            <w:vAlign w:val="center"/>
          </w:tcPr>
          <w:p w14:paraId="04598B3F">
            <w:pPr>
              <w:widowControl/>
              <w:jc w:val="center"/>
              <w:rPr>
                <w:rFonts w:ascii="Times New Roman" w:hAnsi="Times New Roman" w:eastAsia="等线" w:cs="Times New Roman"/>
                <w:color w:val="000000" w:themeColor="text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9.012</w:t>
            </w:r>
          </w:p>
        </w:tc>
        <w:tc>
          <w:tcPr>
            <w:tcW w:w="517" w:type="pct"/>
            <w:vAlign w:val="center"/>
          </w:tcPr>
          <w:p w14:paraId="6FC1FAC7">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0</w:t>
            </w:r>
          </w:p>
        </w:tc>
      </w:tr>
      <w:tr w14:paraId="1B4DE41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continue"/>
            <w:vAlign w:val="center"/>
          </w:tcPr>
          <w:p w14:paraId="7C1F80F6">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p>
        </w:tc>
        <w:tc>
          <w:tcPr>
            <w:tcW w:w="720" w:type="pct"/>
            <w:vAlign w:val="center"/>
          </w:tcPr>
          <w:p w14:paraId="3FE1F2DE">
            <w:pPr>
              <w:adjustRightInd w:val="0"/>
              <w:snapToGrid w:val="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氟化物</w:t>
            </w:r>
          </w:p>
        </w:tc>
        <w:tc>
          <w:tcPr>
            <w:tcW w:w="528" w:type="pct"/>
            <w:vAlign w:val="center"/>
          </w:tcPr>
          <w:p w14:paraId="6F6898DB">
            <w:pPr>
              <w:adjustRightInd w:val="0"/>
              <w:snapToGrid w:val="0"/>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0.6981</w:t>
            </w:r>
          </w:p>
        </w:tc>
        <w:tc>
          <w:tcPr>
            <w:tcW w:w="463" w:type="pct"/>
            <w:vAlign w:val="center"/>
          </w:tcPr>
          <w:p w14:paraId="33FD7004">
            <w:pPr>
              <w:adjustRightInd w:val="0"/>
              <w:snapToGrid w:val="0"/>
              <w:jc w:val="center"/>
              <w:rPr>
                <w:rFonts w:ascii="Times New Roman" w:hAnsi="Times New Roman" w:eastAsia="宋体" w:cs="Times New Roman"/>
                <w:snapToGrid w:val="0"/>
                <w:color w:val="000000" w:themeColor="text1"/>
                <w:kern w:val="0"/>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w:t>
            </w:r>
          </w:p>
        </w:tc>
        <w:tc>
          <w:tcPr>
            <w:tcW w:w="617" w:type="pct"/>
            <w:vAlign w:val="center"/>
          </w:tcPr>
          <w:p w14:paraId="4A0BCE2D">
            <w:pPr>
              <w:adjustRightInd w:val="0"/>
              <w:snapToGrid w:val="0"/>
              <w:jc w:val="center"/>
              <w:rPr>
                <w:rFonts w:ascii="Times New Roman" w:hAnsi="Times New Roman" w:eastAsia="宋体" w:cs="Times New Roman"/>
                <w:snapToGrid w:val="0"/>
                <w:color w:val="000000" w:themeColor="text1"/>
                <w:kern w:val="21"/>
                <w:sz w:val="20"/>
                <w:szCs w:val="20"/>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65" w:type="pct"/>
            <w:vAlign w:val="center"/>
          </w:tcPr>
          <w:p w14:paraId="68D75925">
            <w:pPr>
              <w:widowControl/>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0</w:t>
            </w:r>
          </w:p>
        </w:tc>
        <w:tc>
          <w:tcPr>
            <w:tcW w:w="514" w:type="pct"/>
            <w:vAlign w:val="center"/>
          </w:tcPr>
          <w:p w14:paraId="59950E7C">
            <w:pPr>
              <w:adjustRightInd w:val="0"/>
              <w:snapToGrid w:val="0"/>
              <w:jc w:val="center"/>
              <w:rPr>
                <w:rFonts w:ascii="Times New Roman" w:hAnsi="Times New Roman" w:eastAsia="宋体" w:cs="Times New Roman"/>
                <w:color w:val="000000" w:themeColor="text1"/>
                <w:kern w:val="0"/>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0</w:t>
            </w:r>
          </w:p>
        </w:tc>
        <w:tc>
          <w:tcPr>
            <w:tcW w:w="617" w:type="pct"/>
            <w:vAlign w:val="center"/>
          </w:tcPr>
          <w:p w14:paraId="2B344853">
            <w:pPr>
              <w:widowControl/>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0.6981</w:t>
            </w:r>
          </w:p>
        </w:tc>
        <w:tc>
          <w:tcPr>
            <w:tcW w:w="517" w:type="pct"/>
            <w:vAlign w:val="center"/>
          </w:tcPr>
          <w:p w14:paraId="6B4A3D23">
            <w:pPr>
              <w:adjustRightInd w:val="0"/>
              <w:snapToGrid w:val="0"/>
              <w:jc w:val="center"/>
              <w:rPr>
                <w:rFonts w:ascii="Times New Roman" w:hAnsi="Times New Roman" w:eastAsia="等线" w:cs="Times New Roman"/>
                <w:color w:val="000000" w:themeColor="text1"/>
                <w:kern w:val="0"/>
                <w:szCs w:val="2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0</w:t>
            </w:r>
          </w:p>
        </w:tc>
      </w:tr>
      <w:tr w14:paraId="520B2FE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continue"/>
            <w:vAlign w:val="center"/>
          </w:tcPr>
          <w:p w14:paraId="120AB992">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p>
        </w:tc>
        <w:tc>
          <w:tcPr>
            <w:tcW w:w="720" w:type="pct"/>
            <w:vAlign w:val="center"/>
          </w:tcPr>
          <w:p w14:paraId="2000CFCA">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hint="eastAsia" w:ascii="Times New Roman" w:hAnsi="Times New Roman" w:eastAsia="宋体" w:cs="Times New Roman"/>
                <w:color w:val="000000" w:themeColor="text1"/>
                <w:szCs w:val="21"/>
                <w14:textFill>
                  <w14:solidFill>
                    <w14:schemeClr w14:val="tx1"/>
                  </w14:solidFill>
                </w14:textFill>
              </w:rPr>
              <w:t>二噁英</w:t>
            </w:r>
          </w:p>
        </w:tc>
        <w:tc>
          <w:tcPr>
            <w:tcW w:w="528" w:type="pct"/>
            <w:vAlign w:val="center"/>
          </w:tcPr>
          <w:p w14:paraId="40FC6C05">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cs="Times New Roman"/>
                <w:color w:val="000000"/>
                <w:szCs w:val="21"/>
              </w:rPr>
              <w:t>69.984</w:t>
            </w:r>
            <w:r>
              <w:rPr>
                <w:rFonts w:ascii="Times New Roman" w:hAnsi="Times New Roman" w:eastAsia="宋体" w:cs="Times New Roman"/>
                <w:szCs w:val="21"/>
              </w:rPr>
              <w:t xml:space="preserve"> mg/a</w:t>
            </w:r>
          </w:p>
        </w:tc>
        <w:tc>
          <w:tcPr>
            <w:tcW w:w="463" w:type="pct"/>
            <w:vAlign w:val="center"/>
          </w:tcPr>
          <w:p w14:paraId="02CDE515">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w:t>
            </w:r>
          </w:p>
        </w:tc>
        <w:tc>
          <w:tcPr>
            <w:tcW w:w="617" w:type="pct"/>
            <w:vAlign w:val="center"/>
          </w:tcPr>
          <w:p w14:paraId="51491E5E">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65" w:type="pct"/>
            <w:vAlign w:val="center"/>
          </w:tcPr>
          <w:p w14:paraId="600FCCEE">
            <w:pPr>
              <w:jc w:val="center"/>
              <w:rPr>
                <w:rFonts w:ascii="Times New Roman" w:hAnsi="Times New Roman" w:eastAsia="等线" w:cs="Times New Roman"/>
                <w:color w:val="000000" w:themeColor="text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0</w:t>
            </w:r>
          </w:p>
        </w:tc>
        <w:tc>
          <w:tcPr>
            <w:tcW w:w="514" w:type="pct"/>
            <w:vAlign w:val="center"/>
          </w:tcPr>
          <w:p w14:paraId="34DBC227">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bCs/>
                <w:color w:val="000000" w:themeColor="text1"/>
                <w:kern w:val="0"/>
                <w:szCs w:val="21"/>
                <w14:textFill>
                  <w14:solidFill>
                    <w14:schemeClr w14:val="tx1"/>
                  </w14:solidFill>
                </w14:textFill>
              </w:rPr>
              <w:t>0</w:t>
            </w:r>
          </w:p>
        </w:tc>
        <w:tc>
          <w:tcPr>
            <w:tcW w:w="617" w:type="pct"/>
            <w:vAlign w:val="center"/>
          </w:tcPr>
          <w:p w14:paraId="750EC77D">
            <w:pPr>
              <w:jc w:val="center"/>
              <w:rPr>
                <w:rFonts w:ascii="Times New Roman" w:hAnsi="Times New Roman" w:eastAsia="等线" w:cs="Times New Roman"/>
                <w:color w:val="000000" w:themeColor="text1"/>
                <w14:textFill>
                  <w14:solidFill>
                    <w14:schemeClr w14:val="tx1"/>
                  </w14:solidFill>
                </w14:textFill>
              </w:rPr>
            </w:pPr>
            <w:r>
              <w:rPr>
                <w:rFonts w:ascii="Times New Roman" w:hAnsi="Times New Roman" w:cs="Times New Roman"/>
                <w:color w:val="000000"/>
                <w:szCs w:val="21"/>
              </w:rPr>
              <w:t>69.984</w:t>
            </w:r>
            <w:r>
              <w:rPr>
                <w:rFonts w:ascii="Times New Roman" w:hAnsi="Times New Roman" w:eastAsia="宋体" w:cs="Times New Roman"/>
                <w:szCs w:val="21"/>
              </w:rPr>
              <w:t xml:space="preserve"> mg/a</w:t>
            </w:r>
          </w:p>
        </w:tc>
        <w:tc>
          <w:tcPr>
            <w:tcW w:w="517" w:type="pct"/>
            <w:vAlign w:val="center"/>
          </w:tcPr>
          <w:p w14:paraId="4A642DD5">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等线" w:cs="Times New Roman"/>
                <w:color w:val="000000" w:themeColor="text1"/>
                <w:kern w:val="0"/>
                <w:szCs w:val="21"/>
                <w14:textFill>
                  <w14:solidFill>
                    <w14:schemeClr w14:val="tx1"/>
                  </w14:solidFill>
                </w14:textFill>
              </w:rPr>
              <w:t>0</w:t>
            </w:r>
          </w:p>
        </w:tc>
      </w:tr>
      <w:tr w14:paraId="0E9BF44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restart"/>
            <w:vAlign w:val="center"/>
          </w:tcPr>
          <w:p w14:paraId="73BA13FB">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废水</w:t>
            </w:r>
          </w:p>
        </w:tc>
        <w:tc>
          <w:tcPr>
            <w:tcW w:w="720" w:type="pct"/>
            <w:vAlign w:val="center"/>
          </w:tcPr>
          <w:p w14:paraId="6020B600">
            <w:pPr>
              <w:widowControl/>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COD</w:t>
            </w:r>
          </w:p>
        </w:tc>
        <w:tc>
          <w:tcPr>
            <w:tcW w:w="528" w:type="pct"/>
            <w:vAlign w:val="center"/>
          </w:tcPr>
          <w:p w14:paraId="6A4CF5C4">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463" w:type="pct"/>
            <w:vAlign w:val="center"/>
          </w:tcPr>
          <w:p w14:paraId="678E3DC3">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617" w:type="pct"/>
            <w:vAlign w:val="center"/>
          </w:tcPr>
          <w:p w14:paraId="2693435C">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65" w:type="pct"/>
            <w:vAlign w:val="center"/>
          </w:tcPr>
          <w:p w14:paraId="41FC93CC">
            <w:pPr>
              <w:widowControl/>
              <w:jc w:val="center"/>
              <w:rPr>
                <w:rFonts w:ascii="Times New Roman" w:hAnsi="Times New Roman" w:eastAsia="等线" w:cs="Times New Roman"/>
                <w:color w:val="000000" w:themeColor="text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14" w:type="pct"/>
            <w:vAlign w:val="center"/>
          </w:tcPr>
          <w:p w14:paraId="49CAE33C">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617" w:type="pct"/>
            <w:vAlign w:val="center"/>
          </w:tcPr>
          <w:p w14:paraId="6F9E99AB">
            <w:pPr>
              <w:widowControl/>
              <w:jc w:val="center"/>
              <w:rPr>
                <w:rFonts w:ascii="Times New Roman" w:hAnsi="Times New Roman" w:eastAsia="等线" w:cs="Times New Roman"/>
                <w:color w:val="000000" w:themeColor="text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17" w:type="pct"/>
            <w:vAlign w:val="center"/>
          </w:tcPr>
          <w:p w14:paraId="736FE6C8">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r>
      <w:tr w14:paraId="4190DB2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continue"/>
            <w:vAlign w:val="center"/>
          </w:tcPr>
          <w:p w14:paraId="6D81DD56">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p>
        </w:tc>
        <w:tc>
          <w:tcPr>
            <w:tcW w:w="720" w:type="pct"/>
            <w:vAlign w:val="center"/>
          </w:tcPr>
          <w:p w14:paraId="7D082FF0">
            <w:pPr>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BOD</w:t>
            </w:r>
          </w:p>
        </w:tc>
        <w:tc>
          <w:tcPr>
            <w:tcW w:w="528" w:type="pct"/>
            <w:vAlign w:val="center"/>
          </w:tcPr>
          <w:p w14:paraId="7CA0DA42">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463" w:type="pct"/>
            <w:vAlign w:val="center"/>
          </w:tcPr>
          <w:p w14:paraId="42558D36">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617" w:type="pct"/>
            <w:vAlign w:val="center"/>
          </w:tcPr>
          <w:p w14:paraId="00E48C66">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65" w:type="pct"/>
            <w:vAlign w:val="center"/>
          </w:tcPr>
          <w:p w14:paraId="4288278C">
            <w:pPr>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14" w:type="pct"/>
            <w:vAlign w:val="center"/>
          </w:tcPr>
          <w:p w14:paraId="5A36F83A">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617" w:type="pct"/>
            <w:vAlign w:val="center"/>
          </w:tcPr>
          <w:p w14:paraId="240121D4">
            <w:pPr>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17" w:type="pct"/>
            <w:vAlign w:val="center"/>
          </w:tcPr>
          <w:p w14:paraId="494255BD">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r>
      <w:tr w14:paraId="19E37F3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continue"/>
            <w:vAlign w:val="center"/>
          </w:tcPr>
          <w:p w14:paraId="73261856">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p>
        </w:tc>
        <w:tc>
          <w:tcPr>
            <w:tcW w:w="720" w:type="pct"/>
            <w:vAlign w:val="center"/>
          </w:tcPr>
          <w:p w14:paraId="156EB4D4">
            <w:pPr>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NH</w:t>
            </w:r>
            <w:r>
              <w:rPr>
                <w:rFonts w:ascii="Times New Roman" w:hAnsi="Times New Roman" w:eastAsia="等线" w:cs="Times New Roman"/>
                <w:color w:val="000000" w:themeColor="text1"/>
                <w:szCs w:val="21"/>
                <w:vertAlign w:val="subscript"/>
                <w14:textFill>
                  <w14:solidFill>
                    <w14:schemeClr w14:val="tx1"/>
                  </w14:solidFill>
                </w14:textFill>
              </w:rPr>
              <w:t>3</w:t>
            </w:r>
            <w:r>
              <w:rPr>
                <w:rFonts w:ascii="Times New Roman" w:hAnsi="Times New Roman" w:eastAsia="等线" w:cs="Times New Roman"/>
                <w:color w:val="000000" w:themeColor="text1"/>
                <w:szCs w:val="21"/>
                <w14:textFill>
                  <w14:solidFill>
                    <w14:schemeClr w14:val="tx1"/>
                  </w14:solidFill>
                </w14:textFill>
              </w:rPr>
              <w:t>-N</w:t>
            </w:r>
          </w:p>
        </w:tc>
        <w:tc>
          <w:tcPr>
            <w:tcW w:w="528" w:type="pct"/>
            <w:vAlign w:val="center"/>
          </w:tcPr>
          <w:p w14:paraId="362D6EAD">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463" w:type="pct"/>
            <w:vAlign w:val="center"/>
          </w:tcPr>
          <w:p w14:paraId="44A0B138">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617" w:type="pct"/>
            <w:vAlign w:val="center"/>
          </w:tcPr>
          <w:p w14:paraId="28E24B65">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65" w:type="pct"/>
            <w:vAlign w:val="center"/>
          </w:tcPr>
          <w:p w14:paraId="1A8BCD28">
            <w:pPr>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14" w:type="pct"/>
            <w:vAlign w:val="center"/>
          </w:tcPr>
          <w:p w14:paraId="31E94C89">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617" w:type="pct"/>
            <w:vAlign w:val="center"/>
          </w:tcPr>
          <w:p w14:paraId="338CC6AB">
            <w:pPr>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17" w:type="pct"/>
            <w:vAlign w:val="center"/>
          </w:tcPr>
          <w:p w14:paraId="56E4B7E9">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r>
      <w:tr w14:paraId="5AB7203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continue"/>
            <w:vAlign w:val="center"/>
          </w:tcPr>
          <w:p w14:paraId="770A0887">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p>
        </w:tc>
        <w:tc>
          <w:tcPr>
            <w:tcW w:w="720" w:type="pct"/>
            <w:vAlign w:val="center"/>
          </w:tcPr>
          <w:p w14:paraId="057A7A82">
            <w:pPr>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TN</w:t>
            </w:r>
          </w:p>
        </w:tc>
        <w:tc>
          <w:tcPr>
            <w:tcW w:w="528" w:type="pct"/>
            <w:vAlign w:val="center"/>
          </w:tcPr>
          <w:p w14:paraId="28EB09D0">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463" w:type="pct"/>
            <w:vAlign w:val="center"/>
          </w:tcPr>
          <w:p w14:paraId="38299E7A">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617" w:type="pct"/>
            <w:vAlign w:val="center"/>
          </w:tcPr>
          <w:p w14:paraId="419ED883">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65" w:type="pct"/>
            <w:vAlign w:val="center"/>
          </w:tcPr>
          <w:p w14:paraId="480948B7">
            <w:pPr>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14" w:type="pct"/>
            <w:vAlign w:val="center"/>
          </w:tcPr>
          <w:p w14:paraId="34DFA899">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617" w:type="pct"/>
            <w:vAlign w:val="center"/>
          </w:tcPr>
          <w:p w14:paraId="379B81AA">
            <w:pPr>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17" w:type="pct"/>
            <w:vAlign w:val="center"/>
          </w:tcPr>
          <w:p w14:paraId="5E85C18C">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r>
      <w:tr w14:paraId="7F1F50A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continue"/>
            <w:vAlign w:val="center"/>
          </w:tcPr>
          <w:p w14:paraId="3AC5F5ED">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p>
        </w:tc>
        <w:tc>
          <w:tcPr>
            <w:tcW w:w="720" w:type="pct"/>
            <w:vAlign w:val="center"/>
          </w:tcPr>
          <w:p w14:paraId="2F7EEEE8">
            <w:pPr>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TP</w:t>
            </w:r>
          </w:p>
        </w:tc>
        <w:tc>
          <w:tcPr>
            <w:tcW w:w="528" w:type="pct"/>
            <w:vAlign w:val="center"/>
          </w:tcPr>
          <w:p w14:paraId="0D8AFE80">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463" w:type="pct"/>
            <w:vAlign w:val="center"/>
          </w:tcPr>
          <w:p w14:paraId="3BF0F2C0">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617" w:type="pct"/>
            <w:vAlign w:val="center"/>
          </w:tcPr>
          <w:p w14:paraId="7CC93051">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65" w:type="pct"/>
            <w:vAlign w:val="center"/>
          </w:tcPr>
          <w:p w14:paraId="41300C20">
            <w:pPr>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14" w:type="pct"/>
            <w:vAlign w:val="center"/>
          </w:tcPr>
          <w:p w14:paraId="5412826D">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617" w:type="pct"/>
            <w:vAlign w:val="center"/>
          </w:tcPr>
          <w:p w14:paraId="75411328">
            <w:pPr>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17" w:type="pct"/>
            <w:vAlign w:val="center"/>
          </w:tcPr>
          <w:p w14:paraId="7B25FF0F">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r>
      <w:tr w14:paraId="52668B5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continue"/>
            <w:vAlign w:val="center"/>
          </w:tcPr>
          <w:p w14:paraId="54D54C68">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p>
        </w:tc>
        <w:tc>
          <w:tcPr>
            <w:tcW w:w="720" w:type="pct"/>
            <w:vAlign w:val="center"/>
          </w:tcPr>
          <w:p w14:paraId="58E087A7">
            <w:pPr>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等线" w:cs="Times New Roman"/>
                <w:color w:val="000000" w:themeColor="text1"/>
                <w:szCs w:val="21"/>
                <w14:textFill>
                  <w14:solidFill>
                    <w14:schemeClr w14:val="tx1"/>
                  </w14:solidFill>
                </w14:textFill>
              </w:rPr>
              <w:t>SS</w:t>
            </w:r>
          </w:p>
        </w:tc>
        <w:tc>
          <w:tcPr>
            <w:tcW w:w="528" w:type="pct"/>
            <w:vAlign w:val="center"/>
          </w:tcPr>
          <w:p w14:paraId="72252B17">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463" w:type="pct"/>
            <w:vAlign w:val="center"/>
          </w:tcPr>
          <w:p w14:paraId="74CEBA41">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617" w:type="pct"/>
            <w:vAlign w:val="center"/>
          </w:tcPr>
          <w:p w14:paraId="0FF9964B">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65" w:type="pct"/>
            <w:vAlign w:val="center"/>
          </w:tcPr>
          <w:p w14:paraId="430A700C">
            <w:pPr>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14" w:type="pct"/>
            <w:vAlign w:val="center"/>
          </w:tcPr>
          <w:p w14:paraId="6C785596">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617" w:type="pct"/>
            <w:vAlign w:val="center"/>
          </w:tcPr>
          <w:p w14:paraId="3C6B6A3A">
            <w:pPr>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17" w:type="pct"/>
            <w:vAlign w:val="center"/>
          </w:tcPr>
          <w:p w14:paraId="6F514299">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r>
      <w:tr w14:paraId="2FC4736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continue"/>
            <w:vAlign w:val="center"/>
          </w:tcPr>
          <w:p w14:paraId="6D280E0B">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p>
        </w:tc>
        <w:tc>
          <w:tcPr>
            <w:tcW w:w="720" w:type="pct"/>
            <w:vAlign w:val="center"/>
          </w:tcPr>
          <w:p w14:paraId="5C2F959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动植物油</w:t>
            </w:r>
          </w:p>
        </w:tc>
        <w:tc>
          <w:tcPr>
            <w:tcW w:w="528" w:type="pct"/>
            <w:vAlign w:val="center"/>
          </w:tcPr>
          <w:p w14:paraId="32ADA32D">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463" w:type="pct"/>
            <w:vAlign w:val="center"/>
          </w:tcPr>
          <w:p w14:paraId="5FA4ECB1">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617" w:type="pct"/>
            <w:vAlign w:val="center"/>
          </w:tcPr>
          <w:p w14:paraId="5AB2B783">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65" w:type="pct"/>
            <w:vAlign w:val="center"/>
          </w:tcPr>
          <w:p w14:paraId="3567646B">
            <w:pPr>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14" w:type="pct"/>
            <w:vAlign w:val="center"/>
          </w:tcPr>
          <w:p w14:paraId="2BA5B864">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617" w:type="pct"/>
            <w:vAlign w:val="center"/>
          </w:tcPr>
          <w:p w14:paraId="060C266D">
            <w:pPr>
              <w:jc w:val="center"/>
              <w:rPr>
                <w:rFonts w:ascii="Times New Roman" w:hAnsi="Times New Roman" w:eastAsia="等线"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17" w:type="pct"/>
            <w:vAlign w:val="center"/>
          </w:tcPr>
          <w:p w14:paraId="3F1F5618">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r>
      <w:tr w14:paraId="343A707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restart"/>
            <w:vAlign w:val="center"/>
          </w:tcPr>
          <w:p w14:paraId="0CA5C75B">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一般工业</w:t>
            </w:r>
          </w:p>
          <w:p w14:paraId="1EEFE27A">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固体废物</w:t>
            </w:r>
          </w:p>
        </w:tc>
        <w:tc>
          <w:tcPr>
            <w:tcW w:w="720" w:type="pct"/>
            <w:vAlign w:val="center"/>
          </w:tcPr>
          <w:p w14:paraId="7AE24AA1">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边角料和废砖坯</w:t>
            </w:r>
          </w:p>
        </w:tc>
        <w:tc>
          <w:tcPr>
            <w:tcW w:w="528" w:type="pct"/>
            <w:vAlign w:val="center"/>
          </w:tcPr>
          <w:p w14:paraId="54BBCA24">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7840</w:t>
            </w:r>
          </w:p>
        </w:tc>
        <w:tc>
          <w:tcPr>
            <w:tcW w:w="463" w:type="pct"/>
            <w:vAlign w:val="center"/>
          </w:tcPr>
          <w:p w14:paraId="0BECC3E9">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w:t>
            </w:r>
          </w:p>
        </w:tc>
        <w:tc>
          <w:tcPr>
            <w:tcW w:w="617" w:type="pct"/>
            <w:vAlign w:val="center"/>
          </w:tcPr>
          <w:p w14:paraId="38ABC4C7">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 w:val="20"/>
                <w:szCs w:val="20"/>
                <w14:textFill>
                  <w14:solidFill>
                    <w14:schemeClr w14:val="tx1"/>
                  </w14:solidFill>
                </w14:textFill>
              </w:rPr>
              <w:t>0</w:t>
            </w:r>
          </w:p>
        </w:tc>
        <w:tc>
          <w:tcPr>
            <w:tcW w:w="565" w:type="pct"/>
            <w:vAlign w:val="center"/>
          </w:tcPr>
          <w:p w14:paraId="0274815E">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 w:val="20"/>
                <w:szCs w:val="20"/>
                <w14:textFill>
                  <w14:solidFill>
                    <w14:schemeClr w14:val="tx1"/>
                  </w14:solidFill>
                </w14:textFill>
              </w:rPr>
              <w:t>0</w:t>
            </w:r>
          </w:p>
        </w:tc>
        <w:tc>
          <w:tcPr>
            <w:tcW w:w="514" w:type="pct"/>
            <w:vAlign w:val="center"/>
          </w:tcPr>
          <w:p w14:paraId="52773704">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 w:val="20"/>
                <w:szCs w:val="20"/>
                <w14:textFill>
                  <w14:solidFill>
                    <w14:schemeClr w14:val="tx1"/>
                  </w14:solidFill>
                </w14:textFill>
              </w:rPr>
              <w:t>0</w:t>
            </w:r>
          </w:p>
        </w:tc>
        <w:tc>
          <w:tcPr>
            <w:tcW w:w="617" w:type="pct"/>
            <w:vAlign w:val="center"/>
          </w:tcPr>
          <w:p w14:paraId="4C633DD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7840</w:t>
            </w:r>
          </w:p>
        </w:tc>
        <w:tc>
          <w:tcPr>
            <w:tcW w:w="517" w:type="pct"/>
            <w:vAlign w:val="center"/>
          </w:tcPr>
          <w:p w14:paraId="0FABCEB4">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 w:val="20"/>
                <w:szCs w:val="20"/>
                <w14:textFill>
                  <w14:solidFill>
                    <w14:schemeClr w14:val="tx1"/>
                  </w14:solidFill>
                </w14:textFill>
              </w:rPr>
              <w:t>0</w:t>
            </w:r>
          </w:p>
        </w:tc>
      </w:tr>
      <w:tr w14:paraId="24633EE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continue"/>
            <w:vAlign w:val="center"/>
          </w:tcPr>
          <w:p w14:paraId="6A35522B">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p>
        </w:tc>
        <w:tc>
          <w:tcPr>
            <w:tcW w:w="720" w:type="pct"/>
            <w:vAlign w:val="center"/>
          </w:tcPr>
          <w:p w14:paraId="361E14EC">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生产废砖</w:t>
            </w:r>
          </w:p>
        </w:tc>
        <w:tc>
          <w:tcPr>
            <w:tcW w:w="528" w:type="pct"/>
            <w:vAlign w:val="center"/>
          </w:tcPr>
          <w:p w14:paraId="47222296">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980</w:t>
            </w:r>
          </w:p>
        </w:tc>
        <w:tc>
          <w:tcPr>
            <w:tcW w:w="463" w:type="pct"/>
            <w:vAlign w:val="center"/>
          </w:tcPr>
          <w:p w14:paraId="01D579A7">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w:t>
            </w:r>
          </w:p>
        </w:tc>
        <w:tc>
          <w:tcPr>
            <w:tcW w:w="617" w:type="pct"/>
            <w:vAlign w:val="center"/>
          </w:tcPr>
          <w:p w14:paraId="569096D2">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 w:val="20"/>
                <w:szCs w:val="20"/>
                <w14:textFill>
                  <w14:solidFill>
                    <w14:schemeClr w14:val="tx1"/>
                  </w14:solidFill>
                </w14:textFill>
              </w:rPr>
              <w:t>0</w:t>
            </w:r>
          </w:p>
        </w:tc>
        <w:tc>
          <w:tcPr>
            <w:tcW w:w="565" w:type="pct"/>
            <w:vAlign w:val="center"/>
          </w:tcPr>
          <w:p w14:paraId="1CEBE564">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 w:val="20"/>
                <w:szCs w:val="20"/>
                <w14:textFill>
                  <w14:solidFill>
                    <w14:schemeClr w14:val="tx1"/>
                  </w14:solidFill>
                </w14:textFill>
              </w:rPr>
              <w:t>0</w:t>
            </w:r>
          </w:p>
        </w:tc>
        <w:tc>
          <w:tcPr>
            <w:tcW w:w="514" w:type="pct"/>
            <w:vAlign w:val="center"/>
          </w:tcPr>
          <w:p w14:paraId="6B9B1079">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 w:val="20"/>
                <w:szCs w:val="20"/>
                <w14:textFill>
                  <w14:solidFill>
                    <w14:schemeClr w14:val="tx1"/>
                  </w14:solidFill>
                </w14:textFill>
              </w:rPr>
              <w:t>0</w:t>
            </w:r>
          </w:p>
        </w:tc>
        <w:tc>
          <w:tcPr>
            <w:tcW w:w="617" w:type="pct"/>
            <w:vAlign w:val="center"/>
          </w:tcPr>
          <w:p w14:paraId="50F80ACF">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980</w:t>
            </w:r>
          </w:p>
        </w:tc>
        <w:tc>
          <w:tcPr>
            <w:tcW w:w="517" w:type="pct"/>
            <w:vAlign w:val="center"/>
          </w:tcPr>
          <w:p w14:paraId="4F48E524">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 w:val="20"/>
                <w:szCs w:val="20"/>
                <w14:textFill>
                  <w14:solidFill>
                    <w14:schemeClr w14:val="tx1"/>
                  </w14:solidFill>
                </w14:textFill>
              </w:rPr>
              <w:t>0</w:t>
            </w:r>
          </w:p>
        </w:tc>
      </w:tr>
      <w:tr w14:paraId="4728CFF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continue"/>
            <w:vAlign w:val="center"/>
          </w:tcPr>
          <w:p w14:paraId="3E2D1BD3">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p>
        </w:tc>
        <w:tc>
          <w:tcPr>
            <w:tcW w:w="720" w:type="pct"/>
            <w:vAlign w:val="center"/>
          </w:tcPr>
          <w:p w14:paraId="146008D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脱硫除尘石膏</w:t>
            </w:r>
          </w:p>
        </w:tc>
        <w:tc>
          <w:tcPr>
            <w:tcW w:w="528" w:type="pct"/>
            <w:vAlign w:val="center"/>
          </w:tcPr>
          <w:p w14:paraId="6D317376">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63</w:t>
            </w:r>
          </w:p>
        </w:tc>
        <w:tc>
          <w:tcPr>
            <w:tcW w:w="463" w:type="pct"/>
            <w:vAlign w:val="center"/>
          </w:tcPr>
          <w:p w14:paraId="0FC086D6">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w:t>
            </w:r>
          </w:p>
        </w:tc>
        <w:tc>
          <w:tcPr>
            <w:tcW w:w="617" w:type="pct"/>
            <w:vAlign w:val="center"/>
          </w:tcPr>
          <w:p w14:paraId="02C0D21A">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 w:val="20"/>
                <w:szCs w:val="20"/>
                <w14:textFill>
                  <w14:solidFill>
                    <w14:schemeClr w14:val="tx1"/>
                  </w14:solidFill>
                </w14:textFill>
              </w:rPr>
              <w:t>0</w:t>
            </w:r>
          </w:p>
        </w:tc>
        <w:tc>
          <w:tcPr>
            <w:tcW w:w="565" w:type="pct"/>
            <w:vAlign w:val="center"/>
          </w:tcPr>
          <w:p w14:paraId="35B82BBB">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 w:val="20"/>
                <w:szCs w:val="20"/>
                <w14:textFill>
                  <w14:solidFill>
                    <w14:schemeClr w14:val="tx1"/>
                  </w14:solidFill>
                </w14:textFill>
              </w:rPr>
              <w:t>0</w:t>
            </w:r>
          </w:p>
        </w:tc>
        <w:tc>
          <w:tcPr>
            <w:tcW w:w="514" w:type="pct"/>
            <w:vAlign w:val="center"/>
          </w:tcPr>
          <w:p w14:paraId="193C830E">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 w:val="20"/>
                <w:szCs w:val="20"/>
                <w14:textFill>
                  <w14:solidFill>
                    <w14:schemeClr w14:val="tx1"/>
                  </w14:solidFill>
                </w14:textFill>
              </w:rPr>
              <w:t>0</w:t>
            </w:r>
          </w:p>
        </w:tc>
        <w:tc>
          <w:tcPr>
            <w:tcW w:w="617" w:type="pct"/>
            <w:vAlign w:val="center"/>
          </w:tcPr>
          <w:p w14:paraId="7FBEF72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63</w:t>
            </w:r>
          </w:p>
        </w:tc>
        <w:tc>
          <w:tcPr>
            <w:tcW w:w="517" w:type="pct"/>
            <w:vAlign w:val="center"/>
          </w:tcPr>
          <w:p w14:paraId="23009DFA">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 w:val="20"/>
                <w:szCs w:val="20"/>
                <w14:textFill>
                  <w14:solidFill>
                    <w14:schemeClr w14:val="tx1"/>
                  </w14:solidFill>
                </w14:textFill>
              </w:rPr>
              <w:t>0</w:t>
            </w:r>
          </w:p>
        </w:tc>
      </w:tr>
      <w:tr w14:paraId="77F70E2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continue"/>
            <w:vAlign w:val="center"/>
          </w:tcPr>
          <w:p w14:paraId="23B33F4F">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p>
        </w:tc>
        <w:tc>
          <w:tcPr>
            <w:tcW w:w="720" w:type="pct"/>
            <w:vAlign w:val="center"/>
          </w:tcPr>
          <w:p w14:paraId="3BFF6D3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煤渣</w:t>
            </w:r>
          </w:p>
        </w:tc>
        <w:tc>
          <w:tcPr>
            <w:tcW w:w="528" w:type="pct"/>
            <w:vAlign w:val="center"/>
          </w:tcPr>
          <w:p w14:paraId="3246F5A4">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4</w:t>
            </w:r>
          </w:p>
        </w:tc>
        <w:tc>
          <w:tcPr>
            <w:tcW w:w="463" w:type="pct"/>
            <w:vAlign w:val="center"/>
          </w:tcPr>
          <w:p w14:paraId="37AC11D7">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w:t>
            </w:r>
          </w:p>
        </w:tc>
        <w:tc>
          <w:tcPr>
            <w:tcW w:w="617" w:type="pct"/>
            <w:vAlign w:val="center"/>
          </w:tcPr>
          <w:p w14:paraId="6F4963C2">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 w:val="20"/>
                <w:szCs w:val="20"/>
                <w14:textFill>
                  <w14:solidFill>
                    <w14:schemeClr w14:val="tx1"/>
                  </w14:solidFill>
                </w14:textFill>
              </w:rPr>
              <w:t>0</w:t>
            </w:r>
          </w:p>
        </w:tc>
        <w:tc>
          <w:tcPr>
            <w:tcW w:w="565" w:type="pct"/>
            <w:vAlign w:val="center"/>
          </w:tcPr>
          <w:p w14:paraId="1E7D9A6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 w:val="20"/>
                <w:szCs w:val="20"/>
                <w14:textFill>
                  <w14:solidFill>
                    <w14:schemeClr w14:val="tx1"/>
                  </w14:solidFill>
                </w14:textFill>
              </w:rPr>
              <w:t>0</w:t>
            </w:r>
          </w:p>
        </w:tc>
        <w:tc>
          <w:tcPr>
            <w:tcW w:w="514" w:type="pct"/>
            <w:vAlign w:val="center"/>
          </w:tcPr>
          <w:p w14:paraId="055DBAC4">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 w:val="20"/>
                <w:szCs w:val="20"/>
                <w14:textFill>
                  <w14:solidFill>
                    <w14:schemeClr w14:val="tx1"/>
                  </w14:solidFill>
                </w14:textFill>
              </w:rPr>
              <w:t>0</w:t>
            </w:r>
          </w:p>
        </w:tc>
        <w:tc>
          <w:tcPr>
            <w:tcW w:w="617" w:type="pct"/>
            <w:vAlign w:val="center"/>
          </w:tcPr>
          <w:p w14:paraId="26627F4D">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4</w:t>
            </w:r>
          </w:p>
        </w:tc>
        <w:tc>
          <w:tcPr>
            <w:tcW w:w="517" w:type="pct"/>
            <w:vAlign w:val="center"/>
          </w:tcPr>
          <w:p w14:paraId="0E55E17F">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 w:val="20"/>
                <w:szCs w:val="20"/>
                <w14:textFill>
                  <w14:solidFill>
                    <w14:schemeClr w14:val="tx1"/>
                  </w14:solidFill>
                </w14:textFill>
              </w:rPr>
              <w:t>0</w:t>
            </w:r>
          </w:p>
        </w:tc>
      </w:tr>
      <w:tr w14:paraId="0826AD8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continue"/>
            <w:vAlign w:val="center"/>
          </w:tcPr>
          <w:p w14:paraId="404FF449">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p>
        </w:tc>
        <w:tc>
          <w:tcPr>
            <w:tcW w:w="720" w:type="pct"/>
            <w:vAlign w:val="center"/>
          </w:tcPr>
          <w:p w14:paraId="67F13A0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布袋除尘器除灰尘</w:t>
            </w:r>
          </w:p>
        </w:tc>
        <w:tc>
          <w:tcPr>
            <w:tcW w:w="528" w:type="pct"/>
            <w:vAlign w:val="center"/>
          </w:tcPr>
          <w:p w14:paraId="08E9ACE3">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26.17</w:t>
            </w:r>
          </w:p>
        </w:tc>
        <w:tc>
          <w:tcPr>
            <w:tcW w:w="463" w:type="pct"/>
            <w:vAlign w:val="center"/>
          </w:tcPr>
          <w:p w14:paraId="5FEF9584">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w:t>
            </w:r>
          </w:p>
        </w:tc>
        <w:tc>
          <w:tcPr>
            <w:tcW w:w="617" w:type="pct"/>
            <w:vAlign w:val="center"/>
          </w:tcPr>
          <w:p w14:paraId="5D7AF088">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65" w:type="pct"/>
            <w:vAlign w:val="center"/>
          </w:tcPr>
          <w:p w14:paraId="1D2D7752">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14" w:type="pct"/>
            <w:vAlign w:val="center"/>
          </w:tcPr>
          <w:p w14:paraId="3817BFC2">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617" w:type="pct"/>
            <w:vAlign w:val="center"/>
          </w:tcPr>
          <w:p w14:paraId="4E5E73B3">
            <w:pPr>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26.17</w:t>
            </w:r>
          </w:p>
        </w:tc>
        <w:tc>
          <w:tcPr>
            <w:tcW w:w="517" w:type="pct"/>
            <w:vAlign w:val="center"/>
          </w:tcPr>
          <w:p w14:paraId="4D82883D">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r>
      <w:tr w14:paraId="33F1B3A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restart"/>
            <w:vAlign w:val="center"/>
          </w:tcPr>
          <w:p w14:paraId="68F84554">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危险废物</w:t>
            </w:r>
          </w:p>
        </w:tc>
        <w:tc>
          <w:tcPr>
            <w:tcW w:w="720" w:type="pct"/>
            <w:vAlign w:val="center"/>
          </w:tcPr>
          <w:p w14:paraId="1CAED28E">
            <w:pPr>
              <w:spacing w:line="240" w:lineRule="exact"/>
              <w:ind w:left="-105" w:leftChars="-50" w:right="-105" w:rightChars="-50"/>
              <w:jc w:val="center"/>
              <w:rPr>
                <w:rFonts w:ascii="Times New Roman" w:hAnsi="Times New Roman" w:eastAsia="宋体" w:cs="Times New Roman"/>
                <w:bCs/>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废润滑油、废机油</w:t>
            </w:r>
          </w:p>
        </w:tc>
        <w:tc>
          <w:tcPr>
            <w:tcW w:w="528" w:type="pct"/>
            <w:vAlign w:val="center"/>
          </w:tcPr>
          <w:p w14:paraId="4F71559E">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3</w:t>
            </w:r>
          </w:p>
        </w:tc>
        <w:tc>
          <w:tcPr>
            <w:tcW w:w="463" w:type="pct"/>
            <w:vAlign w:val="center"/>
          </w:tcPr>
          <w:p w14:paraId="6370C223">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w:t>
            </w:r>
          </w:p>
        </w:tc>
        <w:tc>
          <w:tcPr>
            <w:tcW w:w="617" w:type="pct"/>
            <w:vAlign w:val="center"/>
          </w:tcPr>
          <w:p w14:paraId="0134F035">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65" w:type="pct"/>
            <w:vAlign w:val="center"/>
          </w:tcPr>
          <w:p w14:paraId="6A426679">
            <w:pPr>
              <w:spacing w:line="240" w:lineRule="exact"/>
              <w:ind w:left="-105" w:leftChars="-50" w:right="-105" w:rightChars="-50"/>
              <w:jc w:val="center"/>
              <w:rPr>
                <w:rFonts w:ascii="Times New Roman" w:hAnsi="Times New Roman" w:eastAsia="宋体" w:cs="Times New Roman"/>
                <w:bCs/>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14" w:type="pct"/>
            <w:vAlign w:val="center"/>
          </w:tcPr>
          <w:p w14:paraId="09A09E38">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617" w:type="pct"/>
            <w:vAlign w:val="center"/>
          </w:tcPr>
          <w:p w14:paraId="542BDBB2">
            <w:pPr>
              <w:spacing w:line="240" w:lineRule="exact"/>
              <w:ind w:left="-105" w:leftChars="-50" w:right="-105" w:rightChars="-50"/>
              <w:jc w:val="center"/>
              <w:rPr>
                <w:rFonts w:ascii="Times New Roman" w:hAnsi="Times New Roman" w:eastAsia="宋体" w:cs="Times New Roman"/>
                <w:bCs/>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3</w:t>
            </w:r>
          </w:p>
        </w:tc>
        <w:tc>
          <w:tcPr>
            <w:tcW w:w="517" w:type="pct"/>
            <w:vAlign w:val="center"/>
          </w:tcPr>
          <w:p w14:paraId="3FCF8327">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r>
      <w:tr w14:paraId="6AB9544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continue"/>
            <w:vAlign w:val="center"/>
          </w:tcPr>
          <w:p w14:paraId="2EDD3C71">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p>
        </w:tc>
        <w:tc>
          <w:tcPr>
            <w:tcW w:w="720" w:type="pct"/>
            <w:vAlign w:val="center"/>
          </w:tcPr>
          <w:p w14:paraId="346F73BC">
            <w:pPr>
              <w:spacing w:line="240" w:lineRule="exact"/>
              <w:ind w:left="-105" w:leftChars="-50" w:right="-105" w:rightChars="-50"/>
              <w:jc w:val="center"/>
              <w:rPr>
                <w:rFonts w:ascii="Times New Roman" w:hAnsi="Times New Roman" w:eastAsia="宋体" w:cs="Times New Roman"/>
                <w:bCs/>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废油桶</w:t>
            </w:r>
          </w:p>
        </w:tc>
        <w:tc>
          <w:tcPr>
            <w:tcW w:w="528" w:type="pct"/>
            <w:vAlign w:val="center"/>
          </w:tcPr>
          <w:p w14:paraId="65D1BB2C">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0.3</w:t>
            </w:r>
          </w:p>
        </w:tc>
        <w:tc>
          <w:tcPr>
            <w:tcW w:w="463" w:type="pct"/>
            <w:vAlign w:val="center"/>
          </w:tcPr>
          <w:p w14:paraId="00B95635">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w:t>
            </w:r>
          </w:p>
        </w:tc>
        <w:tc>
          <w:tcPr>
            <w:tcW w:w="617" w:type="pct"/>
            <w:vAlign w:val="center"/>
          </w:tcPr>
          <w:p w14:paraId="5364AC81">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65" w:type="pct"/>
            <w:vAlign w:val="center"/>
          </w:tcPr>
          <w:p w14:paraId="00459616">
            <w:pPr>
              <w:spacing w:line="240" w:lineRule="exact"/>
              <w:ind w:left="-105" w:leftChars="-50" w:right="-105" w:rightChars="-50"/>
              <w:jc w:val="center"/>
              <w:rPr>
                <w:rFonts w:ascii="Times New Roman" w:hAnsi="Times New Roman" w:eastAsia="宋体" w:cs="Times New Roman"/>
                <w:bCs/>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14" w:type="pct"/>
            <w:vAlign w:val="center"/>
          </w:tcPr>
          <w:p w14:paraId="2FD14E29">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617" w:type="pct"/>
            <w:vAlign w:val="center"/>
          </w:tcPr>
          <w:p w14:paraId="597E2433">
            <w:pPr>
              <w:spacing w:line="240" w:lineRule="exact"/>
              <w:ind w:left="-105" w:leftChars="-50" w:right="-105" w:rightChars="-50"/>
              <w:jc w:val="center"/>
              <w:rPr>
                <w:rFonts w:ascii="Times New Roman" w:hAnsi="Times New Roman" w:eastAsia="宋体" w:cs="Times New Roman"/>
                <w:bCs/>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lang w:bidi="ar"/>
                <w14:textFill>
                  <w14:solidFill>
                    <w14:schemeClr w14:val="tx1"/>
                  </w14:solidFill>
                </w14:textFill>
              </w:rPr>
              <w:t>0.3</w:t>
            </w:r>
          </w:p>
        </w:tc>
        <w:tc>
          <w:tcPr>
            <w:tcW w:w="517" w:type="pct"/>
            <w:vAlign w:val="center"/>
          </w:tcPr>
          <w:p w14:paraId="32F2DB3D">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r>
      <w:tr w14:paraId="27E1878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459" w:type="pct"/>
            <w:vMerge w:val="continue"/>
            <w:vAlign w:val="center"/>
          </w:tcPr>
          <w:p w14:paraId="10F4A4DD">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p>
        </w:tc>
        <w:tc>
          <w:tcPr>
            <w:tcW w:w="720" w:type="pct"/>
            <w:vAlign w:val="center"/>
          </w:tcPr>
          <w:p w14:paraId="24691DB0">
            <w:pPr>
              <w:spacing w:line="240" w:lineRule="exact"/>
              <w:ind w:left="-105" w:leftChars="-50" w:right="-105" w:rightChars="-50"/>
              <w:jc w:val="center"/>
              <w:rPr>
                <w:rFonts w:ascii="Times New Roman" w:hAnsi="Times New Roman" w:eastAsia="宋体" w:cs="Times New Roman"/>
                <w:bCs/>
                <w:color w:val="000000" w:themeColor="text1"/>
                <w:szCs w:val="21"/>
                <w14:textFill>
                  <w14:solidFill>
                    <w14:schemeClr w14:val="tx1"/>
                  </w14:solidFill>
                </w14:textFill>
              </w:rPr>
            </w:pPr>
            <w:r>
              <w:rPr>
                <w:rFonts w:ascii="Times New Roman" w:hAnsi="Times New Roman" w:eastAsia="宋体" w:cs="Times New Roman"/>
                <w:color w:val="000000" w:themeColor="text1"/>
                <w:kern w:val="0"/>
                <w:szCs w:val="21"/>
                <w14:textFill>
                  <w14:solidFill>
                    <w14:schemeClr w14:val="tx1"/>
                  </w14:solidFill>
                </w14:textFill>
              </w:rPr>
              <w:t>含油抹布、废手套</w:t>
            </w:r>
          </w:p>
        </w:tc>
        <w:tc>
          <w:tcPr>
            <w:tcW w:w="528" w:type="pct"/>
            <w:vAlign w:val="center"/>
          </w:tcPr>
          <w:p w14:paraId="747FAE7D">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Times New Roman" w:cs="Times New Roman"/>
                <w:color w:val="000000" w:themeColor="text1"/>
                <w:kern w:val="0"/>
                <w:szCs w:val="21"/>
                <w14:textFill>
                  <w14:solidFill>
                    <w14:schemeClr w14:val="tx1"/>
                  </w14:solidFill>
                </w14:textFill>
              </w:rPr>
              <w:t>0.05</w:t>
            </w:r>
          </w:p>
        </w:tc>
        <w:tc>
          <w:tcPr>
            <w:tcW w:w="463" w:type="pct"/>
            <w:vAlign w:val="center"/>
          </w:tcPr>
          <w:p w14:paraId="56A176D9">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w:t>
            </w:r>
          </w:p>
        </w:tc>
        <w:tc>
          <w:tcPr>
            <w:tcW w:w="617" w:type="pct"/>
            <w:vAlign w:val="center"/>
          </w:tcPr>
          <w:p w14:paraId="0CDF0D86">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65" w:type="pct"/>
            <w:vAlign w:val="center"/>
          </w:tcPr>
          <w:p w14:paraId="027EC901">
            <w:pPr>
              <w:spacing w:line="240" w:lineRule="exact"/>
              <w:ind w:left="-105" w:leftChars="-50" w:right="-105" w:rightChars="-50"/>
              <w:jc w:val="center"/>
              <w:rPr>
                <w:rFonts w:ascii="Times New Roman" w:hAnsi="Times New Roman" w:eastAsia="宋体" w:cs="Times New Roman"/>
                <w:bCs/>
                <w:color w:val="000000" w:themeColor="text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514" w:type="pct"/>
            <w:vAlign w:val="center"/>
          </w:tcPr>
          <w:p w14:paraId="112AAF1D">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c>
          <w:tcPr>
            <w:tcW w:w="617" w:type="pct"/>
            <w:vAlign w:val="center"/>
          </w:tcPr>
          <w:p w14:paraId="262AE7CD">
            <w:pPr>
              <w:spacing w:line="240" w:lineRule="exact"/>
              <w:ind w:left="-105" w:leftChars="-50" w:right="-105" w:rightChars="-50"/>
              <w:jc w:val="center"/>
              <w:rPr>
                <w:rFonts w:ascii="Times New Roman" w:hAnsi="Times New Roman" w:eastAsia="宋体" w:cs="Times New Roman"/>
                <w:bCs/>
                <w:color w:val="000000" w:themeColor="text1"/>
                <w:szCs w:val="21"/>
                <w14:textFill>
                  <w14:solidFill>
                    <w14:schemeClr w14:val="tx1"/>
                  </w14:solidFill>
                </w14:textFill>
              </w:rPr>
            </w:pPr>
            <w:r>
              <w:rPr>
                <w:rFonts w:ascii="Times New Roman" w:hAnsi="Times New Roman" w:eastAsia="Times New Roman" w:cs="Times New Roman"/>
                <w:color w:val="000000" w:themeColor="text1"/>
                <w:kern w:val="0"/>
                <w:szCs w:val="21"/>
                <w14:textFill>
                  <w14:solidFill>
                    <w14:schemeClr w14:val="tx1"/>
                  </w14:solidFill>
                </w14:textFill>
              </w:rPr>
              <w:t>0.0</w:t>
            </w:r>
          </w:p>
        </w:tc>
        <w:tc>
          <w:tcPr>
            <w:tcW w:w="517" w:type="pct"/>
            <w:vAlign w:val="center"/>
          </w:tcPr>
          <w:p w14:paraId="3AB72DF6">
            <w:pPr>
              <w:adjustRightInd w:val="0"/>
              <w:snapToGrid w:val="0"/>
              <w:jc w:val="center"/>
              <w:rPr>
                <w:rFonts w:ascii="Times New Roman" w:hAnsi="Times New Roman" w:eastAsia="宋体" w:cs="Times New Roman"/>
                <w:snapToGrid w:val="0"/>
                <w:color w:val="000000" w:themeColor="text1"/>
                <w:kern w:val="21"/>
                <w:szCs w:val="21"/>
                <w14:textFill>
                  <w14:solidFill>
                    <w14:schemeClr w14:val="tx1"/>
                  </w14:solidFill>
                </w14:textFill>
              </w:rPr>
            </w:pPr>
            <w:r>
              <w:rPr>
                <w:rFonts w:ascii="Times New Roman" w:hAnsi="Times New Roman" w:eastAsia="宋体" w:cs="Times New Roman"/>
                <w:snapToGrid w:val="0"/>
                <w:color w:val="000000" w:themeColor="text1"/>
                <w:kern w:val="21"/>
                <w:szCs w:val="21"/>
                <w14:textFill>
                  <w14:solidFill>
                    <w14:schemeClr w14:val="tx1"/>
                  </w14:solidFill>
                </w14:textFill>
              </w:rPr>
              <w:t>0</w:t>
            </w:r>
          </w:p>
        </w:tc>
      </w:tr>
    </w:tbl>
    <w:p w14:paraId="74C84775">
      <w:pPr>
        <w:jc w:val="left"/>
        <w:rPr>
          <w:rFonts w:ascii="Times New Roman" w:hAnsi="Times New Roman" w:cs="Times New Roman"/>
        </w:rPr>
      </w:pPr>
      <w:r>
        <w:rPr>
          <w:rFonts w:ascii="Times New Roman" w:hAnsi="Times New Roman" w:eastAsia="宋体" w:cs="Times New Roman"/>
          <w:snapToGrid w:val="0"/>
          <w:color w:val="000000" w:themeColor="text1"/>
          <w:kern w:val="21"/>
          <w:szCs w:val="21"/>
          <w14:textFill>
            <w14:solidFill>
              <w14:schemeClr w14:val="tx1"/>
            </w14:solidFill>
          </w14:textFill>
        </w:rPr>
        <w:t>注：</w:t>
      </w:r>
      <w:r>
        <w:rPr>
          <w:rFonts w:ascii="Times New Roman" w:hAnsi="Times New Roman" w:eastAsia="宋体" w:cs="Times New Roman"/>
          <w:snapToGrid w:val="0"/>
          <w:color w:val="000000" w:themeColor="text1"/>
          <w:spacing w:val="-16"/>
          <w:kern w:val="21"/>
          <w:szCs w:val="21"/>
          <w14:textFill>
            <w14:solidFill>
              <w14:schemeClr w14:val="tx1"/>
            </w14:solidFill>
          </w14:textFill>
        </w:rPr>
        <w:fldChar w:fldCharType="begin"/>
      </w:r>
      <w:r>
        <w:rPr>
          <w:rFonts w:ascii="Times New Roman" w:hAnsi="Times New Roman" w:eastAsia="宋体" w:cs="Times New Roman"/>
          <w:snapToGrid w:val="0"/>
          <w:color w:val="000000" w:themeColor="text1"/>
          <w:spacing w:val="-16"/>
          <w:kern w:val="21"/>
          <w:szCs w:val="21"/>
          <w14:textFill>
            <w14:solidFill>
              <w14:schemeClr w14:val="tx1"/>
            </w14:solidFill>
          </w14:textFill>
        </w:rPr>
        <w:instrText xml:space="preserve"> = 6 \* GB3 \* MERGEFORMAT </w:instrText>
      </w:r>
      <w:r>
        <w:rPr>
          <w:rFonts w:ascii="Times New Roman" w:hAnsi="Times New Roman" w:eastAsia="宋体" w:cs="Times New Roman"/>
          <w:snapToGrid w:val="0"/>
          <w:color w:val="000000" w:themeColor="text1"/>
          <w:spacing w:val="-16"/>
          <w:kern w:val="21"/>
          <w:szCs w:val="21"/>
          <w14:textFill>
            <w14:solidFill>
              <w14:schemeClr w14:val="tx1"/>
            </w14:solidFill>
          </w14:textFill>
        </w:rPr>
        <w:fldChar w:fldCharType="separate"/>
      </w:r>
      <w:r>
        <w:rPr>
          <w:rFonts w:hint="eastAsia" w:ascii="宋体" w:hAnsi="宋体" w:eastAsia="宋体" w:cs="宋体"/>
          <w:color w:val="000000" w:themeColor="text1"/>
          <w:kern w:val="0"/>
          <w:szCs w:val="21"/>
          <w14:textFill>
            <w14:solidFill>
              <w14:schemeClr w14:val="tx1"/>
            </w14:solidFill>
          </w14:textFill>
        </w:rPr>
        <w:t>⑥</w:t>
      </w:r>
      <w:r>
        <w:rPr>
          <w:rFonts w:ascii="Times New Roman" w:hAnsi="Times New Roman" w:eastAsia="宋体" w:cs="Times New Roman"/>
          <w:snapToGrid w:val="0"/>
          <w:color w:val="000000" w:themeColor="text1"/>
          <w:spacing w:val="-16"/>
          <w:kern w:val="21"/>
          <w:szCs w:val="21"/>
          <w14:textFill>
            <w14:solidFill>
              <w14:schemeClr w14:val="tx1"/>
            </w14:solidFill>
          </w14:textFill>
        </w:rPr>
        <w:fldChar w:fldCharType="end"/>
      </w:r>
      <w:r>
        <w:rPr>
          <w:rFonts w:ascii="Times New Roman" w:hAnsi="Times New Roman" w:eastAsia="宋体" w:cs="Times New Roman"/>
          <w:snapToGrid w:val="0"/>
          <w:color w:val="000000" w:themeColor="text1"/>
          <w:spacing w:val="-16"/>
          <w:kern w:val="21"/>
          <w:szCs w:val="21"/>
          <w14:textFill>
            <w14:solidFill>
              <w14:schemeClr w14:val="tx1"/>
            </w14:solidFill>
          </w14:textFill>
        </w:rPr>
        <w:t>=</w:t>
      </w:r>
      <w:r>
        <w:rPr>
          <w:rFonts w:ascii="Times New Roman" w:hAnsi="Times New Roman" w:eastAsia="宋体" w:cs="Times New Roman"/>
          <w:snapToGrid w:val="0"/>
          <w:color w:val="000000" w:themeColor="text1"/>
          <w:spacing w:val="-6"/>
          <w:kern w:val="21"/>
          <w:szCs w:val="21"/>
          <w14:textFill>
            <w14:solidFill>
              <w14:schemeClr w14:val="tx1"/>
            </w14:solidFill>
          </w14:textFill>
        </w:rPr>
        <w:fldChar w:fldCharType="begin"/>
      </w:r>
      <w:r>
        <w:rPr>
          <w:rFonts w:ascii="Times New Roman" w:hAnsi="Times New Roman" w:eastAsia="宋体" w:cs="Times New Roman"/>
          <w:snapToGrid w:val="0"/>
          <w:color w:val="000000" w:themeColor="text1"/>
          <w:spacing w:val="-6"/>
          <w:kern w:val="21"/>
          <w:szCs w:val="21"/>
          <w14:textFill>
            <w14:solidFill>
              <w14:schemeClr w14:val="tx1"/>
            </w14:solidFill>
          </w14:textFill>
        </w:rPr>
        <w:instrText xml:space="preserve"> = 1 \* GB3 \* MERGEFORMAT </w:instrText>
      </w:r>
      <w:r>
        <w:rPr>
          <w:rFonts w:ascii="Times New Roman" w:hAnsi="Times New Roman" w:eastAsia="宋体" w:cs="Times New Roman"/>
          <w:snapToGrid w:val="0"/>
          <w:color w:val="000000" w:themeColor="text1"/>
          <w:spacing w:val="-6"/>
          <w:kern w:val="21"/>
          <w:szCs w:val="21"/>
          <w14:textFill>
            <w14:solidFill>
              <w14:schemeClr w14:val="tx1"/>
            </w14:solidFill>
          </w14:textFill>
        </w:rPr>
        <w:fldChar w:fldCharType="separate"/>
      </w:r>
      <w:r>
        <w:rPr>
          <w:rFonts w:hint="eastAsia" w:ascii="宋体" w:hAnsi="宋体" w:eastAsia="宋体" w:cs="宋体"/>
          <w:color w:val="000000" w:themeColor="text1"/>
          <w:kern w:val="0"/>
          <w:szCs w:val="21"/>
          <w14:textFill>
            <w14:solidFill>
              <w14:schemeClr w14:val="tx1"/>
            </w14:solidFill>
          </w14:textFill>
        </w:rPr>
        <w:t>①</w:t>
      </w:r>
      <w:r>
        <w:rPr>
          <w:rFonts w:ascii="Times New Roman" w:hAnsi="Times New Roman" w:eastAsia="宋体" w:cs="Times New Roman"/>
          <w:snapToGrid w:val="0"/>
          <w:color w:val="000000" w:themeColor="text1"/>
          <w:spacing w:val="-6"/>
          <w:kern w:val="21"/>
          <w:szCs w:val="21"/>
          <w14:textFill>
            <w14:solidFill>
              <w14:schemeClr w14:val="tx1"/>
            </w14:solidFill>
          </w14:textFill>
        </w:rPr>
        <w:fldChar w:fldCharType="end"/>
      </w:r>
      <w:r>
        <w:rPr>
          <w:rFonts w:ascii="Times New Roman" w:hAnsi="Times New Roman" w:eastAsia="宋体" w:cs="Times New Roman"/>
          <w:snapToGrid w:val="0"/>
          <w:color w:val="000000" w:themeColor="text1"/>
          <w:spacing w:val="-6"/>
          <w:kern w:val="21"/>
          <w:szCs w:val="21"/>
          <w14:textFill>
            <w14:solidFill>
              <w14:schemeClr w14:val="tx1"/>
            </w14:solidFill>
          </w14:textFill>
        </w:rPr>
        <w:t>+</w:t>
      </w:r>
      <w:r>
        <w:rPr>
          <w:rFonts w:ascii="Times New Roman" w:hAnsi="Times New Roman" w:eastAsia="宋体" w:cs="Times New Roman"/>
          <w:snapToGrid w:val="0"/>
          <w:color w:val="000000" w:themeColor="text1"/>
          <w:spacing w:val="-6"/>
          <w:kern w:val="21"/>
          <w:szCs w:val="21"/>
          <w14:textFill>
            <w14:solidFill>
              <w14:schemeClr w14:val="tx1"/>
            </w14:solidFill>
          </w14:textFill>
        </w:rPr>
        <w:fldChar w:fldCharType="begin"/>
      </w:r>
      <w:r>
        <w:rPr>
          <w:rFonts w:ascii="Times New Roman" w:hAnsi="Times New Roman" w:eastAsia="宋体" w:cs="Times New Roman"/>
          <w:snapToGrid w:val="0"/>
          <w:color w:val="000000" w:themeColor="text1"/>
          <w:spacing w:val="-6"/>
          <w:kern w:val="21"/>
          <w:szCs w:val="21"/>
          <w14:textFill>
            <w14:solidFill>
              <w14:schemeClr w14:val="tx1"/>
            </w14:solidFill>
          </w14:textFill>
        </w:rPr>
        <w:instrText xml:space="preserve"> = 3 \* GB3 \* MERGEFORMAT </w:instrText>
      </w:r>
      <w:r>
        <w:rPr>
          <w:rFonts w:ascii="Times New Roman" w:hAnsi="Times New Roman" w:eastAsia="宋体" w:cs="Times New Roman"/>
          <w:snapToGrid w:val="0"/>
          <w:color w:val="000000" w:themeColor="text1"/>
          <w:spacing w:val="-6"/>
          <w:kern w:val="21"/>
          <w:szCs w:val="21"/>
          <w14:textFill>
            <w14:solidFill>
              <w14:schemeClr w14:val="tx1"/>
            </w14:solidFill>
          </w14:textFill>
        </w:rPr>
        <w:fldChar w:fldCharType="separate"/>
      </w:r>
      <w:r>
        <w:rPr>
          <w:rFonts w:hint="eastAsia" w:ascii="宋体" w:hAnsi="宋体" w:eastAsia="宋体" w:cs="宋体"/>
          <w:color w:val="000000" w:themeColor="text1"/>
          <w:kern w:val="0"/>
          <w:szCs w:val="21"/>
          <w14:textFill>
            <w14:solidFill>
              <w14:schemeClr w14:val="tx1"/>
            </w14:solidFill>
          </w14:textFill>
        </w:rPr>
        <w:t>③</w:t>
      </w:r>
      <w:r>
        <w:rPr>
          <w:rFonts w:ascii="Times New Roman" w:hAnsi="Times New Roman" w:eastAsia="宋体" w:cs="Times New Roman"/>
          <w:snapToGrid w:val="0"/>
          <w:color w:val="000000" w:themeColor="text1"/>
          <w:spacing w:val="-6"/>
          <w:kern w:val="21"/>
          <w:szCs w:val="21"/>
          <w14:textFill>
            <w14:solidFill>
              <w14:schemeClr w14:val="tx1"/>
            </w14:solidFill>
          </w14:textFill>
        </w:rPr>
        <w:fldChar w:fldCharType="end"/>
      </w:r>
      <w:r>
        <w:rPr>
          <w:rFonts w:ascii="Times New Roman" w:hAnsi="Times New Roman" w:eastAsia="宋体" w:cs="Times New Roman"/>
          <w:snapToGrid w:val="0"/>
          <w:color w:val="000000" w:themeColor="text1"/>
          <w:spacing w:val="-6"/>
          <w:kern w:val="21"/>
          <w:szCs w:val="21"/>
          <w14:textFill>
            <w14:solidFill>
              <w14:schemeClr w14:val="tx1"/>
            </w14:solidFill>
          </w14:textFill>
        </w:rPr>
        <w:t>+</w:t>
      </w:r>
      <w:r>
        <w:rPr>
          <w:rFonts w:ascii="Times New Roman" w:hAnsi="Times New Roman" w:eastAsia="宋体" w:cs="Times New Roman"/>
          <w:snapToGrid w:val="0"/>
          <w:color w:val="000000" w:themeColor="text1"/>
          <w:spacing w:val="-6"/>
          <w:kern w:val="21"/>
          <w:szCs w:val="21"/>
          <w14:textFill>
            <w14:solidFill>
              <w14:schemeClr w14:val="tx1"/>
            </w14:solidFill>
          </w14:textFill>
        </w:rPr>
        <w:fldChar w:fldCharType="begin"/>
      </w:r>
      <w:r>
        <w:rPr>
          <w:rFonts w:ascii="Times New Roman" w:hAnsi="Times New Roman" w:eastAsia="宋体" w:cs="Times New Roman"/>
          <w:snapToGrid w:val="0"/>
          <w:color w:val="000000" w:themeColor="text1"/>
          <w:spacing w:val="-6"/>
          <w:kern w:val="21"/>
          <w:szCs w:val="21"/>
          <w14:textFill>
            <w14:solidFill>
              <w14:schemeClr w14:val="tx1"/>
            </w14:solidFill>
          </w14:textFill>
        </w:rPr>
        <w:instrText xml:space="preserve"> = 4 \* GB3 \* MERGEFORMAT </w:instrText>
      </w:r>
      <w:r>
        <w:rPr>
          <w:rFonts w:ascii="Times New Roman" w:hAnsi="Times New Roman" w:eastAsia="宋体" w:cs="Times New Roman"/>
          <w:snapToGrid w:val="0"/>
          <w:color w:val="000000" w:themeColor="text1"/>
          <w:spacing w:val="-6"/>
          <w:kern w:val="21"/>
          <w:szCs w:val="21"/>
          <w14:textFill>
            <w14:solidFill>
              <w14:schemeClr w14:val="tx1"/>
            </w14:solidFill>
          </w14:textFill>
        </w:rPr>
        <w:fldChar w:fldCharType="separate"/>
      </w:r>
      <w:r>
        <w:rPr>
          <w:rFonts w:hint="eastAsia" w:ascii="宋体" w:hAnsi="宋体" w:eastAsia="宋体" w:cs="宋体"/>
          <w:color w:val="000000" w:themeColor="text1"/>
          <w:kern w:val="0"/>
          <w:szCs w:val="21"/>
          <w14:textFill>
            <w14:solidFill>
              <w14:schemeClr w14:val="tx1"/>
            </w14:solidFill>
          </w14:textFill>
        </w:rPr>
        <w:t>④</w:t>
      </w:r>
      <w:r>
        <w:rPr>
          <w:rFonts w:ascii="Times New Roman" w:hAnsi="Times New Roman" w:eastAsia="宋体" w:cs="Times New Roman"/>
          <w:snapToGrid w:val="0"/>
          <w:color w:val="000000" w:themeColor="text1"/>
          <w:spacing w:val="-6"/>
          <w:kern w:val="21"/>
          <w:szCs w:val="21"/>
          <w14:textFill>
            <w14:solidFill>
              <w14:schemeClr w14:val="tx1"/>
            </w14:solidFill>
          </w14:textFill>
        </w:rPr>
        <w:fldChar w:fldCharType="end"/>
      </w:r>
      <w:r>
        <w:rPr>
          <w:rFonts w:ascii="Times New Roman" w:hAnsi="Times New Roman" w:eastAsia="宋体" w:cs="Times New Roman"/>
          <w:snapToGrid w:val="0"/>
          <w:color w:val="000000" w:themeColor="text1"/>
          <w:spacing w:val="-6"/>
          <w:kern w:val="21"/>
          <w:szCs w:val="21"/>
          <w14:textFill>
            <w14:solidFill>
              <w14:schemeClr w14:val="tx1"/>
            </w14:solidFill>
          </w14:textFill>
        </w:rPr>
        <w:t>-</w:t>
      </w:r>
      <w:r>
        <w:rPr>
          <w:rFonts w:ascii="Times New Roman" w:hAnsi="Times New Roman" w:eastAsia="宋体" w:cs="Times New Roman"/>
          <w:snapToGrid w:val="0"/>
          <w:color w:val="000000" w:themeColor="text1"/>
          <w:spacing w:val="-16"/>
          <w:kern w:val="21"/>
          <w:szCs w:val="21"/>
          <w14:textFill>
            <w14:solidFill>
              <w14:schemeClr w14:val="tx1"/>
            </w14:solidFill>
          </w14:textFill>
        </w:rPr>
        <w:fldChar w:fldCharType="begin"/>
      </w:r>
      <w:r>
        <w:rPr>
          <w:rFonts w:ascii="Times New Roman" w:hAnsi="Times New Roman" w:eastAsia="宋体" w:cs="Times New Roman"/>
          <w:snapToGrid w:val="0"/>
          <w:color w:val="000000" w:themeColor="text1"/>
          <w:spacing w:val="-16"/>
          <w:kern w:val="21"/>
          <w:szCs w:val="21"/>
          <w14:textFill>
            <w14:solidFill>
              <w14:schemeClr w14:val="tx1"/>
            </w14:solidFill>
          </w14:textFill>
        </w:rPr>
        <w:instrText xml:space="preserve"> = 5 \* GB3 \* MERGEFORMAT </w:instrText>
      </w:r>
      <w:r>
        <w:rPr>
          <w:rFonts w:ascii="Times New Roman" w:hAnsi="Times New Roman" w:eastAsia="宋体" w:cs="Times New Roman"/>
          <w:snapToGrid w:val="0"/>
          <w:color w:val="000000" w:themeColor="text1"/>
          <w:spacing w:val="-16"/>
          <w:kern w:val="21"/>
          <w:szCs w:val="21"/>
          <w14:textFill>
            <w14:solidFill>
              <w14:schemeClr w14:val="tx1"/>
            </w14:solidFill>
          </w14:textFill>
        </w:rPr>
        <w:fldChar w:fldCharType="separate"/>
      </w:r>
      <w:r>
        <w:rPr>
          <w:rFonts w:hint="eastAsia" w:ascii="宋体" w:hAnsi="宋体" w:eastAsia="宋体" w:cs="宋体"/>
          <w:color w:val="000000" w:themeColor="text1"/>
          <w:kern w:val="0"/>
          <w:szCs w:val="21"/>
          <w14:textFill>
            <w14:solidFill>
              <w14:schemeClr w14:val="tx1"/>
            </w14:solidFill>
          </w14:textFill>
        </w:rPr>
        <w:t>⑤</w:t>
      </w:r>
      <w:r>
        <w:rPr>
          <w:rFonts w:ascii="Times New Roman" w:hAnsi="Times New Roman" w:eastAsia="宋体" w:cs="Times New Roman"/>
          <w:snapToGrid w:val="0"/>
          <w:color w:val="000000" w:themeColor="text1"/>
          <w:spacing w:val="-16"/>
          <w:kern w:val="21"/>
          <w:szCs w:val="21"/>
          <w14:textFill>
            <w14:solidFill>
              <w14:schemeClr w14:val="tx1"/>
            </w14:solidFill>
          </w14:textFill>
        </w:rPr>
        <w:fldChar w:fldCharType="end"/>
      </w:r>
      <w:r>
        <w:rPr>
          <w:rFonts w:ascii="Times New Roman" w:hAnsi="Times New Roman" w:eastAsia="宋体" w:cs="Times New Roman"/>
          <w:snapToGrid w:val="0"/>
          <w:color w:val="000000" w:themeColor="text1"/>
          <w:spacing w:val="-16"/>
          <w:kern w:val="21"/>
          <w:szCs w:val="21"/>
          <w14:textFill>
            <w14:solidFill>
              <w14:schemeClr w14:val="tx1"/>
            </w14:solidFill>
          </w14:textFill>
        </w:rPr>
        <w:t>；</w:t>
      </w:r>
      <w:r>
        <w:rPr>
          <w:rFonts w:ascii="Times New Roman" w:hAnsi="Times New Roman" w:eastAsia="宋体" w:cs="Times New Roman"/>
          <w:snapToGrid w:val="0"/>
          <w:color w:val="000000" w:themeColor="text1"/>
          <w:spacing w:val="-6"/>
          <w:kern w:val="21"/>
          <w:szCs w:val="21"/>
          <w14:textFill>
            <w14:solidFill>
              <w14:schemeClr w14:val="tx1"/>
            </w14:solidFill>
          </w14:textFill>
        </w:rPr>
        <w:fldChar w:fldCharType="begin"/>
      </w:r>
      <w:r>
        <w:rPr>
          <w:rFonts w:ascii="Times New Roman" w:hAnsi="Times New Roman" w:eastAsia="宋体" w:cs="Times New Roman"/>
          <w:snapToGrid w:val="0"/>
          <w:color w:val="000000" w:themeColor="text1"/>
          <w:spacing w:val="-6"/>
          <w:kern w:val="21"/>
          <w:szCs w:val="21"/>
          <w14:textFill>
            <w14:solidFill>
              <w14:schemeClr w14:val="tx1"/>
            </w14:solidFill>
          </w14:textFill>
        </w:rPr>
        <w:instrText xml:space="preserve"> = 7 \* GB3 \* MERGEFORMAT </w:instrText>
      </w:r>
      <w:r>
        <w:rPr>
          <w:rFonts w:ascii="Times New Roman" w:hAnsi="Times New Roman" w:eastAsia="宋体" w:cs="Times New Roman"/>
          <w:snapToGrid w:val="0"/>
          <w:color w:val="000000" w:themeColor="text1"/>
          <w:spacing w:val="-6"/>
          <w:kern w:val="21"/>
          <w:szCs w:val="21"/>
          <w14:textFill>
            <w14:solidFill>
              <w14:schemeClr w14:val="tx1"/>
            </w14:solidFill>
          </w14:textFill>
        </w:rPr>
        <w:fldChar w:fldCharType="separate"/>
      </w:r>
      <w:r>
        <w:rPr>
          <w:rFonts w:hint="eastAsia" w:ascii="宋体" w:hAnsi="宋体" w:eastAsia="宋体" w:cs="宋体"/>
          <w:color w:val="000000" w:themeColor="text1"/>
          <w:kern w:val="0"/>
          <w:szCs w:val="21"/>
          <w14:textFill>
            <w14:solidFill>
              <w14:schemeClr w14:val="tx1"/>
            </w14:solidFill>
          </w14:textFill>
        </w:rPr>
        <w:t>⑦</w:t>
      </w:r>
      <w:r>
        <w:rPr>
          <w:rFonts w:ascii="Times New Roman" w:hAnsi="Times New Roman" w:eastAsia="宋体" w:cs="Times New Roman"/>
          <w:snapToGrid w:val="0"/>
          <w:color w:val="000000" w:themeColor="text1"/>
          <w:spacing w:val="-6"/>
          <w:kern w:val="21"/>
          <w:szCs w:val="21"/>
          <w14:textFill>
            <w14:solidFill>
              <w14:schemeClr w14:val="tx1"/>
            </w14:solidFill>
          </w14:textFill>
        </w:rPr>
        <w:fldChar w:fldCharType="end"/>
      </w:r>
      <w:r>
        <w:rPr>
          <w:rFonts w:ascii="Times New Roman" w:hAnsi="Times New Roman" w:eastAsia="宋体" w:cs="Times New Roman"/>
          <w:snapToGrid w:val="0"/>
          <w:color w:val="000000" w:themeColor="text1"/>
          <w:spacing w:val="-6"/>
          <w:kern w:val="21"/>
          <w:szCs w:val="21"/>
          <w14:textFill>
            <w14:solidFill>
              <w14:schemeClr w14:val="tx1"/>
            </w14:solidFill>
          </w14:textFill>
        </w:rPr>
        <w:t>=</w:t>
      </w:r>
      <w:r>
        <w:rPr>
          <w:rFonts w:ascii="Times New Roman" w:hAnsi="Times New Roman" w:eastAsia="宋体" w:cs="Times New Roman"/>
          <w:snapToGrid w:val="0"/>
          <w:color w:val="000000" w:themeColor="text1"/>
          <w:spacing w:val="-16"/>
          <w:kern w:val="21"/>
          <w:szCs w:val="21"/>
          <w14:textFill>
            <w14:solidFill>
              <w14:schemeClr w14:val="tx1"/>
            </w14:solidFill>
          </w14:textFill>
        </w:rPr>
        <w:fldChar w:fldCharType="begin"/>
      </w:r>
      <w:r>
        <w:rPr>
          <w:rFonts w:ascii="Times New Roman" w:hAnsi="Times New Roman" w:eastAsia="宋体" w:cs="Times New Roman"/>
          <w:snapToGrid w:val="0"/>
          <w:color w:val="000000" w:themeColor="text1"/>
          <w:spacing w:val="-16"/>
          <w:kern w:val="21"/>
          <w:szCs w:val="21"/>
          <w14:textFill>
            <w14:solidFill>
              <w14:schemeClr w14:val="tx1"/>
            </w14:solidFill>
          </w14:textFill>
        </w:rPr>
        <w:instrText xml:space="preserve"> = 6 \* GB3 \* MERGEFORMAT </w:instrText>
      </w:r>
      <w:r>
        <w:rPr>
          <w:rFonts w:ascii="Times New Roman" w:hAnsi="Times New Roman" w:eastAsia="宋体" w:cs="Times New Roman"/>
          <w:snapToGrid w:val="0"/>
          <w:color w:val="000000" w:themeColor="text1"/>
          <w:spacing w:val="-16"/>
          <w:kern w:val="21"/>
          <w:szCs w:val="21"/>
          <w14:textFill>
            <w14:solidFill>
              <w14:schemeClr w14:val="tx1"/>
            </w14:solidFill>
          </w14:textFill>
        </w:rPr>
        <w:fldChar w:fldCharType="separate"/>
      </w:r>
      <w:r>
        <w:rPr>
          <w:rFonts w:hint="eastAsia" w:ascii="宋体" w:hAnsi="宋体" w:eastAsia="宋体" w:cs="宋体"/>
          <w:color w:val="000000" w:themeColor="text1"/>
          <w:kern w:val="0"/>
          <w:szCs w:val="21"/>
          <w14:textFill>
            <w14:solidFill>
              <w14:schemeClr w14:val="tx1"/>
            </w14:solidFill>
          </w14:textFill>
        </w:rPr>
        <w:t>⑥</w:t>
      </w:r>
      <w:r>
        <w:rPr>
          <w:rFonts w:ascii="Times New Roman" w:hAnsi="Times New Roman" w:eastAsia="宋体" w:cs="Times New Roman"/>
          <w:snapToGrid w:val="0"/>
          <w:color w:val="000000" w:themeColor="text1"/>
          <w:spacing w:val="-16"/>
          <w:kern w:val="21"/>
          <w:szCs w:val="21"/>
          <w14:textFill>
            <w14:solidFill>
              <w14:schemeClr w14:val="tx1"/>
            </w14:solidFill>
          </w14:textFill>
        </w:rPr>
        <w:fldChar w:fldCharType="end"/>
      </w:r>
      <w:r>
        <w:rPr>
          <w:rFonts w:ascii="Times New Roman" w:hAnsi="Times New Roman" w:eastAsia="宋体" w:cs="Times New Roman"/>
          <w:snapToGrid w:val="0"/>
          <w:color w:val="000000" w:themeColor="text1"/>
          <w:spacing w:val="-16"/>
          <w:kern w:val="21"/>
          <w:szCs w:val="21"/>
          <w14:textFill>
            <w14:solidFill>
              <w14:schemeClr w14:val="tx1"/>
            </w14:solidFill>
          </w14:textFill>
        </w:rPr>
        <w:t>-</w:t>
      </w:r>
      <w:r>
        <w:rPr>
          <w:rFonts w:ascii="Times New Roman" w:hAnsi="Times New Roman" w:eastAsia="宋体" w:cs="Times New Roman"/>
          <w:snapToGrid w:val="0"/>
          <w:color w:val="000000" w:themeColor="text1"/>
          <w:spacing w:val="-6"/>
          <w:kern w:val="21"/>
          <w:szCs w:val="21"/>
          <w14:textFill>
            <w14:solidFill>
              <w14:schemeClr w14:val="tx1"/>
            </w14:solidFill>
          </w14:textFill>
        </w:rPr>
        <w:fldChar w:fldCharType="begin"/>
      </w:r>
      <w:r>
        <w:rPr>
          <w:rFonts w:ascii="Times New Roman" w:hAnsi="Times New Roman" w:eastAsia="宋体" w:cs="Times New Roman"/>
          <w:snapToGrid w:val="0"/>
          <w:color w:val="000000" w:themeColor="text1"/>
          <w:spacing w:val="-6"/>
          <w:kern w:val="21"/>
          <w:szCs w:val="21"/>
          <w14:textFill>
            <w14:solidFill>
              <w14:schemeClr w14:val="tx1"/>
            </w14:solidFill>
          </w14:textFill>
        </w:rPr>
        <w:instrText xml:space="preserve"> = 1 \* GB3 \* MERGEFORMAT </w:instrText>
      </w:r>
      <w:r>
        <w:rPr>
          <w:rFonts w:ascii="Times New Roman" w:hAnsi="Times New Roman" w:eastAsia="宋体" w:cs="Times New Roman"/>
          <w:snapToGrid w:val="0"/>
          <w:color w:val="000000" w:themeColor="text1"/>
          <w:spacing w:val="-6"/>
          <w:kern w:val="21"/>
          <w:szCs w:val="21"/>
          <w14:textFill>
            <w14:solidFill>
              <w14:schemeClr w14:val="tx1"/>
            </w14:solidFill>
          </w14:textFill>
        </w:rPr>
        <w:fldChar w:fldCharType="separate"/>
      </w:r>
      <w:r>
        <w:rPr>
          <w:rFonts w:hint="eastAsia" w:ascii="宋体" w:hAnsi="宋体" w:eastAsia="宋体" w:cs="宋体"/>
          <w:color w:val="000000" w:themeColor="text1"/>
          <w:kern w:val="0"/>
          <w:szCs w:val="21"/>
          <w14:textFill>
            <w14:solidFill>
              <w14:schemeClr w14:val="tx1"/>
            </w14:solidFill>
          </w14:textFill>
        </w:rPr>
        <w:t>①</w:t>
      </w:r>
      <w:r>
        <w:rPr>
          <w:rFonts w:ascii="Times New Roman" w:hAnsi="Times New Roman" w:eastAsia="宋体" w:cs="Times New Roman"/>
          <w:snapToGrid w:val="0"/>
          <w:color w:val="000000" w:themeColor="text1"/>
          <w:spacing w:val="-6"/>
          <w:kern w:val="21"/>
          <w:szCs w:val="21"/>
          <w14:textFill>
            <w14:solidFill>
              <w14:schemeClr w14:val="tx1"/>
            </w14:solidFill>
          </w14:textFill>
        </w:rPr>
        <w:fldChar w:fldCharType="end"/>
      </w:r>
    </w:p>
    <w:sectPr>
      <w:pgSz w:w="16838" w:h="11906" w:orient="landscape"/>
      <w:pgMar w:top="1440" w:right="1080" w:bottom="1440"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 w:name="等线 Light">
    <w:altName w:val="宋体"/>
    <w:panose1 w:val="02010600030101010101"/>
    <w:charset w:val="86"/>
    <w:family w:val="auto"/>
    <w:pitch w:val="default"/>
    <w:sig w:usb0="00000000" w:usb1="00000000" w:usb2="00000016" w:usb3="00000000" w:csb0="0004000F" w:csb1="00000000"/>
  </w:font>
  <w:font w:name="PingFang SC">
    <w:altName w:val="Segoe Print"/>
    <w:panose1 w:val="00000000000000000000"/>
    <w:charset w:val="00"/>
    <w:family w:val="auto"/>
    <w:pitch w:val="default"/>
    <w:sig w:usb0="00000000" w:usb1="00000000" w:usb2="00000000" w:usb3="00000000" w:csb0="00040001" w:csb1="00000000"/>
  </w:font>
  <w:font w:name="Segoe Print">
    <w:panose1 w:val="02000600000000000000"/>
    <w:charset w:val="00"/>
    <w:family w:val="auto"/>
    <w:pitch w:val="default"/>
    <w:sig w:usb0="0000028F" w:usb1="00000000" w:usb2="00000000" w:usb3="00000000" w:csb0="2000009F" w:csb1="47010000"/>
  </w:font>
  <w:font w:name="方正小标宋_GBK">
    <w:altName w:val="微软雅黑"/>
    <w:panose1 w:val="00000000000000000000"/>
    <w:charset w:val="86"/>
    <w:family w:val="script"/>
    <w:pitch w:val="default"/>
    <w:sig w:usb0="00000000" w:usb1="00000000" w:usb2="00000000" w:usb3="00000000" w:csb0="00040000" w:csb1="00000000"/>
  </w:font>
  <w:font w:name="楷体_GB2312">
    <w:altName w:val="楷体"/>
    <w:panose1 w:val="00000000000000000000"/>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华文仿宋">
    <w:panose1 w:val="02010600040101010101"/>
    <w:charset w:val="86"/>
    <w:family w:val="auto"/>
    <w:pitch w:val="default"/>
    <w:sig w:usb0="00000287" w:usb1="080F0000" w:usb2="00000000" w:usb3="00000000" w:csb0="0004009F" w:csb1="DFD70000"/>
  </w:font>
  <w:font w:name="仿宋">
    <w:panose1 w:val="02010609060101010101"/>
    <w:charset w:val="86"/>
    <w:family w:val="modern"/>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Segoe UI Symbol">
    <w:panose1 w:val="020B0502040204020203"/>
    <w:charset w:val="00"/>
    <w:family w:val="swiss"/>
    <w:pitch w:val="default"/>
    <w:sig w:usb0="8000006F" w:usb1="1200FBEF" w:usb2="0064C000" w:usb3="00000002" w:csb0="00000001" w:csb1="40000000"/>
  </w:font>
  <w:font w:name="等线">
    <w:altName w:val="Arial Unicode MS"/>
    <w:panose1 w:val="00000000000000000000"/>
    <w:charset w:val="00"/>
    <w:family w:val="auto"/>
    <w:pitch w:val="default"/>
    <w:sig w:usb0="00000000" w:usb1="00000000" w:usb2="00000000" w:usb3="00000000" w:csb0="00000000" w:csb1="00000000"/>
  </w:font>
  <w:font w:name="Arial Unicode MS">
    <w:panose1 w:val="020B0604020202020204"/>
    <w:charset w:val="86"/>
    <w:family w:val="auto"/>
    <w:pitch w:val="default"/>
    <w:sig w:usb0="FFFFFFFF" w:usb1="E9FFFFFF" w:usb2="0000003F" w:usb3="00000000" w:csb0="603F01FF" w:csb1="FFFF0000"/>
  </w:font>
  <w:font w:name="等线 Light">
    <w:altName w:val="Segoe Print"/>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14CBF8">
    <w:pPr>
      <w:pStyle w:val="18"/>
      <w:jc w:val="center"/>
    </w:pPr>
  </w:p>
  <w:p w14:paraId="1DF7959D">
    <w:pPr>
      <w:pStyle w:val="18"/>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9D8802">
    <w:pPr>
      <w:pStyle w:val="18"/>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889413783"/>
    </w:sdtPr>
    <w:sdtContent>
      <w:p w14:paraId="06B3DCF3">
        <w:pPr>
          <w:pStyle w:val="18"/>
          <w:jc w:val="center"/>
        </w:pPr>
        <w:r>
          <w:fldChar w:fldCharType="begin"/>
        </w:r>
        <w:r>
          <w:instrText xml:space="preserve">PAGE   \* MERGEFORMAT</w:instrText>
        </w:r>
        <w:r>
          <w:fldChar w:fldCharType="separate"/>
        </w:r>
        <w:r>
          <w:rPr>
            <w:lang w:val="zh-CN"/>
          </w:rPr>
          <w:t>24</w:t>
        </w:r>
        <w:r>
          <w:fldChar w:fldCharType="end"/>
        </w:r>
      </w:p>
    </w:sdtContent>
  </w:sdt>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1B7FBA3"/>
    <w:multiLevelType w:val="singleLevel"/>
    <w:tmpl w:val="91B7FBA3"/>
    <w:lvl w:ilvl="0" w:tentative="0">
      <w:start w:val="1"/>
      <w:numFmt w:val="upperLetter"/>
      <w:lvlText w:val="%1."/>
      <w:lvlJc w:val="left"/>
      <w:pPr>
        <w:tabs>
          <w:tab w:val="left" w:pos="312"/>
        </w:tabs>
      </w:pPr>
    </w:lvl>
  </w:abstractNum>
  <w:abstractNum w:abstractNumId="1">
    <w:nsid w:val="EABFE7C9"/>
    <w:multiLevelType w:val="singleLevel"/>
    <w:tmpl w:val="EABFE7C9"/>
    <w:lvl w:ilvl="0" w:tentative="0">
      <w:start w:val="1"/>
      <w:numFmt w:val="upperLetter"/>
      <w:lvlText w:val="%1."/>
      <w:lvlJc w:val="left"/>
      <w:pPr>
        <w:ind w:left="425" w:hanging="425"/>
      </w:pPr>
      <w:rPr>
        <w:rFonts w:hint="default"/>
      </w:rPr>
    </w:lvl>
  </w:abstractNum>
  <w:abstractNum w:abstractNumId="2">
    <w:nsid w:val="036DA690"/>
    <w:multiLevelType w:val="singleLevel"/>
    <w:tmpl w:val="036DA690"/>
    <w:lvl w:ilvl="0" w:tentative="0">
      <w:start w:val="1"/>
      <w:numFmt w:val="bullet"/>
      <w:pStyle w:val="15"/>
      <w:lvlText w:val=""/>
      <w:lvlJc w:val="left"/>
      <w:pPr>
        <w:tabs>
          <w:tab w:val="left" w:pos="2040"/>
        </w:tabs>
        <w:ind w:left="2040" w:hanging="360"/>
      </w:pPr>
      <w:rPr>
        <w:rFonts w:hint="default" w:ascii="Wingdings" w:hAnsi="Wingdings"/>
      </w:rPr>
    </w:lvl>
  </w:abstractNum>
  <w:abstractNum w:abstractNumId="3">
    <w:nsid w:val="46F0FCAC"/>
    <w:multiLevelType w:val="singleLevel"/>
    <w:tmpl w:val="46F0FCAC"/>
    <w:lvl w:ilvl="0" w:tentative="0">
      <w:start w:val="1"/>
      <w:numFmt w:val="lowerLetter"/>
      <w:lvlText w:val="%1."/>
      <w:lvlJc w:val="left"/>
      <w:pPr>
        <w:tabs>
          <w:tab w:val="left" w:pos="312"/>
        </w:tabs>
      </w:pPr>
    </w:lvl>
  </w:abstractNum>
  <w:abstractNum w:abstractNumId="4">
    <w:nsid w:val="5D554439"/>
    <w:multiLevelType w:val="singleLevel"/>
    <w:tmpl w:val="5D554439"/>
    <w:lvl w:ilvl="0" w:tentative="0">
      <w:start w:val="2"/>
      <w:numFmt w:val="decimal"/>
      <w:suff w:val="nothing"/>
      <w:lvlText w:val="（%1）"/>
      <w:lvlJc w:val="left"/>
    </w:lvl>
  </w:abstractNum>
  <w:abstractNum w:abstractNumId="5">
    <w:nsid w:val="69536DE7"/>
    <w:multiLevelType w:val="multilevel"/>
    <w:tmpl w:val="69536DE7"/>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6">
    <w:nsid w:val="77392034"/>
    <w:multiLevelType w:val="multilevel"/>
    <w:tmpl w:val="7739203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7">
    <w:nsid w:val="7CC90FFD"/>
    <w:multiLevelType w:val="multilevel"/>
    <w:tmpl w:val="7CC90FFD"/>
    <w:lvl w:ilvl="0" w:tentative="0">
      <w:start w:val="1"/>
      <w:numFmt w:val="decimal"/>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2"/>
  </w:num>
  <w:num w:numId="2">
    <w:abstractNumId w:val="7"/>
  </w:num>
  <w:num w:numId="3">
    <w:abstractNumId w:val="1"/>
  </w:num>
  <w:num w:numId="4">
    <w:abstractNumId w:val="0"/>
  </w:num>
  <w:num w:numId="5">
    <w:abstractNumId w:val="3"/>
  </w:num>
  <w:num w:numId="6">
    <w:abstractNumId w:val="4"/>
  </w:num>
  <w:num w:numId="7">
    <w:abstractNumId w:val="6"/>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hideSpellingErrors/>
  <w:hideGrammaticalErrors/>
  <w:documentProtection w:enforcement="0"/>
  <w:defaultTabStop w:val="0"/>
  <w:drawingGridHorizontalSpacing w:val="105"/>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TgwMGNjZDVlM2I2YzhkMWQ2NDA4MzE0YjI0OGQyMjcifQ=="/>
  </w:docVars>
  <w:rsids>
    <w:rsidRoot w:val="00FE48FF"/>
    <w:rsid w:val="0000516A"/>
    <w:rsid w:val="000051BB"/>
    <w:rsid w:val="00005912"/>
    <w:rsid w:val="0000604F"/>
    <w:rsid w:val="000073C6"/>
    <w:rsid w:val="00010536"/>
    <w:rsid w:val="00011412"/>
    <w:rsid w:val="00012D5F"/>
    <w:rsid w:val="00013957"/>
    <w:rsid w:val="000153DC"/>
    <w:rsid w:val="00015F78"/>
    <w:rsid w:val="0002474C"/>
    <w:rsid w:val="00025FFB"/>
    <w:rsid w:val="00027A54"/>
    <w:rsid w:val="00043332"/>
    <w:rsid w:val="0004507B"/>
    <w:rsid w:val="00045728"/>
    <w:rsid w:val="00053C13"/>
    <w:rsid w:val="00054FAE"/>
    <w:rsid w:val="0005523C"/>
    <w:rsid w:val="00055EA0"/>
    <w:rsid w:val="000568AF"/>
    <w:rsid w:val="00056C52"/>
    <w:rsid w:val="000572E0"/>
    <w:rsid w:val="00057B64"/>
    <w:rsid w:val="00061EE8"/>
    <w:rsid w:val="00062B2D"/>
    <w:rsid w:val="00062E46"/>
    <w:rsid w:val="00062ECC"/>
    <w:rsid w:val="00066788"/>
    <w:rsid w:val="00071CF1"/>
    <w:rsid w:val="00072980"/>
    <w:rsid w:val="000731DD"/>
    <w:rsid w:val="000753CC"/>
    <w:rsid w:val="000777EC"/>
    <w:rsid w:val="000778D3"/>
    <w:rsid w:val="00084F69"/>
    <w:rsid w:val="0009251D"/>
    <w:rsid w:val="00093AF3"/>
    <w:rsid w:val="00096D60"/>
    <w:rsid w:val="000A1177"/>
    <w:rsid w:val="000A3615"/>
    <w:rsid w:val="000B1B28"/>
    <w:rsid w:val="000B2D7E"/>
    <w:rsid w:val="000B4BC2"/>
    <w:rsid w:val="000B76CF"/>
    <w:rsid w:val="000C2DEE"/>
    <w:rsid w:val="000C4754"/>
    <w:rsid w:val="000C7820"/>
    <w:rsid w:val="000D0287"/>
    <w:rsid w:val="000E0A9C"/>
    <w:rsid w:val="000E4BA2"/>
    <w:rsid w:val="000E5F94"/>
    <w:rsid w:val="000E72BC"/>
    <w:rsid w:val="000F206F"/>
    <w:rsid w:val="000F6BF7"/>
    <w:rsid w:val="000F7FD9"/>
    <w:rsid w:val="00100EA1"/>
    <w:rsid w:val="00101C00"/>
    <w:rsid w:val="00103376"/>
    <w:rsid w:val="00103D8F"/>
    <w:rsid w:val="00104C97"/>
    <w:rsid w:val="00107D3E"/>
    <w:rsid w:val="00107EC7"/>
    <w:rsid w:val="001135FC"/>
    <w:rsid w:val="001138F0"/>
    <w:rsid w:val="0011395B"/>
    <w:rsid w:val="00113C05"/>
    <w:rsid w:val="00114603"/>
    <w:rsid w:val="00115100"/>
    <w:rsid w:val="001155F3"/>
    <w:rsid w:val="00124044"/>
    <w:rsid w:val="00125B5B"/>
    <w:rsid w:val="00125D76"/>
    <w:rsid w:val="001268DC"/>
    <w:rsid w:val="0013225E"/>
    <w:rsid w:val="001339D3"/>
    <w:rsid w:val="001426A6"/>
    <w:rsid w:val="0014488F"/>
    <w:rsid w:val="00150825"/>
    <w:rsid w:val="00151B1F"/>
    <w:rsid w:val="0015296D"/>
    <w:rsid w:val="00154C57"/>
    <w:rsid w:val="001573CB"/>
    <w:rsid w:val="00157A2D"/>
    <w:rsid w:val="001601D2"/>
    <w:rsid w:val="001605FF"/>
    <w:rsid w:val="00161C4D"/>
    <w:rsid w:val="00164B42"/>
    <w:rsid w:val="00170250"/>
    <w:rsid w:val="0017684F"/>
    <w:rsid w:val="00183FCB"/>
    <w:rsid w:val="00187942"/>
    <w:rsid w:val="00187C7C"/>
    <w:rsid w:val="001900A5"/>
    <w:rsid w:val="00197295"/>
    <w:rsid w:val="00197EBC"/>
    <w:rsid w:val="001A021F"/>
    <w:rsid w:val="001A0C4D"/>
    <w:rsid w:val="001A12DB"/>
    <w:rsid w:val="001A2694"/>
    <w:rsid w:val="001A3D76"/>
    <w:rsid w:val="001A4ED4"/>
    <w:rsid w:val="001B36CF"/>
    <w:rsid w:val="001B4951"/>
    <w:rsid w:val="001B6317"/>
    <w:rsid w:val="001B6EF7"/>
    <w:rsid w:val="001C02CC"/>
    <w:rsid w:val="001C2706"/>
    <w:rsid w:val="001D28D6"/>
    <w:rsid w:val="001D2BA4"/>
    <w:rsid w:val="001D4F90"/>
    <w:rsid w:val="001D59BB"/>
    <w:rsid w:val="001D6007"/>
    <w:rsid w:val="001E17DC"/>
    <w:rsid w:val="001F4C7E"/>
    <w:rsid w:val="00202755"/>
    <w:rsid w:val="0020543A"/>
    <w:rsid w:val="0021365D"/>
    <w:rsid w:val="0022122B"/>
    <w:rsid w:val="002331EA"/>
    <w:rsid w:val="0023445B"/>
    <w:rsid w:val="00235A82"/>
    <w:rsid w:val="00243128"/>
    <w:rsid w:val="002437C4"/>
    <w:rsid w:val="0024458E"/>
    <w:rsid w:val="002464FE"/>
    <w:rsid w:val="00247A84"/>
    <w:rsid w:val="00253A6C"/>
    <w:rsid w:val="00254BF3"/>
    <w:rsid w:val="002553C4"/>
    <w:rsid w:val="00257217"/>
    <w:rsid w:val="00260733"/>
    <w:rsid w:val="0026276D"/>
    <w:rsid w:val="002641A0"/>
    <w:rsid w:val="002662EC"/>
    <w:rsid w:val="00266E3E"/>
    <w:rsid w:val="00270D6A"/>
    <w:rsid w:val="002711FA"/>
    <w:rsid w:val="0027421D"/>
    <w:rsid w:val="00274C14"/>
    <w:rsid w:val="002750EA"/>
    <w:rsid w:val="0027628B"/>
    <w:rsid w:val="00276673"/>
    <w:rsid w:val="0027774A"/>
    <w:rsid w:val="002832F2"/>
    <w:rsid w:val="00285BD7"/>
    <w:rsid w:val="002901FA"/>
    <w:rsid w:val="00290695"/>
    <w:rsid w:val="00291861"/>
    <w:rsid w:val="00292142"/>
    <w:rsid w:val="00295165"/>
    <w:rsid w:val="00296943"/>
    <w:rsid w:val="00297A78"/>
    <w:rsid w:val="00297ED5"/>
    <w:rsid w:val="002A39B9"/>
    <w:rsid w:val="002A41C5"/>
    <w:rsid w:val="002B0298"/>
    <w:rsid w:val="002B050A"/>
    <w:rsid w:val="002B1D4A"/>
    <w:rsid w:val="002B5ED5"/>
    <w:rsid w:val="002B7697"/>
    <w:rsid w:val="002C1074"/>
    <w:rsid w:val="002C5547"/>
    <w:rsid w:val="002C61BD"/>
    <w:rsid w:val="002D2CCC"/>
    <w:rsid w:val="002D4F36"/>
    <w:rsid w:val="002E138C"/>
    <w:rsid w:val="002E1543"/>
    <w:rsid w:val="002E2B02"/>
    <w:rsid w:val="002E5B05"/>
    <w:rsid w:val="002E793D"/>
    <w:rsid w:val="002F4883"/>
    <w:rsid w:val="002F4B11"/>
    <w:rsid w:val="002F7871"/>
    <w:rsid w:val="002F7F2F"/>
    <w:rsid w:val="00302F9D"/>
    <w:rsid w:val="0030336A"/>
    <w:rsid w:val="00311DD4"/>
    <w:rsid w:val="0032042F"/>
    <w:rsid w:val="00320950"/>
    <w:rsid w:val="00320E57"/>
    <w:rsid w:val="00322381"/>
    <w:rsid w:val="00331EF3"/>
    <w:rsid w:val="00332359"/>
    <w:rsid w:val="00333D0F"/>
    <w:rsid w:val="00345612"/>
    <w:rsid w:val="00345E58"/>
    <w:rsid w:val="0034617D"/>
    <w:rsid w:val="00350659"/>
    <w:rsid w:val="00351553"/>
    <w:rsid w:val="0035386D"/>
    <w:rsid w:val="00353E0C"/>
    <w:rsid w:val="00364843"/>
    <w:rsid w:val="00372F1F"/>
    <w:rsid w:val="00373BFE"/>
    <w:rsid w:val="00377910"/>
    <w:rsid w:val="003801BA"/>
    <w:rsid w:val="00381741"/>
    <w:rsid w:val="00382CB9"/>
    <w:rsid w:val="003909A4"/>
    <w:rsid w:val="00392095"/>
    <w:rsid w:val="00395457"/>
    <w:rsid w:val="00395B0A"/>
    <w:rsid w:val="003A10A3"/>
    <w:rsid w:val="003A4E2E"/>
    <w:rsid w:val="003A5B31"/>
    <w:rsid w:val="003A6D57"/>
    <w:rsid w:val="003B17AC"/>
    <w:rsid w:val="003B2354"/>
    <w:rsid w:val="003B2B44"/>
    <w:rsid w:val="003B591B"/>
    <w:rsid w:val="003C1E16"/>
    <w:rsid w:val="003C2AD6"/>
    <w:rsid w:val="003C2EA1"/>
    <w:rsid w:val="003C4CA4"/>
    <w:rsid w:val="003D1831"/>
    <w:rsid w:val="003D6721"/>
    <w:rsid w:val="003D75D2"/>
    <w:rsid w:val="003E1D91"/>
    <w:rsid w:val="003E4AFF"/>
    <w:rsid w:val="003E56A3"/>
    <w:rsid w:val="003E7038"/>
    <w:rsid w:val="003E7669"/>
    <w:rsid w:val="0040530C"/>
    <w:rsid w:val="004066C6"/>
    <w:rsid w:val="004075A1"/>
    <w:rsid w:val="0041116D"/>
    <w:rsid w:val="00414E25"/>
    <w:rsid w:val="004166CD"/>
    <w:rsid w:val="00416E56"/>
    <w:rsid w:val="00421FA6"/>
    <w:rsid w:val="00427704"/>
    <w:rsid w:val="00432E66"/>
    <w:rsid w:val="00433409"/>
    <w:rsid w:val="00435908"/>
    <w:rsid w:val="00435C00"/>
    <w:rsid w:val="00436523"/>
    <w:rsid w:val="0043658A"/>
    <w:rsid w:val="00436761"/>
    <w:rsid w:val="00441ADF"/>
    <w:rsid w:val="00442526"/>
    <w:rsid w:val="00444BF9"/>
    <w:rsid w:val="00450A87"/>
    <w:rsid w:val="00457091"/>
    <w:rsid w:val="0046059A"/>
    <w:rsid w:val="004619C7"/>
    <w:rsid w:val="00463263"/>
    <w:rsid w:val="004633B3"/>
    <w:rsid w:val="00465ED3"/>
    <w:rsid w:val="00470905"/>
    <w:rsid w:val="004724AB"/>
    <w:rsid w:val="0047381B"/>
    <w:rsid w:val="00477436"/>
    <w:rsid w:val="00477D70"/>
    <w:rsid w:val="00477E5B"/>
    <w:rsid w:val="00480E25"/>
    <w:rsid w:val="004810D7"/>
    <w:rsid w:val="0048312F"/>
    <w:rsid w:val="00483674"/>
    <w:rsid w:val="00483BC5"/>
    <w:rsid w:val="00491651"/>
    <w:rsid w:val="004939D0"/>
    <w:rsid w:val="00493CB4"/>
    <w:rsid w:val="0049463E"/>
    <w:rsid w:val="00494ED2"/>
    <w:rsid w:val="004963F6"/>
    <w:rsid w:val="00496A62"/>
    <w:rsid w:val="00497F22"/>
    <w:rsid w:val="004A0C97"/>
    <w:rsid w:val="004A181C"/>
    <w:rsid w:val="004B215F"/>
    <w:rsid w:val="004B2172"/>
    <w:rsid w:val="004B2382"/>
    <w:rsid w:val="004B3453"/>
    <w:rsid w:val="004B377A"/>
    <w:rsid w:val="004B46B3"/>
    <w:rsid w:val="004B7421"/>
    <w:rsid w:val="004C1029"/>
    <w:rsid w:val="004C2379"/>
    <w:rsid w:val="004C301C"/>
    <w:rsid w:val="004C4480"/>
    <w:rsid w:val="004C54CA"/>
    <w:rsid w:val="004C63D4"/>
    <w:rsid w:val="004C6559"/>
    <w:rsid w:val="004D0EE9"/>
    <w:rsid w:val="004D3CC8"/>
    <w:rsid w:val="004D5B75"/>
    <w:rsid w:val="004D7B0F"/>
    <w:rsid w:val="004E01AB"/>
    <w:rsid w:val="004E3E55"/>
    <w:rsid w:val="004F61D1"/>
    <w:rsid w:val="005048D3"/>
    <w:rsid w:val="00507150"/>
    <w:rsid w:val="00514712"/>
    <w:rsid w:val="005200A9"/>
    <w:rsid w:val="005206A6"/>
    <w:rsid w:val="0052134D"/>
    <w:rsid w:val="005238CC"/>
    <w:rsid w:val="00523A6A"/>
    <w:rsid w:val="00526EEB"/>
    <w:rsid w:val="005278FD"/>
    <w:rsid w:val="00527A90"/>
    <w:rsid w:val="005308CD"/>
    <w:rsid w:val="00530BFF"/>
    <w:rsid w:val="00531881"/>
    <w:rsid w:val="00531D5A"/>
    <w:rsid w:val="00533767"/>
    <w:rsid w:val="00534C5C"/>
    <w:rsid w:val="00535ED1"/>
    <w:rsid w:val="005364DA"/>
    <w:rsid w:val="00540777"/>
    <w:rsid w:val="005472AC"/>
    <w:rsid w:val="00547A6E"/>
    <w:rsid w:val="00553629"/>
    <w:rsid w:val="005564A0"/>
    <w:rsid w:val="00561822"/>
    <w:rsid w:val="00564576"/>
    <w:rsid w:val="005704CF"/>
    <w:rsid w:val="00570993"/>
    <w:rsid w:val="00570DC0"/>
    <w:rsid w:val="00571BCF"/>
    <w:rsid w:val="0057268F"/>
    <w:rsid w:val="00572777"/>
    <w:rsid w:val="0057362B"/>
    <w:rsid w:val="00574139"/>
    <w:rsid w:val="005802F4"/>
    <w:rsid w:val="0058723D"/>
    <w:rsid w:val="005927F0"/>
    <w:rsid w:val="005939A5"/>
    <w:rsid w:val="005A0B1B"/>
    <w:rsid w:val="005A4876"/>
    <w:rsid w:val="005A5FE5"/>
    <w:rsid w:val="005A6F2C"/>
    <w:rsid w:val="005B5613"/>
    <w:rsid w:val="005B6B6F"/>
    <w:rsid w:val="005B6DDF"/>
    <w:rsid w:val="005C1062"/>
    <w:rsid w:val="005C7CDF"/>
    <w:rsid w:val="005D0C56"/>
    <w:rsid w:val="005D1CF1"/>
    <w:rsid w:val="005D2067"/>
    <w:rsid w:val="005D2F77"/>
    <w:rsid w:val="005D3842"/>
    <w:rsid w:val="005D60FF"/>
    <w:rsid w:val="005D6F51"/>
    <w:rsid w:val="005E0F27"/>
    <w:rsid w:val="005E1D25"/>
    <w:rsid w:val="005E465A"/>
    <w:rsid w:val="005E5C8A"/>
    <w:rsid w:val="005F75FD"/>
    <w:rsid w:val="00600D5D"/>
    <w:rsid w:val="00602586"/>
    <w:rsid w:val="006032C8"/>
    <w:rsid w:val="006037B6"/>
    <w:rsid w:val="00604C6A"/>
    <w:rsid w:val="00604EAE"/>
    <w:rsid w:val="00610095"/>
    <w:rsid w:val="00614FD7"/>
    <w:rsid w:val="00615978"/>
    <w:rsid w:val="006205EF"/>
    <w:rsid w:val="006232B5"/>
    <w:rsid w:val="00623A52"/>
    <w:rsid w:val="006279FD"/>
    <w:rsid w:val="00630B63"/>
    <w:rsid w:val="00631A45"/>
    <w:rsid w:val="00634B58"/>
    <w:rsid w:val="00634F63"/>
    <w:rsid w:val="0063517A"/>
    <w:rsid w:val="00635F88"/>
    <w:rsid w:val="00636150"/>
    <w:rsid w:val="006403DB"/>
    <w:rsid w:val="00641506"/>
    <w:rsid w:val="0064438A"/>
    <w:rsid w:val="0065292C"/>
    <w:rsid w:val="00653B6D"/>
    <w:rsid w:val="00653FED"/>
    <w:rsid w:val="00654BB4"/>
    <w:rsid w:val="00657663"/>
    <w:rsid w:val="00660E7A"/>
    <w:rsid w:val="0066444C"/>
    <w:rsid w:val="00665E3E"/>
    <w:rsid w:val="006716CB"/>
    <w:rsid w:val="00674581"/>
    <w:rsid w:val="00674CD8"/>
    <w:rsid w:val="006810E3"/>
    <w:rsid w:val="00681E4F"/>
    <w:rsid w:val="00682506"/>
    <w:rsid w:val="006830C9"/>
    <w:rsid w:val="00685C96"/>
    <w:rsid w:val="006919BB"/>
    <w:rsid w:val="00694462"/>
    <w:rsid w:val="0069578C"/>
    <w:rsid w:val="00695B8E"/>
    <w:rsid w:val="0069708F"/>
    <w:rsid w:val="006A097A"/>
    <w:rsid w:val="006A2612"/>
    <w:rsid w:val="006A59AD"/>
    <w:rsid w:val="006A6B63"/>
    <w:rsid w:val="006B56F7"/>
    <w:rsid w:val="006C133C"/>
    <w:rsid w:val="006C1E8A"/>
    <w:rsid w:val="006C2C0D"/>
    <w:rsid w:val="006C65EA"/>
    <w:rsid w:val="006C6A66"/>
    <w:rsid w:val="006D1B42"/>
    <w:rsid w:val="006D73B3"/>
    <w:rsid w:val="006E7063"/>
    <w:rsid w:val="006E79EF"/>
    <w:rsid w:val="006E7DE9"/>
    <w:rsid w:val="006F061B"/>
    <w:rsid w:val="006F089A"/>
    <w:rsid w:val="006F390B"/>
    <w:rsid w:val="006F3FE8"/>
    <w:rsid w:val="006F5F5D"/>
    <w:rsid w:val="006F6214"/>
    <w:rsid w:val="006F758D"/>
    <w:rsid w:val="00700F20"/>
    <w:rsid w:val="007028B1"/>
    <w:rsid w:val="0070371D"/>
    <w:rsid w:val="00703BF6"/>
    <w:rsid w:val="00706464"/>
    <w:rsid w:val="00707D64"/>
    <w:rsid w:val="007124FE"/>
    <w:rsid w:val="00712F35"/>
    <w:rsid w:val="00716A36"/>
    <w:rsid w:val="0072426E"/>
    <w:rsid w:val="00726635"/>
    <w:rsid w:val="00727AF0"/>
    <w:rsid w:val="007379DB"/>
    <w:rsid w:val="00740CDA"/>
    <w:rsid w:val="007507C4"/>
    <w:rsid w:val="00750C16"/>
    <w:rsid w:val="0075255C"/>
    <w:rsid w:val="00753836"/>
    <w:rsid w:val="007547C3"/>
    <w:rsid w:val="00754FFF"/>
    <w:rsid w:val="00756C48"/>
    <w:rsid w:val="00757FC5"/>
    <w:rsid w:val="0076117F"/>
    <w:rsid w:val="0076158F"/>
    <w:rsid w:val="00766022"/>
    <w:rsid w:val="007704A3"/>
    <w:rsid w:val="00770F7F"/>
    <w:rsid w:val="0077186E"/>
    <w:rsid w:val="00771E3B"/>
    <w:rsid w:val="0077456F"/>
    <w:rsid w:val="00780220"/>
    <w:rsid w:val="00780B75"/>
    <w:rsid w:val="00784540"/>
    <w:rsid w:val="00784D49"/>
    <w:rsid w:val="0078697C"/>
    <w:rsid w:val="007917F6"/>
    <w:rsid w:val="007A2993"/>
    <w:rsid w:val="007A2C8C"/>
    <w:rsid w:val="007A2CF1"/>
    <w:rsid w:val="007A3528"/>
    <w:rsid w:val="007A7E6E"/>
    <w:rsid w:val="007B1032"/>
    <w:rsid w:val="007B216C"/>
    <w:rsid w:val="007B2AF7"/>
    <w:rsid w:val="007B3270"/>
    <w:rsid w:val="007B3C25"/>
    <w:rsid w:val="007B6546"/>
    <w:rsid w:val="007C6937"/>
    <w:rsid w:val="007C727C"/>
    <w:rsid w:val="007D14C9"/>
    <w:rsid w:val="007D637F"/>
    <w:rsid w:val="007D7065"/>
    <w:rsid w:val="007D7F6F"/>
    <w:rsid w:val="007E0A12"/>
    <w:rsid w:val="007F1FEB"/>
    <w:rsid w:val="007F2D8E"/>
    <w:rsid w:val="007F783B"/>
    <w:rsid w:val="008011FE"/>
    <w:rsid w:val="00801BC9"/>
    <w:rsid w:val="008037E9"/>
    <w:rsid w:val="00805099"/>
    <w:rsid w:val="00805711"/>
    <w:rsid w:val="008106A6"/>
    <w:rsid w:val="00811F05"/>
    <w:rsid w:val="008158F8"/>
    <w:rsid w:val="00817FBF"/>
    <w:rsid w:val="0082301F"/>
    <w:rsid w:val="00824C13"/>
    <w:rsid w:val="00826A96"/>
    <w:rsid w:val="00826B34"/>
    <w:rsid w:val="00830987"/>
    <w:rsid w:val="00833739"/>
    <w:rsid w:val="00834C89"/>
    <w:rsid w:val="00841F9B"/>
    <w:rsid w:val="00842C9F"/>
    <w:rsid w:val="00842F08"/>
    <w:rsid w:val="00845F31"/>
    <w:rsid w:val="00846837"/>
    <w:rsid w:val="00850D14"/>
    <w:rsid w:val="00851491"/>
    <w:rsid w:val="00852DF6"/>
    <w:rsid w:val="00853544"/>
    <w:rsid w:val="00855627"/>
    <w:rsid w:val="00864E8F"/>
    <w:rsid w:val="00866BDE"/>
    <w:rsid w:val="00867169"/>
    <w:rsid w:val="00871093"/>
    <w:rsid w:val="008738EC"/>
    <w:rsid w:val="0087433D"/>
    <w:rsid w:val="008749A3"/>
    <w:rsid w:val="0088031F"/>
    <w:rsid w:val="00880F73"/>
    <w:rsid w:val="00881ED6"/>
    <w:rsid w:val="0088515B"/>
    <w:rsid w:val="008853E6"/>
    <w:rsid w:val="00890ABF"/>
    <w:rsid w:val="00890DEC"/>
    <w:rsid w:val="00894845"/>
    <w:rsid w:val="008A078E"/>
    <w:rsid w:val="008A1F14"/>
    <w:rsid w:val="008A5920"/>
    <w:rsid w:val="008B50E5"/>
    <w:rsid w:val="008B5482"/>
    <w:rsid w:val="008B6B7F"/>
    <w:rsid w:val="008C2504"/>
    <w:rsid w:val="008C27E3"/>
    <w:rsid w:val="008C2961"/>
    <w:rsid w:val="008C2F7D"/>
    <w:rsid w:val="008C5FFD"/>
    <w:rsid w:val="008C6990"/>
    <w:rsid w:val="008C6EA3"/>
    <w:rsid w:val="008C7D2E"/>
    <w:rsid w:val="008D322C"/>
    <w:rsid w:val="008D40B9"/>
    <w:rsid w:val="008D5192"/>
    <w:rsid w:val="008D7114"/>
    <w:rsid w:val="008D7CFC"/>
    <w:rsid w:val="008E73AF"/>
    <w:rsid w:val="008E7633"/>
    <w:rsid w:val="008F0980"/>
    <w:rsid w:val="008F1E46"/>
    <w:rsid w:val="008F3741"/>
    <w:rsid w:val="008F6763"/>
    <w:rsid w:val="009011FD"/>
    <w:rsid w:val="00904696"/>
    <w:rsid w:val="0091353D"/>
    <w:rsid w:val="00913671"/>
    <w:rsid w:val="00915962"/>
    <w:rsid w:val="00924176"/>
    <w:rsid w:val="00926181"/>
    <w:rsid w:val="0093216B"/>
    <w:rsid w:val="00932760"/>
    <w:rsid w:val="00935A84"/>
    <w:rsid w:val="00935E8D"/>
    <w:rsid w:val="009421EA"/>
    <w:rsid w:val="009438F9"/>
    <w:rsid w:val="00943AA7"/>
    <w:rsid w:val="0094443C"/>
    <w:rsid w:val="00945C41"/>
    <w:rsid w:val="0095359E"/>
    <w:rsid w:val="00954EC9"/>
    <w:rsid w:val="009565CB"/>
    <w:rsid w:val="00966A80"/>
    <w:rsid w:val="00967229"/>
    <w:rsid w:val="009706DB"/>
    <w:rsid w:val="009716BB"/>
    <w:rsid w:val="00972F78"/>
    <w:rsid w:val="009744EF"/>
    <w:rsid w:val="009850B4"/>
    <w:rsid w:val="009863D0"/>
    <w:rsid w:val="00991CB0"/>
    <w:rsid w:val="00991D30"/>
    <w:rsid w:val="0099587A"/>
    <w:rsid w:val="00995AB2"/>
    <w:rsid w:val="00995F33"/>
    <w:rsid w:val="009A050F"/>
    <w:rsid w:val="009A3F15"/>
    <w:rsid w:val="009A408B"/>
    <w:rsid w:val="009A4586"/>
    <w:rsid w:val="009A6A5A"/>
    <w:rsid w:val="009B1191"/>
    <w:rsid w:val="009C12C9"/>
    <w:rsid w:val="009C17C4"/>
    <w:rsid w:val="009C1CB6"/>
    <w:rsid w:val="009C3E58"/>
    <w:rsid w:val="009C5B52"/>
    <w:rsid w:val="009C7EFE"/>
    <w:rsid w:val="009D0F7A"/>
    <w:rsid w:val="009D1542"/>
    <w:rsid w:val="009D3966"/>
    <w:rsid w:val="009E1DA9"/>
    <w:rsid w:val="009F1BC1"/>
    <w:rsid w:val="009F2241"/>
    <w:rsid w:val="009F6232"/>
    <w:rsid w:val="00A0525F"/>
    <w:rsid w:val="00A102CE"/>
    <w:rsid w:val="00A12726"/>
    <w:rsid w:val="00A137ED"/>
    <w:rsid w:val="00A144AD"/>
    <w:rsid w:val="00A14E4A"/>
    <w:rsid w:val="00A151B7"/>
    <w:rsid w:val="00A157A1"/>
    <w:rsid w:val="00A24C8B"/>
    <w:rsid w:val="00A25765"/>
    <w:rsid w:val="00A25DA3"/>
    <w:rsid w:val="00A3124D"/>
    <w:rsid w:val="00A31BE7"/>
    <w:rsid w:val="00A34BF2"/>
    <w:rsid w:val="00A36797"/>
    <w:rsid w:val="00A36B1D"/>
    <w:rsid w:val="00A36B2D"/>
    <w:rsid w:val="00A4120B"/>
    <w:rsid w:val="00A41763"/>
    <w:rsid w:val="00A41DB6"/>
    <w:rsid w:val="00A41DE3"/>
    <w:rsid w:val="00A463FE"/>
    <w:rsid w:val="00A465C2"/>
    <w:rsid w:val="00A46670"/>
    <w:rsid w:val="00A46D60"/>
    <w:rsid w:val="00A50410"/>
    <w:rsid w:val="00A51CE4"/>
    <w:rsid w:val="00A53D04"/>
    <w:rsid w:val="00A66D12"/>
    <w:rsid w:val="00A67913"/>
    <w:rsid w:val="00A71E30"/>
    <w:rsid w:val="00A733D1"/>
    <w:rsid w:val="00A86B8D"/>
    <w:rsid w:val="00A93B73"/>
    <w:rsid w:val="00A960A1"/>
    <w:rsid w:val="00AA1FB9"/>
    <w:rsid w:val="00AA60E2"/>
    <w:rsid w:val="00AA7AD1"/>
    <w:rsid w:val="00AB2596"/>
    <w:rsid w:val="00AB3A04"/>
    <w:rsid w:val="00AB511C"/>
    <w:rsid w:val="00AB7A10"/>
    <w:rsid w:val="00AC44EA"/>
    <w:rsid w:val="00AC5A32"/>
    <w:rsid w:val="00AC646D"/>
    <w:rsid w:val="00AD04E6"/>
    <w:rsid w:val="00AD050F"/>
    <w:rsid w:val="00AE01C3"/>
    <w:rsid w:val="00AE616C"/>
    <w:rsid w:val="00AE7224"/>
    <w:rsid w:val="00AF336F"/>
    <w:rsid w:val="00AF3917"/>
    <w:rsid w:val="00AF760F"/>
    <w:rsid w:val="00B0147E"/>
    <w:rsid w:val="00B02031"/>
    <w:rsid w:val="00B06D2B"/>
    <w:rsid w:val="00B07859"/>
    <w:rsid w:val="00B115BF"/>
    <w:rsid w:val="00B1492B"/>
    <w:rsid w:val="00B14CCC"/>
    <w:rsid w:val="00B21E80"/>
    <w:rsid w:val="00B22196"/>
    <w:rsid w:val="00B33A23"/>
    <w:rsid w:val="00B35029"/>
    <w:rsid w:val="00B42C83"/>
    <w:rsid w:val="00B4388A"/>
    <w:rsid w:val="00B44751"/>
    <w:rsid w:val="00B460FF"/>
    <w:rsid w:val="00B50D3E"/>
    <w:rsid w:val="00B5276C"/>
    <w:rsid w:val="00B5479D"/>
    <w:rsid w:val="00B634D4"/>
    <w:rsid w:val="00B65CCE"/>
    <w:rsid w:val="00B65FB2"/>
    <w:rsid w:val="00B73025"/>
    <w:rsid w:val="00B735E1"/>
    <w:rsid w:val="00B75421"/>
    <w:rsid w:val="00B772BE"/>
    <w:rsid w:val="00B82824"/>
    <w:rsid w:val="00B82E10"/>
    <w:rsid w:val="00B87BF9"/>
    <w:rsid w:val="00B91AAA"/>
    <w:rsid w:val="00B91FFF"/>
    <w:rsid w:val="00B93333"/>
    <w:rsid w:val="00B95DE7"/>
    <w:rsid w:val="00BA0B9C"/>
    <w:rsid w:val="00BA28F6"/>
    <w:rsid w:val="00BA52C3"/>
    <w:rsid w:val="00BA650A"/>
    <w:rsid w:val="00BB17D3"/>
    <w:rsid w:val="00BB46FA"/>
    <w:rsid w:val="00BB669E"/>
    <w:rsid w:val="00BB7304"/>
    <w:rsid w:val="00BB75DA"/>
    <w:rsid w:val="00BB7E9B"/>
    <w:rsid w:val="00BD0F47"/>
    <w:rsid w:val="00BD25F2"/>
    <w:rsid w:val="00BD2D65"/>
    <w:rsid w:val="00BE00BA"/>
    <w:rsid w:val="00BE153A"/>
    <w:rsid w:val="00BE258C"/>
    <w:rsid w:val="00BE6A0C"/>
    <w:rsid w:val="00BE7589"/>
    <w:rsid w:val="00BF2F3B"/>
    <w:rsid w:val="00BF57A0"/>
    <w:rsid w:val="00BF7325"/>
    <w:rsid w:val="00C01758"/>
    <w:rsid w:val="00C03619"/>
    <w:rsid w:val="00C043AA"/>
    <w:rsid w:val="00C04531"/>
    <w:rsid w:val="00C04776"/>
    <w:rsid w:val="00C04FDC"/>
    <w:rsid w:val="00C07126"/>
    <w:rsid w:val="00C07B66"/>
    <w:rsid w:val="00C11726"/>
    <w:rsid w:val="00C1206C"/>
    <w:rsid w:val="00C14ABB"/>
    <w:rsid w:val="00C21E26"/>
    <w:rsid w:val="00C25E4E"/>
    <w:rsid w:val="00C27E54"/>
    <w:rsid w:val="00C30EA6"/>
    <w:rsid w:val="00C31F48"/>
    <w:rsid w:val="00C35057"/>
    <w:rsid w:val="00C35715"/>
    <w:rsid w:val="00C3579A"/>
    <w:rsid w:val="00C364F3"/>
    <w:rsid w:val="00C36B70"/>
    <w:rsid w:val="00C40CAD"/>
    <w:rsid w:val="00C41023"/>
    <w:rsid w:val="00C41062"/>
    <w:rsid w:val="00C45127"/>
    <w:rsid w:val="00C453FD"/>
    <w:rsid w:val="00C522E7"/>
    <w:rsid w:val="00C5290E"/>
    <w:rsid w:val="00C62A85"/>
    <w:rsid w:val="00C644B4"/>
    <w:rsid w:val="00C658A5"/>
    <w:rsid w:val="00C66B95"/>
    <w:rsid w:val="00C7347C"/>
    <w:rsid w:val="00C800D8"/>
    <w:rsid w:val="00C821F0"/>
    <w:rsid w:val="00C82550"/>
    <w:rsid w:val="00C82C6B"/>
    <w:rsid w:val="00C832CB"/>
    <w:rsid w:val="00C839B8"/>
    <w:rsid w:val="00C84B6B"/>
    <w:rsid w:val="00C85F3A"/>
    <w:rsid w:val="00C86890"/>
    <w:rsid w:val="00C86E07"/>
    <w:rsid w:val="00C94A1A"/>
    <w:rsid w:val="00CA083F"/>
    <w:rsid w:val="00CA18EF"/>
    <w:rsid w:val="00CA3CD8"/>
    <w:rsid w:val="00CA5E62"/>
    <w:rsid w:val="00CA75A8"/>
    <w:rsid w:val="00CB172D"/>
    <w:rsid w:val="00CB2EED"/>
    <w:rsid w:val="00CB47C9"/>
    <w:rsid w:val="00CB5470"/>
    <w:rsid w:val="00CB55C7"/>
    <w:rsid w:val="00CC695C"/>
    <w:rsid w:val="00CC7333"/>
    <w:rsid w:val="00CC79EA"/>
    <w:rsid w:val="00CD0D06"/>
    <w:rsid w:val="00CD3460"/>
    <w:rsid w:val="00CD4751"/>
    <w:rsid w:val="00CD5B70"/>
    <w:rsid w:val="00CD5D34"/>
    <w:rsid w:val="00CD773E"/>
    <w:rsid w:val="00CD7F8A"/>
    <w:rsid w:val="00CE2170"/>
    <w:rsid w:val="00CE4BFE"/>
    <w:rsid w:val="00CE5B53"/>
    <w:rsid w:val="00CE6B84"/>
    <w:rsid w:val="00CF013A"/>
    <w:rsid w:val="00CF1812"/>
    <w:rsid w:val="00CF37EC"/>
    <w:rsid w:val="00CF5443"/>
    <w:rsid w:val="00D030EB"/>
    <w:rsid w:val="00D0405E"/>
    <w:rsid w:val="00D04D34"/>
    <w:rsid w:val="00D05FA4"/>
    <w:rsid w:val="00D071AD"/>
    <w:rsid w:val="00D1012F"/>
    <w:rsid w:val="00D101E1"/>
    <w:rsid w:val="00D16354"/>
    <w:rsid w:val="00D2085D"/>
    <w:rsid w:val="00D21345"/>
    <w:rsid w:val="00D2481E"/>
    <w:rsid w:val="00D266E0"/>
    <w:rsid w:val="00D2694C"/>
    <w:rsid w:val="00D319CE"/>
    <w:rsid w:val="00D31E88"/>
    <w:rsid w:val="00D37591"/>
    <w:rsid w:val="00D405CE"/>
    <w:rsid w:val="00D4131C"/>
    <w:rsid w:val="00D416F9"/>
    <w:rsid w:val="00D44D71"/>
    <w:rsid w:val="00D45603"/>
    <w:rsid w:val="00D45862"/>
    <w:rsid w:val="00D46783"/>
    <w:rsid w:val="00D55453"/>
    <w:rsid w:val="00D629B5"/>
    <w:rsid w:val="00D66BC5"/>
    <w:rsid w:val="00D7359F"/>
    <w:rsid w:val="00D7530B"/>
    <w:rsid w:val="00D7773F"/>
    <w:rsid w:val="00D77788"/>
    <w:rsid w:val="00D7779F"/>
    <w:rsid w:val="00D80A4A"/>
    <w:rsid w:val="00D81464"/>
    <w:rsid w:val="00D822AA"/>
    <w:rsid w:val="00D82967"/>
    <w:rsid w:val="00D82F00"/>
    <w:rsid w:val="00D842F2"/>
    <w:rsid w:val="00D87F6D"/>
    <w:rsid w:val="00D92238"/>
    <w:rsid w:val="00D953F8"/>
    <w:rsid w:val="00D95FD5"/>
    <w:rsid w:val="00DA26AB"/>
    <w:rsid w:val="00DA3B89"/>
    <w:rsid w:val="00DA3D0A"/>
    <w:rsid w:val="00DA63C5"/>
    <w:rsid w:val="00DA6AD3"/>
    <w:rsid w:val="00DB1DDD"/>
    <w:rsid w:val="00DB6006"/>
    <w:rsid w:val="00DB6A9B"/>
    <w:rsid w:val="00DC5D83"/>
    <w:rsid w:val="00DD3302"/>
    <w:rsid w:val="00DD7B08"/>
    <w:rsid w:val="00DE18F2"/>
    <w:rsid w:val="00DE2727"/>
    <w:rsid w:val="00DE6EAC"/>
    <w:rsid w:val="00DF3530"/>
    <w:rsid w:val="00DF398E"/>
    <w:rsid w:val="00E00465"/>
    <w:rsid w:val="00E04EC9"/>
    <w:rsid w:val="00E05916"/>
    <w:rsid w:val="00E05B93"/>
    <w:rsid w:val="00E166F6"/>
    <w:rsid w:val="00E207F0"/>
    <w:rsid w:val="00E23717"/>
    <w:rsid w:val="00E256FB"/>
    <w:rsid w:val="00E25D7F"/>
    <w:rsid w:val="00E359F2"/>
    <w:rsid w:val="00E35AA7"/>
    <w:rsid w:val="00E37E05"/>
    <w:rsid w:val="00E42DFE"/>
    <w:rsid w:val="00E50034"/>
    <w:rsid w:val="00E54BE7"/>
    <w:rsid w:val="00E55F15"/>
    <w:rsid w:val="00E61B88"/>
    <w:rsid w:val="00E62477"/>
    <w:rsid w:val="00E62CED"/>
    <w:rsid w:val="00E6392E"/>
    <w:rsid w:val="00E64BF6"/>
    <w:rsid w:val="00E66491"/>
    <w:rsid w:val="00E67326"/>
    <w:rsid w:val="00E70AF6"/>
    <w:rsid w:val="00E70E08"/>
    <w:rsid w:val="00E72312"/>
    <w:rsid w:val="00E74BB7"/>
    <w:rsid w:val="00E770B6"/>
    <w:rsid w:val="00E823EC"/>
    <w:rsid w:val="00E85DF1"/>
    <w:rsid w:val="00E91762"/>
    <w:rsid w:val="00E964B4"/>
    <w:rsid w:val="00E976A5"/>
    <w:rsid w:val="00EA4EA9"/>
    <w:rsid w:val="00EA6636"/>
    <w:rsid w:val="00EA7E8B"/>
    <w:rsid w:val="00EB03E2"/>
    <w:rsid w:val="00EB044F"/>
    <w:rsid w:val="00EB61D2"/>
    <w:rsid w:val="00EB6B04"/>
    <w:rsid w:val="00EC2836"/>
    <w:rsid w:val="00EC4C63"/>
    <w:rsid w:val="00EC6AFD"/>
    <w:rsid w:val="00EC7E16"/>
    <w:rsid w:val="00ED239B"/>
    <w:rsid w:val="00ED4F47"/>
    <w:rsid w:val="00ED68A2"/>
    <w:rsid w:val="00ED7336"/>
    <w:rsid w:val="00EE09C5"/>
    <w:rsid w:val="00EE0D55"/>
    <w:rsid w:val="00EE1E7E"/>
    <w:rsid w:val="00EF138A"/>
    <w:rsid w:val="00F070A1"/>
    <w:rsid w:val="00F125EE"/>
    <w:rsid w:val="00F1365D"/>
    <w:rsid w:val="00F25834"/>
    <w:rsid w:val="00F26536"/>
    <w:rsid w:val="00F27FCB"/>
    <w:rsid w:val="00F329C0"/>
    <w:rsid w:val="00F34BF8"/>
    <w:rsid w:val="00F401DD"/>
    <w:rsid w:val="00F403DC"/>
    <w:rsid w:val="00F41FD3"/>
    <w:rsid w:val="00F426FB"/>
    <w:rsid w:val="00F45827"/>
    <w:rsid w:val="00F4643B"/>
    <w:rsid w:val="00F56A2A"/>
    <w:rsid w:val="00F66466"/>
    <w:rsid w:val="00F721DE"/>
    <w:rsid w:val="00F723C4"/>
    <w:rsid w:val="00F73A61"/>
    <w:rsid w:val="00F751F8"/>
    <w:rsid w:val="00F75AF4"/>
    <w:rsid w:val="00F75CBB"/>
    <w:rsid w:val="00F8021A"/>
    <w:rsid w:val="00F8175C"/>
    <w:rsid w:val="00F82F39"/>
    <w:rsid w:val="00F85CC8"/>
    <w:rsid w:val="00F86B48"/>
    <w:rsid w:val="00F9067C"/>
    <w:rsid w:val="00F9432E"/>
    <w:rsid w:val="00F943BE"/>
    <w:rsid w:val="00FA0031"/>
    <w:rsid w:val="00FA00AC"/>
    <w:rsid w:val="00FA17ED"/>
    <w:rsid w:val="00FA267B"/>
    <w:rsid w:val="00FA2A7B"/>
    <w:rsid w:val="00FA2D70"/>
    <w:rsid w:val="00FA2FB3"/>
    <w:rsid w:val="00FA552B"/>
    <w:rsid w:val="00FA671F"/>
    <w:rsid w:val="00FB6885"/>
    <w:rsid w:val="00FB69ED"/>
    <w:rsid w:val="00FC4EEE"/>
    <w:rsid w:val="00FC50C3"/>
    <w:rsid w:val="00FD2471"/>
    <w:rsid w:val="00FD45A6"/>
    <w:rsid w:val="00FE1222"/>
    <w:rsid w:val="00FE48FF"/>
    <w:rsid w:val="00FE536F"/>
    <w:rsid w:val="00FF03D6"/>
    <w:rsid w:val="00FF1B58"/>
    <w:rsid w:val="00FF61A5"/>
    <w:rsid w:val="056E6906"/>
    <w:rsid w:val="06E65352"/>
    <w:rsid w:val="0CA45250"/>
    <w:rsid w:val="0EDA5CE1"/>
    <w:rsid w:val="10815D73"/>
    <w:rsid w:val="111A318A"/>
    <w:rsid w:val="14101C60"/>
    <w:rsid w:val="16A36DBB"/>
    <w:rsid w:val="184B5D9B"/>
    <w:rsid w:val="184C458F"/>
    <w:rsid w:val="1AAD0A14"/>
    <w:rsid w:val="1B6C2703"/>
    <w:rsid w:val="1C6325C0"/>
    <w:rsid w:val="1E2B6008"/>
    <w:rsid w:val="20883204"/>
    <w:rsid w:val="23912092"/>
    <w:rsid w:val="255F3E12"/>
    <w:rsid w:val="2A187669"/>
    <w:rsid w:val="2A265795"/>
    <w:rsid w:val="2DAE31E9"/>
    <w:rsid w:val="31862813"/>
    <w:rsid w:val="36513CE6"/>
    <w:rsid w:val="37252465"/>
    <w:rsid w:val="3B79689A"/>
    <w:rsid w:val="3DE37B29"/>
    <w:rsid w:val="45B93656"/>
    <w:rsid w:val="460D11B3"/>
    <w:rsid w:val="47696A92"/>
    <w:rsid w:val="478432EC"/>
    <w:rsid w:val="490E79ED"/>
    <w:rsid w:val="49A66C09"/>
    <w:rsid w:val="4B090BDC"/>
    <w:rsid w:val="4B35552D"/>
    <w:rsid w:val="4D2B3484"/>
    <w:rsid w:val="4D5105F1"/>
    <w:rsid w:val="4D7C489A"/>
    <w:rsid w:val="4E703E9E"/>
    <w:rsid w:val="571F785D"/>
    <w:rsid w:val="58FF2153"/>
    <w:rsid w:val="5A311AE7"/>
    <w:rsid w:val="5CDB5851"/>
    <w:rsid w:val="5E6351E7"/>
    <w:rsid w:val="5FCB1362"/>
    <w:rsid w:val="60AC2D28"/>
    <w:rsid w:val="63026B10"/>
    <w:rsid w:val="66C37D8E"/>
    <w:rsid w:val="66FE4156"/>
    <w:rsid w:val="67F9779A"/>
    <w:rsid w:val="6AB95623"/>
    <w:rsid w:val="6D8F4B93"/>
    <w:rsid w:val="6DD94035"/>
    <w:rsid w:val="6E965BAE"/>
    <w:rsid w:val="6FCF744E"/>
    <w:rsid w:val="70A15E12"/>
    <w:rsid w:val="723E1F3A"/>
    <w:rsid w:val="73F838E0"/>
    <w:rsid w:val="78AE06CB"/>
    <w:rsid w:val="790A3839"/>
    <w:rsid w:val="79E32474"/>
    <w:rsid w:val="7C97088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uiPriority="39"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qFormat="1" w:uiPriority="99" w:semiHidden="0"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0" w:semiHidden="0"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7">
    <w:name w:val="heading 1"/>
    <w:basedOn w:val="1"/>
    <w:next w:val="1"/>
    <w:link w:val="45"/>
    <w:qFormat/>
    <w:uiPriority w:val="9"/>
    <w:pPr>
      <w:keepNext/>
      <w:keepLines/>
      <w:spacing w:before="340" w:after="330" w:line="578" w:lineRule="auto"/>
      <w:outlineLvl w:val="0"/>
    </w:pPr>
    <w:rPr>
      <w:b/>
      <w:bCs/>
      <w:kern w:val="44"/>
      <w:sz w:val="44"/>
      <w:szCs w:val="44"/>
    </w:rPr>
  </w:style>
  <w:style w:type="paragraph" w:styleId="8">
    <w:name w:val="heading 2"/>
    <w:basedOn w:val="1"/>
    <w:next w:val="1"/>
    <w:link w:val="48"/>
    <w:semiHidden/>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9">
    <w:name w:val="heading 3"/>
    <w:basedOn w:val="1"/>
    <w:next w:val="1"/>
    <w:link w:val="47"/>
    <w:semiHidden/>
    <w:unhideWhenUsed/>
    <w:qFormat/>
    <w:uiPriority w:val="9"/>
    <w:pPr>
      <w:keepNext/>
      <w:keepLines/>
      <w:spacing w:before="260" w:after="260" w:line="416" w:lineRule="auto"/>
      <w:outlineLvl w:val="2"/>
    </w:pPr>
    <w:rPr>
      <w:b/>
      <w:bCs/>
      <w:sz w:val="32"/>
      <w:szCs w:val="32"/>
    </w:rPr>
  </w:style>
  <w:style w:type="character" w:default="1" w:styleId="26">
    <w:name w:val="Default Paragraph Font"/>
    <w:semiHidden/>
    <w:unhideWhenUsed/>
    <w:qFormat/>
    <w:uiPriority w:val="1"/>
  </w:style>
  <w:style w:type="table" w:default="1" w:styleId="24">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next w:val="6"/>
    <w:qFormat/>
    <w:uiPriority w:val="0"/>
    <w:pPr>
      <w:adjustRightInd w:val="0"/>
      <w:textAlignment w:val="baseline"/>
    </w:pPr>
    <w:rPr>
      <w:kern w:val="0"/>
      <w:szCs w:val="20"/>
    </w:rPr>
  </w:style>
  <w:style w:type="paragraph" w:styleId="3">
    <w:name w:val="Body Text Indent"/>
    <w:basedOn w:val="1"/>
    <w:next w:val="4"/>
    <w:link w:val="31"/>
    <w:unhideWhenUsed/>
    <w:qFormat/>
    <w:uiPriority w:val="0"/>
    <w:pPr>
      <w:spacing w:line="360" w:lineRule="auto"/>
      <w:ind w:firstLine="570" w:firstLineChars="205"/>
    </w:pPr>
    <w:rPr>
      <w:rFonts w:ascii="宋体" w:hAnsi="Times New Roman"/>
      <w:sz w:val="24"/>
      <w:szCs w:val="24"/>
    </w:rPr>
  </w:style>
  <w:style w:type="paragraph" w:customStyle="1" w:styleId="4">
    <w:name w:val="Default"/>
    <w:next w:val="5"/>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5">
    <w:name w:val="Body Text"/>
    <w:basedOn w:val="1"/>
    <w:next w:val="1"/>
    <w:link w:val="41"/>
    <w:qFormat/>
    <w:uiPriority w:val="0"/>
    <w:pPr>
      <w:spacing w:after="120"/>
    </w:pPr>
    <w:rPr>
      <w:rFonts w:ascii="Times New Roman" w:hAnsi="Times New Roman" w:eastAsia="宋体" w:cs="Times New Roman"/>
      <w:szCs w:val="24"/>
    </w:rPr>
  </w:style>
  <w:style w:type="paragraph" w:styleId="6">
    <w:name w:val="Body Text First Indent"/>
    <w:basedOn w:val="5"/>
    <w:next w:val="1"/>
    <w:qFormat/>
    <w:uiPriority w:val="0"/>
    <w:pPr>
      <w:ind w:firstLine="420"/>
    </w:pPr>
  </w:style>
  <w:style w:type="paragraph" w:styleId="10">
    <w:name w:val="Normal Indent"/>
    <w:basedOn w:val="1"/>
    <w:next w:val="1"/>
    <w:qFormat/>
    <w:uiPriority w:val="0"/>
    <w:pPr>
      <w:ind w:firstLine="420" w:firstLineChars="200"/>
    </w:pPr>
    <w:rPr>
      <w:rFonts w:ascii="Times New Roman" w:hAnsi="Times New Roman" w:eastAsia="宋体" w:cs="Times New Roman"/>
      <w:sz w:val="24"/>
      <w:szCs w:val="24"/>
    </w:rPr>
  </w:style>
  <w:style w:type="paragraph" w:styleId="11">
    <w:name w:val="caption"/>
    <w:basedOn w:val="1"/>
    <w:next w:val="1"/>
    <w:unhideWhenUsed/>
    <w:qFormat/>
    <w:uiPriority w:val="35"/>
    <w:rPr>
      <w:rFonts w:ascii="Arial" w:hAnsi="Arial" w:eastAsia="黑体"/>
      <w:sz w:val="20"/>
    </w:rPr>
  </w:style>
  <w:style w:type="paragraph" w:styleId="12">
    <w:name w:val="annotation text"/>
    <w:basedOn w:val="1"/>
    <w:link w:val="42"/>
    <w:semiHidden/>
    <w:unhideWhenUsed/>
    <w:qFormat/>
    <w:uiPriority w:val="99"/>
    <w:pPr>
      <w:jc w:val="left"/>
    </w:pPr>
  </w:style>
  <w:style w:type="paragraph" w:styleId="13">
    <w:name w:val="toc 3"/>
    <w:basedOn w:val="1"/>
    <w:next w:val="1"/>
    <w:unhideWhenUsed/>
    <w:qFormat/>
    <w:uiPriority w:val="39"/>
    <w:pPr>
      <w:ind w:left="840" w:leftChars="400"/>
    </w:pPr>
  </w:style>
  <w:style w:type="paragraph" w:styleId="14">
    <w:name w:val="Plain Text"/>
    <w:basedOn w:val="1"/>
    <w:link w:val="34"/>
    <w:unhideWhenUsed/>
    <w:qFormat/>
    <w:uiPriority w:val="0"/>
    <w:pPr>
      <w:spacing w:line="360" w:lineRule="auto"/>
    </w:pPr>
    <w:rPr>
      <w:rFonts w:ascii="宋体" w:hAnsi="Courier New"/>
      <w:kern w:val="16"/>
      <w:sz w:val="24"/>
      <w:szCs w:val="21"/>
      <w:vertAlign w:val="superscript"/>
    </w:rPr>
  </w:style>
  <w:style w:type="paragraph" w:styleId="15">
    <w:name w:val="List Bullet 5"/>
    <w:basedOn w:val="1"/>
    <w:unhideWhenUsed/>
    <w:qFormat/>
    <w:uiPriority w:val="99"/>
    <w:pPr>
      <w:numPr>
        <w:ilvl w:val="0"/>
        <w:numId w:val="1"/>
      </w:numPr>
    </w:pPr>
  </w:style>
  <w:style w:type="paragraph" w:styleId="16">
    <w:name w:val="Body Text Indent 2"/>
    <w:basedOn w:val="1"/>
    <w:qFormat/>
    <w:uiPriority w:val="0"/>
    <w:pPr>
      <w:spacing w:after="120" w:line="480" w:lineRule="auto"/>
      <w:ind w:left="420" w:leftChars="200"/>
    </w:pPr>
    <w:rPr>
      <w:szCs w:val="24"/>
    </w:rPr>
  </w:style>
  <w:style w:type="paragraph" w:styleId="17">
    <w:name w:val="Balloon Text"/>
    <w:basedOn w:val="1"/>
    <w:link w:val="44"/>
    <w:semiHidden/>
    <w:unhideWhenUsed/>
    <w:qFormat/>
    <w:uiPriority w:val="99"/>
    <w:rPr>
      <w:sz w:val="18"/>
      <w:szCs w:val="18"/>
    </w:rPr>
  </w:style>
  <w:style w:type="paragraph" w:styleId="18">
    <w:name w:val="footer"/>
    <w:basedOn w:val="1"/>
    <w:link w:val="30"/>
    <w:unhideWhenUsed/>
    <w:qFormat/>
    <w:uiPriority w:val="99"/>
    <w:pPr>
      <w:tabs>
        <w:tab w:val="center" w:pos="4153"/>
        <w:tab w:val="right" w:pos="8306"/>
      </w:tabs>
      <w:snapToGrid w:val="0"/>
      <w:jc w:val="left"/>
    </w:pPr>
    <w:rPr>
      <w:sz w:val="18"/>
      <w:szCs w:val="18"/>
    </w:rPr>
  </w:style>
  <w:style w:type="paragraph" w:styleId="19">
    <w:name w:val="header"/>
    <w:basedOn w:val="1"/>
    <w:link w:val="29"/>
    <w:unhideWhenUsed/>
    <w:qFormat/>
    <w:uiPriority w:val="99"/>
    <w:pPr>
      <w:pBdr>
        <w:bottom w:val="single" w:color="auto" w:sz="6" w:space="1"/>
      </w:pBdr>
      <w:tabs>
        <w:tab w:val="center" w:pos="4153"/>
        <w:tab w:val="right" w:pos="8306"/>
      </w:tabs>
      <w:snapToGrid w:val="0"/>
      <w:jc w:val="center"/>
    </w:pPr>
    <w:rPr>
      <w:sz w:val="18"/>
      <w:szCs w:val="18"/>
    </w:rPr>
  </w:style>
  <w:style w:type="paragraph" w:styleId="20">
    <w:name w:val="toc 1"/>
    <w:basedOn w:val="1"/>
    <w:next w:val="1"/>
    <w:unhideWhenUsed/>
    <w:qFormat/>
    <w:uiPriority w:val="39"/>
  </w:style>
  <w:style w:type="paragraph" w:styleId="21">
    <w:name w:val="HTML Preformatted"/>
    <w:basedOn w:val="1"/>
    <w:link w:val="32"/>
    <w:unhideWhenUsed/>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left"/>
    </w:pPr>
    <w:rPr>
      <w:rFonts w:ascii="PingFang SC" w:hAnsi="PingFang SC" w:eastAsia="PingFang SC" w:cs="Times New Roman"/>
      <w:kern w:val="0"/>
      <w:sz w:val="24"/>
      <w:szCs w:val="24"/>
    </w:rPr>
  </w:style>
  <w:style w:type="paragraph" w:styleId="22">
    <w:name w:val="Normal (Web)"/>
    <w:basedOn w:val="1"/>
    <w:link w:val="36"/>
    <w:qFormat/>
    <w:uiPriority w:val="0"/>
    <w:pPr>
      <w:widowControl/>
      <w:spacing w:before="100" w:beforeAutospacing="1" w:after="100" w:afterAutospacing="1"/>
      <w:jc w:val="left"/>
    </w:pPr>
    <w:rPr>
      <w:rFonts w:ascii="宋体" w:hAnsi="宋体" w:eastAsia="宋体"/>
      <w:sz w:val="24"/>
    </w:rPr>
  </w:style>
  <w:style w:type="paragraph" w:styleId="23">
    <w:name w:val="annotation subject"/>
    <w:basedOn w:val="12"/>
    <w:next w:val="12"/>
    <w:link w:val="43"/>
    <w:semiHidden/>
    <w:unhideWhenUsed/>
    <w:qFormat/>
    <w:uiPriority w:val="99"/>
    <w:rPr>
      <w:b/>
      <w:bCs/>
    </w:rPr>
  </w:style>
  <w:style w:type="table" w:styleId="25">
    <w:name w:val="Table Grid"/>
    <w:basedOn w:val="24"/>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7">
    <w:name w:val="Hyperlink"/>
    <w:basedOn w:val="26"/>
    <w:unhideWhenUsed/>
    <w:qFormat/>
    <w:uiPriority w:val="99"/>
    <w:rPr>
      <w:color w:val="0563C1" w:themeColor="hyperlink"/>
      <w:u w:val="single"/>
      <w14:textFill>
        <w14:solidFill>
          <w14:schemeClr w14:val="hlink"/>
        </w14:solidFill>
      </w14:textFill>
    </w:rPr>
  </w:style>
  <w:style w:type="character" w:styleId="28">
    <w:name w:val="annotation reference"/>
    <w:basedOn w:val="26"/>
    <w:semiHidden/>
    <w:unhideWhenUsed/>
    <w:qFormat/>
    <w:uiPriority w:val="99"/>
    <w:rPr>
      <w:sz w:val="21"/>
      <w:szCs w:val="21"/>
    </w:rPr>
  </w:style>
  <w:style w:type="character" w:customStyle="1" w:styleId="29">
    <w:name w:val="页眉 Char"/>
    <w:basedOn w:val="26"/>
    <w:link w:val="19"/>
    <w:qFormat/>
    <w:uiPriority w:val="99"/>
    <w:rPr>
      <w:sz w:val="18"/>
      <w:szCs w:val="18"/>
    </w:rPr>
  </w:style>
  <w:style w:type="character" w:customStyle="1" w:styleId="30">
    <w:name w:val="页脚 Char"/>
    <w:basedOn w:val="26"/>
    <w:link w:val="18"/>
    <w:qFormat/>
    <w:uiPriority w:val="99"/>
    <w:rPr>
      <w:sz w:val="18"/>
      <w:szCs w:val="18"/>
    </w:rPr>
  </w:style>
  <w:style w:type="character" w:customStyle="1" w:styleId="31">
    <w:name w:val="正文文本缩进 Char"/>
    <w:basedOn w:val="26"/>
    <w:link w:val="3"/>
    <w:semiHidden/>
    <w:qFormat/>
    <w:uiPriority w:val="0"/>
    <w:rPr>
      <w:rFonts w:ascii="宋体" w:hAnsi="Times New Roman"/>
      <w:sz w:val="24"/>
      <w:szCs w:val="24"/>
    </w:rPr>
  </w:style>
  <w:style w:type="character" w:customStyle="1" w:styleId="32">
    <w:name w:val="HTML 预设格式 Char"/>
    <w:basedOn w:val="26"/>
    <w:link w:val="21"/>
    <w:semiHidden/>
    <w:qFormat/>
    <w:uiPriority w:val="0"/>
    <w:rPr>
      <w:rFonts w:ascii="PingFang SC" w:hAnsi="PingFang SC" w:eastAsia="PingFang SC" w:cs="Times New Roman"/>
      <w:kern w:val="0"/>
      <w:sz w:val="24"/>
      <w:szCs w:val="24"/>
    </w:rPr>
  </w:style>
  <w:style w:type="paragraph" w:customStyle="1" w:styleId="33">
    <w:name w:val="Table Paragraph"/>
    <w:basedOn w:val="1"/>
    <w:qFormat/>
    <w:uiPriority w:val="1"/>
    <w:pPr>
      <w:spacing w:line="360" w:lineRule="auto"/>
      <w:jc w:val="center"/>
    </w:pPr>
    <w:rPr>
      <w:rFonts w:ascii="宋体" w:hAnsi="宋体" w:cs="宋体"/>
      <w:kern w:val="0"/>
      <w:sz w:val="22"/>
      <w:lang w:eastAsia="en-US"/>
    </w:rPr>
  </w:style>
  <w:style w:type="character" w:customStyle="1" w:styleId="34">
    <w:name w:val="纯文本 Char"/>
    <w:basedOn w:val="26"/>
    <w:link w:val="14"/>
    <w:qFormat/>
    <w:uiPriority w:val="0"/>
    <w:rPr>
      <w:rFonts w:ascii="宋体" w:hAnsi="Courier New"/>
      <w:kern w:val="16"/>
      <w:sz w:val="24"/>
      <w:szCs w:val="21"/>
      <w:vertAlign w:val="superscript"/>
    </w:rPr>
  </w:style>
  <w:style w:type="paragraph" w:styleId="35">
    <w:name w:val="List Paragraph"/>
    <w:basedOn w:val="1"/>
    <w:qFormat/>
    <w:uiPriority w:val="34"/>
    <w:pPr>
      <w:ind w:firstLine="420" w:firstLineChars="200"/>
    </w:pPr>
    <w:rPr>
      <w:rFonts w:ascii="等线" w:hAnsi="等线" w:eastAsia="等线" w:cs="Times New Roman"/>
    </w:rPr>
  </w:style>
  <w:style w:type="character" w:customStyle="1" w:styleId="36">
    <w:name w:val="普通(网站) Char"/>
    <w:link w:val="22"/>
    <w:qFormat/>
    <w:locked/>
    <w:uiPriority w:val="0"/>
    <w:rPr>
      <w:rFonts w:ascii="宋体" w:hAnsi="宋体" w:eastAsia="宋体"/>
      <w:sz w:val="24"/>
    </w:rPr>
  </w:style>
  <w:style w:type="paragraph" w:customStyle="1" w:styleId="37">
    <w:name w:val="报告表格"/>
    <w:basedOn w:val="1"/>
    <w:qFormat/>
    <w:uiPriority w:val="0"/>
    <w:pPr>
      <w:widowControl/>
      <w:autoSpaceDE w:val="0"/>
      <w:autoSpaceDN w:val="0"/>
      <w:adjustRightInd w:val="0"/>
      <w:spacing w:before="40" w:after="40"/>
      <w:jc w:val="center"/>
    </w:pPr>
    <w:rPr>
      <w:rFonts w:ascii="Times New Roman" w:hAnsi="Times New Roman" w:eastAsia="宋体" w:cs="Times New Roman"/>
      <w:kern w:val="0"/>
      <w:szCs w:val="21"/>
    </w:rPr>
  </w:style>
  <w:style w:type="paragraph" w:customStyle="1" w:styleId="38">
    <w:name w:val="报告"/>
    <w:basedOn w:val="1"/>
    <w:link w:val="39"/>
    <w:qFormat/>
    <w:uiPriority w:val="0"/>
    <w:pPr>
      <w:overflowPunct w:val="0"/>
      <w:autoSpaceDE w:val="0"/>
      <w:autoSpaceDN w:val="0"/>
      <w:adjustRightInd w:val="0"/>
      <w:spacing w:beforeLines="30" w:afterLines="30" w:line="400" w:lineRule="atLeast"/>
      <w:ind w:left="200" w:leftChars="200" w:firstLine="200" w:firstLineChars="200"/>
      <w:jc w:val="left"/>
      <w:textAlignment w:val="baseline"/>
    </w:pPr>
    <w:rPr>
      <w:rFonts w:ascii="Calibri" w:hAnsi="Calibri" w:eastAsia="Calibri" w:cs="Times New Roman"/>
      <w:kern w:val="0"/>
      <w:sz w:val="24"/>
      <w:lang w:eastAsia="en-US"/>
    </w:rPr>
  </w:style>
  <w:style w:type="character" w:customStyle="1" w:styleId="39">
    <w:name w:val="报告 Char Char"/>
    <w:link w:val="38"/>
    <w:qFormat/>
    <w:uiPriority w:val="0"/>
    <w:rPr>
      <w:rFonts w:ascii="Calibri" w:hAnsi="Calibri" w:eastAsia="Calibri" w:cs="Times New Roman"/>
      <w:kern w:val="0"/>
      <w:sz w:val="24"/>
      <w:lang w:eastAsia="en-US"/>
    </w:rPr>
  </w:style>
  <w:style w:type="paragraph" w:customStyle="1" w:styleId="40">
    <w:name w:val="表格中文字"/>
    <w:basedOn w:val="1"/>
    <w:qFormat/>
    <w:uiPriority w:val="0"/>
    <w:pPr>
      <w:adjustRightInd w:val="0"/>
      <w:snapToGrid w:val="0"/>
      <w:jc w:val="center"/>
    </w:pPr>
    <w:rPr>
      <w:rFonts w:ascii="Times New Roman" w:hAnsi="Calibri" w:eastAsia="宋体" w:cs="Times New Roman"/>
      <w:kern w:val="18"/>
      <w:szCs w:val="21"/>
    </w:rPr>
  </w:style>
  <w:style w:type="character" w:customStyle="1" w:styleId="41">
    <w:name w:val="正文文本 Char"/>
    <w:basedOn w:val="26"/>
    <w:link w:val="5"/>
    <w:qFormat/>
    <w:uiPriority w:val="0"/>
    <w:rPr>
      <w:rFonts w:ascii="Times New Roman" w:hAnsi="Times New Roman" w:eastAsia="宋体" w:cs="Times New Roman"/>
      <w:szCs w:val="24"/>
    </w:rPr>
  </w:style>
  <w:style w:type="character" w:customStyle="1" w:styleId="42">
    <w:name w:val="批注文字 Char"/>
    <w:basedOn w:val="26"/>
    <w:link w:val="12"/>
    <w:semiHidden/>
    <w:qFormat/>
    <w:uiPriority w:val="99"/>
  </w:style>
  <w:style w:type="character" w:customStyle="1" w:styleId="43">
    <w:name w:val="批注主题 Char"/>
    <w:basedOn w:val="42"/>
    <w:link w:val="23"/>
    <w:semiHidden/>
    <w:qFormat/>
    <w:uiPriority w:val="99"/>
    <w:rPr>
      <w:b/>
      <w:bCs/>
    </w:rPr>
  </w:style>
  <w:style w:type="character" w:customStyle="1" w:styleId="44">
    <w:name w:val="批注框文本 Char"/>
    <w:basedOn w:val="26"/>
    <w:link w:val="17"/>
    <w:semiHidden/>
    <w:qFormat/>
    <w:uiPriority w:val="99"/>
    <w:rPr>
      <w:sz w:val="18"/>
      <w:szCs w:val="18"/>
    </w:rPr>
  </w:style>
  <w:style w:type="character" w:customStyle="1" w:styleId="45">
    <w:name w:val="标题 1 Char"/>
    <w:basedOn w:val="26"/>
    <w:link w:val="7"/>
    <w:qFormat/>
    <w:uiPriority w:val="9"/>
    <w:rPr>
      <w:b/>
      <w:bCs/>
      <w:kern w:val="44"/>
      <w:sz w:val="44"/>
      <w:szCs w:val="44"/>
    </w:rPr>
  </w:style>
  <w:style w:type="paragraph" w:customStyle="1" w:styleId="46">
    <w:name w:val="TOC 标题1"/>
    <w:basedOn w:val="7"/>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E75B6" w:themeColor="accent1" w:themeShade="BF"/>
      <w:kern w:val="0"/>
      <w:sz w:val="32"/>
      <w:szCs w:val="32"/>
    </w:rPr>
  </w:style>
  <w:style w:type="character" w:customStyle="1" w:styleId="47">
    <w:name w:val="标题 3 Char"/>
    <w:basedOn w:val="26"/>
    <w:link w:val="9"/>
    <w:semiHidden/>
    <w:qFormat/>
    <w:uiPriority w:val="9"/>
    <w:rPr>
      <w:b/>
      <w:bCs/>
      <w:kern w:val="2"/>
      <w:sz w:val="32"/>
      <w:szCs w:val="32"/>
    </w:rPr>
  </w:style>
  <w:style w:type="character" w:customStyle="1" w:styleId="48">
    <w:name w:val="标题 2 Char"/>
    <w:basedOn w:val="26"/>
    <w:link w:val="8"/>
    <w:semiHidden/>
    <w:qFormat/>
    <w:uiPriority w:val="9"/>
    <w:rPr>
      <w:rFonts w:asciiTheme="majorHAnsi" w:hAnsiTheme="majorHAnsi" w:eastAsiaTheme="majorEastAsia" w:cstheme="majorBidi"/>
      <w:b/>
      <w:bCs/>
      <w:kern w:val="2"/>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jpeg"/><Relationship Id="rId6" Type="http://schemas.openxmlformats.org/officeDocument/2006/relationships/theme" Target="theme/theme1.xml"/><Relationship Id="rId54" Type="http://schemas.openxmlformats.org/officeDocument/2006/relationships/fontTable" Target="fontTable.xml"/><Relationship Id="rId53" Type="http://schemas.openxmlformats.org/officeDocument/2006/relationships/customXml" Target="../customXml/item2.xml"/><Relationship Id="rId52" Type="http://schemas.openxmlformats.org/officeDocument/2006/relationships/numbering" Target="numbering.xml"/><Relationship Id="rId51" Type="http://schemas.openxmlformats.org/officeDocument/2006/relationships/customXml" Target="../customXml/item1.xml"/><Relationship Id="rId50" Type="http://schemas.openxmlformats.org/officeDocument/2006/relationships/image" Target="media/image39.png"/><Relationship Id="rId5" Type="http://schemas.openxmlformats.org/officeDocument/2006/relationships/footer" Target="footer3.xml"/><Relationship Id="rId49" Type="http://schemas.openxmlformats.org/officeDocument/2006/relationships/image" Target="media/image38.png"/><Relationship Id="rId48" Type="http://schemas.openxmlformats.org/officeDocument/2006/relationships/image" Target="media/image37.png"/><Relationship Id="rId47" Type="http://schemas.openxmlformats.org/officeDocument/2006/relationships/image" Target="media/image36.png"/><Relationship Id="rId46" Type="http://schemas.openxmlformats.org/officeDocument/2006/relationships/image" Target="media/image35.png"/><Relationship Id="rId45" Type="http://schemas.openxmlformats.org/officeDocument/2006/relationships/image" Target="media/image34.png"/><Relationship Id="rId44" Type="http://schemas.openxmlformats.org/officeDocument/2006/relationships/image" Target="media/image33.png"/><Relationship Id="rId43" Type="http://schemas.openxmlformats.org/officeDocument/2006/relationships/image" Target="media/image32.png"/><Relationship Id="rId42" Type="http://schemas.openxmlformats.org/officeDocument/2006/relationships/image" Target="media/image31.emf"/><Relationship Id="rId41" Type="http://schemas.openxmlformats.org/officeDocument/2006/relationships/image" Target="media/image30.emf"/><Relationship Id="rId40" Type="http://schemas.openxmlformats.org/officeDocument/2006/relationships/oleObject" Target="embeddings/oleObject5.bin"/><Relationship Id="rId4" Type="http://schemas.openxmlformats.org/officeDocument/2006/relationships/footer" Target="footer2.xml"/><Relationship Id="rId39" Type="http://schemas.openxmlformats.org/officeDocument/2006/relationships/image" Target="media/image29.emf"/><Relationship Id="rId38" Type="http://schemas.openxmlformats.org/officeDocument/2006/relationships/oleObject" Target="embeddings/oleObject4.bin"/><Relationship Id="rId37" Type="http://schemas.openxmlformats.org/officeDocument/2006/relationships/image" Target="media/image28.wmf"/><Relationship Id="rId36" Type="http://schemas.openxmlformats.org/officeDocument/2006/relationships/image" Target="media/image27.jpeg"/><Relationship Id="rId35" Type="http://schemas.openxmlformats.org/officeDocument/2006/relationships/image" Target="media/image26.jpeg"/><Relationship Id="rId34" Type="http://schemas.openxmlformats.org/officeDocument/2006/relationships/image" Target="media/image25.jpeg"/><Relationship Id="rId33" Type="http://schemas.openxmlformats.org/officeDocument/2006/relationships/image" Target="media/image24.wmf"/><Relationship Id="rId32" Type="http://schemas.openxmlformats.org/officeDocument/2006/relationships/oleObject" Target="embeddings/oleObject3.bin"/><Relationship Id="rId31" Type="http://schemas.openxmlformats.org/officeDocument/2006/relationships/image" Target="media/image23.png"/><Relationship Id="rId30" Type="http://schemas.openxmlformats.org/officeDocument/2006/relationships/image" Target="media/image22.jpeg"/><Relationship Id="rId3" Type="http://schemas.openxmlformats.org/officeDocument/2006/relationships/footer" Target="footer1.xml"/><Relationship Id="rId29" Type="http://schemas.openxmlformats.org/officeDocument/2006/relationships/image" Target="media/image21.jpeg"/><Relationship Id="rId28" Type="http://schemas.openxmlformats.org/officeDocument/2006/relationships/image" Target="media/image20.jpeg"/><Relationship Id="rId27" Type="http://schemas.openxmlformats.org/officeDocument/2006/relationships/image" Target="media/image19.jpeg"/><Relationship Id="rId26" Type="http://schemas.microsoft.com/office/2007/relationships/hdphoto" Target="media/image18.wdp"/><Relationship Id="rId25" Type="http://schemas.openxmlformats.org/officeDocument/2006/relationships/image" Target="media/image17.png"/><Relationship Id="rId24" Type="http://schemas.openxmlformats.org/officeDocument/2006/relationships/image" Target="media/image16.jpeg"/><Relationship Id="rId23" Type="http://schemas.openxmlformats.org/officeDocument/2006/relationships/image" Target="media/image15.jpeg"/><Relationship Id="rId22" Type="http://schemas.openxmlformats.org/officeDocument/2006/relationships/image" Target="media/image14.jpeg"/><Relationship Id="rId21" Type="http://schemas.openxmlformats.org/officeDocument/2006/relationships/image" Target="media/image13.jpeg"/><Relationship Id="rId20" Type="http://schemas.openxmlformats.org/officeDocument/2006/relationships/image" Target="media/image12.jpeg"/><Relationship Id="rId2" Type="http://schemas.openxmlformats.org/officeDocument/2006/relationships/settings" Target="settings.xml"/><Relationship Id="rId19" Type="http://schemas.openxmlformats.org/officeDocument/2006/relationships/image" Target="media/image11.jpeg"/><Relationship Id="rId18" Type="http://schemas.openxmlformats.org/officeDocument/2006/relationships/image" Target="media/image10.jpeg"/><Relationship Id="rId17" Type="http://schemas.openxmlformats.org/officeDocument/2006/relationships/image" Target="media/image9.png"/><Relationship Id="rId16" Type="http://schemas.openxmlformats.org/officeDocument/2006/relationships/image" Target="media/image8.jpeg"/><Relationship Id="rId15" Type="http://schemas.openxmlformats.org/officeDocument/2006/relationships/image" Target="media/image7.jpeg"/><Relationship Id="rId14" Type="http://schemas.openxmlformats.org/officeDocument/2006/relationships/image" Target="media/image6.jpeg"/><Relationship Id="rId13" Type="http://schemas.openxmlformats.org/officeDocument/2006/relationships/image" Target="media/image5.wmf"/><Relationship Id="rId12" Type="http://schemas.openxmlformats.org/officeDocument/2006/relationships/oleObject" Target="embeddings/oleObject2.bin"/><Relationship Id="rId11" Type="http://schemas.openxmlformats.org/officeDocument/2006/relationships/image" Target="media/image4.wmf"/><Relationship Id="rId10" Type="http://schemas.openxmlformats.org/officeDocument/2006/relationships/oleObject" Target="embeddings/oleObject1.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802B644-314E-4F7E-889C-489D368219F5}">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130</Pages>
  <Words>1089</Words>
  <Characters>1148</Characters>
  <Lines>765</Lines>
  <Paragraphs>215</Paragraphs>
  <TotalTime>4</TotalTime>
  <ScaleCrop>false</ScaleCrop>
  <LinksUpToDate>false</LinksUpToDate>
  <CharactersWithSpaces>1200</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2022-08-17T10:15:00Z</dcterms:created>
  <dc:creator>AutoBVT</dc:creator>
  <cp:lastModifiedBy>少吃一点</cp:lastModifiedBy>
  <cp:lastPrinted>2023-12-05T06:13:00Z</cp:lastPrinted>
  <dcterms:modified xsi:type="dcterms:W3CDTF">2025-11-17T01:26:25Z</dcterms:modified>
  <cp:revision>53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4C9926F591064AF3A13452FFF43140D5_13</vt:lpwstr>
  </property>
  <property fmtid="{D5CDD505-2E9C-101B-9397-08002B2CF9AE}" pid="4" name="KSOTemplateDocerSaveRecord">
    <vt:lpwstr>eyJoZGlkIjoiYzFkMTUzMjNiYTMzODk2Yzk5NWEwZjcxNmQyMGYxOGUiLCJ1c2VySWQiOiI0MTU5MzA2NTAifQ==</vt:lpwstr>
  </property>
</Properties>
</file>